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26D2" w:rsidRPr="003575E1" w:rsidRDefault="002042CE" w:rsidP="002042CE">
      <w:pPr>
        <w:pStyle w:val="Heading1"/>
      </w:pPr>
      <w:bookmarkStart w:id="0" w:name="begin"/>
      <w:bookmarkStart w:id="1" w:name="_GoBack"/>
      <w:bookmarkEnd w:id="0"/>
      <w:bookmarkEnd w:id="1"/>
      <w:r w:rsidRPr="002042CE">
        <w:t xml:space="preserve">National Education Agreement performance </w:t>
      </w:r>
      <w:r w:rsidRPr="00E02EBE">
        <w:t>reporting</w:t>
      </w:r>
    </w:p>
    <w:p w:rsidR="009E1844" w:rsidRPr="001235E9" w:rsidRDefault="002042CE" w:rsidP="002042CE">
      <w:pPr>
        <w:pStyle w:val="Heading2"/>
      </w:pPr>
      <w:r w:rsidRPr="001235E9">
        <w:t>Framework for National Agreement reporting</w:t>
      </w:r>
    </w:p>
    <w:p w:rsidR="002042CE" w:rsidRPr="001235E9" w:rsidRDefault="002042CE" w:rsidP="002042CE">
      <w:pPr>
        <w:pStyle w:val="BodyText"/>
      </w:pPr>
      <w:r w:rsidRPr="001235E9">
        <w:t>The Council of Australian Governments (COAG) endorsed a new Intergovernmental Agreement on Federal Financ</w:t>
      </w:r>
      <w:r w:rsidR="008529CC" w:rsidRPr="001235E9">
        <w:t>ial Relations (IGA) in November </w:t>
      </w:r>
      <w:r w:rsidRPr="001235E9">
        <w:t>2008 (COAG 2009a) and reaf</w:t>
      </w:r>
      <w:r w:rsidR="008529CC" w:rsidRPr="001235E9">
        <w:t>firmed its commitment in August </w:t>
      </w:r>
      <w:r w:rsidRPr="001235E9">
        <w:t>2011 (COAG 2011a). The IGA includes six National Agreements (NAs):</w:t>
      </w:r>
    </w:p>
    <w:p w:rsidR="00D80824" w:rsidRPr="001235E9" w:rsidRDefault="00D80824" w:rsidP="00D80824">
      <w:pPr>
        <w:pStyle w:val="ListBullet"/>
        <w:rPr>
          <w:i/>
        </w:rPr>
      </w:pPr>
      <w:r w:rsidRPr="001235E9">
        <w:rPr>
          <w:i/>
        </w:rPr>
        <w:t>National Healthcare Agreement</w:t>
      </w:r>
    </w:p>
    <w:p w:rsidR="00D80824" w:rsidRPr="001235E9" w:rsidRDefault="00D80824" w:rsidP="00D80824">
      <w:pPr>
        <w:pStyle w:val="ListBullet"/>
        <w:rPr>
          <w:i/>
        </w:rPr>
      </w:pPr>
      <w:r w:rsidRPr="001235E9">
        <w:rPr>
          <w:i/>
        </w:rPr>
        <w:t>National Education Agreement</w:t>
      </w:r>
    </w:p>
    <w:p w:rsidR="00D80824" w:rsidRPr="001235E9" w:rsidRDefault="00D80824" w:rsidP="00D80824">
      <w:pPr>
        <w:pStyle w:val="ListBullet"/>
        <w:rPr>
          <w:i/>
        </w:rPr>
      </w:pPr>
      <w:r w:rsidRPr="001235E9">
        <w:rPr>
          <w:i/>
        </w:rPr>
        <w:t>National Agreement for Skills and Workforce Development</w:t>
      </w:r>
    </w:p>
    <w:p w:rsidR="00D80824" w:rsidRPr="001235E9" w:rsidRDefault="00D80824" w:rsidP="00D80824">
      <w:pPr>
        <w:pStyle w:val="ListBullet"/>
        <w:rPr>
          <w:i/>
        </w:rPr>
      </w:pPr>
      <w:r w:rsidRPr="001235E9">
        <w:rPr>
          <w:i/>
        </w:rPr>
        <w:t>National Affordable Housing Agreement</w:t>
      </w:r>
    </w:p>
    <w:p w:rsidR="00D80824" w:rsidRPr="001235E9" w:rsidRDefault="00D80824" w:rsidP="00D80824">
      <w:pPr>
        <w:pStyle w:val="ListBullet"/>
        <w:rPr>
          <w:i/>
        </w:rPr>
      </w:pPr>
      <w:r w:rsidRPr="001235E9">
        <w:rPr>
          <w:i/>
        </w:rPr>
        <w:t>National Disability Agreement</w:t>
      </w:r>
    </w:p>
    <w:p w:rsidR="00D80824" w:rsidRPr="001235E9" w:rsidRDefault="00D80824" w:rsidP="00D80824">
      <w:pPr>
        <w:pStyle w:val="ListBullet"/>
        <w:rPr>
          <w:i/>
        </w:rPr>
      </w:pPr>
      <w:r w:rsidRPr="001235E9">
        <w:rPr>
          <w:i/>
        </w:rPr>
        <w:t>National Indigenous Reform Agreement.</w:t>
      </w:r>
    </w:p>
    <w:p w:rsidR="00D80824" w:rsidRPr="001235E9" w:rsidRDefault="00D80824" w:rsidP="00D80824">
      <w:pPr>
        <w:pStyle w:val="BodyText"/>
      </w:pPr>
      <w:r w:rsidRPr="001235E9">
        <w:t xml:space="preserve">Five of the NAs are associated with a national Specific Purpose Payment (SPP) that can provide funding to the states and territories for the sector covered by the NA. These five SPPs cover schools, vocational education and training (VET), disability services, healthcare and affordable housing. The </w:t>
      </w:r>
      <w:r w:rsidRPr="0036701A">
        <w:rPr>
          <w:i/>
        </w:rPr>
        <w:t>National Indigenous Reform Agreement</w:t>
      </w:r>
      <w:r w:rsidRPr="001235E9">
        <w:t xml:space="preserve"> (NIRA) is not associated with a SPP, but draws together Indigenous elements from the other NAs and is associated with several National Partnership agreements (NPs).</w:t>
      </w:r>
    </w:p>
    <w:p w:rsidR="00D80824" w:rsidRPr="001235E9" w:rsidRDefault="00D80824" w:rsidP="00D80824">
      <w:pPr>
        <w:pStyle w:val="BodyText"/>
      </w:pPr>
      <w:r w:rsidRPr="001235E9">
        <w:t>At its 7</w:t>
      </w:r>
      <w:r w:rsidR="00966FAA" w:rsidRPr="001235E9">
        <w:t> </w:t>
      </w:r>
      <w:r w:rsidRPr="001235E9">
        <w:t>December 2009 meeting, COAG agreed to a high level review of the NAs, NPs and implementation plans. On 13</w:t>
      </w:r>
      <w:r w:rsidR="00966FAA" w:rsidRPr="001235E9">
        <w:t> </w:t>
      </w:r>
      <w:r w:rsidRPr="001235E9">
        <w:t xml:space="preserve">February 2011, COAG noted a report on this review and agreed to further reviews of the NA performance reporting frameworks (COAG 2011b). </w:t>
      </w:r>
    </w:p>
    <w:p w:rsidR="00D80824" w:rsidRPr="001235E9" w:rsidRDefault="00D80824" w:rsidP="00273EA0">
      <w:pPr>
        <w:pStyle w:val="BodyText"/>
      </w:pPr>
      <w:r w:rsidRPr="001235E9">
        <w:t>The review of the National Education Agreement (NEA) performance reporting framework was completed and recommendations endorsed by COAG on 25</w:t>
      </w:r>
      <w:r w:rsidR="00966FAA" w:rsidRPr="001235E9">
        <w:t> </w:t>
      </w:r>
      <w:r w:rsidRPr="001235E9">
        <w:t xml:space="preserve">July 2012. </w:t>
      </w:r>
      <w:r w:rsidR="0036701A">
        <w:t>Reporting against the performance indicator framework in the revised NEA was implemented for the 2012</w:t>
      </w:r>
      <w:r w:rsidR="00BC1A2A">
        <w:t xml:space="preserve"> cycle of reporting (incorporating data for 2011).</w:t>
      </w:r>
    </w:p>
    <w:p w:rsidR="00D80824" w:rsidRPr="001235E9" w:rsidRDefault="00D80824" w:rsidP="00D80824">
      <w:pPr>
        <w:pStyle w:val="Heading3"/>
      </w:pPr>
      <w:r w:rsidRPr="001235E9">
        <w:lastRenderedPageBreak/>
        <w:t>National Agreement reporting roles and responsibilities</w:t>
      </w:r>
    </w:p>
    <w:p w:rsidR="00D80824" w:rsidRPr="001235E9" w:rsidRDefault="00D80824" w:rsidP="00D80824">
      <w:pPr>
        <w:pStyle w:val="BodyText"/>
      </w:pPr>
      <w:r w:rsidRPr="001235E9">
        <w:t>The Standing Council for Federal Financial Relations (SCFFR) has general oversight of the operatio</w:t>
      </w:r>
      <w:r w:rsidR="001235E9">
        <w:t>ns of the IGA on behalf of COAG</w:t>
      </w:r>
      <w:r w:rsidRPr="001235E9">
        <w:t xml:space="preserve"> [IGA para. A4(a)]</w:t>
      </w:r>
      <w:r w:rsidR="00966FAA" w:rsidRPr="001235E9">
        <w:t>.</w:t>
      </w:r>
    </w:p>
    <w:p w:rsidR="00D80824" w:rsidRPr="001235E9" w:rsidRDefault="00D80824" w:rsidP="00D80824">
      <w:pPr>
        <w:pStyle w:val="BodyText"/>
      </w:pPr>
      <w:r w:rsidRPr="001235E9">
        <w:t>The COAG Reform Council (CRC) is responsible for monitoring and assessing the performance of all governments in achieving the outcomes and benchmarks specified in each NA. The CRC is required to provide to COAG the NA performance information and a comparative analysis of this information within three months of recei</w:t>
      </w:r>
      <w:r w:rsidR="001235E9">
        <w:t xml:space="preserve">pt from the Steering Committee </w:t>
      </w:r>
      <w:r w:rsidRPr="001235E9">
        <w:t>[IGA paras. C14</w:t>
      </w:r>
      <w:r w:rsidR="0036701A">
        <w:noBreakHyphen/>
      </w:r>
      <w:r w:rsidRPr="001235E9">
        <w:t>15]</w:t>
      </w:r>
      <w:r w:rsidR="00D119D7">
        <w:t>.</w:t>
      </w:r>
    </w:p>
    <w:p w:rsidR="0036701A" w:rsidRDefault="0036701A" w:rsidP="00273EA0">
      <w:pPr>
        <w:pStyle w:val="BodyText"/>
      </w:pPr>
      <w:r>
        <w:t xml:space="preserve">The Steering Committee has overall responsibility for collating the necessary NA performance data [IGA para. C9]. </w:t>
      </w:r>
      <w:r w:rsidRPr="00E2205C">
        <w:t>Reports from the Steering Committee to the CRC are required ideally in 3 months and no later than 6 months after the end of reporting period.</w:t>
      </w:r>
      <w:r w:rsidR="00DD5307">
        <w:t xml:space="preserve"> </w:t>
      </w:r>
      <w:r w:rsidR="00BC1A2A" w:rsidRPr="00BC1A2A">
        <w:t>Previous Steering Committee reports were provided by end</w:t>
      </w:r>
      <w:r w:rsidR="00DD5307">
        <w:noBreakHyphen/>
      </w:r>
      <w:r w:rsidR="00BC1A2A" w:rsidRPr="00BC1A2A">
        <w:t>June (six months after the end of the reporting period). For this report, the CRC requested data by end April 2014 (four months after the end of the reporting period).</w:t>
      </w:r>
    </w:p>
    <w:p w:rsidR="00D80824" w:rsidRPr="00A41EE9" w:rsidRDefault="00D80824" w:rsidP="00D80824">
      <w:pPr>
        <w:pStyle w:val="Heading2"/>
      </w:pPr>
      <w:r w:rsidRPr="00A41EE9">
        <w:t>Performance reporting</w:t>
      </w:r>
    </w:p>
    <w:p w:rsidR="00D80824" w:rsidRPr="00A41EE9" w:rsidRDefault="00D80824" w:rsidP="00D80824">
      <w:pPr>
        <w:pStyle w:val="BodyText"/>
      </w:pPr>
      <w:r w:rsidRPr="00A41EE9">
        <w:t>The CRC has requested the Steering Committee to provide information on all performance categories in the NAs (variously referred to as ‘outputs’, ‘performance indicators’, ‘performance benchmarks’ and ‘targets’).</w:t>
      </w:r>
    </w:p>
    <w:p w:rsidR="00E058E4" w:rsidRPr="00A41EE9" w:rsidRDefault="00D80824" w:rsidP="00E058E4">
      <w:pPr>
        <w:pStyle w:val="BodyText"/>
      </w:pPr>
      <w:r w:rsidRPr="00A41EE9">
        <w:t>The NEA includes the performance categories of ‘outputs’, ‘performance indicators’ and ‘performance targets’. The links between the objectives, outcomes and associated performance categories in the NEA are illustrated in</w:t>
      </w:r>
      <w:r w:rsidR="00E058E4" w:rsidRPr="00A41EE9">
        <w:t xml:space="preserve"> figure</w:t>
      </w:r>
      <w:r w:rsidR="00966FAA" w:rsidRPr="00A41EE9">
        <w:t> </w:t>
      </w:r>
      <w:r w:rsidR="00E058E4" w:rsidRPr="00A41EE9">
        <w:fldChar w:fldCharType="begin"/>
      </w:r>
      <w:r w:rsidR="00E058E4" w:rsidRPr="00A41EE9">
        <w:instrText xml:space="preserve"> LINK Word.Document.12 "\\\\mel_1\\groups\\Monitor\\09 National Agreement Report\\02 NAR Report WIP\\2013 NAR Report - Ed and training\\2013 NAR first draft\\NEA\\NEA 2013 first draft for CA new template.docx" "OLE_LINK1" \a \t </w:instrText>
      </w:r>
      <w:r w:rsidR="00E058E4" w:rsidRPr="00A41EE9">
        <w:fldChar w:fldCharType="separate"/>
      </w:r>
      <w:r w:rsidR="00665723" w:rsidRPr="00A41EE9">
        <w:t>1</w:t>
      </w:r>
      <w:r w:rsidR="00E058E4" w:rsidRPr="00A41EE9">
        <w:fldChar w:fldCharType="end"/>
      </w:r>
      <w:r w:rsidR="00E058E4" w:rsidRPr="00A41EE9">
        <w:t xml:space="preserve">. </w:t>
      </w:r>
    </w:p>
    <w:p w:rsidR="00E058E4" w:rsidRPr="00A41EE9" w:rsidRDefault="00E058E4" w:rsidP="006465EE">
      <w:pPr>
        <w:pStyle w:val="FigureTitle"/>
        <w:ind w:left="0" w:firstLine="0"/>
      </w:pPr>
      <w:r w:rsidRPr="00A41EE9">
        <w:rPr>
          <w:b w:val="0"/>
        </w:rPr>
        <w:lastRenderedPageBreak/>
        <w:t xml:space="preserve">Figure </w:t>
      </w:r>
      <w:bookmarkStart w:id="2" w:name="OLE_LINK1"/>
      <w:r w:rsidRPr="00A41EE9">
        <w:rPr>
          <w:b w:val="0"/>
        </w:rPr>
        <w:fldChar w:fldCharType="begin"/>
      </w:r>
      <w:r w:rsidRPr="00A41EE9">
        <w:rPr>
          <w:b w:val="0"/>
        </w:rPr>
        <w:instrText xml:space="preserve"> SEQ Figure \* ARABIC </w:instrText>
      </w:r>
      <w:r w:rsidRPr="00A41EE9">
        <w:rPr>
          <w:b w:val="0"/>
        </w:rPr>
        <w:fldChar w:fldCharType="separate"/>
      </w:r>
      <w:r w:rsidR="005F5618">
        <w:rPr>
          <w:b w:val="0"/>
          <w:noProof/>
        </w:rPr>
        <w:t>1</w:t>
      </w:r>
      <w:r w:rsidRPr="00A41EE9">
        <w:rPr>
          <w:b w:val="0"/>
        </w:rPr>
        <w:fldChar w:fldCharType="end"/>
      </w:r>
      <w:bookmarkEnd w:id="2"/>
      <w:r w:rsidRPr="00A41EE9">
        <w:tab/>
      </w:r>
      <w:bookmarkStart w:id="3" w:name="FigureTitle"/>
      <w:r w:rsidRPr="00A41EE9">
        <w:t>NEA performance reporting</w:t>
      </w:r>
      <w:r w:rsidRPr="00A41EE9">
        <w:rPr>
          <w:rStyle w:val="NoteLabel"/>
          <w:b/>
        </w:rPr>
        <w:t>a, b</w:t>
      </w:r>
      <w:r w:rsidRPr="00A41EE9">
        <w:t xml:space="preserve"> </w:t>
      </w:r>
      <w:bookmarkEnd w:id="3"/>
    </w:p>
    <w:tbl>
      <w:tblPr>
        <w:tblW w:w="0" w:type="auto"/>
        <w:tblInd w:w="11" w:type="dxa"/>
        <w:tblBorders>
          <w:top w:val="single" w:sz="6" w:space="0" w:color="auto"/>
          <w:bottom w:val="single" w:sz="6" w:space="0" w:color="auto"/>
        </w:tblBorders>
        <w:tblLayout w:type="fixed"/>
        <w:tblCellMar>
          <w:left w:w="0" w:type="dxa"/>
          <w:right w:w="0" w:type="dxa"/>
        </w:tblCellMar>
        <w:tblLook w:val="0000" w:firstRow="0" w:lastRow="0" w:firstColumn="0" w:lastColumn="0" w:noHBand="0" w:noVBand="0"/>
      </w:tblPr>
      <w:tblGrid>
        <w:gridCol w:w="8777"/>
      </w:tblGrid>
      <w:tr w:rsidR="00A41EE9" w:rsidRPr="00A41EE9">
        <w:tc>
          <w:tcPr>
            <w:tcW w:w="8777" w:type="dxa"/>
          </w:tcPr>
          <w:p w:rsidR="00E058E4" w:rsidRPr="00A41EE9" w:rsidRDefault="00E058E4">
            <w:pPr>
              <w:pStyle w:val="Figure"/>
            </w:pPr>
            <w:r w:rsidRPr="00A41EE9">
              <w:rPr>
                <w:noProof/>
              </w:rPr>
              <mc:AlternateContent>
                <mc:Choice Requires="wpc">
                  <w:drawing>
                    <wp:inline distT="0" distB="0" distL="0" distR="0" wp14:anchorId="52DD923F" wp14:editId="1940673C">
                      <wp:extent cx="5495925" cy="2581275"/>
                      <wp:effectExtent l="0" t="0" r="9525" b="0"/>
                      <wp:docPr id="13" name="Canvas 13" descr="Boxes for each category of performance reporting in the NEA, and how they fit together"/>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 name="AutoShape 15"/>
                              <wps:cNvSpPr>
                                <a:spLocks noChangeArrowheads="1"/>
                              </wps:cNvSpPr>
                              <wps:spPr bwMode="auto">
                                <a:xfrm>
                                  <a:off x="0" y="800100"/>
                                  <a:ext cx="1257300" cy="1257300"/>
                                </a:xfrm>
                                <a:prstGeom prst="roundRect">
                                  <a:avLst>
                                    <a:gd name="adj" fmla="val 16667"/>
                                  </a:avLst>
                                </a:prstGeom>
                                <a:solidFill>
                                  <a:srgbClr val="FFFFFF"/>
                                </a:solidFill>
                                <a:ln w="9525">
                                  <a:solidFill>
                                    <a:srgbClr val="000000"/>
                                  </a:solidFill>
                                  <a:round/>
                                  <a:headEnd/>
                                  <a:tailEnd/>
                                </a:ln>
                              </wps:spPr>
                              <wps:txbx>
                                <w:txbxContent>
                                  <w:p w:rsidR="00556489" w:rsidRPr="00D663D8" w:rsidRDefault="00556489" w:rsidP="00D663D8">
                                    <w:pPr>
                                      <w:spacing w:after="120"/>
                                      <w:rPr>
                                        <w:rFonts w:ascii="Arial" w:hAnsi="Arial" w:cs="Arial"/>
                                        <w:b/>
                                        <w:sz w:val="18"/>
                                        <w:szCs w:val="18"/>
                                      </w:rPr>
                                    </w:pPr>
                                    <w:r w:rsidRPr="00D663D8">
                                      <w:rPr>
                                        <w:rFonts w:ascii="Arial" w:hAnsi="Arial" w:cs="Arial"/>
                                        <w:b/>
                                        <w:sz w:val="18"/>
                                        <w:szCs w:val="18"/>
                                      </w:rPr>
                                      <w:t>Objective</w:t>
                                    </w:r>
                                  </w:p>
                                  <w:p w:rsidR="00556489" w:rsidRPr="00D663D8" w:rsidRDefault="00556489" w:rsidP="00D663D8">
                                    <w:pPr>
                                      <w:rPr>
                                        <w:rFonts w:ascii="Arial" w:hAnsi="Arial" w:cs="Arial"/>
                                        <w:sz w:val="16"/>
                                        <w:szCs w:val="16"/>
                                      </w:rPr>
                                    </w:pPr>
                                    <w:r w:rsidRPr="00D663D8">
                                      <w:rPr>
                                        <w:rFonts w:ascii="Arial" w:hAnsi="Arial" w:cs="Arial"/>
                                        <w:sz w:val="16"/>
                                        <w:szCs w:val="16"/>
                                      </w:rPr>
                                      <w:t>All Australian school students acquire the knowledge and skills to participate effectively in society and employment in a globalised economy</w:t>
                                    </w:r>
                                  </w:p>
                                </w:txbxContent>
                              </wps:txbx>
                              <wps:bodyPr rot="0" vert="horz" wrap="square" lIns="18000" tIns="18000" rIns="18000" bIns="18000" anchor="t" anchorCtr="0" upright="1">
                                <a:noAutofit/>
                              </wps:bodyPr>
                            </wps:wsp>
                            <wps:wsp>
                              <wps:cNvPr id="2" name="AutoShape 16"/>
                              <wps:cNvSpPr>
                                <a:spLocks noChangeArrowheads="1"/>
                              </wps:cNvSpPr>
                              <wps:spPr bwMode="auto">
                                <a:xfrm>
                                  <a:off x="3886200" y="1714501"/>
                                  <a:ext cx="1600200" cy="781050"/>
                                </a:xfrm>
                                <a:prstGeom prst="roundRect">
                                  <a:avLst>
                                    <a:gd name="adj" fmla="val 16667"/>
                                  </a:avLst>
                                </a:prstGeom>
                                <a:solidFill>
                                  <a:srgbClr val="DDDDDD"/>
                                </a:solidFill>
                                <a:ln w="9525">
                                  <a:solidFill>
                                    <a:srgbClr val="000000"/>
                                  </a:solidFill>
                                  <a:round/>
                                  <a:headEnd/>
                                  <a:tailEnd/>
                                </a:ln>
                              </wps:spPr>
                              <wps:txbx>
                                <w:txbxContent>
                                  <w:p w:rsidR="00556489" w:rsidRPr="00D663D8" w:rsidRDefault="00556489" w:rsidP="00D663D8">
                                    <w:pPr>
                                      <w:spacing w:after="120"/>
                                      <w:rPr>
                                        <w:rFonts w:ascii="Arial" w:hAnsi="Arial" w:cs="Arial"/>
                                        <w:b/>
                                        <w:sz w:val="18"/>
                                        <w:szCs w:val="18"/>
                                      </w:rPr>
                                    </w:pPr>
                                    <w:r w:rsidRPr="00D663D8">
                                      <w:rPr>
                                        <w:rFonts w:ascii="Arial" w:hAnsi="Arial" w:cs="Arial"/>
                                        <w:b/>
                                        <w:sz w:val="18"/>
                                        <w:szCs w:val="18"/>
                                      </w:rPr>
                                      <w:t>Performance targets</w:t>
                                    </w:r>
                                  </w:p>
                                  <w:p w:rsidR="00556489" w:rsidRPr="00870946" w:rsidRDefault="00556489" w:rsidP="00D663D8">
                                    <w:pPr>
                                      <w:rPr>
                                        <w:rFonts w:ascii="Arial" w:hAnsi="Arial" w:cs="Arial"/>
                                        <w:sz w:val="16"/>
                                        <w:szCs w:val="16"/>
                                      </w:rPr>
                                    </w:pPr>
                                    <w:r w:rsidRPr="00870946">
                                      <w:rPr>
                                        <w:rFonts w:ascii="Arial" w:hAnsi="Arial" w:cs="Arial"/>
                                        <w:sz w:val="16"/>
                                        <w:szCs w:val="16"/>
                                      </w:rPr>
                                      <w:t xml:space="preserve">eg </w:t>
                                    </w:r>
                                    <w:r w:rsidRPr="00685451">
                                      <w:rPr>
                                        <w:rFonts w:ascii="Arial" w:hAnsi="Arial" w:cs="Arial"/>
                                        <w:sz w:val="16"/>
                                        <w:szCs w:val="16"/>
                                      </w:rPr>
                                      <w:t>Halve the gap for Indigenous students in reading, writing and numeracy by 2018</w:t>
                                    </w:r>
                                  </w:p>
                                </w:txbxContent>
                              </wps:txbx>
                              <wps:bodyPr rot="0" vert="horz" wrap="square" lIns="18000" tIns="18000" rIns="18000" bIns="18000" anchor="t" anchorCtr="0" upright="1">
                                <a:noAutofit/>
                              </wps:bodyPr>
                            </wps:wsp>
                            <wps:wsp>
                              <wps:cNvPr id="3" name="AutoShape 17"/>
                              <wps:cNvSpPr>
                                <a:spLocks noChangeArrowheads="1"/>
                              </wps:cNvSpPr>
                              <wps:spPr bwMode="auto">
                                <a:xfrm>
                                  <a:off x="3886200" y="114299"/>
                                  <a:ext cx="1609090" cy="638175"/>
                                </a:xfrm>
                                <a:prstGeom prst="roundRect">
                                  <a:avLst>
                                    <a:gd name="adj" fmla="val 16667"/>
                                  </a:avLst>
                                </a:prstGeom>
                                <a:solidFill>
                                  <a:srgbClr val="DDDDDD"/>
                                </a:solidFill>
                                <a:ln w="9525">
                                  <a:solidFill>
                                    <a:srgbClr val="000000"/>
                                  </a:solidFill>
                                  <a:round/>
                                  <a:headEnd/>
                                  <a:tailEnd/>
                                </a:ln>
                              </wps:spPr>
                              <wps:txbx>
                                <w:txbxContent>
                                  <w:p w:rsidR="00556489" w:rsidRPr="00D663D8" w:rsidRDefault="00556489" w:rsidP="00D663D8">
                                    <w:pPr>
                                      <w:spacing w:after="120"/>
                                      <w:rPr>
                                        <w:rFonts w:ascii="Arial" w:hAnsi="Arial" w:cs="Arial"/>
                                        <w:b/>
                                        <w:sz w:val="18"/>
                                        <w:szCs w:val="18"/>
                                      </w:rPr>
                                    </w:pPr>
                                    <w:r w:rsidRPr="00D663D8">
                                      <w:rPr>
                                        <w:rFonts w:ascii="Arial" w:hAnsi="Arial" w:cs="Arial"/>
                                        <w:b/>
                                        <w:sz w:val="18"/>
                                        <w:szCs w:val="18"/>
                                      </w:rPr>
                                      <w:t>Outputs</w:t>
                                    </w:r>
                                  </w:p>
                                  <w:p w:rsidR="00556489" w:rsidRPr="00870946" w:rsidRDefault="00556489" w:rsidP="00D663D8">
                                    <w:pPr>
                                      <w:rPr>
                                        <w:rFonts w:ascii="Arial" w:hAnsi="Arial" w:cs="Arial"/>
                                        <w:sz w:val="16"/>
                                        <w:szCs w:val="16"/>
                                      </w:rPr>
                                    </w:pPr>
                                    <w:r>
                                      <w:rPr>
                                        <w:rFonts w:ascii="Arial" w:hAnsi="Arial" w:cs="Arial"/>
                                        <w:sz w:val="16"/>
                                        <w:szCs w:val="16"/>
                                      </w:rPr>
                                      <w:t>eg number of students enrolled in school</w:t>
                                    </w:r>
                                  </w:p>
                                </w:txbxContent>
                              </wps:txbx>
                              <wps:bodyPr rot="0" vert="horz" wrap="square" lIns="18000" tIns="18000" rIns="18000" bIns="18000" anchor="t" anchorCtr="0" upright="1">
                                <a:noAutofit/>
                              </wps:bodyPr>
                            </wps:wsp>
                            <wps:wsp>
                              <wps:cNvPr id="4" name="AutoShape 20"/>
                              <wps:cNvSpPr>
                                <a:spLocks noChangeArrowheads="1"/>
                              </wps:cNvSpPr>
                              <wps:spPr bwMode="auto">
                                <a:xfrm>
                                  <a:off x="1847850" y="800100"/>
                                  <a:ext cx="1247775" cy="1257300"/>
                                </a:xfrm>
                                <a:prstGeom prst="roundRect">
                                  <a:avLst>
                                    <a:gd name="adj" fmla="val 16667"/>
                                  </a:avLst>
                                </a:prstGeom>
                                <a:solidFill>
                                  <a:srgbClr val="FFFFFF"/>
                                </a:solidFill>
                                <a:ln w="9525">
                                  <a:solidFill>
                                    <a:srgbClr val="000000"/>
                                  </a:solidFill>
                                  <a:round/>
                                  <a:headEnd/>
                                  <a:tailEnd/>
                                </a:ln>
                              </wps:spPr>
                              <wps:txbx>
                                <w:txbxContent>
                                  <w:p w:rsidR="00556489" w:rsidRPr="00D663D8" w:rsidRDefault="00556489" w:rsidP="00D663D8">
                                    <w:pPr>
                                      <w:spacing w:after="120"/>
                                      <w:rPr>
                                        <w:rFonts w:ascii="Arial" w:hAnsi="Arial" w:cs="Arial"/>
                                        <w:b/>
                                        <w:sz w:val="18"/>
                                        <w:szCs w:val="18"/>
                                      </w:rPr>
                                    </w:pPr>
                                    <w:r w:rsidRPr="00D663D8">
                                      <w:rPr>
                                        <w:rFonts w:ascii="Arial" w:hAnsi="Arial" w:cs="Arial"/>
                                        <w:b/>
                                        <w:sz w:val="18"/>
                                        <w:szCs w:val="18"/>
                                      </w:rPr>
                                      <w:t>Outcomes</w:t>
                                    </w:r>
                                  </w:p>
                                  <w:p w:rsidR="00556489" w:rsidRPr="00870946" w:rsidRDefault="00556489" w:rsidP="00D663D8">
                                    <w:pPr>
                                      <w:rPr>
                                        <w:rFonts w:ascii="Arial" w:hAnsi="Arial" w:cs="Arial"/>
                                        <w:sz w:val="16"/>
                                        <w:szCs w:val="16"/>
                                      </w:rPr>
                                    </w:pPr>
                                    <w:r w:rsidRPr="00870946">
                                      <w:rPr>
                                        <w:rFonts w:ascii="Arial" w:hAnsi="Arial" w:cs="Arial"/>
                                        <w:sz w:val="16"/>
                                        <w:szCs w:val="16"/>
                                      </w:rPr>
                                      <w:t xml:space="preserve">eg </w:t>
                                    </w:r>
                                    <w:r w:rsidRPr="00685451">
                                      <w:rPr>
                                        <w:rFonts w:ascii="Arial" w:hAnsi="Arial" w:cs="Arial"/>
                                        <w:sz w:val="16"/>
                                        <w:szCs w:val="16"/>
                                      </w:rPr>
                                      <w:t>Schooling promotes the social inclusion and reduces the educational disadvantage of children, especially Indigenous children</w:t>
                                    </w:r>
                                  </w:p>
                                </w:txbxContent>
                              </wps:txbx>
                              <wps:bodyPr rot="0" vert="horz" wrap="square" lIns="18000" tIns="18000" rIns="18000" bIns="18000" anchor="t" anchorCtr="0" upright="1">
                                <a:noAutofit/>
                              </wps:bodyPr>
                            </wps:wsp>
                            <wps:wsp>
                              <wps:cNvPr id="5" name="AutoShape 21"/>
                              <wps:cNvCnPr>
                                <a:cxnSpLocks noChangeShapeType="1"/>
                              </wps:cNvCnPr>
                              <wps:spPr bwMode="auto">
                                <a:xfrm>
                                  <a:off x="1257300" y="1257300"/>
                                  <a:ext cx="59055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 name="AutoShape 22"/>
                              <wps:cNvSpPr>
                                <a:spLocks noChangeArrowheads="1"/>
                              </wps:cNvSpPr>
                              <wps:spPr bwMode="auto">
                                <a:xfrm>
                                  <a:off x="3886200" y="895350"/>
                                  <a:ext cx="1600200" cy="704850"/>
                                </a:xfrm>
                                <a:prstGeom prst="roundRect">
                                  <a:avLst>
                                    <a:gd name="adj" fmla="val 16667"/>
                                  </a:avLst>
                                </a:prstGeom>
                                <a:solidFill>
                                  <a:srgbClr val="DDDDDD"/>
                                </a:solidFill>
                                <a:ln w="9525">
                                  <a:solidFill>
                                    <a:srgbClr val="000000"/>
                                  </a:solidFill>
                                  <a:round/>
                                  <a:headEnd/>
                                  <a:tailEnd/>
                                </a:ln>
                              </wps:spPr>
                              <wps:txbx>
                                <w:txbxContent>
                                  <w:p w:rsidR="00556489" w:rsidRPr="00D663D8" w:rsidRDefault="00556489" w:rsidP="00D663D8">
                                    <w:pPr>
                                      <w:spacing w:after="120"/>
                                      <w:rPr>
                                        <w:rFonts w:ascii="Arial" w:hAnsi="Arial" w:cs="Arial"/>
                                        <w:b/>
                                        <w:sz w:val="18"/>
                                        <w:szCs w:val="18"/>
                                      </w:rPr>
                                    </w:pPr>
                                    <w:r w:rsidRPr="00D663D8">
                                      <w:rPr>
                                        <w:rFonts w:ascii="Arial" w:hAnsi="Arial" w:cs="Arial"/>
                                        <w:b/>
                                        <w:sz w:val="18"/>
                                        <w:szCs w:val="18"/>
                                      </w:rPr>
                                      <w:t>Performance indicators</w:t>
                                    </w:r>
                                  </w:p>
                                  <w:p w:rsidR="00556489" w:rsidRPr="00A7408B" w:rsidRDefault="00556489" w:rsidP="00665723">
                                    <w:pPr>
                                      <w:rPr>
                                        <w:rFonts w:ascii="Arial" w:hAnsi="Arial" w:cs="Arial"/>
                                        <w:sz w:val="16"/>
                                        <w:szCs w:val="16"/>
                                      </w:rPr>
                                    </w:pPr>
                                    <w:r w:rsidRPr="00870946">
                                      <w:rPr>
                                        <w:rFonts w:ascii="Arial" w:hAnsi="Arial" w:cs="Arial"/>
                                        <w:sz w:val="16"/>
                                        <w:szCs w:val="16"/>
                                      </w:rPr>
                                      <w:t xml:space="preserve">eg </w:t>
                                    </w:r>
                                    <w:r w:rsidRPr="001D3F77">
                                      <w:rPr>
                                        <w:rFonts w:ascii="Arial" w:hAnsi="Arial" w:cs="Arial"/>
                                        <w:sz w:val="16"/>
                                        <w:szCs w:val="16"/>
                                      </w:rPr>
                                      <w:t>The rate of student attendance at school</w:t>
                                    </w:r>
                                  </w:p>
                                </w:txbxContent>
                              </wps:txbx>
                              <wps:bodyPr rot="0" vert="horz" wrap="square" lIns="18000" tIns="18000" rIns="18000" bIns="18000" anchor="t" anchorCtr="0" upright="1">
                                <a:noAutofit/>
                              </wps:bodyPr>
                            </wps:wsp>
                            <wps:wsp>
                              <wps:cNvPr id="7" name="AutoShape 24"/>
                              <wps:cNvCnPr>
                                <a:cxnSpLocks noChangeShapeType="1"/>
                              </wps:cNvCnPr>
                              <wps:spPr bwMode="auto">
                                <a:xfrm>
                                  <a:off x="3095624" y="1257300"/>
                                  <a:ext cx="790576" cy="635"/>
                                </a:xfrm>
                                <a:prstGeom prst="bentConnector3">
                                  <a:avLst>
                                    <a:gd name="adj1" fmla="val 5000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8" name="AutoShape 25"/>
                              <wps:cNvCnPr>
                                <a:cxnSpLocks noChangeShapeType="1"/>
                              </wps:cNvCnPr>
                              <wps:spPr bwMode="auto">
                                <a:xfrm>
                                  <a:off x="3657600" y="457200"/>
                                  <a:ext cx="0" cy="17056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 name="Line 26"/>
                              <wps:cNvCnPr/>
                              <wps:spPr bwMode="auto">
                                <a:xfrm>
                                  <a:off x="3657600" y="457200"/>
                                  <a:ext cx="228600" cy="6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 name="Line 27"/>
                              <wps:cNvCnPr/>
                              <wps:spPr bwMode="auto">
                                <a:xfrm>
                                  <a:off x="3657600" y="2162175"/>
                                  <a:ext cx="228600" cy="6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id="Canvas 13" o:spid="_x0000_s1026" editas="canvas" alt="Boxes for each category of performance reporting in the NEA, and how they fit together" style="width:432.75pt;height:203.25pt;mso-position-horizontal-relative:char;mso-position-vertical-relative:line" coordsize="54959,25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Boxes for each category of performance reporting in the NEA, and how they fit together" style="position:absolute;width:54959;height:25812;visibility:visible;mso-wrap-style:square">
                        <v:fill o:detectmouseclick="t"/>
                        <v:path o:connecttype="none"/>
                      </v:shape>
                      <v:roundrect id="AutoShape 15" o:spid="_x0000_s1028" style="position:absolute;top:8001;width:12573;height:12573;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3LaBcEA&#10;AADaAAAADwAAAGRycy9kb3ducmV2LnhtbERPS2vCQBC+F/wPywi9lLqxhyjRVYIgiKXBR8HrkJ0m&#10;odnZkF2T9N93A4Kn4eN7zno7mFp01LrKsoL5LAJBnFtdcaHg+7p/X4JwHlljbZkU/JGD7WbyssZE&#10;257P1F18IUIIuwQVlN43iZQuL8mgm9mGOHA/tjXoA2wLqVvsQ7ip5UcUxdJgxaGhxIZ2JeW/l7tR&#10;sDh9zo/cpzd6I1t/pdkxOxexUq/TIV2B8DT4p/jhPugwH8ZXxis3/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9y2gXBAAAA2gAAAA8AAAAAAAAAAAAAAAAAmAIAAGRycy9kb3du&#10;cmV2LnhtbFBLBQYAAAAABAAEAPUAAACGAwAAAAA=&#10;">
                        <v:textbox inset=".5mm,.5mm,.5mm,.5mm">
                          <w:txbxContent>
                            <w:p w:rsidR="00556489" w:rsidRPr="00D663D8" w:rsidRDefault="00556489" w:rsidP="00D663D8">
                              <w:pPr>
                                <w:spacing w:after="120"/>
                                <w:rPr>
                                  <w:rFonts w:ascii="Arial" w:hAnsi="Arial" w:cs="Arial"/>
                                  <w:b/>
                                  <w:sz w:val="18"/>
                                  <w:szCs w:val="18"/>
                                </w:rPr>
                              </w:pPr>
                              <w:r w:rsidRPr="00D663D8">
                                <w:rPr>
                                  <w:rFonts w:ascii="Arial" w:hAnsi="Arial" w:cs="Arial"/>
                                  <w:b/>
                                  <w:sz w:val="18"/>
                                  <w:szCs w:val="18"/>
                                </w:rPr>
                                <w:t>Objective</w:t>
                              </w:r>
                            </w:p>
                            <w:p w:rsidR="00556489" w:rsidRPr="00D663D8" w:rsidRDefault="00556489" w:rsidP="00D663D8">
                              <w:pPr>
                                <w:rPr>
                                  <w:rFonts w:ascii="Arial" w:hAnsi="Arial" w:cs="Arial"/>
                                  <w:sz w:val="16"/>
                                  <w:szCs w:val="16"/>
                                </w:rPr>
                              </w:pPr>
                              <w:r w:rsidRPr="00D663D8">
                                <w:rPr>
                                  <w:rFonts w:ascii="Arial" w:hAnsi="Arial" w:cs="Arial"/>
                                  <w:sz w:val="16"/>
                                  <w:szCs w:val="16"/>
                                </w:rPr>
                                <w:t>All Australian school students acquire the knowledge and skills to participate effectively in society and employment in a globalised economy</w:t>
                              </w:r>
                            </w:p>
                          </w:txbxContent>
                        </v:textbox>
                      </v:roundrect>
                      <v:roundrect id="AutoShape 16" o:spid="_x0000_s1029" style="position:absolute;left:38862;top:17145;width:16002;height:781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A81psUA&#10;AADaAAAADwAAAGRycy9kb3ducmV2LnhtbESPQWvCQBSE74L/YXmF3symKQRJXUUEaWihok0P3h7Z&#10;ZxLMvk2z2xj767uC0OMwM98wi9VoWjFQ7xrLCp6iGARxaXXDlYLiczubg3AeWWNrmRRcycFqOZ0s&#10;MNP2wnsaDr4SAcIuQwW1910mpStrMugi2xEH72R7gz7IvpK6x0uAm1YmcZxKgw2HhRo72tRUng8/&#10;RkH6kRTpe47t1+vz/vh77b536/hNqceHcf0CwtPo/8P3dq4VJHC7Em6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EDzWmxQAAANoAAAAPAAAAAAAAAAAAAAAAAJgCAABkcnMv&#10;ZG93bnJldi54bWxQSwUGAAAAAAQABAD1AAAAigMAAAAA&#10;" fillcolor="#ddd">
                        <v:textbox inset=".5mm,.5mm,.5mm,.5mm">
                          <w:txbxContent>
                            <w:p w:rsidR="00556489" w:rsidRPr="00D663D8" w:rsidRDefault="00556489" w:rsidP="00D663D8">
                              <w:pPr>
                                <w:spacing w:after="120"/>
                                <w:rPr>
                                  <w:rFonts w:ascii="Arial" w:hAnsi="Arial" w:cs="Arial"/>
                                  <w:b/>
                                  <w:sz w:val="18"/>
                                  <w:szCs w:val="18"/>
                                </w:rPr>
                              </w:pPr>
                              <w:r w:rsidRPr="00D663D8">
                                <w:rPr>
                                  <w:rFonts w:ascii="Arial" w:hAnsi="Arial" w:cs="Arial"/>
                                  <w:b/>
                                  <w:sz w:val="18"/>
                                  <w:szCs w:val="18"/>
                                </w:rPr>
                                <w:t>Performance targets</w:t>
                              </w:r>
                            </w:p>
                            <w:p w:rsidR="00556489" w:rsidRPr="00870946" w:rsidRDefault="00556489" w:rsidP="00D663D8">
                              <w:pPr>
                                <w:rPr>
                                  <w:rFonts w:ascii="Arial" w:hAnsi="Arial" w:cs="Arial"/>
                                  <w:sz w:val="16"/>
                                  <w:szCs w:val="16"/>
                                </w:rPr>
                              </w:pPr>
                              <w:r w:rsidRPr="00870946">
                                <w:rPr>
                                  <w:rFonts w:ascii="Arial" w:hAnsi="Arial" w:cs="Arial"/>
                                  <w:sz w:val="16"/>
                                  <w:szCs w:val="16"/>
                                </w:rPr>
                                <w:t xml:space="preserve">eg </w:t>
                              </w:r>
                              <w:r w:rsidRPr="00685451">
                                <w:rPr>
                                  <w:rFonts w:ascii="Arial" w:hAnsi="Arial" w:cs="Arial"/>
                                  <w:sz w:val="16"/>
                                  <w:szCs w:val="16"/>
                                </w:rPr>
                                <w:t>Halve the gap for Indigenous students in reading, writing and numeracy by 2018</w:t>
                              </w:r>
                            </w:p>
                          </w:txbxContent>
                        </v:textbox>
                      </v:roundrect>
                      <v:roundrect id="AutoShape 17" o:spid="_x0000_s1030" style="position:absolute;left:38862;top:1142;width:16090;height:6382;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0OQPcQA&#10;AADaAAAADwAAAGRycy9kb3ducmV2LnhtbESPQYvCMBSE74L/ITzBm6YqFOkaRQRZcWFFrYe9PZq3&#10;bdnmpTZZrf56Iwgeh5n5hpktWlOJCzWutKxgNIxAEGdWl5wrSI/rwRSE88gaK8uk4EYOFvNuZ4aJ&#10;tlfe0+XgcxEg7BJUUHhfJ1K6rCCDbmhr4uD92sagD7LJpW7wGuCmkuMoiqXBksNCgTWtCsr+Dv9G&#10;Qfw9TuOvDVanz8n+536rz7tltFWq32uXHyA8tf4dfrU3WsEEnlfCDZDz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tDkD3EAAAA2gAAAA8AAAAAAAAAAAAAAAAAmAIAAGRycy9k&#10;b3ducmV2LnhtbFBLBQYAAAAABAAEAPUAAACJAwAAAAA=&#10;" fillcolor="#ddd">
                        <v:textbox inset=".5mm,.5mm,.5mm,.5mm">
                          <w:txbxContent>
                            <w:p w:rsidR="00556489" w:rsidRPr="00D663D8" w:rsidRDefault="00556489" w:rsidP="00D663D8">
                              <w:pPr>
                                <w:spacing w:after="120"/>
                                <w:rPr>
                                  <w:rFonts w:ascii="Arial" w:hAnsi="Arial" w:cs="Arial"/>
                                  <w:b/>
                                  <w:sz w:val="18"/>
                                  <w:szCs w:val="18"/>
                                </w:rPr>
                              </w:pPr>
                              <w:r w:rsidRPr="00D663D8">
                                <w:rPr>
                                  <w:rFonts w:ascii="Arial" w:hAnsi="Arial" w:cs="Arial"/>
                                  <w:b/>
                                  <w:sz w:val="18"/>
                                  <w:szCs w:val="18"/>
                                </w:rPr>
                                <w:t>Outputs</w:t>
                              </w:r>
                            </w:p>
                            <w:p w:rsidR="00556489" w:rsidRPr="00870946" w:rsidRDefault="00556489" w:rsidP="00D663D8">
                              <w:pPr>
                                <w:rPr>
                                  <w:rFonts w:ascii="Arial" w:hAnsi="Arial" w:cs="Arial"/>
                                  <w:sz w:val="16"/>
                                  <w:szCs w:val="16"/>
                                </w:rPr>
                              </w:pPr>
                              <w:r>
                                <w:rPr>
                                  <w:rFonts w:ascii="Arial" w:hAnsi="Arial" w:cs="Arial"/>
                                  <w:sz w:val="16"/>
                                  <w:szCs w:val="16"/>
                                </w:rPr>
                                <w:t>eg number of students enrolled in school</w:t>
                              </w:r>
                            </w:p>
                          </w:txbxContent>
                        </v:textbox>
                      </v:roundrect>
                      <v:roundrect id="AutoShape 20" o:spid="_x0000_s1031" style="position:absolute;left:18478;top:8001;width:12478;height:12573;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wV5ncQA&#10;AADaAAAADwAAAGRycy9kb3ducmV2LnhtbESPQWvCQBSE70L/w/IKvRTdpEhaUtcQBEEshsYKvT6y&#10;r0lo9m3Irib9965Q8DjMzDfMKptMJy40uNaygngRgSCurG65VnD62s7fQDiPrLGzTAr+yEG2fpit&#10;MNV25JIuR1+LAGGXooLG+z6V0lUNGXQL2xMH78cOBn2QQy31gGOAm06+RFEiDbYcFhrsadNQ9Xs8&#10;GwWvnx/xnsf8m57Jdoe82BdlnSj19Djl7yA8Tf4e/m/vtIIl3K6EGyD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8FeZ3EAAAA2gAAAA8AAAAAAAAAAAAAAAAAmAIAAGRycy9k&#10;b3ducmV2LnhtbFBLBQYAAAAABAAEAPUAAACJAwAAAAA=&#10;">
                        <v:textbox inset=".5mm,.5mm,.5mm,.5mm">
                          <w:txbxContent>
                            <w:p w:rsidR="00556489" w:rsidRPr="00D663D8" w:rsidRDefault="00556489" w:rsidP="00D663D8">
                              <w:pPr>
                                <w:spacing w:after="120"/>
                                <w:rPr>
                                  <w:rFonts w:ascii="Arial" w:hAnsi="Arial" w:cs="Arial"/>
                                  <w:b/>
                                  <w:sz w:val="18"/>
                                  <w:szCs w:val="18"/>
                                </w:rPr>
                              </w:pPr>
                              <w:r w:rsidRPr="00D663D8">
                                <w:rPr>
                                  <w:rFonts w:ascii="Arial" w:hAnsi="Arial" w:cs="Arial"/>
                                  <w:b/>
                                  <w:sz w:val="18"/>
                                  <w:szCs w:val="18"/>
                                </w:rPr>
                                <w:t>Outcomes</w:t>
                              </w:r>
                            </w:p>
                            <w:p w:rsidR="00556489" w:rsidRPr="00870946" w:rsidRDefault="00556489" w:rsidP="00D663D8">
                              <w:pPr>
                                <w:rPr>
                                  <w:rFonts w:ascii="Arial" w:hAnsi="Arial" w:cs="Arial"/>
                                  <w:sz w:val="16"/>
                                  <w:szCs w:val="16"/>
                                </w:rPr>
                              </w:pPr>
                              <w:r w:rsidRPr="00870946">
                                <w:rPr>
                                  <w:rFonts w:ascii="Arial" w:hAnsi="Arial" w:cs="Arial"/>
                                  <w:sz w:val="16"/>
                                  <w:szCs w:val="16"/>
                                </w:rPr>
                                <w:t xml:space="preserve">eg </w:t>
                              </w:r>
                              <w:r w:rsidRPr="00685451">
                                <w:rPr>
                                  <w:rFonts w:ascii="Arial" w:hAnsi="Arial" w:cs="Arial"/>
                                  <w:sz w:val="16"/>
                                  <w:szCs w:val="16"/>
                                </w:rPr>
                                <w:t>Schooling promotes the social inclusion and reduces the educational disadvantage of children, especially Indigenous children</w:t>
                              </w:r>
                            </w:p>
                          </w:txbxContent>
                        </v:textbox>
                      </v:roundrect>
                      <v:shapetype id="_x0000_t32" coordsize="21600,21600" o:spt="32" o:oned="t" path="m,l21600,21600e" filled="f">
                        <v:path arrowok="t" fillok="f" o:connecttype="none"/>
                        <o:lock v:ext="edit" shapetype="t"/>
                      </v:shapetype>
                      <v:shape id="AutoShape 21" o:spid="_x0000_s1032" type="#_x0000_t32" style="position:absolute;left:12573;top:12573;width:5905;height: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DLTBMQAAADaAAAADwAAAGRycy9kb3ducmV2LnhtbESPQWvCQBSE7wX/w/IEb3UTwVKjaxBB&#10;EUsPNSXU2yP7moRm34bdVWN/fbdQ6HGYmW+YVT6YTlzJ+daygnSagCCurG65VvBe7B6fQfiArLGz&#10;TAru5CFfjx5WmGl74ze6nkItIoR9hgqaEPpMSl81ZNBPbU8cvU/rDIYoXS21w1uEm07OkuRJGmw5&#10;LjTY07ah6ut0MQo+XhaX8l6+0rFMF8czOuO/i71Sk/GwWYIINIT/8F/7oBXM4fdKvAF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gMtMExAAAANoAAAAPAAAAAAAAAAAA&#10;AAAAAKECAABkcnMvZG93bnJldi54bWxQSwUGAAAAAAQABAD5AAAAkgMAAAAA&#10;">
                        <v:stroke endarrow="block"/>
                      </v:shape>
                      <v:roundrect id="AutoShape 22" o:spid="_x0000_s1033" style="position:absolute;left:38862;top:8953;width:16002;height:7049;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zQzpcMA&#10;AADaAAAADwAAAGRycy9kb3ducmV2LnhtbESPT4vCMBTE7wt+h/AEb2uqQlmqUUSQFQXFfwdvj+bZ&#10;FpuXbhO1+umNsOBxmPnNMKNJY0pxo9oVlhX0uhEI4tTqgjMFh/38+weE88gaS8uk4EEOJuPW1wgT&#10;be+8pdvOZyKUsEtQQe59lUjp0pwMuq6tiIN3trVBH2SdSV3jPZSbUvajKJYGCw4LOVY0yym97K5G&#10;QbzuH+LVAsvj72B7ej6qv800WirVaTfTIQhPjf+E/+mFDhy8r4QbIMc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zQzpcMAAADaAAAADwAAAAAAAAAAAAAAAACYAgAAZHJzL2Rv&#10;d25yZXYueG1sUEsFBgAAAAAEAAQA9QAAAIgDAAAAAA==&#10;" fillcolor="#ddd">
                        <v:textbox inset=".5mm,.5mm,.5mm,.5mm">
                          <w:txbxContent>
                            <w:p w:rsidR="00556489" w:rsidRPr="00D663D8" w:rsidRDefault="00556489" w:rsidP="00D663D8">
                              <w:pPr>
                                <w:spacing w:after="120"/>
                                <w:rPr>
                                  <w:rFonts w:ascii="Arial" w:hAnsi="Arial" w:cs="Arial"/>
                                  <w:b/>
                                  <w:sz w:val="18"/>
                                  <w:szCs w:val="18"/>
                                </w:rPr>
                              </w:pPr>
                              <w:r w:rsidRPr="00D663D8">
                                <w:rPr>
                                  <w:rFonts w:ascii="Arial" w:hAnsi="Arial" w:cs="Arial"/>
                                  <w:b/>
                                  <w:sz w:val="18"/>
                                  <w:szCs w:val="18"/>
                                </w:rPr>
                                <w:t>Performance indicators</w:t>
                              </w:r>
                            </w:p>
                            <w:p w:rsidR="00556489" w:rsidRPr="00A7408B" w:rsidRDefault="00556489" w:rsidP="00665723">
                              <w:pPr>
                                <w:rPr>
                                  <w:rFonts w:ascii="Arial" w:hAnsi="Arial" w:cs="Arial"/>
                                  <w:sz w:val="16"/>
                                  <w:szCs w:val="16"/>
                                </w:rPr>
                              </w:pPr>
                              <w:r w:rsidRPr="00870946">
                                <w:rPr>
                                  <w:rFonts w:ascii="Arial" w:hAnsi="Arial" w:cs="Arial"/>
                                  <w:sz w:val="16"/>
                                  <w:szCs w:val="16"/>
                                </w:rPr>
                                <w:t xml:space="preserve">eg </w:t>
                              </w:r>
                              <w:r w:rsidRPr="001D3F77">
                                <w:rPr>
                                  <w:rFonts w:ascii="Arial" w:hAnsi="Arial" w:cs="Arial"/>
                                  <w:sz w:val="16"/>
                                  <w:szCs w:val="16"/>
                                </w:rPr>
                                <w:t>The rate of student attendance at school</w:t>
                              </w:r>
                            </w:p>
                          </w:txbxContent>
                        </v:textbox>
                      </v:roundre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4" o:spid="_x0000_s1034" type="#_x0000_t34" style="position:absolute;left:30956;top:12573;width:7906;height:6;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WtZV8MAAADaAAAADwAAAGRycy9kb3ducmV2LnhtbESPQWvCQBSE74X+h+UVeilmYw9WYlaR&#10;olDwINri+SX73ASzb9PdbYz/3i0Uehxm5humXI22EwP50DpWMM1yEMS10y0bBV+f28kcRIjIGjvH&#10;pOBGAVbLx4cSC+2ufKDhGI1IEA4FKmhi7AspQ92QxZC5njh5Z+ctxiS9kdrjNcFtJ1/zfCYttpwW&#10;GuzpvaH6cvyxCswLDd915de8Pel4MPtqtul2Sj0/jesFiEhj/A//tT+0gjf4vZJugFze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VrWVfDAAAA2gAAAA8AAAAAAAAAAAAA&#10;AAAAoQIAAGRycy9kb3ducmV2LnhtbFBLBQYAAAAABAAEAPkAAACRAwAAAAA=&#10;">
                        <v:stroke endarrow="block"/>
                      </v:shape>
                      <v:shape id="AutoShape 25" o:spid="_x0000_s1035" type="#_x0000_t32" style="position:absolute;left:36576;top:4572;width:0;height:1705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8+mcEAAADaAAAADwAAAGRycy9kb3ducmV2LnhtbERPz2vCMBS+D/wfwhO8jJk62BidaamC&#10;MAce7PT+1rw1wealNlHrf78cBjt+fL+X5eg6caUhWM8KFvMMBHHjteVWweFr8/QGIkRkjZ1nUnCn&#10;AGUxeVhirv2N93StYytSCIccFZgY+1zK0BhyGOa+J07cjx8cxgSHVuoBbyncdfI5y16lQ8upwWBP&#10;a0PNqb44BbvtYlV9G7v93J/t7mVTdZf28ajUbDpW7yAijfFf/Of+0ArS1nQl3QBZ/A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3/z6ZwQAAANoAAAAPAAAAAAAAAAAAAAAA&#10;AKECAABkcnMvZG93bnJldi54bWxQSwUGAAAAAAQABAD5AAAAjwMAAAAA&#10;"/>
                      <v:line id="Line 26" o:spid="_x0000_s1036" style="position:absolute;visibility:visible;mso-wrap-style:square" from="36576,4572" to="38862,45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Oc9PsMAAADaAAAADwAAAGRycy9kb3ducmV2LnhtbESPT2sCMRTE7wW/Q3hCbzWrB+1ujVJc&#10;BA+14B88Pzevm6Wbl2UT1/TbN0Khx2FmfsMs19G2YqDeN44VTCcZCOLK6YZrBefT9uUVhA/IGlvH&#10;pOCHPKxXo6clFtrd+UDDMdQiQdgXqMCE0BVS+sqQRT9xHXHyvlxvMSTZ11L3eE9w28pZls2lxYbT&#10;gsGONoaq7+PNKliY8iAXsvw4fZZDM83jPl6uuVLP4/j+BiJQDP/hv/ZOK8jhcSXdALn6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znPT7DAAAA2gAAAA8AAAAAAAAAAAAA&#10;AAAAoQIAAGRycy9kb3ducmV2LnhtbFBLBQYAAAAABAAEAPkAAACRAwAAAAA=&#10;">
                        <v:stroke endarrow="block"/>
                      </v:line>
                      <v:line id="Line 27" o:spid="_x0000_s1037" style="position:absolute;visibility:visible;mso-wrap-style:square" from="36576,21621" to="38862,216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rkIPMUAAADbAAAADwAAAGRycy9kb3ducmV2LnhtbESPT0/DMAzF70h8h8hIu7F0O+xPWTYh&#10;qkkcBtI2xNk0pqlonKoJXfbt8QFpN1vv+b2fN7vsOzXSENvABmbTAhRxHWzLjYGP8/5xBSomZItd&#10;YDJwpQi77f3dBksbLnyk8ZQaJSEcSzTgUupLrWPtyGOchp5YtO8weEyyDo22A14k3Hd6XhQL7bFl&#10;aXDY04uj+uf06w0sXXXUS10dzu/V2M7W+S1/fq2NmTzk5ydQiXK6mf+vX63gC738IgPo7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rkIPMUAAADbAAAADwAAAAAAAAAA&#10;AAAAAAChAgAAZHJzL2Rvd25yZXYueG1sUEsFBgAAAAAEAAQA+QAAAJMDAAAAAA==&#10;">
                        <v:stroke endarrow="block"/>
                      </v:line>
                      <w10:anchorlock/>
                    </v:group>
                  </w:pict>
                </mc:Fallback>
              </mc:AlternateContent>
            </w:r>
          </w:p>
        </w:tc>
      </w:tr>
    </w:tbl>
    <w:p w:rsidR="00E058E4" w:rsidRPr="00A41EE9" w:rsidRDefault="00E058E4">
      <w:pPr>
        <w:pStyle w:val="Note"/>
      </w:pPr>
      <w:r w:rsidRPr="00A41EE9">
        <w:rPr>
          <w:rStyle w:val="NoteLabel"/>
        </w:rPr>
        <w:t>a</w:t>
      </w:r>
      <w:r w:rsidRPr="00A41EE9">
        <w:t xml:space="preserve"> Shaded boxes indicate categories of performance information included in this report. </w:t>
      </w:r>
      <w:r w:rsidRPr="00A41EE9">
        <w:rPr>
          <w:rStyle w:val="NoteLabel"/>
        </w:rPr>
        <w:t>b</w:t>
      </w:r>
      <w:r w:rsidRPr="00A41EE9">
        <w:t xml:space="preserve"> The NEA has multiple outcomes, outputs, performance indicators and performance targets. Only one example of each is included in this figure for illustrative purposes.</w:t>
      </w:r>
    </w:p>
    <w:p w:rsidR="00E058E4" w:rsidRPr="0095188C" w:rsidRDefault="00E058E4" w:rsidP="006465EE">
      <w:pPr>
        <w:pStyle w:val="BodyText"/>
        <w:spacing w:before="200"/>
      </w:pPr>
      <w:r w:rsidRPr="0095188C">
        <w:t xml:space="preserve">This is the </w:t>
      </w:r>
      <w:r w:rsidR="0095188C" w:rsidRPr="0095188C">
        <w:t>sixth</w:t>
      </w:r>
      <w:r w:rsidRPr="0095188C">
        <w:t xml:space="preserve"> NEA report prepared by the Steering Committee. The previous </w:t>
      </w:r>
      <w:r w:rsidR="00A938AD">
        <w:t>four</w:t>
      </w:r>
      <w:r w:rsidR="00A938AD" w:rsidRPr="0095188C">
        <w:t xml:space="preserve"> </w:t>
      </w:r>
      <w:r w:rsidRPr="0095188C">
        <w:t xml:space="preserve">reports provided performance information for the previous NEA (COAG 2009b). This report </w:t>
      </w:r>
      <w:r w:rsidR="00A938AD">
        <w:t xml:space="preserve">and the 2012 report </w:t>
      </w:r>
      <w:r w:rsidRPr="0095188C">
        <w:t>provide performance information for the revised NEA (COAG 2012a). The CRC has requested the Steering Committee collate data for new and/or revised indicators backcast to the baseline NEA reporting period (</w:t>
      </w:r>
      <w:r w:rsidR="001235E9" w:rsidRPr="0095188C">
        <w:t>2008</w:t>
      </w:r>
      <w:r w:rsidRPr="0095188C">
        <w:t xml:space="preserve"> or most recent available data at the time of preparing the baseline NEA performance report).</w:t>
      </w:r>
    </w:p>
    <w:p w:rsidR="00F056FC" w:rsidRDefault="00E058E4" w:rsidP="006465EE">
      <w:pPr>
        <w:pStyle w:val="BodyText"/>
        <w:spacing w:before="200"/>
      </w:pPr>
      <w:r w:rsidRPr="0095188C">
        <w:t>This report contains data quality statements (DQSs) completed by relevant data collection agencies, and comments by the Steering Committee on the quality of reported data (based on the DQSs). This report also includes Steering Committee views on areas for development of NEA outputs, performance indicators and performance targets. Box</w:t>
      </w:r>
      <w:r w:rsidR="00966FAA" w:rsidRPr="0095188C">
        <w:t> </w:t>
      </w:r>
      <w:r w:rsidR="00C11842" w:rsidRPr="0095188C">
        <w:fldChar w:fldCharType="begin"/>
      </w:r>
      <w:r w:rsidR="00C11842" w:rsidRPr="0095188C">
        <w:instrText xml:space="preserve"> LINK Word.Document.12 "\\\\mel_1\\groups\\Monitor\\09 National Agreement Report\\02 NAR Report WIP\\2013 NAR Report - Ed and training\\2013 NAR first draft\\NEA\\NEA 2013 first draft for CA new template.docx" "OLE_LINK2" \a \t  \* MERGEFORMAT </w:instrText>
      </w:r>
      <w:r w:rsidR="00C11842" w:rsidRPr="0095188C">
        <w:fldChar w:fldCharType="separate"/>
      </w:r>
      <w:r w:rsidR="00665723" w:rsidRPr="0095188C">
        <w:t>1</w:t>
      </w:r>
      <w:r w:rsidR="00C11842" w:rsidRPr="0095188C">
        <w:fldChar w:fldCharType="end"/>
      </w:r>
      <w:r w:rsidRPr="0095188C">
        <w:t xml:space="preserve"> identifies the key issues in reporting on the performance categories in the NEA.</w:t>
      </w:r>
    </w:p>
    <w:p w:rsidR="00156168" w:rsidRPr="0095188C" w:rsidRDefault="00A938AD" w:rsidP="006465EE">
      <w:pPr>
        <w:pStyle w:val="BodyText"/>
        <w:spacing w:before="200"/>
      </w:pPr>
      <w:r w:rsidRPr="00A938AD">
        <w:t>A separate National Agreement Performance Information 2012</w:t>
      </w:r>
      <w:r w:rsidR="00273EA0">
        <w:noBreakHyphen/>
      </w:r>
      <w:r w:rsidRPr="00A938AD">
        <w:t>13: Appendix (NA Appendix) provides general contextual information about each jurisdiction, to assist with interpretation of the performance data.</w:t>
      </w:r>
    </w:p>
    <w:p w:rsidR="00156168" w:rsidRDefault="00156168">
      <w:pPr>
        <w:pStyle w:val="BoxSpaceAbove"/>
      </w:pPr>
    </w:p>
    <w:tbl>
      <w:tblPr>
        <w:tblW w:w="0" w:type="auto"/>
        <w:tblInd w:w="164" w:type="dxa"/>
        <w:tblBorders>
          <w:top w:val="single" w:sz="6" w:space="0" w:color="auto"/>
          <w:left w:val="single" w:sz="6" w:space="0" w:color="auto"/>
          <w:bottom w:val="single" w:sz="6" w:space="0" w:color="auto"/>
          <w:right w:val="single" w:sz="6" w:space="0" w:color="auto"/>
        </w:tblBorders>
        <w:tblLayout w:type="fixed"/>
        <w:tblCellMar>
          <w:left w:w="142" w:type="dxa"/>
          <w:right w:w="142" w:type="dxa"/>
        </w:tblCellMar>
        <w:tblLook w:val="0000" w:firstRow="0" w:lastRow="0" w:firstColumn="0" w:lastColumn="0" w:noHBand="0" w:noVBand="0"/>
      </w:tblPr>
      <w:tblGrid>
        <w:gridCol w:w="8771"/>
      </w:tblGrid>
      <w:tr w:rsidR="00156168" w:rsidTr="00156168">
        <w:tc>
          <w:tcPr>
            <w:tcW w:w="8771" w:type="dxa"/>
            <w:tcBorders>
              <w:top w:val="single" w:sz="6" w:space="0" w:color="auto"/>
              <w:bottom w:val="nil"/>
            </w:tcBorders>
            <w:shd w:val="pct10" w:color="auto" w:fill="auto"/>
          </w:tcPr>
          <w:p w:rsidR="00156168" w:rsidRDefault="00156168">
            <w:pPr>
              <w:pStyle w:val="BoxTitle"/>
            </w:pPr>
            <w:r w:rsidRPr="0095188C">
              <w:t>Attachment tables</w:t>
            </w:r>
          </w:p>
        </w:tc>
      </w:tr>
      <w:tr w:rsidR="00156168" w:rsidTr="00156168">
        <w:trPr>
          <w:cantSplit/>
        </w:trPr>
        <w:tc>
          <w:tcPr>
            <w:tcW w:w="8771" w:type="dxa"/>
            <w:tcBorders>
              <w:top w:val="nil"/>
              <w:left w:val="single" w:sz="6" w:space="0" w:color="auto"/>
              <w:bottom w:val="nil"/>
              <w:right w:val="single" w:sz="6" w:space="0" w:color="auto"/>
            </w:tcBorders>
            <w:shd w:val="pct10" w:color="auto" w:fill="auto"/>
          </w:tcPr>
          <w:p w:rsidR="00156168" w:rsidRDefault="00156168">
            <w:pPr>
              <w:pStyle w:val="Box"/>
            </w:pPr>
            <w:r w:rsidRPr="0095188C">
              <w:t>Data for the performance indicators in this report are presented in a separate set of attachment tables. Attachment tables are identified in references throughout this report by a ‘NEA’ prefix (for example, table NEA.2.3).</w:t>
            </w:r>
          </w:p>
        </w:tc>
      </w:tr>
      <w:tr w:rsidR="00156168" w:rsidTr="00156168">
        <w:trPr>
          <w:cantSplit/>
        </w:trPr>
        <w:tc>
          <w:tcPr>
            <w:tcW w:w="8771" w:type="dxa"/>
            <w:tcBorders>
              <w:top w:val="nil"/>
              <w:left w:val="single" w:sz="6" w:space="0" w:color="auto"/>
              <w:bottom w:val="single" w:sz="6" w:space="0" w:color="auto"/>
              <w:right w:val="single" w:sz="6" w:space="0" w:color="auto"/>
            </w:tcBorders>
            <w:shd w:val="pct10" w:color="auto" w:fill="auto"/>
          </w:tcPr>
          <w:p w:rsidR="00156168" w:rsidRDefault="00156168">
            <w:pPr>
              <w:pStyle w:val="Box"/>
              <w:spacing w:before="0" w:line="120" w:lineRule="exact"/>
            </w:pPr>
          </w:p>
        </w:tc>
      </w:tr>
      <w:tr w:rsidR="00156168" w:rsidRPr="000863A5">
        <w:tc>
          <w:tcPr>
            <w:tcW w:w="8771" w:type="dxa"/>
            <w:tcBorders>
              <w:top w:val="nil"/>
              <w:left w:val="nil"/>
              <w:bottom w:val="nil"/>
              <w:right w:val="nil"/>
            </w:tcBorders>
          </w:tcPr>
          <w:p w:rsidR="00156168" w:rsidRPr="00626D32" w:rsidRDefault="00156168" w:rsidP="001714E9">
            <w:pPr>
              <w:pStyle w:val="BoxSpaceBelow"/>
            </w:pPr>
          </w:p>
        </w:tc>
      </w:tr>
    </w:tbl>
    <w:p w:rsidR="00E058E4" w:rsidRPr="003575E1" w:rsidRDefault="00E058E4">
      <w:pPr>
        <w:pStyle w:val="BoxSpaceAbove"/>
      </w:pPr>
    </w:p>
    <w:tbl>
      <w:tblPr>
        <w:tblW w:w="0" w:type="auto"/>
        <w:tblInd w:w="164" w:type="dxa"/>
        <w:tblBorders>
          <w:top w:val="single" w:sz="6" w:space="0" w:color="auto"/>
          <w:left w:val="single" w:sz="6" w:space="0" w:color="auto"/>
          <w:bottom w:val="single" w:sz="6" w:space="0" w:color="auto"/>
          <w:right w:val="single" w:sz="6" w:space="0" w:color="auto"/>
        </w:tblBorders>
        <w:tblLayout w:type="fixed"/>
        <w:tblCellMar>
          <w:left w:w="142" w:type="dxa"/>
          <w:right w:w="142" w:type="dxa"/>
        </w:tblCellMar>
        <w:tblLook w:val="0000" w:firstRow="0" w:lastRow="0" w:firstColumn="0" w:lastColumn="0" w:noHBand="0" w:noVBand="0"/>
      </w:tblPr>
      <w:tblGrid>
        <w:gridCol w:w="8771"/>
      </w:tblGrid>
      <w:tr w:rsidR="001A5777" w:rsidRPr="003575E1" w:rsidTr="00D074B1">
        <w:tc>
          <w:tcPr>
            <w:tcW w:w="8771" w:type="dxa"/>
            <w:tcBorders>
              <w:top w:val="single" w:sz="6" w:space="0" w:color="auto"/>
              <w:bottom w:val="nil"/>
            </w:tcBorders>
            <w:shd w:val="pct10" w:color="auto" w:fill="auto"/>
          </w:tcPr>
          <w:p w:rsidR="00792428" w:rsidRPr="006B58B2" w:rsidRDefault="00E058E4" w:rsidP="008D1DE7">
            <w:pPr>
              <w:pStyle w:val="BoxTitle"/>
              <w:rPr>
                <w:u w:val="dotted"/>
              </w:rPr>
            </w:pPr>
            <w:r w:rsidRPr="006B58B2">
              <w:rPr>
                <w:b w:val="0"/>
              </w:rPr>
              <w:t xml:space="preserve">Box </w:t>
            </w:r>
            <w:bookmarkStart w:id="4" w:name="OLE_LINK2"/>
            <w:r w:rsidRPr="006B58B2">
              <w:rPr>
                <w:b w:val="0"/>
              </w:rPr>
              <w:fldChar w:fldCharType="begin"/>
            </w:r>
            <w:r w:rsidRPr="006B58B2">
              <w:rPr>
                <w:b w:val="0"/>
              </w:rPr>
              <w:instrText xml:space="preserve"> SEQ Box \* ARABIC </w:instrText>
            </w:r>
            <w:r w:rsidRPr="006B58B2">
              <w:rPr>
                <w:b w:val="0"/>
              </w:rPr>
              <w:fldChar w:fldCharType="separate"/>
            </w:r>
            <w:r w:rsidR="005F5618">
              <w:rPr>
                <w:b w:val="0"/>
                <w:noProof/>
              </w:rPr>
              <w:t>1</w:t>
            </w:r>
            <w:r w:rsidRPr="006B58B2">
              <w:rPr>
                <w:b w:val="0"/>
              </w:rPr>
              <w:fldChar w:fldCharType="end"/>
            </w:r>
            <w:bookmarkEnd w:id="4"/>
            <w:r w:rsidRPr="006B58B2">
              <w:tab/>
              <w:t>Key issues in reporting against the NEA</w:t>
            </w:r>
            <w:r w:rsidR="00050F0D" w:rsidRPr="006B58B2">
              <w:t xml:space="preserve"> </w:t>
            </w:r>
          </w:p>
        </w:tc>
      </w:tr>
      <w:tr w:rsidR="001A5777" w:rsidRPr="001A5777" w:rsidTr="00D074B1">
        <w:tc>
          <w:tcPr>
            <w:tcW w:w="8771" w:type="dxa"/>
            <w:tcBorders>
              <w:top w:val="nil"/>
              <w:left w:val="single" w:sz="6" w:space="0" w:color="auto"/>
              <w:bottom w:val="single" w:sz="4" w:space="0" w:color="auto"/>
              <w:right w:val="single" w:sz="6" w:space="0" w:color="auto"/>
            </w:tcBorders>
            <w:shd w:val="pct10" w:color="auto" w:fill="auto"/>
          </w:tcPr>
          <w:p w:rsidR="00E058E4" w:rsidRDefault="00C11842" w:rsidP="00C11842">
            <w:pPr>
              <w:pStyle w:val="BoxHeading1"/>
            </w:pPr>
            <w:r w:rsidRPr="006C4677">
              <w:t>General comments</w:t>
            </w:r>
          </w:p>
          <w:p w:rsidR="00792428" w:rsidRDefault="00BC1A2A" w:rsidP="00915C74">
            <w:pPr>
              <w:pStyle w:val="BoxListBullet"/>
            </w:pPr>
            <w:r w:rsidRPr="00BC1A2A">
              <w:t>Previous Steering Committee reports were provided by end</w:t>
            </w:r>
            <w:r w:rsidR="00DD5307">
              <w:noBreakHyphen/>
            </w:r>
            <w:r w:rsidRPr="00BC1A2A">
              <w:t xml:space="preserve">June (six months after the end of the </w:t>
            </w:r>
            <w:r w:rsidRPr="00915C74">
              <w:t>reporting</w:t>
            </w:r>
            <w:r w:rsidRPr="00BC1A2A">
              <w:t xml:space="preserve"> period). For this report, the CRC requested data by end April 2014 (four months after the end of the reporting period).</w:t>
            </w:r>
          </w:p>
          <w:p w:rsidR="00915C74" w:rsidRDefault="00915C74" w:rsidP="00915C74">
            <w:pPr>
              <w:pStyle w:val="BoxListBullet"/>
            </w:pPr>
            <w:r w:rsidRPr="00915C74">
              <w:t>The Steering Committee notes that relevant confidence intervals should be considered when interpreting the National Assessment Program — Literacy and Numeracy (NAPLAN) data in this report (relevant to performance target (c) and performance indicators 2 and 6). At the request of the CRC, confidence intervals have not been included in this report for NAPLAN data. Different confidence intervals are relevant to different analyses, and the CRC has advised that they may request the data collection agency to undertake relevant significance testing for CRC analysis of the NAPLAN data.</w:t>
            </w:r>
          </w:p>
          <w:p w:rsidR="00915C74" w:rsidRDefault="00915C74" w:rsidP="00915C74">
            <w:pPr>
              <w:pStyle w:val="BoxListBullet"/>
            </w:pPr>
            <w:r>
              <w:t>There was a partial break in time series for NAPLAN data</w:t>
            </w:r>
            <w:r w:rsidR="00AF009C">
              <w:t xml:space="preserve"> affecting</w:t>
            </w:r>
            <w:r>
              <w:t xml:space="preserve">: performance indicators 2 and 6 and performance target (c). Due to a change in the writing test in 2011, achievement in writing </w:t>
            </w:r>
            <w:r w:rsidR="00AF009C">
              <w:t xml:space="preserve">for </w:t>
            </w:r>
            <w:r>
              <w:t xml:space="preserve">2011 onwards is not comparable with data </w:t>
            </w:r>
            <w:r w:rsidR="00AF009C">
              <w:t xml:space="preserve">for </w:t>
            </w:r>
            <w:r>
              <w:t xml:space="preserve">previous years. </w:t>
            </w:r>
          </w:p>
          <w:p w:rsidR="00491D3D" w:rsidRDefault="00491D3D" w:rsidP="00954C97">
            <w:pPr>
              <w:pStyle w:val="BoxListBullet"/>
            </w:pPr>
            <w:r w:rsidRPr="00491D3D">
              <w:t xml:space="preserve">Under the previous NEA framework, data </w:t>
            </w:r>
            <w:r w:rsidR="0048036C">
              <w:t xml:space="preserve">from the Survey of Education and Work (SEW) </w:t>
            </w:r>
            <w:r w:rsidRPr="00491D3D">
              <w:t xml:space="preserve">were reported by State and Territory. </w:t>
            </w:r>
            <w:r w:rsidR="00AF009C">
              <w:t>In accordance with the</w:t>
            </w:r>
            <w:r w:rsidRPr="00491D3D">
              <w:t xml:space="preserve"> COAG review of the NEA performance framework</w:t>
            </w:r>
            <w:r w:rsidR="00AF009C">
              <w:t>,</w:t>
            </w:r>
            <w:r w:rsidRPr="00491D3D">
              <w:t xml:space="preserve"> reporting of </w:t>
            </w:r>
            <w:r w:rsidR="008D1DE7" w:rsidRPr="00491D3D">
              <w:t xml:space="preserve">SEW </w:t>
            </w:r>
            <w:r w:rsidR="00AF009C">
              <w:t xml:space="preserve">is now </w:t>
            </w:r>
            <w:r w:rsidR="008D1DE7">
              <w:t xml:space="preserve">at </w:t>
            </w:r>
            <w:r w:rsidR="008D1DE7" w:rsidRPr="00491D3D">
              <w:t>the national level only</w:t>
            </w:r>
            <w:r w:rsidR="00AF009C">
              <w:t xml:space="preserve">. The review agreed that </w:t>
            </w:r>
            <w:r w:rsidRPr="00491D3D">
              <w:t xml:space="preserve">Census data </w:t>
            </w:r>
            <w:r w:rsidR="008D1DE7">
              <w:t xml:space="preserve">be used </w:t>
            </w:r>
            <w:r w:rsidRPr="00491D3D">
              <w:t xml:space="preserve">for State and Territory </w:t>
            </w:r>
            <w:r w:rsidR="008D1DE7">
              <w:t>disaggregations</w:t>
            </w:r>
            <w:r w:rsidRPr="00491D3D">
              <w:t>.</w:t>
            </w:r>
            <w:r w:rsidR="00DC0887" w:rsidRPr="00DC0887">
              <w:t xml:space="preserve"> Census data </w:t>
            </w:r>
            <w:r w:rsidR="00AF009C">
              <w:t xml:space="preserve">for 2011 were provided in the </w:t>
            </w:r>
            <w:r w:rsidR="00954C97" w:rsidRPr="00954C97">
              <w:t>2012</w:t>
            </w:r>
            <w:r w:rsidR="00AF009C" w:rsidRPr="00954C97">
              <w:t xml:space="preserve"> </w:t>
            </w:r>
            <w:r w:rsidR="00AF009C">
              <w:t xml:space="preserve">performance report. </w:t>
            </w:r>
          </w:p>
          <w:p w:rsidR="00B22EE0" w:rsidRDefault="00B22EE0" w:rsidP="00B22EE0">
            <w:pPr>
              <w:pStyle w:val="BoxListBullet"/>
            </w:pPr>
            <w:r w:rsidRPr="00B22EE0">
              <w:t>Prior to the 2013 SEW, people who were permanently unable to work (PUW) were excluded from the in</w:t>
            </w:r>
            <w:r w:rsidR="00556489">
              <w:noBreakHyphen/>
            </w:r>
            <w:r w:rsidRPr="00B22EE0">
              <w:t>scope population. In 2013, the scope was expanded to include the PUW population. However, to ensure that the indicator measure presented here is comparable over time, the PUW population has been excluded from these tables. This affects the following indicators: performance targets (a) and (b), and performance indicators 4 and 5. The Steering Committee recommends that further analysis be conducted to determine whether future reports should include the PUW popul</w:t>
            </w:r>
            <w:r w:rsidR="00715E4C">
              <w:t>ation for these</w:t>
            </w:r>
            <w:r w:rsidRPr="00B22EE0">
              <w:t xml:space="preserve"> indicator</w:t>
            </w:r>
            <w:r w:rsidR="00715E4C">
              <w:t>s</w:t>
            </w:r>
            <w:r w:rsidRPr="00B22EE0">
              <w:t>.</w:t>
            </w:r>
          </w:p>
          <w:p w:rsidR="00915C74" w:rsidRDefault="00915C74" w:rsidP="00915C74">
            <w:pPr>
              <w:pStyle w:val="BoxHeading1"/>
            </w:pPr>
            <w:r>
              <w:t>Outputs</w:t>
            </w:r>
          </w:p>
          <w:p w:rsidR="00DC0887" w:rsidRDefault="00915C74" w:rsidP="00E33336">
            <w:pPr>
              <w:pStyle w:val="BoxListBullet"/>
            </w:pPr>
            <w:r>
              <w:t>Outputs are related to student enrolments. Nationally comparable data on student enrolments are available from the National Schools Statistics Collection (NSSC), but are not available by socioeconomic status (SES) of schools (one of the disaggregations specified in the NEA).</w:t>
            </w:r>
          </w:p>
          <w:p w:rsidR="00D074B1" w:rsidRPr="00792428" w:rsidRDefault="00D074B1" w:rsidP="00D074B1">
            <w:pPr>
              <w:pStyle w:val="Continued"/>
            </w:pPr>
            <w:r>
              <w:t>(Continued next page)</w:t>
            </w:r>
          </w:p>
        </w:tc>
      </w:tr>
    </w:tbl>
    <w:p w:rsidR="00897D1B" w:rsidRDefault="00897D1B" w:rsidP="00897D1B">
      <w:pPr>
        <w:pStyle w:val="Box"/>
      </w:pPr>
      <w:r>
        <w:br w:type="page"/>
      </w:r>
    </w:p>
    <w:p w:rsidR="00897D1B" w:rsidRDefault="00897D1B">
      <w:pPr>
        <w:pStyle w:val="BoxSpaceAbove"/>
      </w:pPr>
    </w:p>
    <w:tbl>
      <w:tblPr>
        <w:tblW w:w="0" w:type="auto"/>
        <w:tblInd w:w="164" w:type="dxa"/>
        <w:tblBorders>
          <w:top w:val="single" w:sz="6" w:space="0" w:color="auto"/>
          <w:left w:val="single" w:sz="6" w:space="0" w:color="auto"/>
          <w:bottom w:val="single" w:sz="6" w:space="0" w:color="auto"/>
          <w:right w:val="single" w:sz="6" w:space="0" w:color="auto"/>
        </w:tblBorders>
        <w:tblLayout w:type="fixed"/>
        <w:tblCellMar>
          <w:left w:w="142" w:type="dxa"/>
          <w:right w:w="142" w:type="dxa"/>
        </w:tblCellMar>
        <w:tblLook w:val="0000" w:firstRow="0" w:lastRow="0" w:firstColumn="0" w:lastColumn="0" w:noHBand="0" w:noVBand="0"/>
      </w:tblPr>
      <w:tblGrid>
        <w:gridCol w:w="8771"/>
      </w:tblGrid>
      <w:tr w:rsidR="00897D1B" w:rsidTr="00897D1B">
        <w:trPr>
          <w:cantSplit/>
        </w:trPr>
        <w:tc>
          <w:tcPr>
            <w:tcW w:w="8771" w:type="dxa"/>
            <w:tcBorders>
              <w:top w:val="single" w:sz="6" w:space="0" w:color="auto"/>
              <w:bottom w:val="nil"/>
            </w:tcBorders>
            <w:shd w:val="pct10" w:color="auto" w:fill="auto"/>
          </w:tcPr>
          <w:p w:rsidR="00897D1B" w:rsidRDefault="00901FE6" w:rsidP="00897D1B">
            <w:pPr>
              <w:pStyle w:val="BoxTitle"/>
            </w:pPr>
            <w:r w:rsidRPr="0045074F">
              <w:rPr>
                <w:b w:val="0"/>
              </w:rPr>
              <w:t>Box 1</w:t>
            </w:r>
            <w:r>
              <w:tab/>
            </w:r>
            <w:r w:rsidRPr="008F2A47">
              <w:rPr>
                <w:b w:val="0"/>
                <w:sz w:val="18"/>
                <w:szCs w:val="18"/>
              </w:rPr>
              <w:t>(continued)</w:t>
            </w:r>
          </w:p>
        </w:tc>
      </w:tr>
      <w:tr w:rsidR="00897D1B" w:rsidTr="00897D1B">
        <w:trPr>
          <w:cantSplit/>
        </w:trPr>
        <w:tc>
          <w:tcPr>
            <w:tcW w:w="8771" w:type="dxa"/>
            <w:tcBorders>
              <w:top w:val="nil"/>
              <w:left w:val="single" w:sz="6" w:space="0" w:color="auto"/>
              <w:bottom w:val="nil"/>
              <w:right w:val="single" w:sz="6" w:space="0" w:color="auto"/>
            </w:tcBorders>
            <w:shd w:val="pct10" w:color="auto" w:fill="auto"/>
          </w:tcPr>
          <w:p w:rsidR="00897D1B" w:rsidRDefault="00897D1B" w:rsidP="00897D1B">
            <w:pPr>
              <w:pStyle w:val="BoxHeading1"/>
            </w:pPr>
            <w:r>
              <w:t>Performance targets</w:t>
            </w:r>
          </w:p>
          <w:p w:rsidR="00897D1B" w:rsidRDefault="00897D1B" w:rsidP="00897D1B">
            <w:pPr>
              <w:pStyle w:val="BoxListBullet"/>
            </w:pPr>
            <w:r>
              <w:t xml:space="preserve">All four NEA performance targets can be reported against. </w:t>
            </w:r>
          </w:p>
          <w:p w:rsidR="00897D1B" w:rsidRDefault="00897D1B" w:rsidP="00897D1B">
            <w:pPr>
              <w:pStyle w:val="BoxListBullet"/>
            </w:pPr>
            <w:r w:rsidRPr="008E7459">
              <w:t xml:space="preserve">Performance targets (a) and (b) relate to performance indicator 4 (year 12 or equivalent or Australian Qualifications Framework (AQF) Certificate Level II/III or above). </w:t>
            </w:r>
            <w:r>
              <w:t xml:space="preserve">The targets are at the national level and the </w:t>
            </w:r>
            <w:r w:rsidRPr="008E7459">
              <w:t>main data source for targets (a) and (b)</w:t>
            </w:r>
            <w:r>
              <w:t xml:space="preserve"> is the SEW. F</w:t>
            </w:r>
            <w:r w:rsidRPr="008E7459">
              <w:t xml:space="preserve">ollowing the COAG review of the NEA performance framework, the main data source for indicator 4 </w:t>
            </w:r>
            <w:r>
              <w:t xml:space="preserve">is the Census (which allows disaggregation by State and Territory). </w:t>
            </w:r>
            <w:r w:rsidRPr="008E7459">
              <w:t xml:space="preserve">SEW is </w:t>
            </w:r>
            <w:r>
              <w:t>a</w:t>
            </w:r>
            <w:r w:rsidRPr="008E7459">
              <w:t xml:space="preserve"> supplementary data source</w:t>
            </w:r>
            <w:r>
              <w:t xml:space="preserve"> for the performance indicator. </w:t>
            </w:r>
          </w:p>
          <w:p w:rsidR="00897D1B" w:rsidRDefault="00897D1B" w:rsidP="00897D1B">
            <w:pPr>
              <w:pStyle w:val="BoxHeading1"/>
            </w:pPr>
            <w:r>
              <w:t>Performance Indicators</w:t>
            </w:r>
          </w:p>
          <w:p w:rsidR="00897D1B" w:rsidRDefault="00897D1B" w:rsidP="007132C1">
            <w:pPr>
              <w:pStyle w:val="BoxListBullet"/>
            </w:pPr>
            <w:r>
              <w:t>All five NEA performance indicators and three related indicators from the NIRA can be reported against.</w:t>
            </w:r>
          </w:p>
        </w:tc>
      </w:tr>
      <w:tr w:rsidR="00897D1B" w:rsidTr="00897D1B">
        <w:trPr>
          <w:cantSplit/>
        </w:trPr>
        <w:tc>
          <w:tcPr>
            <w:tcW w:w="8771" w:type="dxa"/>
            <w:tcBorders>
              <w:top w:val="nil"/>
              <w:left w:val="single" w:sz="6" w:space="0" w:color="auto"/>
              <w:bottom w:val="single" w:sz="6" w:space="0" w:color="auto"/>
              <w:right w:val="single" w:sz="6" w:space="0" w:color="auto"/>
            </w:tcBorders>
            <w:shd w:val="pct10" w:color="auto" w:fill="auto"/>
          </w:tcPr>
          <w:p w:rsidR="00897D1B" w:rsidRDefault="00897D1B">
            <w:pPr>
              <w:pStyle w:val="Box"/>
              <w:spacing w:before="0" w:line="120" w:lineRule="exact"/>
            </w:pPr>
          </w:p>
        </w:tc>
      </w:tr>
      <w:tr w:rsidR="00897D1B" w:rsidRPr="000863A5" w:rsidTr="00897D1B">
        <w:tc>
          <w:tcPr>
            <w:tcW w:w="8771" w:type="dxa"/>
            <w:tcBorders>
              <w:top w:val="nil"/>
              <w:left w:val="nil"/>
              <w:bottom w:val="nil"/>
              <w:right w:val="nil"/>
            </w:tcBorders>
            <w:shd w:val="clear" w:color="auto" w:fill="auto"/>
          </w:tcPr>
          <w:p w:rsidR="00897D1B" w:rsidRPr="00626D32" w:rsidRDefault="00897D1B" w:rsidP="00556489">
            <w:pPr>
              <w:pStyle w:val="BoxSpaceBelow"/>
            </w:pPr>
          </w:p>
        </w:tc>
      </w:tr>
    </w:tbl>
    <w:p w:rsidR="00D074B1" w:rsidRDefault="00D074B1"/>
    <w:p w:rsidR="004B1098" w:rsidRDefault="004B1098">
      <w:pPr>
        <w:rPr>
          <w:rFonts w:ascii="Arial" w:hAnsi="Arial"/>
          <w:b/>
          <w:sz w:val="32"/>
          <w:szCs w:val="20"/>
        </w:rPr>
      </w:pPr>
      <w:r>
        <w:br w:type="page"/>
      </w:r>
    </w:p>
    <w:p w:rsidR="00E058E4" w:rsidRPr="0095188C" w:rsidRDefault="004F72F5" w:rsidP="004F72F5">
      <w:pPr>
        <w:pStyle w:val="Heading2"/>
      </w:pPr>
      <w:r w:rsidRPr="0095188C">
        <w:t>Changes from the previous National Education Agreement performance report</w:t>
      </w:r>
    </w:p>
    <w:p w:rsidR="004F72F5" w:rsidRPr="0095188C" w:rsidRDefault="004F72F5" w:rsidP="004F72F5">
      <w:pPr>
        <w:pStyle w:val="Heading3"/>
      </w:pPr>
      <w:r w:rsidRPr="0095188C">
        <w:t>CRC advice on data reporting requirements</w:t>
      </w:r>
    </w:p>
    <w:p w:rsidR="004F72F5" w:rsidRPr="003575E1" w:rsidRDefault="004F72F5" w:rsidP="004F72F5">
      <w:pPr>
        <w:pStyle w:val="BodyText"/>
      </w:pPr>
      <w:r w:rsidRPr="0095188C">
        <w:t>Under the IGA, the CRC ‘may advise on where changes might be made to the performance reporting framework’ [IGA para. C30]. The CRC recommended changes to indicators in its previous NEA reports to COAG, as well as providing additional advice to the Steering Committee. Where practicable, the Steering Committee has incorporated the CRC recommendations in this report.</w:t>
      </w:r>
    </w:p>
    <w:p w:rsidR="004F72F5" w:rsidRPr="0095188C" w:rsidRDefault="004F72F5" w:rsidP="004F72F5">
      <w:pPr>
        <w:pStyle w:val="BodyText"/>
      </w:pPr>
      <w:r w:rsidRPr="0095188C">
        <w:t>Table</w:t>
      </w:r>
      <w:r w:rsidR="00966FAA" w:rsidRPr="0095188C">
        <w:t> </w:t>
      </w:r>
      <w:r w:rsidRPr="0095188C">
        <w:fldChar w:fldCharType="begin"/>
      </w:r>
      <w:r w:rsidRPr="0095188C">
        <w:instrText xml:space="preserve"> LINK Word.Document.12 "\\\\mel_1\\groups\\Monitor\\09 National Agreement Report\\02 NAR Report WIP\\2013 NAR Report - Ed and training\\2013 NAR first draft\\NEA\\NEA 2013 first draft for CA new template.docx" "OLE_LINK3" \a \t </w:instrText>
      </w:r>
      <w:r w:rsidRPr="0095188C">
        <w:fldChar w:fldCharType="separate"/>
      </w:r>
      <w:r w:rsidR="00665723" w:rsidRPr="0095188C">
        <w:t>1</w:t>
      </w:r>
      <w:r w:rsidRPr="0095188C">
        <w:fldChar w:fldCharType="end"/>
      </w:r>
      <w:r w:rsidRPr="0095188C">
        <w:t xml:space="preserve"> summarises changes to indicator specifications, measures or data from the previous NEA performance report.</w:t>
      </w:r>
    </w:p>
    <w:p w:rsidR="004F72F5" w:rsidRPr="00B64146" w:rsidRDefault="004F72F5" w:rsidP="004F72F5">
      <w:pPr>
        <w:pStyle w:val="TableTitle"/>
      </w:pPr>
      <w:r w:rsidRPr="00B64146">
        <w:rPr>
          <w:b w:val="0"/>
        </w:rPr>
        <w:t xml:space="preserve">Table </w:t>
      </w:r>
      <w:bookmarkStart w:id="5" w:name="OLE_LINK3"/>
      <w:r w:rsidRPr="00B64146">
        <w:rPr>
          <w:b w:val="0"/>
        </w:rPr>
        <w:fldChar w:fldCharType="begin"/>
      </w:r>
      <w:r w:rsidRPr="00B64146">
        <w:rPr>
          <w:b w:val="0"/>
        </w:rPr>
        <w:instrText xml:space="preserve"> SEQ Table \* ARABIC </w:instrText>
      </w:r>
      <w:r w:rsidRPr="00B64146">
        <w:rPr>
          <w:b w:val="0"/>
        </w:rPr>
        <w:fldChar w:fldCharType="separate"/>
      </w:r>
      <w:r w:rsidR="005F5618">
        <w:rPr>
          <w:b w:val="0"/>
          <w:noProof/>
        </w:rPr>
        <w:t>1</w:t>
      </w:r>
      <w:r w:rsidRPr="00B64146">
        <w:rPr>
          <w:b w:val="0"/>
        </w:rPr>
        <w:fldChar w:fldCharType="end"/>
      </w:r>
      <w:bookmarkEnd w:id="5"/>
      <w:r w:rsidRPr="00B64146">
        <w:tab/>
        <w:t>Changes from the previous NEA performance report</w:t>
      </w:r>
    </w:p>
    <w:tbl>
      <w:tblPr>
        <w:tblW w:w="5000" w:type="pct"/>
        <w:tblCellMar>
          <w:left w:w="0" w:type="dxa"/>
          <w:right w:w="0" w:type="dxa"/>
        </w:tblCellMar>
        <w:tblLook w:val="0000" w:firstRow="0" w:lastRow="0" w:firstColumn="0" w:lastColumn="0" w:noHBand="0" w:noVBand="0"/>
      </w:tblPr>
      <w:tblGrid>
        <w:gridCol w:w="4396"/>
        <w:gridCol w:w="4393"/>
      </w:tblGrid>
      <w:tr w:rsidR="00B64146" w:rsidRPr="00B64146" w:rsidTr="009C0FB5">
        <w:tc>
          <w:tcPr>
            <w:tcW w:w="2501" w:type="pct"/>
            <w:tcBorders>
              <w:top w:val="single" w:sz="6" w:space="0" w:color="auto"/>
              <w:bottom w:val="single" w:sz="6" w:space="0" w:color="auto"/>
            </w:tcBorders>
            <w:shd w:val="clear" w:color="auto" w:fill="auto"/>
          </w:tcPr>
          <w:p w:rsidR="004F72F5" w:rsidRPr="00B64146" w:rsidRDefault="004F72F5" w:rsidP="00BA0811">
            <w:pPr>
              <w:pStyle w:val="TableColumnHeading"/>
              <w:jc w:val="left"/>
            </w:pPr>
            <w:r w:rsidRPr="00B64146">
              <w:t>Change</w:t>
            </w:r>
          </w:p>
        </w:tc>
        <w:tc>
          <w:tcPr>
            <w:tcW w:w="2499" w:type="pct"/>
            <w:tcBorders>
              <w:top w:val="single" w:sz="6" w:space="0" w:color="auto"/>
              <w:bottom w:val="single" w:sz="6" w:space="0" w:color="auto"/>
            </w:tcBorders>
            <w:shd w:val="clear" w:color="auto" w:fill="auto"/>
          </w:tcPr>
          <w:p w:rsidR="004F72F5" w:rsidRPr="00B64146" w:rsidRDefault="004F72F5" w:rsidP="004F72F5">
            <w:pPr>
              <w:pStyle w:val="TableColumnHeading"/>
              <w:ind w:right="28"/>
              <w:jc w:val="left"/>
            </w:pPr>
            <w:r w:rsidRPr="00B64146">
              <w:t>Indicator</w:t>
            </w:r>
          </w:p>
        </w:tc>
      </w:tr>
      <w:tr w:rsidR="00B64146" w:rsidRPr="00B64146" w:rsidTr="009C0FB5">
        <w:tc>
          <w:tcPr>
            <w:tcW w:w="2501" w:type="pct"/>
            <w:tcBorders>
              <w:top w:val="single" w:sz="6" w:space="0" w:color="auto"/>
              <w:bottom w:val="single" w:sz="4" w:space="0" w:color="auto"/>
            </w:tcBorders>
          </w:tcPr>
          <w:p w:rsidR="004F72F5" w:rsidRPr="00B64146" w:rsidRDefault="00B64146" w:rsidP="00BA0811">
            <w:pPr>
              <w:pStyle w:val="TableUnitsRow"/>
              <w:jc w:val="left"/>
            </w:pPr>
            <w:r>
              <w:t>Additional disaggregation reported for remoteness</w:t>
            </w:r>
          </w:p>
        </w:tc>
        <w:tc>
          <w:tcPr>
            <w:tcW w:w="2499" w:type="pct"/>
            <w:tcBorders>
              <w:top w:val="single" w:sz="6" w:space="0" w:color="auto"/>
              <w:bottom w:val="single" w:sz="4" w:space="0" w:color="auto"/>
            </w:tcBorders>
          </w:tcPr>
          <w:p w:rsidR="004F72F5" w:rsidRPr="00B64146" w:rsidRDefault="00801332" w:rsidP="00B64146">
            <w:pPr>
              <w:pStyle w:val="TableUnitsRow"/>
              <w:ind w:right="28"/>
              <w:jc w:val="left"/>
            </w:pPr>
            <w:r>
              <w:t xml:space="preserve">NEA </w:t>
            </w:r>
            <w:r w:rsidR="00B64146">
              <w:t>[NIRA</w:t>
            </w:r>
            <w:r>
              <w:t>]</w:t>
            </w:r>
            <w:r w:rsidR="00B64146">
              <w:t xml:space="preserve"> indicator 8</w:t>
            </w:r>
          </w:p>
        </w:tc>
      </w:tr>
    </w:tbl>
    <w:p w:rsidR="00616061" w:rsidRDefault="00616061" w:rsidP="00616061">
      <w:pPr>
        <w:pStyle w:val="BodyText"/>
      </w:pPr>
    </w:p>
    <w:p w:rsidR="00616061" w:rsidRDefault="00616061">
      <w:pPr>
        <w:rPr>
          <w:rFonts w:ascii="Arial" w:hAnsi="Arial"/>
          <w:sz w:val="32"/>
          <w:szCs w:val="20"/>
        </w:rPr>
      </w:pPr>
      <w:r>
        <w:rPr>
          <w:rFonts w:ascii="Arial" w:hAnsi="Arial"/>
          <w:sz w:val="32"/>
        </w:rPr>
        <w:br w:type="page"/>
      </w:r>
    </w:p>
    <w:p w:rsidR="004F72F5" w:rsidRPr="009C0FB5" w:rsidRDefault="00BA0811" w:rsidP="00BA0811">
      <w:pPr>
        <w:pStyle w:val="Heading2"/>
      </w:pPr>
      <w:r w:rsidRPr="009C0FB5">
        <w:t>Context for National Education Agreement performance reporting</w:t>
      </w:r>
    </w:p>
    <w:p w:rsidR="00BA0811" w:rsidRPr="009C0FB5" w:rsidRDefault="00BA0811" w:rsidP="00BA0811">
      <w:pPr>
        <w:pStyle w:val="BodyText"/>
      </w:pPr>
      <w:r w:rsidRPr="009C0FB5">
        <w:t>The objective of the NEA is ‘All Australian school students acquire the knowledge and skills to participate effectively in society and employment in a globalised economy’ [para. 9]. Further to this, the NEA will contribute to the achievement of the following outcomes:</w:t>
      </w:r>
    </w:p>
    <w:p w:rsidR="00BA0811" w:rsidRPr="009C0FB5" w:rsidRDefault="00BA0811" w:rsidP="00BA0811">
      <w:pPr>
        <w:pStyle w:val="ListBullet"/>
      </w:pPr>
      <w:r w:rsidRPr="009C0FB5">
        <w:t>all children are engaged in and benefiting from schooling</w:t>
      </w:r>
    </w:p>
    <w:p w:rsidR="00BA0811" w:rsidRPr="009C0FB5" w:rsidRDefault="00BA0811" w:rsidP="00BA0811">
      <w:pPr>
        <w:pStyle w:val="ListBullet"/>
      </w:pPr>
      <w:r w:rsidRPr="009C0FB5">
        <w:t>young people are meeting basic literacy and numeracy standards, and overall levels of literacy and numeracy achievement are improving</w:t>
      </w:r>
    </w:p>
    <w:p w:rsidR="00BA0811" w:rsidRPr="009C0FB5" w:rsidRDefault="00BA0811" w:rsidP="00BA0811">
      <w:pPr>
        <w:pStyle w:val="ListBullet"/>
      </w:pPr>
      <w:r w:rsidRPr="009C0FB5">
        <w:t>Australian students excel by international standards</w:t>
      </w:r>
    </w:p>
    <w:p w:rsidR="00BA0811" w:rsidRPr="009C0FB5" w:rsidRDefault="00BA0811" w:rsidP="00BA0811">
      <w:pPr>
        <w:pStyle w:val="ListBullet"/>
      </w:pPr>
      <w:r w:rsidRPr="009C0FB5">
        <w:t>schooling promotes the social inclusion and reduces the educational disadvantage of children, especially Indigenous children</w:t>
      </w:r>
    </w:p>
    <w:p w:rsidR="00BA0811" w:rsidRPr="009C0FB5" w:rsidRDefault="00BA0811" w:rsidP="00BA0811">
      <w:pPr>
        <w:pStyle w:val="ListBullet"/>
      </w:pPr>
      <w:r w:rsidRPr="009C0FB5">
        <w:t>young people make a successful transition from school to work and further study [para. 12].</w:t>
      </w:r>
    </w:p>
    <w:p w:rsidR="00BA0811" w:rsidRPr="009C0FB5" w:rsidRDefault="00BA0811" w:rsidP="00BA0811">
      <w:pPr>
        <w:pStyle w:val="Heading3"/>
      </w:pPr>
      <w:r w:rsidRPr="009C0FB5">
        <w:t>Governments’ roles and responsibilities</w:t>
      </w:r>
    </w:p>
    <w:p w:rsidR="00064695" w:rsidRPr="009C0FB5" w:rsidRDefault="00064695" w:rsidP="00064695">
      <w:pPr>
        <w:pStyle w:val="BodyText"/>
      </w:pPr>
      <w:r w:rsidRPr="009C0FB5">
        <w:t>The roles of the Commonwealth under the NEA are detailed at para. 18 of the Agreement. The State and Territory roles and responsibilities are detailed at para.</w:t>
      </w:r>
      <w:r w:rsidR="00BC1A2A">
        <w:t> </w:t>
      </w:r>
      <w:r w:rsidRPr="009C0FB5">
        <w:t>19. Shared roles and responsibilities are detailed at para. 17.</w:t>
      </w:r>
    </w:p>
    <w:p w:rsidR="00064695" w:rsidRPr="00081451" w:rsidRDefault="00064695" w:rsidP="00064695">
      <w:pPr>
        <w:pStyle w:val="BodyText"/>
      </w:pPr>
      <w:r w:rsidRPr="00081451">
        <w:t xml:space="preserve">Under constitutional arrangements, State and Territory governments are responsible for ensuring the delivery of schooling to all children of school age. They regulate school activities and provide most of the funding. State and Territory governments are directly responsible for the administration of government schools, for which they provide the majority of government funding. </w:t>
      </w:r>
      <w:r w:rsidR="00CC3C86" w:rsidRPr="00081451">
        <w:t>Non</w:t>
      </w:r>
      <w:r w:rsidR="00966FAA" w:rsidRPr="00081451">
        <w:noBreakHyphen/>
      </w:r>
      <w:r w:rsidR="00CC3C86" w:rsidRPr="00081451">
        <w:t>government</w:t>
      </w:r>
      <w:r w:rsidRPr="00081451">
        <w:t xml:space="preserve"> schools operate under conditions determined by State and Territory government registration authorities and also receive some State and Territory government funding.</w:t>
      </w:r>
    </w:p>
    <w:p w:rsidR="00064695" w:rsidRPr="00917AE7" w:rsidRDefault="00064695" w:rsidP="00064695">
      <w:pPr>
        <w:pStyle w:val="BodyText"/>
      </w:pPr>
      <w:r w:rsidRPr="00917AE7">
        <w:t xml:space="preserve">The Australian Government currently provides supplementary funding for government schools through the National Schools Specific Purpose Payment, which is associated with the NEA, and for </w:t>
      </w:r>
      <w:r w:rsidR="00CC3C86" w:rsidRPr="00917AE7">
        <w:t>non</w:t>
      </w:r>
      <w:r w:rsidR="00966FAA" w:rsidRPr="00917AE7">
        <w:noBreakHyphen/>
      </w:r>
      <w:r w:rsidR="00CC3C86" w:rsidRPr="00917AE7">
        <w:t>government</w:t>
      </w:r>
      <w:r w:rsidRPr="00917AE7">
        <w:t xml:space="preserve"> schools through the </w:t>
      </w:r>
      <w:r w:rsidRPr="00917AE7">
        <w:rPr>
          <w:i/>
        </w:rPr>
        <w:t>Schools Assistance Act 2008</w:t>
      </w:r>
      <w:r w:rsidRPr="00917AE7">
        <w:t>. The National Schools Specific Purpose Payment and Schools Assistance Act both came into effect on 1</w:t>
      </w:r>
      <w:r w:rsidR="00966FAA" w:rsidRPr="00917AE7">
        <w:t> </w:t>
      </w:r>
      <w:r w:rsidRPr="00917AE7">
        <w:t xml:space="preserve">January 2009. Other Australian Government payments of a smaller scale are made directly to school communities, students and other organisations to support schooling. </w:t>
      </w:r>
    </w:p>
    <w:p w:rsidR="00064695" w:rsidRPr="00123B96" w:rsidRDefault="00064695" w:rsidP="00064695">
      <w:pPr>
        <w:pStyle w:val="BodyText"/>
      </w:pPr>
      <w:r w:rsidRPr="00123B96">
        <w:t>The Standing Council on School Educati</w:t>
      </w:r>
      <w:r w:rsidR="00177D6F" w:rsidRPr="00123B96">
        <w:t>on and Early Childhood (SCSEEC)</w:t>
      </w:r>
      <w:r w:rsidR="00177D6F" w:rsidRPr="00123B96">
        <w:rPr>
          <w:rStyle w:val="FootnoteReference"/>
        </w:rPr>
        <w:footnoteReference w:id="1"/>
      </w:r>
      <w:r w:rsidRPr="00123B96">
        <w:t xml:space="preserve"> — comprising Australian, State and Territory, and New Zealand education ministers — is the principal forum for identifying priority issues of national significance for schooling. </w:t>
      </w:r>
    </w:p>
    <w:p w:rsidR="00064695" w:rsidRPr="00D257E2" w:rsidRDefault="00064695" w:rsidP="00064695">
      <w:pPr>
        <w:pStyle w:val="Heading3"/>
      </w:pPr>
      <w:r w:rsidRPr="00D257E2">
        <w:t>Structure of school education</w:t>
      </w:r>
    </w:p>
    <w:p w:rsidR="00064695" w:rsidRPr="00D257E2" w:rsidRDefault="00064695" w:rsidP="00064695">
      <w:pPr>
        <w:pStyle w:val="BodyText"/>
      </w:pPr>
      <w:r w:rsidRPr="00D257E2">
        <w:t xml:space="preserve">The structure of school education varies across states and territories. These differences can influence the comparability and interpretation of data presented under common classifications. Depending on the State or Territory, formal schooling consists of seven to eight years of primary school education followed by five to six years of secondary school education. All states and territories divide school education into compulsory and </w:t>
      </w:r>
      <w:r w:rsidR="00CC3C86" w:rsidRPr="00D257E2">
        <w:t>non</w:t>
      </w:r>
      <w:r w:rsidR="00966FAA" w:rsidRPr="00D257E2">
        <w:noBreakHyphen/>
      </w:r>
      <w:r w:rsidR="00CC3C86" w:rsidRPr="00D257E2">
        <w:t>compulsory</w:t>
      </w:r>
      <w:r w:rsidRPr="00D257E2">
        <w:t xml:space="preserve"> components, based primarily on age. Schooling is generally full time, although an increasing proportion of part time study occurs in more senior years.</w:t>
      </w:r>
    </w:p>
    <w:p w:rsidR="00064695" w:rsidRPr="00D257E2" w:rsidRDefault="002C2FD9" w:rsidP="00064695">
      <w:pPr>
        <w:pStyle w:val="BodyText"/>
      </w:pPr>
      <w:r w:rsidRPr="00D257E2">
        <w:t>In 2013</w:t>
      </w:r>
      <w:r w:rsidR="00064695" w:rsidRPr="00D257E2">
        <w:t>, the compulsory starting age for school education in states and territories was:</w:t>
      </w:r>
    </w:p>
    <w:p w:rsidR="00064695" w:rsidRPr="00D257E2" w:rsidRDefault="00064695" w:rsidP="00273EA0">
      <w:pPr>
        <w:pStyle w:val="ListBullet"/>
      </w:pPr>
      <w:r w:rsidRPr="00D257E2">
        <w:t>5 years of age (Tasmania</w:t>
      </w:r>
      <w:r w:rsidR="00C52A15" w:rsidRPr="00D257E2">
        <w:t xml:space="preserve"> and WA</w:t>
      </w:r>
      <w:r w:rsidR="002C2FD9" w:rsidRPr="00D257E2">
        <w:rPr>
          <w:rStyle w:val="FootnoteReference"/>
        </w:rPr>
        <w:footnoteReference w:id="2"/>
      </w:r>
      <w:r w:rsidRPr="00D257E2">
        <w:t>)</w:t>
      </w:r>
    </w:p>
    <w:p w:rsidR="00064695" w:rsidRPr="00D257E2" w:rsidRDefault="00064695" w:rsidP="00064695">
      <w:pPr>
        <w:pStyle w:val="ListBullet"/>
      </w:pPr>
      <w:r w:rsidRPr="00D257E2">
        <w:t>6 years of age</w:t>
      </w:r>
      <w:r w:rsidR="002C2FD9" w:rsidRPr="00D257E2">
        <w:t xml:space="preserve"> (NSW, Victoria, Queensland,</w:t>
      </w:r>
      <w:r w:rsidRPr="00D257E2">
        <w:t xml:space="preserve"> SA, the ACT and the NT).</w:t>
      </w:r>
    </w:p>
    <w:p w:rsidR="00064695" w:rsidRPr="00D257E2" w:rsidRDefault="00064695" w:rsidP="00064695">
      <w:pPr>
        <w:pStyle w:val="BodyText"/>
      </w:pPr>
      <w:r w:rsidRPr="00D257E2">
        <w:t>Children may commence school at an age younger than the statutory age at which they are required to attend school. Most children commence full time schooling in the year preceding Year 1 (pre year 1).</w:t>
      </w:r>
    </w:p>
    <w:p w:rsidR="00064695" w:rsidRPr="00D257E2" w:rsidRDefault="00064695" w:rsidP="00064695">
      <w:pPr>
        <w:pStyle w:val="BodyText"/>
      </w:pPr>
      <w:r w:rsidRPr="00D257E2">
        <w:t>At its 30</w:t>
      </w:r>
      <w:r w:rsidR="00966FAA" w:rsidRPr="00D257E2">
        <w:t> </w:t>
      </w:r>
      <w:r w:rsidRPr="00D257E2">
        <w:t xml:space="preserve">April 2009 meeting, COAG agreed to a Compact with Young Australians, delivered under the </w:t>
      </w:r>
      <w:r w:rsidRPr="00D257E2">
        <w:rPr>
          <w:i/>
        </w:rPr>
        <w:t>National Partnership on Youth Attainment and Transitions</w:t>
      </w:r>
      <w:r w:rsidRPr="00D257E2">
        <w:t>. As part of the Compact, the National Youth Participation Requirement (NYPR) commenced on 1</w:t>
      </w:r>
      <w:r w:rsidR="00966FAA" w:rsidRPr="00D257E2">
        <w:t> </w:t>
      </w:r>
      <w:r w:rsidRPr="00D257E2">
        <w:t>January 2010 and requires that:</w:t>
      </w:r>
    </w:p>
    <w:p w:rsidR="00064695" w:rsidRPr="00D257E2" w:rsidRDefault="00064695" w:rsidP="00064695">
      <w:pPr>
        <w:pStyle w:val="ListBullet"/>
      </w:pPr>
      <w:r w:rsidRPr="00D257E2">
        <w:t xml:space="preserve">all young people are to participate in schooling (or an approved equivalent) until they complete Year 10 </w:t>
      </w:r>
    </w:p>
    <w:p w:rsidR="00064695" w:rsidRPr="00D257E2" w:rsidRDefault="00064695" w:rsidP="00064695">
      <w:pPr>
        <w:pStyle w:val="ListBullet"/>
      </w:pPr>
      <w:r w:rsidRPr="00D257E2">
        <w:t xml:space="preserve">following Year 10, all young people are to participate full time (at least 25 hours per week) in education, training or employment, or a combination of these activities, until 17 years of age. </w:t>
      </w:r>
    </w:p>
    <w:p w:rsidR="00064695" w:rsidRPr="00D257E2" w:rsidRDefault="00064695" w:rsidP="00064695">
      <w:pPr>
        <w:pStyle w:val="BodyText"/>
      </w:pPr>
      <w:r w:rsidRPr="00D257E2">
        <w:t>The NYPR will be implemented through State and Territory legislation where at least equivalent provisions are not already in place, and exemptions will continue in line with existing State and Territory practice (COAG 2009c).</w:t>
      </w:r>
    </w:p>
    <w:p w:rsidR="00064695" w:rsidRPr="00D257E2" w:rsidRDefault="00064695" w:rsidP="00064695">
      <w:pPr>
        <w:pStyle w:val="Heading3"/>
      </w:pPr>
      <w:r w:rsidRPr="00D257E2">
        <w:t>Early childhood education and development</w:t>
      </w:r>
    </w:p>
    <w:p w:rsidR="00064695" w:rsidRPr="0065793F" w:rsidRDefault="00064695" w:rsidP="00273EA0">
      <w:pPr>
        <w:pStyle w:val="BodyText"/>
      </w:pPr>
      <w:r w:rsidRPr="0065793F">
        <w:t xml:space="preserve">Research indicates that </w:t>
      </w:r>
      <w:r w:rsidR="00AE5D50">
        <w:t xml:space="preserve">access to </w:t>
      </w:r>
      <w:r w:rsidRPr="0065793F">
        <w:t xml:space="preserve">quality early childhood education can assist children’s school performance, </w:t>
      </w:r>
      <w:r w:rsidR="006B1448">
        <w:t>and</w:t>
      </w:r>
      <w:r w:rsidR="00EA0D45">
        <w:t xml:space="preserve"> can be </w:t>
      </w:r>
      <w:r w:rsidRPr="0065793F">
        <w:t xml:space="preserve">particularly </w:t>
      </w:r>
      <w:r w:rsidR="00EA0D45">
        <w:t xml:space="preserve">important </w:t>
      </w:r>
      <w:r w:rsidRPr="0065793F">
        <w:t>for children from disadvantaged backgrounds (</w:t>
      </w:r>
      <w:r w:rsidR="00AE5D50">
        <w:t xml:space="preserve">Baxter </w:t>
      </w:r>
      <w:r w:rsidR="00DD51D0">
        <w:t>and</w:t>
      </w:r>
      <w:r w:rsidR="00AE5D50">
        <w:t xml:space="preserve"> Hand 2013;</w:t>
      </w:r>
      <w:r w:rsidR="00CD135C" w:rsidRPr="0065793F">
        <w:t xml:space="preserve"> </w:t>
      </w:r>
      <w:r w:rsidR="005F6634">
        <w:t xml:space="preserve">Urbis Social Policy 2011; </w:t>
      </w:r>
      <w:r w:rsidR="00CD135C" w:rsidRPr="0065793F">
        <w:t xml:space="preserve">Warren </w:t>
      </w:r>
      <w:r w:rsidR="00DD51D0">
        <w:t>and</w:t>
      </w:r>
      <w:r w:rsidR="00CD135C" w:rsidRPr="0065793F">
        <w:t xml:space="preserve"> Haisken</w:t>
      </w:r>
      <w:r w:rsidR="009C2A7D">
        <w:noBreakHyphen/>
      </w:r>
      <w:r w:rsidR="00CD135C" w:rsidRPr="0065793F">
        <w:t>DeNew 2013</w:t>
      </w:r>
      <w:r w:rsidRPr="0065793F">
        <w:t xml:space="preserve">). Children without </w:t>
      </w:r>
      <w:r w:rsidR="000F458A">
        <w:t xml:space="preserve">quality </w:t>
      </w:r>
      <w:r w:rsidRPr="0065793F">
        <w:t>formal early childhood education have greater difficulty making the transition to the first year of school, take longer to settle into the routines of a classroom and find it harder to respond appropriately to tasks and expectations (ACCI 2007</w:t>
      </w:r>
      <w:r w:rsidR="006B1448">
        <w:t>; Urbis Social Policy 2011</w:t>
      </w:r>
      <w:r w:rsidR="00A70263">
        <w:t>; UNESCO 2014</w:t>
      </w:r>
      <w:r w:rsidRPr="0065793F">
        <w:t xml:space="preserve">). </w:t>
      </w:r>
    </w:p>
    <w:p w:rsidR="00064695" w:rsidRPr="00F454F3" w:rsidRDefault="00064695" w:rsidP="00064695">
      <w:pPr>
        <w:pStyle w:val="BodyText"/>
      </w:pPr>
      <w:r w:rsidRPr="00F454F3">
        <w:t>In its review of the NEA performance indicator framework, COAG requested SCSEEC to ‘assess the availability and feasibility of a nationally consistent tool, such as the Australian Early Development Index, to measure educational disadvantage at an individual level and to provide a baseline to measure of gain over time to support performance reporting under the NEA’ (COAG 2012c).</w:t>
      </w:r>
    </w:p>
    <w:p w:rsidR="00064695" w:rsidRPr="000A44BA" w:rsidRDefault="00064695" w:rsidP="00064695">
      <w:pPr>
        <w:pStyle w:val="BodyText"/>
      </w:pPr>
      <w:r w:rsidRPr="00F454F3">
        <w:t xml:space="preserve">The Australian Early Development Index (AEDI) was endorsed by COAG </w:t>
      </w:r>
      <w:r w:rsidRPr="000A44BA">
        <w:t>as a national progress measure of early childhood development. The AEDI is a population measure of children’s development as they enter school, and measures the following five areas of early childhood development, using information collected through a teacher</w:t>
      </w:r>
      <w:r w:rsidR="00954C97">
        <w:noBreakHyphen/>
      </w:r>
      <w:r w:rsidRPr="000A44BA">
        <w:t>completed checklist:</w:t>
      </w:r>
    </w:p>
    <w:p w:rsidR="00064695" w:rsidRPr="000A44BA" w:rsidRDefault="00064695" w:rsidP="00064695">
      <w:pPr>
        <w:pStyle w:val="ListBullet"/>
      </w:pPr>
      <w:r w:rsidRPr="000A44BA">
        <w:t>physical health and wellbeing</w:t>
      </w:r>
    </w:p>
    <w:p w:rsidR="00064695" w:rsidRPr="000A44BA" w:rsidRDefault="00064695" w:rsidP="00064695">
      <w:pPr>
        <w:pStyle w:val="ListBullet"/>
      </w:pPr>
      <w:r w:rsidRPr="000A44BA">
        <w:t>social competence</w:t>
      </w:r>
    </w:p>
    <w:p w:rsidR="00064695" w:rsidRPr="000A44BA" w:rsidRDefault="00064695" w:rsidP="00064695">
      <w:pPr>
        <w:pStyle w:val="ListBullet"/>
      </w:pPr>
      <w:r w:rsidRPr="000A44BA">
        <w:t>emotional maturity</w:t>
      </w:r>
    </w:p>
    <w:p w:rsidR="00064695" w:rsidRPr="000A44BA" w:rsidRDefault="00064695" w:rsidP="00064695">
      <w:pPr>
        <w:pStyle w:val="ListBullet"/>
      </w:pPr>
      <w:r w:rsidRPr="000A44BA">
        <w:t>language and cognitive skills (school based)</w:t>
      </w:r>
    </w:p>
    <w:p w:rsidR="00064695" w:rsidRPr="000A44BA" w:rsidRDefault="00064695" w:rsidP="00064695">
      <w:pPr>
        <w:pStyle w:val="ListBullet"/>
      </w:pPr>
      <w:r w:rsidRPr="000A44BA">
        <w:t>communication skills and general knowledge.</w:t>
      </w:r>
    </w:p>
    <w:p w:rsidR="00064695" w:rsidRPr="00F454F3" w:rsidRDefault="00064695" w:rsidP="00064695">
      <w:pPr>
        <w:pStyle w:val="BodyText"/>
      </w:pPr>
      <w:r w:rsidRPr="00F454F3">
        <w:t xml:space="preserve">The AEDI </w:t>
      </w:r>
      <w:r w:rsidR="00F454F3">
        <w:t xml:space="preserve">triennial </w:t>
      </w:r>
      <w:r w:rsidRPr="00F454F3">
        <w:t>na</w:t>
      </w:r>
      <w:r w:rsidR="00F454F3">
        <w:t xml:space="preserve">tional </w:t>
      </w:r>
      <w:r w:rsidR="00F249F7">
        <w:t>report</w:t>
      </w:r>
      <w:r w:rsidR="00F454F3">
        <w:t xml:space="preserve"> </w:t>
      </w:r>
      <w:r w:rsidR="00E963BB">
        <w:t>stated</w:t>
      </w:r>
      <w:r w:rsidR="00F454F3">
        <w:t xml:space="preserve"> that in</w:t>
      </w:r>
      <w:r w:rsidRPr="00F454F3">
        <w:t xml:space="preserve"> 2012</w:t>
      </w:r>
      <w:r w:rsidR="00F454F3">
        <w:t>,</w:t>
      </w:r>
      <w:r w:rsidRPr="00F454F3">
        <w:t xml:space="preserve"> the majority of children are doing well on each of the five AEDI developmental domains</w:t>
      </w:r>
      <w:r w:rsidR="00951F90">
        <w:t xml:space="preserve"> (DEEWR 2013)</w:t>
      </w:r>
      <w:r w:rsidRPr="00F454F3">
        <w:t>. Across Australia, a lower proportion of children were developmentally vulnerable (below the 10th percentile) in 2012 (22.0 per cent) compared with 2009</w:t>
      </w:r>
      <w:r w:rsidR="00862EBE">
        <w:t> </w:t>
      </w:r>
      <w:r w:rsidRPr="00F454F3">
        <w:t>(23.6</w:t>
      </w:r>
      <w:r w:rsidR="00862EBE">
        <w:t> </w:t>
      </w:r>
      <w:r w:rsidRPr="00F454F3">
        <w:t>per</w:t>
      </w:r>
      <w:r w:rsidR="00862EBE">
        <w:t> </w:t>
      </w:r>
      <w:r w:rsidRPr="00F454F3">
        <w:t>cent). In 2012, some groups were more likely to be developmentally vulnerable, including:</w:t>
      </w:r>
    </w:p>
    <w:p w:rsidR="00064695" w:rsidRPr="00F454F3" w:rsidRDefault="00064695" w:rsidP="00064695">
      <w:pPr>
        <w:pStyle w:val="ListBullet"/>
      </w:pPr>
      <w:r w:rsidRPr="00F454F3">
        <w:t xml:space="preserve">boys compared with girls </w:t>
      </w:r>
    </w:p>
    <w:p w:rsidR="00064695" w:rsidRPr="00F454F3" w:rsidRDefault="00064695" w:rsidP="00064695">
      <w:pPr>
        <w:pStyle w:val="ListBullet"/>
      </w:pPr>
      <w:r w:rsidRPr="00F454F3">
        <w:t xml:space="preserve">Indigenous children compared with </w:t>
      </w:r>
      <w:r w:rsidR="00CC3C86" w:rsidRPr="00F454F3">
        <w:t>non</w:t>
      </w:r>
      <w:r w:rsidR="00966FAA" w:rsidRPr="00F454F3">
        <w:noBreakHyphen/>
      </w:r>
      <w:r w:rsidR="00CC3C86" w:rsidRPr="00F454F3">
        <w:t>Indigenous</w:t>
      </w:r>
      <w:r w:rsidRPr="00F454F3">
        <w:t xml:space="preserve"> children</w:t>
      </w:r>
    </w:p>
    <w:p w:rsidR="00064695" w:rsidRPr="00F454F3" w:rsidRDefault="00064695" w:rsidP="00064695">
      <w:pPr>
        <w:pStyle w:val="ListBullet"/>
      </w:pPr>
      <w:r w:rsidRPr="00F454F3">
        <w:t>children not proficient in English who have a language background other than English compared with children of the same background who are proficient in English</w:t>
      </w:r>
    </w:p>
    <w:p w:rsidR="00064695" w:rsidRPr="00F454F3" w:rsidRDefault="00064695" w:rsidP="00064695">
      <w:pPr>
        <w:pStyle w:val="ListBullet"/>
      </w:pPr>
      <w:r w:rsidRPr="00F454F3">
        <w:t>children with an English speaking background who are not proficient in English, compared with children of the same background who are proficient in English.</w:t>
      </w:r>
    </w:p>
    <w:p w:rsidR="00064695" w:rsidRPr="00452237" w:rsidRDefault="00064695" w:rsidP="00064695">
      <w:pPr>
        <w:pStyle w:val="Heading3"/>
      </w:pPr>
      <w:r w:rsidRPr="00452237">
        <w:t>School education</w:t>
      </w:r>
    </w:p>
    <w:p w:rsidR="00064695" w:rsidRPr="00452237" w:rsidRDefault="00064695" w:rsidP="00064695">
      <w:pPr>
        <w:pStyle w:val="BodyText"/>
      </w:pPr>
      <w:r w:rsidRPr="00452237">
        <w:t>Outcomes for students can be affected by factors that may be partly or totally outside the influence of the school system, such as student commitment, family environment (including socioeconomic status, parental educational attainment and support for the child) and the proximity of the school and other educational facilities to students’ homes.</w:t>
      </w:r>
    </w:p>
    <w:p w:rsidR="00064695" w:rsidRPr="00150B24" w:rsidRDefault="00064695" w:rsidP="00273EA0">
      <w:pPr>
        <w:pStyle w:val="BodyText"/>
      </w:pPr>
      <w:r w:rsidRPr="002169A9">
        <w:t xml:space="preserve">Data from the Programme for International Student Assessment (PISA), an internationally standardised assessment jointly developed by participating </w:t>
      </w:r>
      <w:r w:rsidR="006E3B6D">
        <w:t>countries/</w:t>
      </w:r>
      <w:r w:rsidRPr="002169A9">
        <w:t xml:space="preserve">economies and administered to 15 year olds in schools across </w:t>
      </w:r>
      <w:r w:rsidR="006E3B6D">
        <w:t>65</w:t>
      </w:r>
      <w:r w:rsidR="00E33336">
        <w:t> </w:t>
      </w:r>
      <w:r w:rsidRPr="002169A9">
        <w:t>countries</w:t>
      </w:r>
      <w:r w:rsidR="006E3B6D">
        <w:t xml:space="preserve">/economies </w:t>
      </w:r>
      <w:r w:rsidRPr="002169A9">
        <w:t xml:space="preserve">(including Australia), have shown that socioeconomic background and performance are closely related (OECD </w:t>
      </w:r>
      <w:r w:rsidR="002169A9" w:rsidRPr="002169A9">
        <w:t>2013</w:t>
      </w:r>
      <w:r w:rsidRPr="002169A9">
        <w:t>).</w:t>
      </w:r>
      <w:r w:rsidR="002169A9">
        <w:t xml:space="preserve"> In 2012, socioeconomic </w:t>
      </w:r>
      <w:r w:rsidR="00202D06">
        <w:t>background</w:t>
      </w:r>
      <w:r w:rsidR="002169A9">
        <w:t xml:space="preserve"> accounted for </w:t>
      </w:r>
      <w:r w:rsidR="00202D06">
        <w:t xml:space="preserve">about </w:t>
      </w:r>
      <w:r w:rsidR="00F75C63">
        <w:t>12 per cent</w:t>
      </w:r>
      <w:r w:rsidR="002169A9">
        <w:t xml:space="preserve"> of </w:t>
      </w:r>
      <w:r w:rsidR="00202D06">
        <w:t xml:space="preserve">variance </w:t>
      </w:r>
      <w:r w:rsidR="002169A9">
        <w:t xml:space="preserve">in PISA </w:t>
      </w:r>
      <w:r w:rsidR="005B6D18">
        <w:t>mathematical l</w:t>
      </w:r>
      <w:r w:rsidR="005B6D18" w:rsidRPr="00BC00FB">
        <w:t>itera</w:t>
      </w:r>
      <w:r w:rsidR="005B6D18">
        <w:t xml:space="preserve">cy </w:t>
      </w:r>
      <w:r w:rsidR="002169A9">
        <w:t xml:space="preserve">scores </w:t>
      </w:r>
      <w:r w:rsidR="007428F4">
        <w:t xml:space="preserve">in </w:t>
      </w:r>
      <w:r w:rsidR="00202D06">
        <w:t xml:space="preserve">Australia </w:t>
      </w:r>
      <w:r w:rsidR="00EB7F34">
        <w:t>(</w:t>
      </w:r>
      <w:r w:rsidR="00F75C63">
        <w:t>Th</w:t>
      </w:r>
      <w:r w:rsidR="00EB7F34">
        <w:t xml:space="preserve">omson, De Bortoli </w:t>
      </w:r>
      <w:r w:rsidR="00DD51D0">
        <w:t>and</w:t>
      </w:r>
      <w:r w:rsidR="00EB7F34">
        <w:t xml:space="preserve"> Buckley 2013)</w:t>
      </w:r>
      <w:r w:rsidR="001B1CBE">
        <w:t xml:space="preserve">. </w:t>
      </w:r>
      <w:r w:rsidR="00395D66">
        <w:t>Other e</w:t>
      </w:r>
      <w:r w:rsidR="000E0141" w:rsidRPr="00150B24">
        <w:t>vidence suggests that</w:t>
      </w:r>
      <w:r w:rsidR="009C2A7D">
        <w:t xml:space="preserve"> </w:t>
      </w:r>
      <w:r w:rsidRPr="00150B24">
        <w:t xml:space="preserve">home factors, </w:t>
      </w:r>
      <w:r w:rsidR="000E0141" w:rsidRPr="00150B24">
        <w:t>such as</w:t>
      </w:r>
      <w:r w:rsidRPr="00150B24">
        <w:t xml:space="preserve"> parental support for education, engagement with children’s learning and cultural assets (like books), are associated with stronger school performance (</w:t>
      </w:r>
      <w:r w:rsidR="005F6634" w:rsidRPr="00150B24">
        <w:t xml:space="preserve">Emmerson et al. 2012; </w:t>
      </w:r>
      <w:r w:rsidRPr="00150B24">
        <w:t>Field, Kuczera and Pont 2007).</w:t>
      </w:r>
    </w:p>
    <w:p w:rsidR="00064695" w:rsidRPr="003575E1" w:rsidRDefault="00064695" w:rsidP="00273EA0">
      <w:pPr>
        <w:pStyle w:val="BodyText"/>
      </w:pPr>
      <w:r w:rsidRPr="00820DC5">
        <w:t xml:space="preserve">Hattie </w:t>
      </w:r>
      <w:r w:rsidR="00295180" w:rsidRPr="00820DC5">
        <w:t>(2009) synthesised</w:t>
      </w:r>
      <w:r w:rsidR="009C2A7D">
        <w:t xml:space="preserve"> </w:t>
      </w:r>
      <w:r w:rsidR="00295180" w:rsidRPr="00820DC5">
        <w:t>more than 800 meta</w:t>
      </w:r>
      <w:r w:rsidR="009C2A7D">
        <w:noBreakHyphen/>
      </w:r>
      <w:r w:rsidR="00295180" w:rsidRPr="00820DC5">
        <w:t xml:space="preserve">analyses about the influences on achievement </w:t>
      </w:r>
      <w:r w:rsidR="00FA35B7">
        <w:t>of</w:t>
      </w:r>
      <w:r w:rsidR="00FA35B7" w:rsidRPr="00820DC5">
        <w:t xml:space="preserve"> </w:t>
      </w:r>
      <w:r w:rsidR="00295180" w:rsidRPr="00820DC5">
        <w:t xml:space="preserve">school aged children. He noted that achievement is mainly influenced by </w:t>
      </w:r>
      <w:r w:rsidR="00820DC5" w:rsidRPr="00820DC5">
        <w:t>the student, home</w:t>
      </w:r>
      <w:r w:rsidR="00395D66">
        <w:t xml:space="preserve"> factors</w:t>
      </w:r>
      <w:r w:rsidR="00820DC5" w:rsidRPr="00820DC5">
        <w:t xml:space="preserve">, </w:t>
      </w:r>
      <w:r w:rsidR="00395D66">
        <w:t xml:space="preserve">the </w:t>
      </w:r>
      <w:r w:rsidR="00820DC5" w:rsidRPr="00820DC5">
        <w:t xml:space="preserve">school, </w:t>
      </w:r>
      <w:r w:rsidR="00395D66">
        <w:t>the curriculum</w:t>
      </w:r>
      <w:r w:rsidR="00820DC5" w:rsidRPr="00820DC5">
        <w:t xml:space="preserve">, </w:t>
      </w:r>
      <w:r w:rsidR="00395D66">
        <w:t xml:space="preserve">the </w:t>
      </w:r>
      <w:r w:rsidR="00820DC5" w:rsidRPr="00820DC5">
        <w:t>teacher</w:t>
      </w:r>
      <w:r w:rsidR="00395D66">
        <w:t>,</w:t>
      </w:r>
      <w:r w:rsidR="00820DC5" w:rsidRPr="00820DC5">
        <w:t xml:space="preserve"> and teaching strategies</w:t>
      </w:r>
      <w:r w:rsidR="00395D66">
        <w:t xml:space="preserve">. </w:t>
      </w:r>
      <w:r w:rsidR="00395D66" w:rsidRPr="00395D66">
        <w:t xml:space="preserve">Hattie </w:t>
      </w:r>
      <w:r w:rsidRPr="00395D66">
        <w:t xml:space="preserve">(1999, 2003) </w:t>
      </w:r>
      <w:r w:rsidR="00395D66" w:rsidRPr="00395D66">
        <w:t>also quantified</w:t>
      </w:r>
      <w:r w:rsidRPr="00395D66">
        <w:t xml:space="preserve"> variance in students’ achievement, with the student’s ability accounting for about 50 per cent of the variance of achievement and the home accounting for about 5 to 10 per cent. Other sources of variance included teachers, accounting for about 30 per cent, schools (including principals) accounting for 5 to 10 per cent</w:t>
      </w:r>
      <w:r w:rsidR="00FA35B7">
        <w:t>,</w:t>
      </w:r>
      <w:r w:rsidRPr="00395D66">
        <w:t xml:space="preserve"> and peer effects accounting for 5 to 10 per cent.</w:t>
      </w:r>
    </w:p>
    <w:p w:rsidR="00064695" w:rsidRPr="00731C0A" w:rsidRDefault="00064695" w:rsidP="00064695">
      <w:pPr>
        <w:pStyle w:val="Heading4"/>
      </w:pPr>
      <w:r w:rsidRPr="00731C0A">
        <w:t>Schools</w:t>
      </w:r>
      <w:r w:rsidR="00F52368">
        <w:t xml:space="preserve"> </w:t>
      </w:r>
    </w:p>
    <w:p w:rsidR="00064695" w:rsidRPr="00EB7770" w:rsidRDefault="00064695" w:rsidP="00064695">
      <w:pPr>
        <w:pStyle w:val="BodyText"/>
      </w:pPr>
      <w:r w:rsidRPr="008A0CF7">
        <w:t xml:space="preserve">At the </w:t>
      </w:r>
      <w:r w:rsidRPr="00EB7770">
        <w:t xml:space="preserve">beginning of August </w:t>
      </w:r>
      <w:r w:rsidR="00F454F3" w:rsidRPr="00EB7770">
        <w:t>2013</w:t>
      </w:r>
      <w:r w:rsidRPr="00EB7770">
        <w:t xml:space="preserve">, there were </w:t>
      </w:r>
      <w:r w:rsidR="00E44033" w:rsidRPr="00EB7770">
        <w:t>93</w:t>
      </w:r>
      <w:r w:rsidR="00E44033">
        <w:t>9</w:t>
      </w:r>
      <w:r w:rsidR="00E44033" w:rsidRPr="00EB7770">
        <w:t xml:space="preserve">3 </w:t>
      </w:r>
      <w:r w:rsidRPr="00EB7770">
        <w:t>schools in Australia (</w:t>
      </w:r>
      <w:r w:rsidR="00EB7770" w:rsidRPr="00EB7770">
        <w:t>6256</w:t>
      </w:r>
      <w:r w:rsidR="00FA35B7">
        <w:t> </w:t>
      </w:r>
      <w:r w:rsidRPr="00EB7770">
        <w:t xml:space="preserve">primary schools, </w:t>
      </w:r>
      <w:r w:rsidR="00EB7770" w:rsidRPr="00EB7770">
        <w:t>1385</w:t>
      </w:r>
      <w:r w:rsidR="00A938AD" w:rsidRPr="00EB7770">
        <w:t xml:space="preserve"> </w:t>
      </w:r>
      <w:r w:rsidRPr="00EB7770">
        <w:t xml:space="preserve">secondary schools, </w:t>
      </w:r>
      <w:r w:rsidR="00EB7770" w:rsidRPr="00EB7770">
        <w:t>1321</w:t>
      </w:r>
      <w:r w:rsidR="00A938AD" w:rsidRPr="00EB7770">
        <w:t xml:space="preserve"> </w:t>
      </w:r>
      <w:r w:rsidRPr="00EB7770">
        <w:t xml:space="preserve">combined </w:t>
      </w:r>
      <w:r w:rsidR="00DA2A9F">
        <w:t xml:space="preserve">primary and secondary </w:t>
      </w:r>
      <w:r w:rsidRPr="00EB7770">
        <w:t xml:space="preserve">schools and </w:t>
      </w:r>
      <w:r w:rsidR="00EB7770" w:rsidRPr="00EB7770">
        <w:t>431</w:t>
      </w:r>
      <w:r w:rsidR="00A938AD" w:rsidRPr="00EB7770">
        <w:t xml:space="preserve"> </w:t>
      </w:r>
      <w:r w:rsidRPr="00EB7770">
        <w:t>special schools). The majority of schools (</w:t>
      </w:r>
      <w:r w:rsidR="00EB7770" w:rsidRPr="00EB7770">
        <w:t>70.9</w:t>
      </w:r>
      <w:r w:rsidRPr="00EB7770">
        <w:t xml:space="preserve"> per cent) were government owned and managed (table</w:t>
      </w:r>
      <w:r w:rsidR="00966FAA" w:rsidRPr="00EB7770">
        <w:t> </w:t>
      </w:r>
      <w:r w:rsidR="00CE78EE" w:rsidRPr="00EB7770">
        <w:fldChar w:fldCharType="begin"/>
      </w:r>
      <w:r w:rsidR="00CE78EE" w:rsidRPr="00EB7770">
        <w:instrText xml:space="preserve"> LINK Word.Document.12 "\\\\mel_1\\groups\\Monitor\\09 National Agreement Report\\02 NAR Report WIP\\2013 NAR Report - Ed and training\\2013 NAR first draft\\NEA\\NEA 2013 first draft for CA new template.docx" "OLE_LINK4" \a \t  \* MERGEFORMAT </w:instrText>
      </w:r>
      <w:r w:rsidR="00CE78EE" w:rsidRPr="00EB7770">
        <w:fldChar w:fldCharType="separate"/>
      </w:r>
      <w:r w:rsidR="00665723" w:rsidRPr="00EB7770">
        <w:t>2</w:t>
      </w:r>
      <w:r w:rsidR="00CE78EE" w:rsidRPr="00EB7770">
        <w:fldChar w:fldCharType="end"/>
      </w:r>
      <w:r w:rsidRPr="00EB7770">
        <w:t>).</w:t>
      </w:r>
    </w:p>
    <w:p w:rsidR="00050F0D" w:rsidRPr="00EB7770" w:rsidRDefault="00064695" w:rsidP="00050F0D">
      <w:pPr>
        <w:pStyle w:val="BodyText"/>
      </w:pPr>
      <w:r w:rsidRPr="00EB7770">
        <w:t xml:space="preserve">Settlement patterns (population dispersion), the age distribution of the population and educational policy influence the distribution of schools by size and level in different jurisdictions. </w:t>
      </w:r>
      <w:r w:rsidR="008A0CF7" w:rsidRPr="00EB7770">
        <w:t>Nationally in 2013</w:t>
      </w:r>
      <w:r w:rsidRPr="00EB7770">
        <w:t xml:space="preserve">, </w:t>
      </w:r>
      <w:r w:rsidR="00EB7770" w:rsidRPr="00EB7770">
        <w:t>40.5</w:t>
      </w:r>
      <w:r w:rsidRPr="00EB7770">
        <w:t xml:space="preserve"> per cent of primary schools enrolled over 300 students, and </w:t>
      </w:r>
      <w:r w:rsidR="00EB7770" w:rsidRPr="00EB7770">
        <w:t>63.0</w:t>
      </w:r>
      <w:r w:rsidRPr="00EB7770">
        <w:t xml:space="preserve"> per cent of secondary schools enrolled over 600</w:t>
      </w:r>
      <w:r w:rsidR="00E33336">
        <w:t> </w:t>
      </w:r>
      <w:r w:rsidRPr="00EB7770">
        <w:t>students (table</w:t>
      </w:r>
      <w:r w:rsidR="00966FAA" w:rsidRPr="00EB7770">
        <w:t> </w:t>
      </w:r>
      <w:r w:rsidR="00CE78EE" w:rsidRPr="00EB7770">
        <w:fldChar w:fldCharType="begin"/>
      </w:r>
      <w:r w:rsidR="00CE78EE" w:rsidRPr="00EB7770">
        <w:instrText xml:space="preserve"> LINK Word.Document.12 "\\\\mel_1\\groups\\Monitor\\09 National Agreement Report\\02 NAR Report WIP\\2013 NAR Report - Ed and training\\2013 NAR first draft\\NEA\\NEA 2013 first draft for CA new template.docx" "OLE_LINK4" \a \t  \* MERGEFORMAT </w:instrText>
      </w:r>
      <w:r w:rsidR="00CE78EE" w:rsidRPr="00EB7770">
        <w:fldChar w:fldCharType="separate"/>
      </w:r>
      <w:r w:rsidR="00665723" w:rsidRPr="00EB7770">
        <w:t>2</w:t>
      </w:r>
      <w:r w:rsidR="00CE78EE" w:rsidRPr="00EB7770">
        <w:fldChar w:fldCharType="end"/>
      </w:r>
      <w:r w:rsidR="00F84889">
        <w:rPr>
          <w:szCs w:val="26"/>
        </w:rPr>
        <w:t>)</w:t>
      </w:r>
      <w:r w:rsidRPr="00EB7770">
        <w:t xml:space="preserve">. A breakdown by jurisdiction of primary and secondary schools by size for government, </w:t>
      </w:r>
      <w:r w:rsidR="00CC3C86" w:rsidRPr="00EB7770">
        <w:t>non</w:t>
      </w:r>
      <w:r w:rsidR="00966FAA" w:rsidRPr="00EB7770">
        <w:noBreakHyphen/>
      </w:r>
      <w:r w:rsidR="00CC3C86" w:rsidRPr="00EB7770">
        <w:t>government</w:t>
      </w:r>
      <w:r w:rsidRPr="00EB7770">
        <w:t xml:space="preserve"> and all schools is available in Schools Australia</w:t>
      </w:r>
      <w:r w:rsidR="00F200E5" w:rsidRPr="00EB7770">
        <w:t>, 2013</w:t>
      </w:r>
      <w:r w:rsidR="00563FC1" w:rsidRPr="00EB7770">
        <w:t xml:space="preserve"> (ABS </w:t>
      </w:r>
      <w:r w:rsidR="00F200E5" w:rsidRPr="00EB7770">
        <w:t>2014</w:t>
      </w:r>
      <w:r w:rsidRPr="00EB7770">
        <w:t>).</w:t>
      </w:r>
      <w:r w:rsidR="00F84889">
        <w:t xml:space="preserve"> </w:t>
      </w:r>
      <w:r w:rsidR="00F84889">
        <w:rPr>
          <w:szCs w:val="26"/>
        </w:rPr>
        <w:t>Revised 2012 and 2011 data on the proportion of primary schools enrolling over 300 students, and secondary schools enrolling over 600 students</w:t>
      </w:r>
      <w:r w:rsidR="00853405">
        <w:rPr>
          <w:szCs w:val="26"/>
        </w:rPr>
        <w:t>,</w:t>
      </w:r>
      <w:r w:rsidR="00F84889">
        <w:rPr>
          <w:szCs w:val="26"/>
        </w:rPr>
        <w:t xml:space="preserve"> are available in attachment table NEA.c.2. </w:t>
      </w:r>
    </w:p>
    <w:p w:rsidR="00064695" w:rsidRPr="00F87B84" w:rsidRDefault="00064695" w:rsidP="00050F0D">
      <w:pPr>
        <w:pStyle w:val="BodyText"/>
      </w:pPr>
      <w:r w:rsidRPr="00F87B84">
        <w:t xml:space="preserve">Evidence of the effect of school size </w:t>
      </w:r>
      <w:r w:rsidR="00F87B84" w:rsidRPr="00F87B84">
        <w:t xml:space="preserve">alone </w:t>
      </w:r>
      <w:r w:rsidRPr="00F87B84">
        <w:t xml:space="preserve">on </w:t>
      </w:r>
      <w:r w:rsidR="009C7797">
        <w:t xml:space="preserve">Australian </w:t>
      </w:r>
      <w:r w:rsidRPr="00F87B84">
        <w:t xml:space="preserve">student outcomes is unclear. </w:t>
      </w:r>
      <w:r w:rsidR="00CC3C86" w:rsidRPr="00F87B84">
        <w:t>A study by Teese, Lamb and Duru</w:t>
      </w:r>
      <w:r w:rsidR="00CC3C86" w:rsidRPr="00F87B84">
        <w:noBreakHyphen/>
      </w:r>
      <w:r w:rsidRPr="00F87B84">
        <w:t>Bellat (2007) found that, for Melbourne government schools, larger schools provided achievement gains in student Victorian Certificate of Education (VCE) results. In addition, school achievement based on year 5 Achievement Improvement Monitor (AIM) test results tended to rise as school size increased.</w:t>
      </w:r>
      <w:r w:rsidR="001C659B" w:rsidRPr="00F87B84">
        <w:t xml:space="preserve"> Other studies have examined the impact of school</w:t>
      </w:r>
      <w:r w:rsidR="008B6B9E" w:rsidRPr="00F87B84">
        <w:t xml:space="preserve"> size </w:t>
      </w:r>
      <w:r w:rsidR="00F87B84" w:rsidRPr="00F87B84">
        <w:t>on</w:t>
      </w:r>
      <w:r w:rsidR="008B6B9E" w:rsidRPr="00F87B84">
        <w:t xml:space="preserve"> </w:t>
      </w:r>
      <w:r w:rsidR="001C659B" w:rsidRPr="00F87B84">
        <w:t xml:space="preserve">the </w:t>
      </w:r>
      <w:r w:rsidR="008B6B9E" w:rsidRPr="00F87B84">
        <w:t xml:space="preserve">2008 and 2009 National Assessment Program — Literacy and Numeracy (NAPLAN) results. Miller and Voon (2012) found significant, though modest, increases in scores across numeracy and grammar, as school size increased. </w:t>
      </w:r>
      <w:r w:rsidR="00EE5F09" w:rsidRPr="00F87B84">
        <w:t>In another study,</w:t>
      </w:r>
      <w:r w:rsidRPr="00F87B84">
        <w:t xml:space="preserve"> </w:t>
      </w:r>
      <w:r w:rsidR="008F0CD4" w:rsidRPr="00F87B84">
        <w:t xml:space="preserve">Watterston (2010) </w:t>
      </w:r>
      <w:r w:rsidRPr="00F87B84">
        <w:t xml:space="preserve">conducted a review </w:t>
      </w:r>
      <w:r w:rsidR="008F0CD4" w:rsidRPr="00F87B84">
        <w:t xml:space="preserve">in the ACT </w:t>
      </w:r>
      <w:r w:rsidR="00EE5F09" w:rsidRPr="00F87B84">
        <w:t>and</w:t>
      </w:r>
      <w:r w:rsidRPr="00F87B84">
        <w:t xml:space="preserve"> found that year 3 and year 5 students in medium and large primary schools performed significantly better than those in small schools</w:t>
      </w:r>
      <w:r w:rsidR="008F0CD4" w:rsidRPr="00F87B84">
        <w:t xml:space="preserve">. </w:t>
      </w:r>
      <w:r w:rsidRPr="00F87B84">
        <w:t xml:space="preserve">However, </w:t>
      </w:r>
      <w:r w:rsidR="00FA35B7">
        <w:t>this</w:t>
      </w:r>
      <w:r w:rsidRPr="00F87B84">
        <w:t xml:space="preserve"> review also found that the average Index of Community Socio</w:t>
      </w:r>
      <w:r w:rsidR="00273EA0">
        <w:noBreakHyphen/>
      </w:r>
      <w:r w:rsidRPr="00F87B84">
        <w:t>Educational Advantage (ICSEA) score for small schools was lower than that for medium and large schools. Therefore, it is not clear whether school size or socio</w:t>
      </w:r>
      <w:r w:rsidR="00273EA0">
        <w:noBreakHyphen/>
      </w:r>
      <w:r w:rsidRPr="00F87B84">
        <w:t>educational advantage (or both) influenced the results. A review of the literature for the Que</w:t>
      </w:r>
      <w:r w:rsidR="006A5608">
        <w:t xml:space="preserve">ensland Department of Education, </w:t>
      </w:r>
      <w:r w:rsidRPr="00F87B84">
        <w:t>Training</w:t>
      </w:r>
      <w:r w:rsidR="006A5608">
        <w:t xml:space="preserve"> and the Arts</w:t>
      </w:r>
      <w:r w:rsidRPr="00F87B84">
        <w:t xml:space="preserve"> reported on the concept of ‘density of advantage/disadvantage’ — </w:t>
      </w:r>
      <w:r w:rsidR="00FA35B7">
        <w:t xml:space="preserve">that is, </w:t>
      </w:r>
      <w:r w:rsidRPr="00F87B84">
        <w:t>where the critical mass is positive (where there is a significant number of high achieving and engaged students) then the school size has a positive impact on the student outcomes (and vice versa)</w:t>
      </w:r>
      <w:r w:rsidR="00E069B3">
        <w:t xml:space="preserve"> (Eidos </w:t>
      </w:r>
      <w:r w:rsidR="00F87B84" w:rsidRPr="00F87B84">
        <w:t>2008)</w:t>
      </w:r>
      <w:r w:rsidRPr="00F87B84">
        <w:t>.</w:t>
      </w:r>
    </w:p>
    <w:p w:rsidR="00534A3D" w:rsidRPr="00792428" w:rsidRDefault="00534A3D" w:rsidP="00386AA0">
      <w:pPr>
        <w:pStyle w:val="TableTitle"/>
        <w:keepLines w:val="0"/>
      </w:pPr>
      <w:r w:rsidRPr="00792428">
        <w:rPr>
          <w:b w:val="0"/>
        </w:rPr>
        <w:t xml:space="preserve">Table </w:t>
      </w:r>
      <w:bookmarkStart w:id="6" w:name="OLE_LINK4"/>
      <w:r w:rsidRPr="00792428">
        <w:rPr>
          <w:b w:val="0"/>
        </w:rPr>
        <w:fldChar w:fldCharType="begin"/>
      </w:r>
      <w:r w:rsidRPr="00792428">
        <w:rPr>
          <w:b w:val="0"/>
        </w:rPr>
        <w:instrText xml:space="preserve"> SEQ Table \* ARABIC </w:instrText>
      </w:r>
      <w:r w:rsidRPr="00792428">
        <w:rPr>
          <w:b w:val="0"/>
        </w:rPr>
        <w:fldChar w:fldCharType="separate"/>
      </w:r>
      <w:r w:rsidR="005F5618">
        <w:rPr>
          <w:b w:val="0"/>
          <w:noProof/>
        </w:rPr>
        <w:t>2</w:t>
      </w:r>
      <w:r w:rsidRPr="00792428">
        <w:rPr>
          <w:b w:val="0"/>
        </w:rPr>
        <w:fldChar w:fldCharType="end"/>
      </w:r>
      <w:bookmarkEnd w:id="6"/>
      <w:r w:rsidRPr="00792428">
        <w:tab/>
        <w:t>Summary of school characteristics, August 2013</w:t>
      </w:r>
      <w:r w:rsidRPr="00792428">
        <w:rPr>
          <w:rStyle w:val="NoteLabel"/>
        </w:rPr>
        <w:t>a</w:t>
      </w:r>
      <w:r w:rsidR="00F52368">
        <w:rPr>
          <w:rStyle w:val="NoteLabel"/>
        </w:rPr>
        <w:t xml:space="preserve"> </w:t>
      </w:r>
    </w:p>
    <w:tbl>
      <w:tblPr>
        <w:tblW w:w="5011" w:type="pct"/>
        <w:tblCellMar>
          <w:left w:w="0" w:type="dxa"/>
          <w:right w:w="0" w:type="dxa"/>
        </w:tblCellMar>
        <w:tblLook w:val="0000" w:firstRow="0" w:lastRow="0" w:firstColumn="0" w:lastColumn="0" w:noHBand="0" w:noVBand="0"/>
      </w:tblPr>
      <w:tblGrid>
        <w:gridCol w:w="1739"/>
        <w:gridCol w:w="801"/>
        <w:gridCol w:w="778"/>
        <w:gridCol w:w="784"/>
        <w:gridCol w:w="786"/>
        <w:gridCol w:w="784"/>
        <w:gridCol w:w="786"/>
        <w:gridCol w:w="784"/>
        <w:gridCol w:w="786"/>
        <w:gridCol w:w="780"/>
      </w:tblGrid>
      <w:tr w:rsidR="00792428" w:rsidRPr="00792428" w:rsidTr="00534A3D">
        <w:tc>
          <w:tcPr>
            <w:tcW w:w="987" w:type="pct"/>
            <w:tcBorders>
              <w:top w:val="single" w:sz="6" w:space="0" w:color="auto"/>
              <w:bottom w:val="single" w:sz="6" w:space="0" w:color="auto"/>
            </w:tcBorders>
          </w:tcPr>
          <w:p w:rsidR="00534A3D" w:rsidRPr="00792428" w:rsidRDefault="00534A3D" w:rsidP="00386AA0">
            <w:pPr>
              <w:pStyle w:val="TableColumnHeading"/>
              <w:keepLines w:val="0"/>
              <w:jc w:val="left"/>
            </w:pPr>
          </w:p>
        </w:tc>
        <w:tc>
          <w:tcPr>
            <w:tcW w:w="455" w:type="pct"/>
            <w:tcBorders>
              <w:top w:val="single" w:sz="6" w:space="0" w:color="auto"/>
              <w:bottom w:val="single" w:sz="6" w:space="0" w:color="auto"/>
            </w:tcBorders>
            <w:shd w:val="clear" w:color="auto" w:fill="auto"/>
          </w:tcPr>
          <w:p w:rsidR="00534A3D" w:rsidRPr="00792428" w:rsidRDefault="00534A3D" w:rsidP="00386AA0">
            <w:pPr>
              <w:pStyle w:val="TableColumnHeading"/>
              <w:keepLines w:val="0"/>
            </w:pPr>
            <w:r w:rsidRPr="00792428">
              <w:t>NSW</w:t>
            </w:r>
          </w:p>
        </w:tc>
        <w:tc>
          <w:tcPr>
            <w:tcW w:w="442" w:type="pct"/>
            <w:tcBorders>
              <w:top w:val="single" w:sz="6" w:space="0" w:color="auto"/>
              <w:bottom w:val="single" w:sz="6" w:space="0" w:color="auto"/>
            </w:tcBorders>
          </w:tcPr>
          <w:p w:rsidR="00534A3D" w:rsidRPr="00792428" w:rsidRDefault="00534A3D" w:rsidP="00386AA0">
            <w:pPr>
              <w:pStyle w:val="TableColumnHeading"/>
              <w:keepLines w:val="0"/>
            </w:pPr>
            <w:r w:rsidRPr="00792428">
              <w:t>Vic</w:t>
            </w:r>
          </w:p>
        </w:tc>
        <w:tc>
          <w:tcPr>
            <w:tcW w:w="445" w:type="pct"/>
            <w:tcBorders>
              <w:top w:val="single" w:sz="6" w:space="0" w:color="auto"/>
              <w:bottom w:val="single" w:sz="6" w:space="0" w:color="auto"/>
            </w:tcBorders>
          </w:tcPr>
          <w:p w:rsidR="00534A3D" w:rsidRPr="00792428" w:rsidRDefault="00E067C2" w:rsidP="00386AA0">
            <w:pPr>
              <w:pStyle w:val="TableColumnHeading"/>
              <w:keepLines w:val="0"/>
            </w:pPr>
            <w:r>
              <w:t>Qld</w:t>
            </w:r>
          </w:p>
        </w:tc>
        <w:tc>
          <w:tcPr>
            <w:tcW w:w="446" w:type="pct"/>
            <w:tcBorders>
              <w:top w:val="single" w:sz="6" w:space="0" w:color="auto"/>
              <w:bottom w:val="single" w:sz="6" w:space="0" w:color="auto"/>
            </w:tcBorders>
          </w:tcPr>
          <w:p w:rsidR="00534A3D" w:rsidRPr="00792428" w:rsidRDefault="00534A3D" w:rsidP="00386AA0">
            <w:pPr>
              <w:pStyle w:val="TableColumnHeading"/>
              <w:keepLines w:val="0"/>
            </w:pPr>
            <w:r w:rsidRPr="00792428">
              <w:t>WA</w:t>
            </w:r>
          </w:p>
        </w:tc>
        <w:tc>
          <w:tcPr>
            <w:tcW w:w="445" w:type="pct"/>
            <w:tcBorders>
              <w:top w:val="single" w:sz="6" w:space="0" w:color="auto"/>
              <w:bottom w:val="single" w:sz="6" w:space="0" w:color="auto"/>
            </w:tcBorders>
          </w:tcPr>
          <w:p w:rsidR="00534A3D" w:rsidRPr="00792428" w:rsidRDefault="00534A3D" w:rsidP="00386AA0">
            <w:pPr>
              <w:pStyle w:val="TableColumnHeading"/>
              <w:keepLines w:val="0"/>
            </w:pPr>
            <w:r w:rsidRPr="00792428">
              <w:t>SA</w:t>
            </w:r>
          </w:p>
        </w:tc>
        <w:tc>
          <w:tcPr>
            <w:tcW w:w="446" w:type="pct"/>
            <w:tcBorders>
              <w:top w:val="single" w:sz="6" w:space="0" w:color="auto"/>
              <w:bottom w:val="single" w:sz="6" w:space="0" w:color="auto"/>
            </w:tcBorders>
          </w:tcPr>
          <w:p w:rsidR="00534A3D" w:rsidRPr="00792428" w:rsidRDefault="00534A3D" w:rsidP="00386AA0">
            <w:pPr>
              <w:pStyle w:val="TableColumnHeading"/>
              <w:keepLines w:val="0"/>
            </w:pPr>
            <w:r w:rsidRPr="00792428">
              <w:t>Tas</w:t>
            </w:r>
          </w:p>
        </w:tc>
        <w:tc>
          <w:tcPr>
            <w:tcW w:w="445" w:type="pct"/>
            <w:tcBorders>
              <w:top w:val="single" w:sz="6" w:space="0" w:color="auto"/>
              <w:bottom w:val="single" w:sz="6" w:space="0" w:color="auto"/>
            </w:tcBorders>
          </w:tcPr>
          <w:p w:rsidR="00534A3D" w:rsidRPr="00792428" w:rsidRDefault="00534A3D" w:rsidP="00386AA0">
            <w:pPr>
              <w:pStyle w:val="TableColumnHeading"/>
              <w:keepLines w:val="0"/>
            </w:pPr>
            <w:r w:rsidRPr="00792428">
              <w:t>ACT</w:t>
            </w:r>
          </w:p>
        </w:tc>
        <w:tc>
          <w:tcPr>
            <w:tcW w:w="446" w:type="pct"/>
            <w:tcBorders>
              <w:top w:val="single" w:sz="6" w:space="0" w:color="auto"/>
              <w:bottom w:val="single" w:sz="6" w:space="0" w:color="auto"/>
            </w:tcBorders>
          </w:tcPr>
          <w:p w:rsidR="00534A3D" w:rsidRPr="00792428" w:rsidRDefault="00534A3D" w:rsidP="00386AA0">
            <w:pPr>
              <w:pStyle w:val="TableColumnHeading"/>
              <w:keepLines w:val="0"/>
            </w:pPr>
            <w:r w:rsidRPr="00792428">
              <w:t>NT</w:t>
            </w:r>
          </w:p>
        </w:tc>
        <w:tc>
          <w:tcPr>
            <w:tcW w:w="443" w:type="pct"/>
            <w:tcBorders>
              <w:top w:val="single" w:sz="6" w:space="0" w:color="auto"/>
              <w:bottom w:val="single" w:sz="6" w:space="0" w:color="auto"/>
            </w:tcBorders>
            <w:shd w:val="clear" w:color="auto" w:fill="auto"/>
          </w:tcPr>
          <w:p w:rsidR="00534A3D" w:rsidRPr="00792428" w:rsidRDefault="00534A3D" w:rsidP="00386AA0">
            <w:pPr>
              <w:pStyle w:val="TableColumnHeading"/>
              <w:keepLines w:val="0"/>
              <w:ind w:right="28"/>
            </w:pPr>
            <w:r w:rsidRPr="00792428">
              <w:t>Aust</w:t>
            </w:r>
          </w:p>
        </w:tc>
      </w:tr>
      <w:tr w:rsidR="00792428" w:rsidRPr="00792428" w:rsidTr="00534A3D">
        <w:tc>
          <w:tcPr>
            <w:tcW w:w="1884" w:type="pct"/>
            <w:gridSpan w:val="3"/>
            <w:tcBorders>
              <w:top w:val="single" w:sz="6" w:space="0" w:color="auto"/>
            </w:tcBorders>
          </w:tcPr>
          <w:p w:rsidR="00534A3D" w:rsidRPr="00792428" w:rsidRDefault="00534A3D" w:rsidP="00386AA0">
            <w:pPr>
              <w:pStyle w:val="TableUnitsRow"/>
              <w:keepLines w:val="0"/>
              <w:jc w:val="left"/>
            </w:pPr>
            <w:r w:rsidRPr="00792428">
              <w:t>Government schools (no.)</w:t>
            </w:r>
          </w:p>
        </w:tc>
        <w:tc>
          <w:tcPr>
            <w:tcW w:w="445" w:type="pct"/>
            <w:tcBorders>
              <w:top w:val="single" w:sz="6" w:space="0" w:color="auto"/>
            </w:tcBorders>
          </w:tcPr>
          <w:p w:rsidR="00534A3D" w:rsidRPr="00792428" w:rsidRDefault="00534A3D" w:rsidP="00386AA0">
            <w:pPr>
              <w:pStyle w:val="TableUnitsRow"/>
              <w:keepLines w:val="0"/>
            </w:pPr>
          </w:p>
        </w:tc>
        <w:tc>
          <w:tcPr>
            <w:tcW w:w="446" w:type="pct"/>
            <w:tcBorders>
              <w:top w:val="single" w:sz="6" w:space="0" w:color="auto"/>
            </w:tcBorders>
          </w:tcPr>
          <w:p w:rsidR="00534A3D" w:rsidRPr="00792428" w:rsidRDefault="00534A3D" w:rsidP="00386AA0">
            <w:pPr>
              <w:pStyle w:val="TableUnitsRow"/>
              <w:keepLines w:val="0"/>
            </w:pPr>
          </w:p>
        </w:tc>
        <w:tc>
          <w:tcPr>
            <w:tcW w:w="445" w:type="pct"/>
            <w:tcBorders>
              <w:top w:val="single" w:sz="6" w:space="0" w:color="auto"/>
            </w:tcBorders>
          </w:tcPr>
          <w:p w:rsidR="00534A3D" w:rsidRPr="00792428" w:rsidRDefault="00534A3D" w:rsidP="00386AA0">
            <w:pPr>
              <w:pStyle w:val="TableUnitsRow"/>
              <w:keepLines w:val="0"/>
            </w:pPr>
          </w:p>
        </w:tc>
        <w:tc>
          <w:tcPr>
            <w:tcW w:w="446" w:type="pct"/>
            <w:tcBorders>
              <w:top w:val="single" w:sz="6" w:space="0" w:color="auto"/>
            </w:tcBorders>
          </w:tcPr>
          <w:p w:rsidR="00534A3D" w:rsidRPr="00792428" w:rsidRDefault="00534A3D" w:rsidP="00386AA0">
            <w:pPr>
              <w:pStyle w:val="TableUnitsRow"/>
              <w:keepLines w:val="0"/>
            </w:pPr>
          </w:p>
        </w:tc>
        <w:tc>
          <w:tcPr>
            <w:tcW w:w="445" w:type="pct"/>
            <w:tcBorders>
              <w:top w:val="single" w:sz="6" w:space="0" w:color="auto"/>
            </w:tcBorders>
          </w:tcPr>
          <w:p w:rsidR="00534A3D" w:rsidRPr="00792428" w:rsidRDefault="00534A3D" w:rsidP="00386AA0">
            <w:pPr>
              <w:pStyle w:val="TableUnitsRow"/>
              <w:keepLines w:val="0"/>
            </w:pPr>
          </w:p>
        </w:tc>
        <w:tc>
          <w:tcPr>
            <w:tcW w:w="446" w:type="pct"/>
            <w:tcBorders>
              <w:top w:val="single" w:sz="6" w:space="0" w:color="auto"/>
            </w:tcBorders>
          </w:tcPr>
          <w:p w:rsidR="00534A3D" w:rsidRPr="00792428" w:rsidRDefault="00534A3D" w:rsidP="00386AA0">
            <w:pPr>
              <w:pStyle w:val="TableUnitsRow"/>
              <w:keepLines w:val="0"/>
            </w:pPr>
          </w:p>
        </w:tc>
        <w:tc>
          <w:tcPr>
            <w:tcW w:w="443" w:type="pct"/>
            <w:tcBorders>
              <w:top w:val="single" w:sz="6" w:space="0" w:color="auto"/>
            </w:tcBorders>
          </w:tcPr>
          <w:p w:rsidR="00534A3D" w:rsidRPr="00792428" w:rsidRDefault="00534A3D" w:rsidP="00386AA0">
            <w:pPr>
              <w:pStyle w:val="TableUnitsRow"/>
              <w:keepLines w:val="0"/>
              <w:ind w:right="28"/>
            </w:pPr>
          </w:p>
        </w:tc>
      </w:tr>
      <w:tr w:rsidR="00E067C2" w:rsidRPr="00792428" w:rsidTr="00467E94">
        <w:tc>
          <w:tcPr>
            <w:tcW w:w="987" w:type="pct"/>
          </w:tcPr>
          <w:p w:rsidR="00E067C2" w:rsidRPr="00792428" w:rsidRDefault="00E067C2" w:rsidP="00386AA0">
            <w:pPr>
              <w:pStyle w:val="TableBodyText"/>
              <w:keepLines w:val="0"/>
              <w:ind w:left="136"/>
              <w:jc w:val="left"/>
            </w:pPr>
            <w:r w:rsidRPr="00792428">
              <w:t>Primary</w:t>
            </w:r>
          </w:p>
        </w:tc>
        <w:tc>
          <w:tcPr>
            <w:tcW w:w="455" w:type="pct"/>
            <w:vAlign w:val="center"/>
          </w:tcPr>
          <w:p w:rsidR="00E067C2" w:rsidRDefault="00E067C2" w:rsidP="00E067C2">
            <w:pPr>
              <w:pStyle w:val="TableBodyText"/>
            </w:pPr>
            <w:r>
              <w:t>1</w:t>
            </w:r>
            <w:r w:rsidR="00CC06F0">
              <w:t> </w:t>
            </w:r>
            <w:r>
              <w:t>618</w:t>
            </w:r>
          </w:p>
        </w:tc>
        <w:tc>
          <w:tcPr>
            <w:tcW w:w="442" w:type="pct"/>
            <w:vAlign w:val="center"/>
          </w:tcPr>
          <w:p w:rsidR="00E067C2" w:rsidRDefault="00E067C2" w:rsidP="00E067C2">
            <w:pPr>
              <w:pStyle w:val="TableBodyText"/>
            </w:pPr>
            <w:r>
              <w:t>1</w:t>
            </w:r>
            <w:r w:rsidR="00CC06F0">
              <w:t> </w:t>
            </w:r>
            <w:r>
              <w:t>130</w:t>
            </w:r>
          </w:p>
        </w:tc>
        <w:tc>
          <w:tcPr>
            <w:tcW w:w="445" w:type="pct"/>
            <w:vAlign w:val="center"/>
          </w:tcPr>
          <w:p w:rsidR="00E067C2" w:rsidRDefault="00E067C2" w:rsidP="00E067C2">
            <w:pPr>
              <w:pStyle w:val="TableBodyText"/>
            </w:pPr>
            <w:r>
              <w:t>920</w:t>
            </w:r>
          </w:p>
        </w:tc>
        <w:tc>
          <w:tcPr>
            <w:tcW w:w="446" w:type="pct"/>
            <w:vAlign w:val="center"/>
          </w:tcPr>
          <w:p w:rsidR="00E067C2" w:rsidRDefault="00E067C2" w:rsidP="00E067C2">
            <w:pPr>
              <w:pStyle w:val="TableBodyText"/>
            </w:pPr>
            <w:r>
              <w:t>517</w:t>
            </w:r>
          </w:p>
        </w:tc>
        <w:tc>
          <w:tcPr>
            <w:tcW w:w="445" w:type="pct"/>
            <w:vAlign w:val="center"/>
          </w:tcPr>
          <w:p w:rsidR="00E067C2" w:rsidRDefault="00E067C2" w:rsidP="00E067C2">
            <w:pPr>
              <w:pStyle w:val="TableBodyText"/>
            </w:pPr>
            <w:r>
              <w:t>368</w:t>
            </w:r>
          </w:p>
        </w:tc>
        <w:tc>
          <w:tcPr>
            <w:tcW w:w="446" w:type="pct"/>
            <w:vAlign w:val="center"/>
          </w:tcPr>
          <w:p w:rsidR="00E067C2" w:rsidRDefault="00E067C2" w:rsidP="00E067C2">
            <w:pPr>
              <w:pStyle w:val="TableBodyText"/>
            </w:pPr>
            <w:r>
              <w:t>131</w:t>
            </w:r>
          </w:p>
        </w:tc>
        <w:tc>
          <w:tcPr>
            <w:tcW w:w="445" w:type="pct"/>
            <w:vAlign w:val="center"/>
          </w:tcPr>
          <w:p w:rsidR="00E067C2" w:rsidRDefault="00E067C2" w:rsidP="00E067C2">
            <w:pPr>
              <w:pStyle w:val="TableBodyText"/>
            </w:pPr>
            <w:r>
              <w:t>55</w:t>
            </w:r>
          </w:p>
        </w:tc>
        <w:tc>
          <w:tcPr>
            <w:tcW w:w="446" w:type="pct"/>
            <w:vAlign w:val="center"/>
          </w:tcPr>
          <w:p w:rsidR="00E067C2" w:rsidRDefault="00E067C2" w:rsidP="00E067C2">
            <w:pPr>
              <w:pStyle w:val="TableBodyText"/>
            </w:pPr>
            <w:r>
              <w:t>63</w:t>
            </w:r>
          </w:p>
        </w:tc>
        <w:tc>
          <w:tcPr>
            <w:tcW w:w="443" w:type="pct"/>
          </w:tcPr>
          <w:p w:rsidR="00E067C2" w:rsidRPr="0016394E" w:rsidRDefault="00E067C2" w:rsidP="00E067C2">
            <w:pPr>
              <w:pStyle w:val="TableBodyText"/>
              <w:ind w:right="28"/>
            </w:pPr>
            <w:r w:rsidRPr="0016394E">
              <w:t>4</w:t>
            </w:r>
            <w:r w:rsidR="00CC06F0">
              <w:t> </w:t>
            </w:r>
            <w:r w:rsidRPr="0016394E">
              <w:t>802</w:t>
            </w:r>
          </w:p>
        </w:tc>
      </w:tr>
      <w:tr w:rsidR="00E067C2" w:rsidRPr="00792428" w:rsidTr="00467E94">
        <w:tc>
          <w:tcPr>
            <w:tcW w:w="987" w:type="pct"/>
          </w:tcPr>
          <w:p w:rsidR="00E067C2" w:rsidRPr="00792428" w:rsidRDefault="00E067C2" w:rsidP="00386AA0">
            <w:pPr>
              <w:pStyle w:val="TableBodyText"/>
              <w:ind w:left="136"/>
              <w:jc w:val="left"/>
            </w:pPr>
            <w:r w:rsidRPr="00792428">
              <w:t>Secondary</w:t>
            </w:r>
          </w:p>
        </w:tc>
        <w:tc>
          <w:tcPr>
            <w:tcW w:w="455" w:type="pct"/>
            <w:vAlign w:val="center"/>
          </w:tcPr>
          <w:p w:rsidR="00E067C2" w:rsidRDefault="00E067C2" w:rsidP="00E067C2">
            <w:pPr>
              <w:pStyle w:val="TableBodyText"/>
            </w:pPr>
            <w:r>
              <w:t>370</w:t>
            </w:r>
          </w:p>
        </w:tc>
        <w:tc>
          <w:tcPr>
            <w:tcW w:w="442" w:type="pct"/>
            <w:vAlign w:val="center"/>
          </w:tcPr>
          <w:p w:rsidR="00E067C2" w:rsidRDefault="00E067C2" w:rsidP="00E067C2">
            <w:pPr>
              <w:pStyle w:val="TableBodyText"/>
            </w:pPr>
            <w:r>
              <w:t>239</w:t>
            </w:r>
          </w:p>
        </w:tc>
        <w:tc>
          <w:tcPr>
            <w:tcW w:w="445" w:type="pct"/>
            <w:vAlign w:val="center"/>
          </w:tcPr>
          <w:p w:rsidR="00E067C2" w:rsidRDefault="00E067C2" w:rsidP="00E067C2">
            <w:pPr>
              <w:pStyle w:val="TableBodyText"/>
            </w:pPr>
            <w:r>
              <w:t>182</w:t>
            </w:r>
          </w:p>
        </w:tc>
        <w:tc>
          <w:tcPr>
            <w:tcW w:w="446" w:type="pct"/>
            <w:vAlign w:val="center"/>
          </w:tcPr>
          <w:p w:rsidR="00E067C2" w:rsidRDefault="00E067C2" w:rsidP="00E067C2">
            <w:pPr>
              <w:pStyle w:val="TableBodyText"/>
            </w:pPr>
            <w:r>
              <w:t>97</w:t>
            </w:r>
          </w:p>
        </w:tc>
        <w:tc>
          <w:tcPr>
            <w:tcW w:w="445" w:type="pct"/>
            <w:vAlign w:val="center"/>
          </w:tcPr>
          <w:p w:rsidR="00E067C2" w:rsidRDefault="00E067C2" w:rsidP="00E067C2">
            <w:pPr>
              <w:pStyle w:val="TableBodyText"/>
            </w:pPr>
            <w:r>
              <w:t>66</w:t>
            </w:r>
          </w:p>
        </w:tc>
        <w:tc>
          <w:tcPr>
            <w:tcW w:w="446" w:type="pct"/>
            <w:vAlign w:val="center"/>
          </w:tcPr>
          <w:p w:rsidR="00E067C2" w:rsidRDefault="00E067C2" w:rsidP="00E067C2">
            <w:pPr>
              <w:pStyle w:val="TableBodyText"/>
            </w:pPr>
            <w:r>
              <w:t>38</w:t>
            </w:r>
          </w:p>
        </w:tc>
        <w:tc>
          <w:tcPr>
            <w:tcW w:w="445" w:type="pct"/>
            <w:vAlign w:val="center"/>
          </w:tcPr>
          <w:p w:rsidR="00E067C2" w:rsidRDefault="00E067C2" w:rsidP="00E067C2">
            <w:pPr>
              <w:pStyle w:val="TableBodyText"/>
            </w:pPr>
            <w:r>
              <w:t>18</w:t>
            </w:r>
          </w:p>
        </w:tc>
        <w:tc>
          <w:tcPr>
            <w:tcW w:w="446" w:type="pct"/>
            <w:vAlign w:val="center"/>
          </w:tcPr>
          <w:p w:rsidR="00E067C2" w:rsidRDefault="00E067C2" w:rsidP="00E067C2">
            <w:pPr>
              <w:pStyle w:val="TableBodyText"/>
            </w:pPr>
            <w:r>
              <w:t>15</w:t>
            </w:r>
          </w:p>
        </w:tc>
        <w:tc>
          <w:tcPr>
            <w:tcW w:w="443" w:type="pct"/>
          </w:tcPr>
          <w:p w:rsidR="00E067C2" w:rsidRPr="0016394E" w:rsidRDefault="00E067C2" w:rsidP="00E067C2">
            <w:pPr>
              <w:pStyle w:val="TableBodyText"/>
              <w:ind w:right="28"/>
            </w:pPr>
            <w:r w:rsidRPr="0016394E">
              <w:t>1</w:t>
            </w:r>
            <w:r w:rsidR="00CC06F0">
              <w:t> </w:t>
            </w:r>
            <w:r w:rsidRPr="0016394E">
              <w:t>025</w:t>
            </w:r>
          </w:p>
        </w:tc>
      </w:tr>
      <w:tr w:rsidR="00E067C2" w:rsidRPr="00792428" w:rsidTr="00467E94">
        <w:tc>
          <w:tcPr>
            <w:tcW w:w="987" w:type="pct"/>
          </w:tcPr>
          <w:p w:rsidR="00E067C2" w:rsidRPr="00792428" w:rsidRDefault="00E067C2" w:rsidP="00386AA0">
            <w:pPr>
              <w:pStyle w:val="TableBodyText"/>
              <w:ind w:left="136"/>
              <w:jc w:val="left"/>
            </w:pPr>
            <w:r w:rsidRPr="00792428">
              <w:t>Combined</w:t>
            </w:r>
            <w:r w:rsidRPr="00792428">
              <w:rPr>
                <w:rStyle w:val="NoteLabel"/>
              </w:rPr>
              <w:t>b</w:t>
            </w:r>
          </w:p>
        </w:tc>
        <w:tc>
          <w:tcPr>
            <w:tcW w:w="455" w:type="pct"/>
            <w:vAlign w:val="center"/>
          </w:tcPr>
          <w:p w:rsidR="00E067C2" w:rsidRDefault="00E067C2" w:rsidP="00E067C2">
            <w:pPr>
              <w:pStyle w:val="TableBodyText"/>
            </w:pPr>
            <w:r>
              <w:t>66</w:t>
            </w:r>
          </w:p>
        </w:tc>
        <w:tc>
          <w:tcPr>
            <w:tcW w:w="442" w:type="pct"/>
            <w:vAlign w:val="center"/>
          </w:tcPr>
          <w:p w:rsidR="00E067C2" w:rsidRDefault="00E067C2" w:rsidP="00E067C2">
            <w:pPr>
              <w:pStyle w:val="TableBodyText"/>
            </w:pPr>
            <w:r>
              <w:t>79</w:t>
            </w:r>
          </w:p>
        </w:tc>
        <w:tc>
          <w:tcPr>
            <w:tcW w:w="445" w:type="pct"/>
            <w:vAlign w:val="center"/>
          </w:tcPr>
          <w:p w:rsidR="00E067C2" w:rsidRDefault="00E067C2" w:rsidP="00E067C2">
            <w:pPr>
              <w:pStyle w:val="TableBodyText"/>
            </w:pPr>
            <w:r>
              <w:t>90</w:t>
            </w:r>
          </w:p>
        </w:tc>
        <w:tc>
          <w:tcPr>
            <w:tcW w:w="446" w:type="pct"/>
            <w:vAlign w:val="center"/>
          </w:tcPr>
          <w:p w:rsidR="00E067C2" w:rsidRDefault="00E067C2" w:rsidP="00E067C2">
            <w:pPr>
              <w:pStyle w:val="TableBodyText"/>
            </w:pPr>
            <w:r>
              <w:t>90</w:t>
            </w:r>
          </w:p>
        </w:tc>
        <w:tc>
          <w:tcPr>
            <w:tcW w:w="445" w:type="pct"/>
            <w:vAlign w:val="center"/>
          </w:tcPr>
          <w:p w:rsidR="00E067C2" w:rsidRDefault="00E067C2" w:rsidP="00E067C2">
            <w:pPr>
              <w:pStyle w:val="TableBodyText"/>
            </w:pPr>
            <w:r>
              <w:t>75</w:t>
            </w:r>
          </w:p>
        </w:tc>
        <w:tc>
          <w:tcPr>
            <w:tcW w:w="446" w:type="pct"/>
            <w:vAlign w:val="center"/>
          </w:tcPr>
          <w:p w:rsidR="00E067C2" w:rsidRDefault="00E067C2" w:rsidP="00E067C2">
            <w:pPr>
              <w:pStyle w:val="TableBodyText"/>
            </w:pPr>
            <w:r>
              <w:t>25</w:t>
            </w:r>
          </w:p>
        </w:tc>
        <w:tc>
          <w:tcPr>
            <w:tcW w:w="445" w:type="pct"/>
            <w:vAlign w:val="center"/>
          </w:tcPr>
          <w:p w:rsidR="00E067C2" w:rsidRDefault="00E067C2" w:rsidP="00E067C2">
            <w:pPr>
              <w:pStyle w:val="TableBodyText"/>
            </w:pPr>
            <w:r>
              <w:t>9</w:t>
            </w:r>
          </w:p>
        </w:tc>
        <w:tc>
          <w:tcPr>
            <w:tcW w:w="446" w:type="pct"/>
            <w:vAlign w:val="center"/>
          </w:tcPr>
          <w:p w:rsidR="00E067C2" w:rsidRDefault="00E067C2" w:rsidP="00E067C2">
            <w:pPr>
              <w:pStyle w:val="TableBodyText"/>
            </w:pPr>
            <w:r>
              <w:t>71</w:t>
            </w:r>
          </w:p>
        </w:tc>
        <w:tc>
          <w:tcPr>
            <w:tcW w:w="443" w:type="pct"/>
          </w:tcPr>
          <w:p w:rsidR="00E067C2" w:rsidRPr="0016394E" w:rsidRDefault="00E067C2" w:rsidP="00E067C2">
            <w:pPr>
              <w:pStyle w:val="TableBodyText"/>
              <w:ind w:right="28"/>
            </w:pPr>
            <w:r w:rsidRPr="0016394E">
              <w:t>505</w:t>
            </w:r>
          </w:p>
        </w:tc>
      </w:tr>
      <w:tr w:rsidR="00E067C2" w:rsidRPr="00792428" w:rsidTr="00467E94">
        <w:tc>
          <w:tcPr>
            <w:tcW w:w="987" w:type="pct"/>
          </w:tcPr>
          <w:p w:rsidR="00E067C2" w:rsidRPr="00792428" w:rsidRDefault="00E067C2" w:rsidP="00386AA0">
            <w:pPr>
              <w:pStyle w:val="TableBodyText"/>
              <w:ind w:left="136"/>
              <w:jc w:val="left"/>
            </w:pPr>
            <w:r w:rsidRPr="00792428">
              <w:t>Special schools</w:t>
            </w:r>
            <w:r w:rsidRPr="00792428">
              <w:rPr>
                <w:rStyle w:val="NoteLabel"/>
              </w:rPr>
              <w:t>c</w:t>
            </w:r>
          </w:p>
        </w:tc>
        <w:tc>
          <w:tcPr>
            <w:tcW w:w="455" w:type="pct"/>
            <w:vAlign w:val="center"/>
          </w:tcPr>
          <w:p w:rsidR="00E067C2" w:rsidRDefault="00E067C2" w:rsidP="00E067C2">
            <w:pPr>
              <w:pStyle w:val="TableBodyText"/>
            </w:pPr>
            <w:r>
              <w:t>110</w:t>
            </w:r>
          </w:p>
        </w:tc>
        <w:tc>
          <w:tcPr>
            <w:tcW w:w="442" w:type="pct"/>
            <w:vAlign w:val="center"/>
          </w:tcPr>
          <w:p w:rsidR="00E067C2" w:rsidRDefault="00E067C2" w:rsidP="00E067C2">
            <w:pPr>
              <w:pStyle w:val="TableBodyText"/>
            </w:pPr>
            <w:r>
              <w:t>78</w:t>
            </w:r>
          </w:p>
        </w:tc>
        <w:tc>
          <w:tcPr>
            <w:tcW w:w="445" w:type="pct"/>
            <w:vAlign w:val="center"/>
          </w:tcPr>
          <w:p w:rsidR="00E067C2" w:rsidRDefault="00E067C2" w:rsidP="00E067C2">
            <w:pPr>
              <w:pStyle w:val="TableBodyText"/>
            </w:pPr>
            <w:r>
              <w:t>46</w:t>
            </w:r>
          </w:p>
        </w:tc>
        <w:tc>
          <w:tcPr>
            <w:tcW w:w="446" w:type="pct"/>
            <w:vAlign w:val="center"/>
          </w:tcPr>
          <w:p w:rsidR="00E067C2" w:rsidRDefault="00E067C2" w:rsidP="00E067C2">
            <w:pPr>
              <w:pStyle w:val="TableBodyText"/>
            </w:pPr>
            <w:r>
              <w:t>64</w:t>
            </w:r>
          </w:p>
        </w:tc>
        <w:tc>
          <w:tcPr>
            <w:tcW w:w="445" w:type="pct"/>
            <w:vAlign w:val="center"/>
          </w:tcPr>
          <w:p w:rsidR="00E067C2" w:rsidRDefault="00E067C2" w:rsidP="00E067C2">
            <w:pPr>
              <w:pStyle w:val="TableBodyText"/>
            </w:pPr>
            <w:r>
              <w:t>18</w:t>
            </w:r>
          </w:p>
        </w:tc>
        <w:tc>
          <w:tcPr>
            <w:tcW w:w="446" w:type="pct"/>
            <w:vAlign w:val="center"/>
          </w:tcPr>
          <w:p w:rsidR="00E067C2" w:rsidRDefault="00E067C2" w:rsidP="00E067C2">
            <w:pPr>
              <w:pStyle w:val="TableBodyText"/>
            </w:pPr>
            <w:r>
              <w:t>4</w:t>
            </w:r>
          </w:p>
        </w:tc>
        <w:tc>
          <w:tcPr>
            <w:tcW w:w="445" w:type="pct"/>
            <w:vAlign w:val="center"/>
          </w:tcPr>
          <w:p w:rsidR="00E067C2" w:rsidRDefault="00E067C2" w:rsidP="00E067C2">
            <w:pPr>
              <w:pStyle w:val="TableBodyText"/>
            </w:pPr>
            <w:r>
              <w:t>4</w:t>
            </w:r>
          </w:p>
        </w:tc>
        <w:tc>
          <w:tcPr>
            <w:tcW w:w="446" w:type="pct"/>
            <w:vAlign w:val="center"/>
          </w:tcPr>
          <w:p w:rsidR="00E067C2" w:rsidRDefault="00E067C2" w:rsidP="00E067C2">
            <w:pPr>
              <w:pStyle w:val="TableBodyText"/>
            </w:pPr>
            <w:r>
              <w:t>5</w:t>
            </w:r>
          </w:p>
        </w:tc>
        <w:tc>
          <w:tcPr>
            <w:tcW w:w="443" w:type="pct"/>
          </w:tcPr>
          <w:p w:rsidR="00E067C2" w:rsidRPr="0016394E" w:rsidRDefault="00E067C2" w:rsidP="00E067C2">
            <w:pPr>
              <w:pStyle w:val="TableBodyText"/>
              <w:ind w:right="28"/>
            </w:pPr>
            <w:r w:rsidRPr="0016394E">
              <w:t>329</w:t>
            </w:r>
          </w:p>
        </w:tc>
      </w:tr>
      <w:tr w:rsidR="00E067C2" w:rsidRPr="00792428" w:rsidTr="00467E94">
        <w:tc>
          <w:tcPr>
            <w:tcW w:w="987" w:type="pct"/>
          </w:tcPr>
          <w:p w:rsidR="00E067C2" w:rsidRPr="00792428" w:rsidRDefault="00E067C2" w:rsidP="00386AA0">
            <w:pPr>
              <w:pStyle w:val="TableBodyText"/>
              <w:ind w:left="136"/>
              <w:jc w:val="left"/>
              <w:rPr>
                <w:b/>
              </w:rPr>
            </w:pPr>
            <w:r w:rsidRPr="00792428">
              <w:rPr>
                <w:b/>
              </w:rPr>
              <w:t>Total</w:t>
            </w:r>
          </w:p>
        </w:tc>
        <w:tc>
          <w:tcPr>
            <w:tcW w:w="455" w:type="pct"/>
            <w:vAlign w:val="center"/>
          </w:tcPr>
          <w:p w:rsidR="00E067C2" w:rsidRDefault="00E067C2" w:rsidP="00E067C2">
            <w:pPr>
              <w:pStyle w:val="TableBodyText"/>
              <w:rPr>
                <w:b/>
                <w:bCs/>
              </w:rPr>
            </w:pPr>
            <w:r>
              <w:rPr>
                <w:b/>
                <w:bCs/>
              </w:rPr>
              <w:t>2</w:t>
            </w:r>
            <w:r w:rsidR="00CC06F0">
              <w:rPr>
                <w:b/>
                <w:bCs/>
              </w:rPr>
              <w:t> </w:t>
            </w:r>
            <w:r>
              <w:rPr>
                <w:b/>
                <w:bCs/>
              </w:rPr>
              <w:t>164</w:t>
            </w:r>
          </w:p>
        </w:tc>
        <w:tc>
          <w:tcPr>
            <w:tcW w:w="442" w:type="pct"/>
            <w:vAlign w:val="center"/>
          </w:tcPr>
          <w:p w:rsidR="00E067C2" w:rsidRDefault="00E067C2" w:rsidP="00E067C2">
            <w:pPr>
              <w:pStyle w:val="TableBodyText"/>
              <w:rPr>
                <w:b/>
                <w:bCs/>
              </w:rPr>
            </w:pPr>
            <w:r>
              <w:rPr>
                <w:b/>
                <w:bCs/>
              </w:rPr>
              <w:t>1</w:t>
            </w:r>
            <w:r w:rsidR="00CC06F0">
              <w:rPr>
                <w:b/>
                <w:bCs/>
              </w:rPr>
              <w:t> </w:t>
            </w:r>
            <w:r>
              <w:rPr>
                <w:b/>
                <w:bCs/>
              </w:rPr>
              <w:t>526</w:t>
            </w:r>
          </w:p>
        </w:tc>
        <w:tc>
          <w:tcPr>
            <w:tcW w:w="445" w:type="pct"/>
            <w:vAlign w:val="center"/>
          </w:tcPr>
          <w:p w:rsidR="00E067C2" w:rsidRDefault="00E067C2" w:rsidP="00E067C2">
            <w:pPr>
              <w:pStyle w:val="TableBodyText"/>
              <w:rPr>
                <w:b/>
                <w:bCs/>
              </w:rPr>
            </w:pPr>
            <w:r>
              <w:rPr>
                <w:b/>
                <w:bCs/>
              </w:rPr>
              <w:t>1</w:t>
            </w:r>
            <w:r w:rsidR="00CC06F0">
              <w:rPr>
                <w:b/>
                <w:bCs/>
              </w:rPr>
              <w:t> </w:t>
            </w:r>
            <w:r>
              <w:rPr>
                <w:b/>
                <w:bCs/>
              </w:rPr>
              <w:t>238</w:t>
            </w:r>
          </w:p>
        </w:tc>
        <w:tc>
          <w:tcPr>
            <w:tcW w:w="446" w:type="pct"/>
            <w:vAlign w:val="center"/>
          </w:tcPr>
          <w:p w:rsidR="00E067C2" w:rsidRDefault="00E067C2" w:rsidP="00E067C2">
            <w:pPr>
              <w:pStyle w:val="TableBodyText"/>
              <w:rPr>
                <w:b/>
                <w:bCs/>
              </w:rPr>
            </w:pPr>
            <w:r>
              <w:rPr>
                <w:b/>
                <w:bCs/>
              </w:rPr>
              <w:t>768</w:t>
            </w:r>
          </w:p>
        </w:tc>
        <w:tc>
          <w:tcPr>
            <w:tcW w:w="445" w:type="pct"/>
            <w:vAlign w:val="center"/>
          </w:tcPr>
          <w:p w:rsidR="00E067C2" w:rsidRDefault="00E067C2" w:rsidP="00E067C2">
            <w:pPr>
              <w:pStyle w:val="TableBodyText"/>
              <w:rPr>
                <w:b/>
                <w:bCs/>
              </w:rPr>
            </w:pPr>
            <w:r>
              <w:rPr>
                <w:b/>
                <w:bCs/>
              </w:rPr>
              <w:t>527</w:t>
            </w:r>
          </w:p>
        </w:tc>
        <w:tc>
          <w:tcPr>
            <w:tcW w:w="446" w:type="pct"/>
            <w:vAlign w:val="center"/>
          </w:tcPr>
          <w:p w:rsidR="00E067C2" w:rsidRDefault="00E067C2" w:rsidP="00E067C2">
            <w:pPr>
              <w:pStyle w:val="TableBodyText"/>
              <w:rPr>
                <w:b/>
                <w:bCs/>
              </w:rPr>
            </w:pPr>
            <w:r>
              <w:rPr>
                <w:b/>
                <w:bCs/>
              </w:rPr>
              <w:t>198</w:t>
            </w:r>
          </w:p>
        </w:tc>
        <w:tc>
          <w:tcPr>
            <w:tcW w:w="445" w:type="pct"/>
            <w:vAlign w:val="center"/>
          </w:tcPr>
          <w:p w:rsidR="00E067C2" w:rsidRDefault="00E067C2" w:rsidP="00E067C2">
            <w:pPr>
              <w:pStyle w:val="TableBodyText"/>
              <w:rPr>
                <w:b/>
                <w:bCs/>
              </w:rPr>
            </w:pPr>
            <w:r>
              <w:rPr>
                <w:b/>
                <w:bCs/>
              </w:rPr>
              <w:t>86</w:t>
            </w:r>
          </w:p>
        </w:tc>
        <w:tc>
          <w:tcPr>
            <w:tcW w:w="446" w:type="pct"/>
            <w:vAlign w:val="center"/>
          </w:tcPr>
          <w:p w:rsidR="00E067C2" w:rsidRDefault="00E067C2" w:rsidP="00E067C2">
            <w:pPr>
              <w:pStyle w:val="TableBodyText"/>
              <w:rPr>
                <w:b/>
                <w:bCs/>
              </w:rPr>
            </w:pPr>
            <w:r>
              <w:rPr>
                <w:b/>
                <w:bCs/>
              </w:rPr>
              <w:t>154</w:t>
            </w:r>
          </w:p>
        </w:tc>
        <w:tc>
          <w:tcPr>
            <w:tcW w:w="443" w:type="pct"/>
            <w:vAlign w:val="center"/>
          </w:tcPr>
          <w:p w:rsidR="00E067C2" w:rsidRPr="00E067C2" w:rsidRDefault="00E067C2" w:rsidP="00E067C2">
            <w:pPr>
              <w:pStyle w:val="TableBodyText"/>
              <w:ind w:right="28"/>
              <w:rPr>
                <w:b/>
              </w:rPr>
            </w:pPr>
            <w:r w:rsidRPr="00E067C2">
              <w:rPr>
                <w:b/>
              </w:rPr>
              <w:t>6</w:t>
            </w:r>
            <w:r w:rsidR="00CC06F0">
              <w:rPr>
                <w:b/>
              </w:rPr>
              <w:t> </w:t>
            </w:r>
            <w:r w:rsidRPr="00E067C2">
              <w:rPr>
                <w:b/>
              </w:rPr>
              <w:t>661</w:t>
            </w:r>
          </w:p>
        </w:tc>
      </w:tr>
      <w:tr w:rsidR="00792428" w:rsidRPr="00792428" w:rsidTr="00534A3D">
        <w:tc>
          <w:tcPr>
            <w:tcW w:w="1884" w:type="pct"/>
            <w:gridSpan w:val="3"/>
            <w:vAlign w:val="center"/>
          </w:tcPr>
          <w:p w:rsidR="00534A3D" w:rsidRPr="00792428" w:rsidRDefault="00534A3D" w:rsidP="00386AA0">
            <w:pPr>
              <w:pStyle w:val="TableBodyText"/>
              <w:jc w:val="left"/>
            </w:pPr>
            <w:r w:rsidRPr="00792428">
              <w:t>Non</w:t>
            </w:r>
            <w:r w:rsidRPr="00792428">
              <w:noBreakHyphen/>
              <w:t>government schools (no.)</w:t>
            </w:r>
          </w:p>
        </w:tc>
        <w:tc>
          <w:tcPr>
            <w:tcW w:w="445" w:type="pct"/>
          </w:tcPr>
          <w:p w:rsidR="00534A3D" w:rsidRPr="00792428" w:rsidRDefault="00534A3D" w:rsidP="00386AA0">
            <w:pPr>
              <w:pStyle w:val="TableBodyText"/>
            </w:pPr>
          </w:p>
        </w:tc>
        <w:tc>
          <w:tcPr>
            <w:tcW w:w="446" w:type="pct"/>
          </w:tcPr>
          <w:p w:rsidR="00534A3D" w:rsidRPr="00792428" w:rsidRDefault="00534A3D" w:rsidP="00386AA0">
            <w:pPr>
              <w:pStyle w:val="TableBodyText"/>
            </w:pPr>
          </w:p>
        </w:tc>
        <w:tc>
          <w:tcPr>
            <w:tcW w:w="445" w:type="pct"/>
          </w:tcPr>
          <w:p w:rsidR="00534A3D" w:rsidRPr="00792428" w:rsidRDefault="00534A3D" w:rsidP="00386AA0">
            <w:pPr>
              <w:pStyle w:val="TableBodyText"/>
            </w:pPr>
          </w:p>
        </w:tc>
        <w:tc>
          <w:tcPr>
            <w:tcW w:w="446" w:type="pct"/>
          </w:tcPr>
          <w:p w:rsidR="00534A3D" w:rsidRPr="00792428" w:rsidRDefault="00534A3D" w:rsidP="00386AA0">
            <w:pPr>
              <w:pStyle w:val="TableBodyText"/>
            </w:pPr>
          </w:p>
        </w:tc>
        <w:tc>
          <w:tcPr>
            <w:tcW w:w="445" w:type="pct"/>
          </w:tcPr>
          <w:p w:rsidR="00534A3D" w:rsidRPr="00792428" w:rsidRDefault="00534A3D" w:rsidP="00386AA0">
            <w:pPr>
              <w:pStyle w:val="TableBodyText"/>
            </w:pPr>
          </w:p>
        </w:tc>
        <w:tc>
          <w:tcPr>
            <w:tcW w:w="446" w:type="pct"/>
          </w:tcPr>
          <w:p w:rsidR="00534A3D" w:rsidRPr="00792428" w:rsidRDefault="00534A3D" w:rsidP="00386AA0">
            <w:pPr>
              <w:pStyle w:val="TableBodyText"/>
            </w:pPr>
          </w:p>
        </w:tc>
        <w:tc>
          <w:tcPr>
            <w:tcW w:w="443" w:type="pct"/>
          </w:tcPr>
          <w:p w:rsidR="00534A3D" w:rsidRPr="00792428" w:rsidRDefault="00534A3D" w:rsidP="00386AA0">
            <w:pPr>
              <w:pStyle w:val="TableBodyText"/>
              <w:ind w:right="28"/>
            </w:pPr>
          </w:p>
        </w:tc>
      </w:tr>
      <w:tr w:rsidR="00E067C2" w:rsidRPr="00792428" w:rsidTr="00467E94">
        <w:tc>
          <w:tcPr>
            <w:tcW w:w="987" w:type="pct"/>
          </w:tcPr>
          <w:p w:rsidR="00E067C2" w:rsidRPr="00792428" w:rsidRDefault="00E067C2" w:rsidP="00386AA0">
            <w:pPr>
              <w:pStyle w:val="TableBodyText"/>
              <w:ind w:left="136"/>
              <w:jc w:val="left"/>
            </w:pPr>
            <w:r w:rsidRPr="00792428">
              <w:t>Primary</w:t>
            </w:r>
          </w:p>
        </w:tc>
        <w:tc>
          <w:tcPr>
            <w:tcW w:w="455" w:type="pct"/>
            <w:vAlign w:val="center"/>
          </w:tcPr>
          <w:p w:rsidR="00E067C2" w:rsidRPr="00E067C2" w:rsidRDefault="00E067C2" w:rsidP="00E067C2">
            <w:pPr>
              <w:pStyle w:val="TableBodyText"/>
            </w:pPr>
            <w:r w:rsidRPr="00E067C2">
              <w:t>489</w:t>
            </w:r>
          </w:p>
        </w:tc>
        <w:tc>
          <w:tcPr>
            <w:tcW w:w="442" w:type="pct"/>
            <w:vAlign w:val="center"/>
          </w:tcPr>
          <w:p w:rsidR="00E067C2" w:rsidRPr="00E067C2" w:rsidRDefault="00E067C2" w:rsidP="00E067C2">
            <w:pPr>
              <w:pStyle w:val="TableBodyText"/>
            </w:pPr>
            <w:r w:rsidRPr="00E067C2">
              <w:t>422</w:t>
            </w:r>
          </w:p>
        </w:tc>
        <w:tc>
          <w:tcPr>
            <w:tcW w:w="445" w:type="pct"/>
            <w:vAlign w:val="center"/>
          </w:tcPr>
          <w:p w:rsidR="00E067C2" w:rsidRPr="00E067C2" w:rsidRDefault="00E067C2" w:rsidP="00E067C2">
            <w:pPr>
              <w:pStyle w:val="TableBodyText"/>
            </w:pPr>
            <w:r w:rsidRPr="00E067C2">
              <w:t>230</w:t>
            </w:r>
          </w:p>
        </w:tc>
        <w:tc>
          <w:tcPr>
            <w:tcW w:w="446" w:type="pct"/>
            <w:vAlign w:val="center"/>
          </w:tcPr>
          <w:p w:rsidR="00E067C2" w:rsidRPr="00E067C2" w:rsidRDefault="00E067C2" w:rsidP="00E067C2">
            <w:pPr>
              <w:pStyle w:val="TableBodyText"/>
            </w:pPr>
            <w:r w:rsidRPr="00E067C2">
              <w:t>149</w:t>
            </w:r>
          </w:p>
        </w:tc>
        <w:tc>
          <w:tcPr>
            <w:tcW w:w="445" w:type="pct"/>
            <w:vAlign w:val="center"/>
          </w:tcPr>
          <w:p w:rsidR="00E067C2" w:rsidRPr="00E067C2" w:rsidRDefault="00E067C2" w:rsidP="00E067C2">
            <w:pPr>
              <w:pStyle w:val="TableBodyText"/>
            </w:pPr>
            <w:r w:rsidRPr="00E067C2">
              <w:t>100</w:t>
            </w:r>
          </w:p>
        </w:tc>
        <w:tc>
          <w:tcPr>
            <w:tcW w:w="446" w:type="pct"/>
            <w:vAlign w:val="center"/>
          </w:tcPr>
          <w:p w:rsidR="00E067C2" w:rsidRPr="00E067C2" w:rsidRDefault="00E067C2" w:rsidP="00E067C2">
            <w:pPr>
              <w:pStyle w:val="TableBodyText"/>
            </w:pPr>
            <w:r w:rsidRPr="00E067C2">
              <w:t>28</w:t>
            </w:r>
          </w:p>
        </w:tc>
        <w:tc>
          <w:tcPr>
            <w:tcW w:w="445" w:type="pct"/>
            <w:vAlign w:val="center"/>
          </w:tcPr>
          <w:p w:rsidR="00E067C2" w:rsidRPr="00E067C2" w:rsidRDefault="00E067C2" w:rsidP="00E067C2">
            <w:pPr>
              <w:pStyle w:val="TableBodyText"/>
            </w:pPr>
            <w:r w:rsidRPr="00E067C2">
              <w:t>25</w:t>
            </w:r>
          </w:p>
        </w:tc>
        <w:tc>
          <w:tcPr>
            <w:tcW w:w="446" w:type="pct"/>
            <w:vAlign w:val="center"/>
          </w:tcPr>
          <w:p w:rsidR="00E067C2" w:rsidRPr="00E067C2" w:rsidRDefault="00E067C2" w:rsidP="00E067C2">
            <w:pPr>
              <w:pStyle w:val="TableBodyText"/>
            </w:pPr>
            <w:r w:rsidRPr="00E067C2">
              <w:t>11</w:t>
            </w:r>
          </w:p>
        </w:tc>
        <w:tc>
          <w:tcPr>
            <w:tcW w:w="443" w:type="pct"/>
            <w:vAlign w:val="center"/>
          </w:tcPr>
          <w:p w:rsidR="00E067C2" w:rsidRPr="00E067C2" w:rsidRDefault="00E067C2" w:rsidP="00E067C2">
            <w:pPr>
              <w:pStyle w:val="TableBodyText"/>
              <w:ind w:right="28"/>
            </w:pPr>
            <w:r w:rsidRPr="00E067C2">
              <w:t>1</w:t>
            </w:r>
            <w:r w:rsidR="00CC06F0">
              <w:t> </w:t>
            </w:r>
            <w:r w:rsidRPr="00E067C2">
              <w:t>454</w:t>
            </w:r>
          </w:p>
        </w:tc>
      </w:tr>
      <w:tr w:rsidR="00E067C2" w:rsidRPr="00792428" w:rsidTr="00467E94">
        <w:tc>
          <w:tcPr>
            <w:tcW w:w="987" w:type="pct"/>
          </w:tcPr>
          <w:p w:rsidR="00E067C2" w:rsidRPr="00792428" w:rsidRDefault="00E067C2" w:rsidP="00386AA0">
            <w:pPr>
              <w:pStyle w:val="TableBodyText"/>
              <w:ind w:left="136"/>
              <w:jc w:val="left"/>
            </w:pPr>
            <w:r w:rsidRPr="00792428">
              <w:t>Secondary</w:t>
            </w:r>
          </w:p>
        </w:tc>
        <w:tc>
          <w:tcPr>
            <w:tcW w:w="455" w:type="pct"/>
            <w:vAlign w:val="center"/>
          </w:tcPr>
          <w:p w:rsidR="00E067C2" w:rsidRPr="00E067C2" w:rsidRDefault="00E067C2" w:rsidP="00E067C2">
            <w:pPr>
              <w:pStyle w:val="TableBodyText"/>
            </w:pPr>
            <w:r w:rsidRPr="00E067C2">
              <w:t>145</w:t>
            </w:r>
          </w:p>
        </w:tc>
        <w:tc>
          <w:tcPr>
            <w:tcW w:w="442" w:type="pct"/>
            <w:vAlign w:val="center"/>
          </w:tcPr>
          <w:p w:rsidR="00E067C2" w:rsidRPr="00E067C2" w:rsidRDefault="00E067C2" w:rsidP="00E067C2">
            <w:pPr>
              <w:pStyle w:val="TableBodyText"/>
            </w:pPr>
            <w:r w:rsidRPr="00E067C2">
              <w:t>97</w:t>
            </w:r>
          </w:p>
        </w:tc>
        <w:tc>
          <w:tcPr>
            <w:tcW w:w="445" w:type="pct"/>
            <w:vAlign w:val="center"/>
          </w:tcPr>
          <w:p w:rsidR="00E067C2" w:rsidRPr="00E067C2" w:rsidRDefault="00E067C2" w:rsidP="00E067C2">
            <w:pPr>
              <w:pStyle w:val="TableBodyText"/>
            </w:pPr>
            <w:r w:rsidRPr="00E067C2">
              <w:t>73</w:t>
            </w:r>
          </w:p>
        </w:tc>
        <w:tc>
          <w:tcPr>
            <w:tcW w:w="446" w:type="pct"/>
            <w:vAlign w:val="center"/>
          </w:tcPr>
          <w:p w:rsidR="00E067C2" w:rsidRPr="00E067C2" w:rsidRDefault="00E067C2" w:rsidP="00E067C2">
            <w:pPr>
              <w:pStyle w:val="TableBodyText"/>
            </w:pPr>
            <w:r w:rsidRPr="00E067C2">
              <w:t>7</w:t>
            </w:r>
          </w:p>
        </w:tc>
        <w:tc>
          <w:tcPr>
            <w:tcW w:w="445" w:type="pct"/>
            <w:vAlign w:val="center"/>
          </w:tcPr>
          <w:p w:rsidR="00E067C2" w:rsidRPr="00E067C2" w:rsidRDefault="00E067C2" w:rsidP="00E067C2">
            <w:pPr>
              <w:pStyle w:val="TableBodyText"/>
            </w:pPr>
            <w:r w:rsidRPr="00E067C2">
              <w:t>19</w:t>
            </w:r>
          </w:p>
        </w:tc>
        <w:tc>
          <w:tcPr>
            <w:tcW w:w="446" w:type="pct"/>
            <w:vAlign w:val="center"/>
          </w:tcPr>
          <w:p w:rsidR="00E067C2" w:rsidRPr="00E067C2" w:rsidRDefault="00E067C2" w:rsidP="00E067C2">
            <w:pPr>
              <w:pStyle w:val="TableBodyText"/>
            </w:pPr>
            <w:r w:rsidRPr="00E067C2">
              <w:t>5</w:t>
            </w:r>
          </w:p>
        </w:tc>
        <w:tc>
          <w:tcPr>
            <w:tcW w:w="445" w:type="pct"/>
            <w:vAlign w:val="center"/>
          </w:tcPr>
          <w:p w:rsidR="00E067C2" w:rsidRPr="00E067C2" w:rsidRDefault="00E067C2" w:rsidP="00E067C2">
            <w:pPr>
              <w:pStyle w:val="TableBodyText"/>
            </w:pPr>
            <w:r w:rsidRPr="00E067C2">
              <w:t>5</w:t>
            </w:r>
          </w:p>
        </w:tc>
        <w:tc>
          <w:tcPr>
            <w:tcW w:w="446" w:type="pct"/>
            <w:vAlign w:val="center"/>
          </w:tcPr>
          <w:p w:rsidR="00E067C2" w:rsidRPr="00E067C2" w:rsidRDefault="00E067C2" w:rsidP="00E067C2">
            <w:pPr>
              <w:pStyle w:val="TableBodyText"/>
            </w:pPr>
            <w:r w:rsidRPr="00E067C2">
              <w:t>9</w:t>
            </w:r>
          </w:p>
        </w:tc>
        <w:tc>
          <w:tcPr>
            <w:tcW w:w="443" w:type="pct"/>
            <w:vAlign w:val="center"/>
          </w:tcPr>
          <w:p w:rsidR="00E067C2" w:rsidRPr="00E067C2" w:rsidRDefault="00E067C2" w:rsidP="00E067C2">
            <w:pPr>
              <w:pStyle w:val="TableBodyText"/>
              <w:ind w:right="28"/>
            </w:pPr>
            <w:r w:rsidRPr="00E067C2">
              <w:t>360</w:t>
            </w:r>
          </w:p>
        </w:tc>
      </w:tr>
      <w:tr w:rsidR="00E067C2" w:rsidRPr="00792428" w:rsidTr="00467E94">
        <w:tc>
          <w:tcPr>
            <w:tcW w:w="987" w:type="pct"/>
          </w:tcPr>
          <w:p w:rsidR="00E067C2" w:rsidRPr="00792428" w:rsidRDefault="00E067C2" w:rsidP="00386AA0">
            <w:pPr>
              <w:pStyle w:val="TableBodyText"/>
              <w:ind w:left="136"/>
              <w:jc w:val="left"/>
            </w:pPr>
            <w:r w:rsidRPr="00792428">
              <w:t>Combined</w:t>
            </w:r>
            <w:r w:rsidRPr="00792428">
              <w:rPr>
                <w:rStyle w:val="NoteLabel"/>
              </w:rPr>
              <w:t>b</w:t>
            </w:r>
          </w:p>
        </w:tc>
        <w:tc>
          <w:tcPr>
            <w:tcW w:w="455" w:type="pct"/>
            <w:vAlign w:val="center"/>
          </w:tcPr>
          <w:p w:rsidR="00E067C2" w:rsidRPr="00E067C2" w:rsidRDefault="00E067C2" w:rsidP="00E067C2">
            <w:pPr>
              <w:pStyle w:val="TableBodyText"/>
            </w:pPr>
            <w:r w:rsidRPr="00E067C2">
              <w:t>238</w:t>
            </w:r>
          </w:p>
        </w:tc>
        <w:tc>
          <w:tcPr>
            <w:tcW w:w="442" w:type="pct"/>
            <w:vAlign w:val="center"/>
          </w:tcPr>
          <w:p w:rsidR="00E067C2" w:rsidRPr="00E067C2" w:rsidRDefault="00E067C2" w:rsidP="00E067C2">
            <w:pPr>
              <w:pStyle w:val="TableBodyText"/>
            </w:pPr>
            <w:r w:rsidRPr="00E067C2">
              <w:t>154</w:t>
            </w:r>
          </w:p>
        </w:tc>
        <w:tc>
          <w:tcPr>
            <w:tcW w:w="445" w:type="pct"/>
            <w:vAlign w:val="center"/>
          </w:tcPr>
          <w:p w:rsidR="00E067C2" w:rsidRPr="00E067C2" w:rsidRDefault="00E067C2" w:rsidP="00E067C2">
            <w:pPr>
              <w:pStyle w:val="TableBodyText"/>
            </w:pPr>
            <w:r w:rsidRPr="00E067C2">
              <w:t>158</w:t>
            </w:r>
          </w:p>
        </w:tc>
        <w:tc>
          <w:tcPr>
            <w:tcW w:w="446" w:type="pct"/>
            <w:vAlign w:val="center"/>
          </w:tcPr>
          <w:p w:rsidR="00E067C2" w:rsidRPr="00E067C2" w:rsidRDefault="00E067C2" w:rsidP="00E067C2">
            <w:pPr>
              <w:pStyle w:val="TableBodyText"/>
            </w:pPr>
            <w:r w:rsidRPr="00E067C2">
              <w:t>132</w:t>
            </w:r>
          </w:p>
        </w:tc>
        <w:tc>
          <w:tcPr>
            <w:tcW w:w="445" w:type="pct"/>
            <w:vAlign w:val="center"/>
          </w:tcPr>
          <w:p w:rsidR="00E067C2" w:rsidRPr="00E067C2" w:rsidRDefault="00E067C2" w:rsidP="00E067C2">
            <w:pPr>
              <w:pStyle w:val="TableBodyText"/>
            </w:pPr>
            <w:r w:rsidRPr="00E067C2">
              <w:t>73</w:t>
            </w:r>
          </w:p>
        </w:tc>
        <w:tc>
          <w:tcPr>
            <w:tcW w:w="446" w:type="pct"/>
            <w:vAlign w:val="center"/>
          </w:tcPr>
          <w:p w:rsidR="00E067C2" w:rsidRPr="00E067C2" w:rsidRDefault="00E067C2" w:rsidP="00E067C2">
            <w:pPr>
              <w:pStyle w:val="TableBodyText"/>
            </w:pPr>
            <w:r w:rsidRPr="00E067C2">
              <w:t>31</w:t>
            </w:r>
          </w:p>
        </w:tc>
        <w:tc>
          <w:tcPr>
            <w:tcW w:w="445" w:type="pct"/>
            <w:vAlign w:val="center"/>
          </w:tcPr>
          <w:p w:rsidR="00E067C2" w:rsidRPr="00E067C2" w:rsidRDefault="00E067C2" w:rsidP="00E067C2">
            <w:pPr>
              <w:pStyle w:val="TableBodyText"/>
            </w:pPr>
            <w:r w:rsidRPr="00E067C2">
              <w:t>13</w:t>
            </w:r>
          </w:p>
        </w:tc>
        <w:tc>
          <w:tcPr>
            <w:tcW w:w="446" w:type="pct"/>
            <w:vAlign w:val="center"/>
          </w:tcPr>
          <w:p w:rsidR="00E067C2" w:rsidRPr="00E067C2" w:rsidRDefault="00E067C2" w:rsidP="00E067C2">
            <w:pPr>
              <w:pStyle w:val="TableBodyText"/>
            </w:pPr>
            <w:r w:rsidRPr="00E067C2">
              <w:t>17</w:t>
            </w:r>
          </w:p>
        </w:tc>
        <w:tc>
          <w:tcPr>
            <w:tcW w:w="443" w:type="pct"/>
            <w:vAlign w:val="center"/>
          </w:tcPr>
          <w:p w:rsidR="00E067C2" w:rsidRPr="00E067C2" w:rsidRDefault="00E067C2" w:rsidP="00E067C2">
            <w:pPr>
              <w:pStyle w:val="TableBodyText"/>
              <w:ind w:right="28"/>
            </w:pPr>
            <w:r w:rsidRPr="00E067C2">
              <w:t>816</w:t>
            </w:r>
          </w:p>
        </w:tc>
      </w:tr>
      <w:tr w:rsidR="00E067C2" w:rsidRPr="00792428" w:rsidTr="00467E94">
        <w:tc>
          <w:tcPr>
            <w:tcW w:w="987" w:type="pct"/>
          </w:tcPr>
          <w:p w:rsidR="00E067C2" w:rsidRPr="00792428" w:rsidRDefault="00E067C2" w:rsidP="00386AA0">
            <w:pPr>
              <w:pStyle w:val="TableBodyText"/>
              <w:ind w:left="136"/>
              <w:jc w:val="left"/>
            </w:pPr>
            <w:r w:rsidRPr="00792428">
              <w:t>Special schools</w:t>
            </w:r>
            <w:r w:rsidRPr="00792428">
              <w:rPr>
                <w:rStyle w:val="NoteLabel"/>
              </w:rPr>
              <w:t>c</w:t>
            </w:r>
          </w:p>
        </w:tc>
        <w:tc>
          <w:tcPr>
            <w:tcW w:w="455" w:type="pct"/>
            <w:vAlign w:val="center"/>
          </w:tcPr>
          <w:p w:rsidR="00E067C2" w:rsidRPr="00E067C2" w:rsidRDefault="00E067C2" w:rsidP="00E067C2">
            <w:pPr>
              <w:pStyle w:val="TableBodyText"/>
            </w:pPr>
            <w:r w:rsidRPr="00E067C2">
              <w:t>45</w:t>
            </w:r>
          </w:p>
        </w:tc>
        <w:tc>
          <w:tcPr>
            <w:tcW w:w="442" w:type="pct"/>
            <w:vAlign w:val="center"/>
          </w:tcPr>
          <w:p w:rsidR="00E067C2" w:rsidRPr="00E067C2" w:rsidRDefault="00E067C2" w:rsidP="00E067C2">
            <w:pPr>
              <w:pStyle w:val="TableBodyText"/>
            </w:pPr>
            <w:r w:rsidRPr="00E067C2">
              <w:t>20</w:t>
            </w:r>
          </w:p>
        </w:tc>
        <w:tc>
          <w:tcPr>
            <w:tcW w:w="445" w:type="pct"/>
            <w:vAlign w:val="center"/>
          </w:tcPr>
          <w:p w:rsidR="00E067C2" w:rsidRPr="00E067C2" w:rsidRDefault="00E067C2" w:rsidP="00E067C2">
            <w:pPr>
              <w:pStyle w:val="TableBodyText"/>
            </w:pPr>
            <w:r w:rsidRPr="00E067C2">
              <w:t>20</w:t>
            </w:r>
          </w:p>
        </w:tc>
        <w:tc>
          <w:tcPr>
            <w:tcW w:w="446" w:type="pct"/>
            <w:vAlign w:val="center"/>
          </w:tcPr>
          <w:p w:rsidR="00E067C2" w:rsidRPr="00E067C2" w:rsidRDefault="00E067C2" w:rsidP="00E067C2">
            <w:pPr>
              <w:pStyle w:val="TableBodyText"/>
            </w:pPr>
            <w:r w:rsidRPr="00E067C2">
              <w:t>11</w:t>
            </w:r>
          </w:p>
        </w:tc>
        <w:tc>
          <w:tcPr>
            <w:tcW w:w="445" w:type="pct"/>
            <w:vAlign w:val="center"/>
          </w:tcPr>
          <w:p w:rsidR="00E067C2" w:rsidRPr="00E067C2" w:rsidRDefault="00E067C2" w:rsidP="00E067C2">
            <w:pPr>
              <w:pStyle w:val="TableBodyText"/>
            </w:pPr>
            <w:r w:rsidRPr="00E067C2">
              <w:t>3</w:t>
            </w:r>
          </w:p>
        </w:tc>
        <w:tc>
          <w:tcPr>
            <w:tcW w:w="446" w:type="pct"/>
            <w:vAlign w:val="center"/>
          </w:tcPr>
          <w:p w:rsidR="00E067C2" w:rsidRPr="00E067C2" w:rsidRDefault="00E067C2" w:rsidP="00E067C2">
            <w:pPr>
              <w:pStyle w:val="TableBodyText"/>
            </w:pPr>
            <w:r w:rsidRPr="00E067C2">
              <w:t>1</w:t>
            </w:r>
          </w:p>
        </w:tc>
        <w:tc>
          <w:tcPr>
            <w:tcW w:w="445" w:type="pct"/>
            <w:vAlign w:val="center"/>
          </w:tcPr>
          <w:p w:rsidR="00E067C2" w:rsidRPr="00E067C2" w:rsidRDefault="00E067C2" w:rsidP="00E067C2">
            <w:pPr>
              <w:pStyle w:val="TableBodyText"/>
            </w:pPr>
            <w:r w:rsidRPr="00E067C2">
              <w:t>1</w:t>
            </w:r>
          </w:p>
        </w:tc>
        <w:tc>
          <w:tcPr>
            <w:tcW w:w="446" w:type="pct"/>
            <w:vAlign w:val="center"/>
          </w:tcPr>
          <w:p w:rsidR="00E067C2" w:rsidRPr="00E067C2" w:rsidRDefault="00E067C2" w:rsidP="00E067C2">
            <w:pPr>
              <w:pStyle w:val="TableBodyText"/>
            </w:pPr>
            <w:r w:rsidRPr="00E067C2">
              <w:t>1</w:t>
            </w:r>
          </w:p>
        </w:tc>
        <w:tc>
          <w:tcPr>
            <w:tcW w:w="443" w:type="pct"/>
            <w:vAlign w:val="center"/>
          </w:tcPr>
          <w:p w:rsidR="00E067C2" w:rsidRPr="00E067C2" w:rsidRDefault="00E067C2" w:rsidP="00E067C2">
            <w:pPr>
              <w:pStyle w:val="TableBodyText"/>
              <w:ind w:right="28"/>
            </w:pPr>
            <w:r w:rsidRPr="00E067C2">
              <w:t>102</w:t>
            </w:r>
          </w:p>
        </w:tc>
      </w:tr>
      <w:tr w:rsidR="00E067C2" w:rsidRPr="00792428" w:rsidTr="00467E94">
        <w:tc>
          <w:tcPr>
            <w:tcW w:w="987" w:type="pct"/>
          </w:tcPr>
          <w:p w:rsidR="00E067C2" w:rsidRPr="00792428" w:rsidRDefault="00E067C2" w:rsidP="00386AA0">
            <w:pPr>
              <w:pStyle w:val="TableBodyText"/>
              <w:ind w:left="136"/>
              <w:jc w:val="left"/>
              <w:rPr>
                <w:b/>
              </w:rPr>
            </w:pPr>
            <w:r w:rsidRPr="00792428">
              <w:rPr>
                <w:b/>
              </w:rPr>
              <w:t>Total</w:t>
            </w:r>
          </w:p>
        </w:tc>
        <w:tc>
          <w:tcPr>
            <w:tcW w:w="455" w:type="pct"/>
            <w:vAlign w:val="center"/>
          </w:tcPr>
          <w:p w:rsidR="00E067C2" w:rsidRPr="00E067C2" w:rsidRDefault="00E067C2" w:rsidP="00E067C2">
            <w:pPr>
              <w:pStyle w:val="TableBodyText"/>
              <w:rPr>
                <w:b/>
              </w:rPr>
            </w:pPr>
            <w:r w:rsidRPr="00E067C2">
              <w:rPr>
                <w:b/>
              </w:rPr>
              <w:t>917</w:t>
            </w:r>
          </w:p>
        </w:tc>
        <w:tc>
          <w:tcPr>
            <w:tcW w:w="442" w:type="pct"/>
            <w:vAlign w:val="center"/>
          </w:tcPr>
          <w:p w:rsidR="00E067C2" w:rsidRPr="00E067C2" w:rsidRDefault="00E067C2" w:rsidP="00E067C2">
            <w:pPr>
              <w:pStyle w:val="TableBodyText"/>
              <w:rPr>
                <w:b/>
              </w:rPr>
            </w:pPr>
            <w:r w:rsidRPr="00E067C2">
              <w:rPr>
                <w:b/>
              </w:rPr>
              <w:t>693</w:t>
            </w:r>
          </w:p>
        </w:tc>
        <w:tc>
          <w:tcPr>
            <w:tcW w:w="445" w:type="pct"/>
            <w:vAlign w:val="center"/>
          </w:tcPr>
          <w:p w:rsidR="00E067C2" w:rsidRPr="00E067C2" w:rsidRDefault="00E067C2" w:rsidP="00E067C2">
            <w:pPr>
              <w:pStyle w:val="TableBodyText"/>
              <w:rPr>
                <w:b/>
              </w:rPr>
            </w:pPr>
            <w:r w:rsidRPr="00E067C2">
              <w:rPr>
                <w:b/>
              </w:rPr>
              <w:t>481</w:t>
            </w:r>
          </w:p>
        </w:tc>
        <w:tc>
          <w:tcPr>
            <w:tcW w:w="446" w:type="pct"/>
            <w:vAlign w:val="center"/>
          </w:tcPr>
          <w:p w:rsidR="00E067C2" w:rsidRPr="00E067C2" w:rsidRDefault="00E067C2" w:rsidP="00E067C2">
            <w:pPr>
              <w:pStyle w:val="TableBodyText"/>
              <w:rPr>
                <w:b/>
              </w:rPr>
            </w:pPr>
            <w:r w:rsidRPr="00E067C2">
              <w:rPr>
                <w:b/>
              </w:rPr>
              <w:t>299</w:t>
            </w:r>
          </w:p>
        </w:tc>
        <w:tc>
          <w:tcPr>
            <w:tcW w:w="445" w:type="pct"/>
            <w:vAlign w:val="center"/>
          </w:tcPr>
          <w:p w:rsidR="00E067C2" w:rsidRPr="00E067C2" w:rsidRDefault="00E067C2" w:rsidP="00E067C2">
            <w:pPr>
              <w:pStyle w:val="TableBodyText"/>
              <w:rPr>
                <w:b/>
              </w:rPr>
            </w:pPr>
            <w:r w:rsidRPr="00E067C2">
              <w:rPr>
                <w:b/>
              </w:rPr>
              <w:t>195</w:t>
            </w:r>
          </w:p>
        </w:tc>
        <w:tc>
          <w:tcPr>
            <w:tcW w:w="446" w:type="pct"/>
            <w:vAlign w:val="center"/>
          </w:tcPr>
          <w:p w:rsidR="00E067C2" w:rsidRPr="00E067C2" w:rsidRDefault="00E067C2" w:rsidP="00E067C2">
            <w:pPr>
              <w:pStyle w:val="TableBodyText"/>
              <w:rPr>
                <w:b/>
              </w:rPr>
            </w:pPr>
            <w:r w:rsidRPr="00E067C2">
              <w:rPr>
                <w:b/>
              </w:rPr>
              <w:t>65</w:t>
            </w:r>
          </w:p>
        </w:tc>
        <w:tc>
          <w:tcPr>
            <w:tcW w:w="445" w:type="pct"/>
            <w:vAlign w:val="center"/>
          </w:tcPr>
          <w:p w:rsidR="00E067C2" w:rsidRPr="00E067C2" w:rsidRDefault="00E067C2" w:rsidP="00E067C2">
            <w:pPr>
              <w:pStyle w:val="TableBodyText"/>
              <w:rPr>
                <w:b/>
              </w:rPr>
            </w:pPr>
            <w:r w:rsidRPr="00E067C2">
              <w:rPr>
                <w:b/>
              </w:rPr>
              <w:t>44</w:t>
            </w:r>
          </w:p>
        </w:tc>
        <w:tc>
          <w:tcPr>
            <w:tcW w:w="446" w:type="pct"/>
            <w:vAlign w:val="center"/>
          </w:tcPr>
          <w:p w:rsidR="00E067C2" w:rsidRPr="00E067C2" w:rsidRDefault="00E067C2" w:rsidP="00E067C2">
            <w:pPr>
              <w:pStyle w:val="TableBodyText"/>
              <w:rPr>
                <w:b/>
              </w:rPr>
            </w:pPr>
            <w:r w:rsidRPr="00E067C2">
              <w:rPr>
                <w:b/>
              </w:rPr>
              <w:t>38</w:t>
            </w:r>
          </w:p>
        </w:tc>
        <w:tc>
          <w:tcPr>
            <w:tcW w:w="443" w:type="pct"/>
            <w:vAlign w:val="center"/>
          </w:tcPr>
          <w:p w:rsidR="00E067C2" w:rsidRPr="00E067C2" w:rsidRDefault="00E067C2" w:rsidP="00E067C2">
            <w:pPr>
              <w:pStyle w:val="TableBodyText"/>
              <w:ind w:right="28"/>
              <w:rPr>
                <w:b/>
              </w:rPr>
            </w:pPr>
            <w:r w:rsidRPr="00E067C2">
              <w:rPr>
                <w:b/>
              </w:rPr>
              <w:t>2</w:t>
            </w:r>
            <w:r w:rsidR="00CC06F0">
              <w:rPr>
                <w:b/>
              </w:rPr>
              <w:t> </w:t>
            </w:r>
            <w:r w:rsidRPr="00E067C2">
              <w:rPr>
                <w:b/>
              </w:rPr>
              <w:t>732</w:t>
            </w:r>
          </w:p>
        </w:tc>
      </w:tr>
      <w:tr w:rsidR="00792428" w:rsidRPr="00792428" w:rsidTr="00534A3D">
        <w:tc>
          <w:tcPr>
            <w:tcW w:w="987" w:type="pct"/>
          </w:tcPr>
          <w:p w:rsidR="00534A3D" w:rsidRPr="00792428" w:rsidRDefault="00534A3D" w:rsidP="00386AA0">
            <w:pPr>
              <w:pStyle w:val="TableBodyText"/>
              <w:jc w:val="left"/>
            </w:pPr>
            <w:r w:rsidRPr="00792428">
              <w:t>All schools (no.)</w:t>
            </w:r>
          </w:p>
        </w:tc>
        <w:tc>
          <w:tcPr>
            <w:tcW w:w="455" w:type="pct"/>
          </w:tcPr>
          <w:p w:rsidR="00534A3D" w:rsidRPr="00792428" w:rsidRDefault="00534A3D" w:rsidP="00386AA0">
            <w:pPr>
              <w:pStyle w:val="TableBodyText"/>
            </w:pPr>
          </w:p>
        </w:tc>
        <w:tc>
          <w:tcPr>
            <w:tcW w:w="442" w:type="pct"/>
          </w:tcPr>
          <w:p w:rsidR="00534A3D" w:rsidRPr="00792428" w:rsidRDefault="00534A3D" w:rsidP="00386AA0">
            <w:pPr>
              <w:pStyle w:val="TableBodyText"/>
            </w:pPr>
          </w:p>
        </w:tc>
        <w:tc>
          <w:tcPr>
            <w:tcW w:w="445" w:type="pct"/>
          </w:tcPr>
          <w:p w:rsidR="00534A3D" w:rsidRPr="00792428" w:rsidRDefault="00534A3D" w:rsidP="00386AA0">
            <w:pPr>
              <w:pStyle w:val="TableBodyText"/>
            </w:pPr>
          </w:p>
        </w:tc>
        <w:tc>
          <w:tcPr>
            <w:tcW w:w="446" w:type="pct"/>
          </w:tcPr>
          <w:p w:rsidR="00534A3D" w:rsidRPr="00792428" w:rsidRDefault="00534A3D" w:rsidP="00386AA0">
            <w:pPr>
              <w:pStyle w:val="TableBodyText"/>
            </w:pPr>
          </w:p>
        </w:tc>
        <w:tc>
          <w:tcPr>
            <w:tcW w:w="445" w:type="pct"/>
          </w:tcPr>
          <w:p w:rsidR="00534A3D" w:rsidRPr="00792428" w:rsidRDefault="00534A3D" w:rsidP="00386AA0">
            <w:pPr>
              <w:pStyle w:val="TableBodyText"/>
            </w:pPr>
          </w:p>
        </w:tc>
        <w:tc>
          <w:tcPr>
            <w:tcW w:w="446" w:type="pct"/>
          </w:tcPr>
          <w:p w:rsidR="00534A3D" w:rsidRPr="00792428" w:rsidRDefault="00534A3D" w:rsidP="00386AA0">
            <w:pPr>
              <w:pStyle w:val="TableBodyText"/>
            </w:pPr>
          </w:p>
        </w:tc>
        <w:tc>
          <w:tcPr>
            <w:tcW w:w="445" w:type="pct"/>
          </w:tcPr>
          <w:p w:rsidR="00534A3D" w:rsidRPr="00792428" w:rsidRDefault="00534A3D" w:rsidP="00386AA0">
            <w:pPr>
              <w:pStyle w:val="TableBodyText"/>
            </w:pPr>
          </w:p>
        </w:tc>
        <w:tc>
          <w:tcPr>
            <w:tcW w:w="446" w:type="pct"/>
          </w:tcPr>
          <w:p w:rsidR="00534A3D" w:rsidRPr="00792428" w:rsidRDefault="00534A3D" w:rsidP="00386AA0">
            <w:pPr>
              <w:pStyle w:val="TableBodyText"/>
            </w:pPr>
          </w:p>
        </w:tc>
        <w:tc>
          <w:tcPr>
            <w:tcW w:w="443" w:type="pct"/>
          </w:tcPr>
          <w:p w:rsidR="00534A3D" w:rsidRPr="00792428" w:rsidRDefault="00534A3D" w:rsidP="00386AA0">
            <w:pPr>
              <w:pStyle w:val="TableBodyText"/>
              <w:ind w:right="28"/>
            </w:pPr>
          </w:p>
        </w:tc>
      </w:tr>
      <w:tr w:rsidR="00E067C2" w:rsidRPr="00792428" w:rsidTr="00467E94">
        <w:tc>
          <w:tcPr>
            <w:tcW w:w="987" w:type="pct"/>
          </w:tcPr>
          <w:p w:rsidR="00E067C2" w:rsidRPr="00792428" w:rsidRDefault="00E067C2" w:rsidP="00386AA0">
            <w:pPr>
              <w:pStyle w:val="TableBodyText"/>
              <w:ind w:left="136"/>
              <w:jc w:val="left"/>
            </w:pPr>
            <w:r w:rsidRPr="00792428">
              <w:t>Primary</w:t>
            </w:r>
          </w:p>
        </w:tc>
        <w:tc>
          <w:tcPr>
            <w:tcW w:w="455" w:type="pct"/>
            <w:vAlign w:val="center"/>
          </w:tcPr>
          <w:p w:rsidR="00E067C2" w:rsidRPr="00E067C2" w:rsidRDefault="00E067C2" w:rsidP="00E067C2">
            <w:pPr>
              <w:pStyle w:val="TableBodyText"/>
            </w:pPr>
            <w:r w:rsidRPr="00E067C2">
              <w:t>2</w:t>
            </w:r>
            <w:r w:rsidR="00CC06F0">
              <w:t> </w:t>
            </w:r>
            <w:r w:rsidRPr="00E067C2">
              <w:t>107</w:t>
            </w:r>
          </w:p>
        </w:tc>
        <w:tc>
          <w:tcPr>
            <w:tcW w:w="442" w:type="pct"/>
            <w:vAlign w:val="center"/>
          </w:tcPr>
          <w:p w:rsidR="00E067C2" w:rsidRPr="00E067C2" w:rsidRDefault="00E067C2" w:rsidP="00E067C2">
            <w:pPr>
              <w:pStyle w:val="TableBodyText"/>
            </w:pPr>
            <w:r w:rsidRPr="00E067C2">
              <w:t>1</w:t>
            </w:r>
            <w:r w:rsidR="00CC06F0">
              <w:t> </w:t>
            </w:r>
            <w:r w:rsidRPr="00E067C2">
              <w:t>552</w:t>
            </w:r>
          </w:p>
        </w:tc>
        <w:tc>
          <w:tcPr>
            <w:tcW w:w="445" w:type="pct"/>
            <w:vAlign w:val="center"/>
          </w:tcPr>
          <w:p w:rsidR="00E067C2" w:rsidRPr="00E067C2" w:rsidRDefault="00E067C2" w:rsidP="00E067C2">
            <w:pPr>
              <w:pStyle w:val="TableBodyText"/>
            </w:pPr>
            <w:r w:rsidRPr="00E067C2">
              <w:t>1</w:t>
            </w:r>
            <w:r w:rsidR="00CC06F0">
              <w:t> </w:t>
            </w:r>
            <w:r w:rsidRPr="00E067C2">
              <w:t>150</w:t>
            </w:r>
          </w:p>
        </w:tc>
        <w:tc>
          <w:tcPr>
            <w:tcW w:w="446" w:type="pct"/>
            <w:vAlign w:val="center"/>
          </w:tcPr>
          <w:p w:rsidR="00E067C2" w:rsidRPr="00E067C2" w:rsidRDefault="00E067C2" w:rsidP="00E067C2">
            <w:pPr>
              <w:pStyle w:val="TableBodyText"/>
            </w:pPr>
            <w:r w:rsidRPr="00E067C2">
              <w:t>666</w:t>
            </w:r>
          </w:p>
        </w:tc>
        <w:tc>
          <w:tcPr>
            <w:tcW w:w="445" w:type="pct"/>
            <w:vAlign w:val="center"/>
          </w:tcPr>
          <w:p w:rsidR="00E067C2" w:rsidRPr="00E067C2" w:rsidRDefault="00E067C2" w:rsidP="00E067C2">
            <w:pPr>
              <w:pStyle w:val="TableBodyText"/>
            </w:pPr>
            <w:r w:rsidRPr="00E067C2">
              <w:t>468</w:t>
            </w:r>
          </w:p>
        </w:tc>
        <w:tc>
          <w:tcPr>
            <w:tcW w:w="446" w:type="pct"/>
            <w:vAlign w:val="center"/>
          </w:tcPr>
          <w:p w:rsidR="00E067C2" w:rsidRPr="00E067C2" w:rsidRDefault="00E067C2" w:rsidP="00E067C2">
            <w:pPr>
              <w:pStyle w:val="TableBodyText"/>
            </w:pPr>
            <w:r w:rsidRPr="00E067C2">
              <w:t>159</w:t>
            </w:r>
          </w:p>
        </w:tc>
        <w:tc>
          <w:tcPr>
            <w:tcW w:w="445" w:type="pct"/>
            <w:vAlign w:val="center"/>
          </w:tcPr>
          <w:p w:rsidR="00E067C2" w:rsidRPr="00E067C2" w:rsidRDefault="00E067C2" w:rsidP="00E067C2">
            <w:pPr>
              <w:pStyle w:val="TableBodyText"/>
            </w:pPr>
            <w:r w:rsidRPr="00E067C2">
              <w:t>80</w:t>
            </w:r>
          </w:p>
        </w:tc>
        <w:tc>
          <w:tcPr>
            <w:tcW w:w="446" w:type="pct"/>
            <w:vAlign w:val="center"/>
          </w:tcPr>
          <w:p w:rsidR="00E067C2" w:rsidRPr="00E067C2" w:rsidRDefault="00E067C2" w:rsidP="00E067C2">
            <w:pPr>
              <w:pStyle w:val="TableBodyText"/>
            </w:pPr>
            <w:r w:rsidRPr="00E067C2">
              <w:t>74</w:t>
            </w:r>
          </w:p>
        </w:tc>
        <w:tc>
          <w:tcPr>
            <w:tcW w:w="443" w:type="pct"/>
            <w:vAlign w:val="center"/>
          </w:tcPr>
          <w:p w:rsidR="00E067C2" w:rsidRPr="00E067C2" w:rsidRDefault="00E067C2" w:rsidP="00E067C2">
            <w:pPr>
              <w:pStyle w:val="TableBodyText"/>
              <w:ind w:right="28"/>
            </w:pPr>
            <w:r w:rsidRPr="00E067C2">
              <w:t>6</w:t>
            </w:r>
            <w:r w:rsidR="00CC06F0">
              <w:t> </w:t>
            </w:r>
            <w:r w:rsidRPr="00E067C2">
              <w:t>256</w:t>
            </w:r>
          </w:p>
        </w:tc>
      </w:tr>
      <w:tr w:rsidR="00E067C2" w:rsidRPr="00792428" w:rsidTr="00467E94">
        <w:tc>
          <w:tcPr>
            <w:tcW w:w="987" w:type="pct"/>
          </w:tcPr>
          <w:p w:rsidR="00E067C2" w:rsidRPr="00792428" w:rsidRDefault="00E067C2" w:rsidP="00386AA0">
            <w:pPr>
              <w:pStyle w:val="TableBodyText"/>
              <w:ind w:left="136"/>
              <w:jc w:val="left"/>
            </w:pPr>
            <w:r w:rsidRPr="00792428">
              <w:t>Secondary</w:t>
            </w:r>
          </w:p>
        </w:tc>
        <w:tc>
          <w:tcPr>
            <w:tcW w:w="455" w:type="pct"/>
            <w:vAlign w:val="center"/>
          </w:tcPr>
          <w:p w:rsidR="00E067C2" w:rsidRPr="00E067C2" w:rsidRDefault="00E067C2" w:rsidP="00E067C2">
            <w:pPr>
              <w:pStyle w:val="TableBodyText"/>
            </w:pPr>
            <w:r w:rsidRPr="00E067C2">
              <w:t>515</w:t>
            </w:r>
          </w:p>
        </w:tc>
        <w:tc>
          <w:tcPr>
            <w:tcW w:w="442" w:type="pct"/>
            <w:vAlign w:val="center"/>
          </w:tcPr>
          <w:p w:rsidR="00E067C2" w:rsidRPr="00E067C2" w:rsidRDefault="00E067C2" w:rsidP="00E067C2">
            <w:pPr>
              <w:pStyle w:val="TableBodyText"/>
            </w:pPr>
            <w:r w:rsidRPr="00E067C2">
              <w:t>336</w:t>
            </w:r>
          </w:p>
        </w:tc>
        <w:tc>
          <w:tcPr>
            <w:tcW w:w="445" w:type="pct"/>
            <w:vAlign w:val="center"/>
          </w:tcPr>
          <w:p w:rsidR="00E067C2" w:rsidRPr="00E067C2" w:rsidRDefault="00E067C2" w:rsidP="00E067C2">
            <w:pPr>
              <w:pStyle w:val="TableBodyText"/>
            </w:pPr>
            <w:r w:rsidRPr="00E067C2">
              <w:t>255</w:t>
            </w:r>
          </w:p>
        </w:tc>
        <w:tc>
          <w:tcPr>
            <w:tcW w:w="446" w:type="pct"/>
            <w:vAlign w:val="center"/>
          </w:tcPr>
          <w:p w:rsidR="00E067C2" w:rsidRPr="00E067C2" w:rsidRDefault="00E067C2" w:rsidP="00E067C2">
            <w:pPr>
              <w:pStyle w:val="TableBodyText"/>
            </w:pPr>
            <w:r w:rsidRPr="00E067C2">
              <w:t>104</w:t>
            </w:r>
          </w:p>
        </w:tc>
        <w:tc>
          <w:tcPr>
            <w:tcW w:w="445" w:type="pct"/>
            <w:vAlign w:val="center"/>
          </w:tcPr>
          <w:p w:rsidR="00E067C2" w:rsidRPr="00E067C2" w:rsidRDefault="00E067C2" w:rsidP="00E067C2">
            <w:pPr>
              <w:pStyle w:val="TableBodyText"/>
            </w:pPr>
            <w:r w:rsidRPr="00E067C2">
              <w:t>85</w:t>
            </w:r>
          </w:p>
        </w:tc>
        <w:tc>
          <w:tcPr>
            <w:tcW w:w="446" w:type="pct"/>
            <w:vAlign w:val="center"/>
          </w:tcPr>
          <w:p w:rsidR="00E067C2" w:rsidRPr="00E067C2" w:rsidRDefault="00E067C2" w:rsidP="00E067C2">
            <w:pPr>
              <w:pStyle w:val="TableBodyText"/>
            </w:pPr>
            <w:r w:rsidRPr="00E067C2">
              <w:t>43</w:t>
            </w:r>
          </w:p>
        </w:tc>
        <w:tc>
          <w:tcPr>
            <w:tcW w:w="445" w:type="pct"/>
            <w:vAlign w:val="center"/>
          </w:tcPr>
          <w:p w:rsidR="00E067C2" w:rsidRPr="00E067C2" w:rsidRDefault="00E067C2" w:rsidP="00E067C2">
            <w:pPr>
              <w:pStyle w:val="TableBodyText"/>
            </w:pPr>
            <w:r w:rsidRPr="00E067C2">
              <w:t>23</w:t>
            </w:r>
          </w:p>
        </w:tc>
        <w:tc>
          <w:tcPr>
            <w:tcW w:w="446" w:type="pct"/>
            <w:vAlign w:val="center"/>
          </w:tcPr>
          <w:p w:rsidR="00E067C2" w:rsidRPr="00E067C2" w:rsidRDefault="00E067C2" w:rsidP="00E067C2">
            <w:pPr>
              <w:pStyle w:val="TableBodyText"/>
            </w:pPr>
            <w:r w:rsidRPr="00E067C2">
              <w:t>24</w:t>
            </w:r>
          </w:p>
        </w:tc>
        <w:tc>
          <w:tcPr>
            <w:tcW w:w="443" w:type="pct"/>
            <w:vAlign w:val="center"/>
          </w:tcPr>
          <w:p w:rsidR="00E067C2" w:rsidRPr="00E067C2" w:rsidRDefault="00E067C2" w:rsidP="00E067C2">
            <w:pPr>
              <w:pStyle w:val="TableBodyText"/>
              <w:ind w:right="28"/>
            </w:pPr>
            <w:r w:rsidRPr="00E067C2">
              <w:t>1</w:t>
            </w:r>
            <w:r w:rsidR="00CC06F0">
              <w:t> </w:t>
            </w:r>
            <w:r w:rsidRPr="00E067C2">
              <w:t>385</w:t>
            </w:r>
          </w:p>
        </w:tc>
      </w:tr>
      <w:tr w:rsidR="00E067C2" w:rsidRPr="00792428" w:rsidTr="00467E94">
        <w:tc>
          <w:tcPr>
            <w:tcW w:w="987" w:type="pct"/>
          </w:tcPr>
          <w:p w:rsidR="00E067C2" w:rsidRPr="00792428" w:rsidRDefault="00E067C2" w:rsidP="00386AA0">
            <w:pPr>
              <w:pStyle w:val="TableBodyText"/>
              <w:ind w:left="136"/>
              <w:jc w:val="left"/>
            </w:pPr>
            <w:r w:rsidRPr="00792428">
              <w:t>Combined</w:t>
            </w:r>
            <w:r w:rsidRPr="00792428">
              <w:rPr>
                <w:rStyle w:val="NoteLabel"/>
              </w:rPr>
              <w:t>b</w:t>
            </w:r>
          </w:p>
        </w:tc>
        <w:tc>
          <w:tcPr>
            <w:tcW w:w="455" w:type="pct"/>
            <w:vAlign w:val="center"/>
          </w:tcPr>
          <w:p w:rsidR="00E067C2" w:rsidRPr="00E067C2" w:rsidRDefault="00E067C2" w:rsidP="00E067C2">
            <w:pPr>
              <w:pStyle w:val="TableBodyText"/>
            </w:pPr>
            <w:r w:rsidRPr="00E067C2">
              <w:t>304</w:t>
            </w:r>
          </w:p>
        </w:tc>
        <w:tc>
          <w:tcPr>
            <w:tcW w:w="442" w:type="pct"/>
            <w:vAlign w:val="center"/>
          </w:tcPr>
          <w:p w:rsidR="00E067C2" w:rsidRPr="00E067C2" w:rsidRDefault="00E067C2" w:rsidP="00E067C2">
            <w:pPr>
              <w:pStyle w:val="TableBodyText"/>
            </w:pPr>
            <w:r w:rsidRPr="00E067C2">
              <w:t>233</w:t>
            </w:r>
          </w:p>
        </w:tc>
        <w:tc>
          <w:tcPr>
            <w:tcW w:w="445" w:type="pct"/>
            <w:vAlign w:val="center"/>
          </w:tcPr>
          <w:p w:rsidR="00E067C2" w:rsidRPr="00E067C2" w:rsidRDefault="00E067C2" w:rsidP="00E067C2">
            <w:pPr>
              <w:pStyle w:val="TableBodyText"/>
            </w:pPr>
            <w:r w:rsidRPr="00E067C2">
              <w:t>248</w:t>
            </w:r>
          </w:p>
        </w:tc>
        <w:tc>
          <w:tcPr>
            <w:tcW w:w="446" w:type="pct"/>
            <w:vAlign w:val="center"/>
          </w:tcPr>
          <w:p w:rsidR="00E067C2" w:rsidRPr="00E067C2" w:rsidRDefault="00E067C2" w:rsidP="00E067C2">
            <w:pPr>
              <w:pStyle w:val="TableBodyText"/>
            </w:pPr>
            <w:r w:rsidRPr="00E067C2">
              <w:t>222</w:t>
            </w:r>
          </w:p>
        </w:tc>
        <w:tc>
          <w:tcPr>
            <w:tcW w:w="445" w:type="pct"/>
            <w:vAlign w:val="center"/>
          </w:tcPr>
          <w:p w:rsidR="00E067C2" w:rsidRPr="00E067C2" w:rsidRDefault="00E067C2" w:rsidP="00E067C2">
            <w:pPr>
              <w:pStyle w:val="TableBodyText"/>
            </w:pPr>
            <w:r w:rsidRPr="00E067C2">
              <w:t>148</w:t>
            </w:r>
          </w:p>
        </w:tc>
        <w:tc>
          <w:tcPr>
            <w:tcW w:w="446" w:type="pct"/>
            <w:vAlign w:val="center"/>
          </w:tcPr>
          <w:p w:rsidR="00E067C2" w:rsidRPr="00E067C2" w:rsidRDefault="00E067C2" w:rsidP="00E067C2">
            <w:pPr>
              <w:pStyle w:val="TableBodyText"/>
            </w:pPr>
            <w:r w:rsidRPr="00E067C2">
              <w:t>56</w:t>
            </w:r>
          </w:p>
        </w:tc>
        <w:tc>
          <w:tcPr>
            <w:tcW w:w="445" w:type="pct"/>
            <w:vAlign w:val="center"/>
          </w:tcPr>
          <w:p w:rsidR="00E067C2" w:rsidRPr="00E067C2" w:rsidRDefault="00E067C2" w:rsidP="00E067C2">
            <w:pPr>
              <w:pStyle w:val="TableBodyText"/>
            </w:pPr>
            <w:r w:rsidRPr="00E067C2">
              <w:t>22</w:t>
            </w:r>
          </w:p>
        </w:tc>
        <w:tc>
          <w:tcPr>
            <w:tcW w:w="446" w:type="pct"/>
            <w:vAlign w:val="center"/>
          </w:tcPr>
          <w:p w:rsidR="00E067C2" w:rsidRPr="00E067C2" w:rsidRDefault="00E067C2" w:rsidP="00E067C2">
            <w:pPr>
              <w:pStyle w:val="TableBodyText"/>
            </w:pPr>
            <w:r w:rsidRPr="00E067C2">
              <w:t>88</w:t>
            </w:r>
          </w:p>
        </w:tc>
        <w:tc>
          <w:tcPr>
            <w:tcW w:w="443" w:type="pct"/>
            <w:vAlign w:val="center"/>
          </w:tcPr>
          <w:p w:rsidR="00E067C2" w:rsidRPr="00E067C2" w:rsidRDefault="00E067C2" w:rsidP="00E067C2">
            <w:pPr>
              <w:pStyle w:val="TableBodyText"/>
              <w:ind w:right="28"/>
            </w:pPr>
            <w:r w:rsidRPr="00E067C2">
              <w:t>1</w:t>
            </w:r>
            <w:r w:rsidR="00CC06F0">
              <w:t> </w:t>
            </w:r>
            <w:r w:rsidRPr="00E067C2">
              <w:t>321</w:t>
            </w:r>
          </w:p>
        </w:tc>
      </w:tr>
      <w:tr w:rsidR="00E067C2" w:rsidRPr="00792428" w:rsidTr="00467E94">
        <w:tc>
          <w:tcPr>
            <w:tcW w:w="987" w:type="pct"/>
          </w:tcPr>
          <w:p w:rsidR="00E067C2" w:rsidRPr="00792428" w:rsidRDefault="00E067C2" w:rsidP="00386AA0">
            <w:pPr>
              <w:pStyle w:val="TableBodyText"/>
              <w:ind w:left="136"/>
              <w:jc w:val="left"/>
            </w:pPr>
            <w:r w:rsidRPr="00792428">
              <w:t>Special schools</w:t>
            </w:r>
            <w:r w:rsidRPr="00792428">
              <w:rPr>
                <w:rStyle w:val="NoteLabel"/>
              </w:rPr>
              <w:t>c</w:t>
            </w:r>
          </w:p>
        </w:tc>
        <w:tc>
          <w:tcPr>
            <w:tcW w:w="455" w:type="pct"/>
            <w:vAlign w:val="center"/>
          </w:tcPr>
          <w:p w:rsidR="00E067C2" w:rsidRPr="00E067C2" w:rsidRDefault="00E067C2" w:rsidP="00E067C2">
            <w:pPr>
              <w:pStyle w:val="TableBodyText"/>
            </w:pPr>
            <w:r w:rsidRPr="00E067C2">
              <w:t>155</w:t>
            </w:r>
          </w:p>
        </w:tc>
        <w:tc>
          <w:tcPr>
            <w:tcW w:w="442" w:type="pct"/>
            <w:vAlign w:val="center"/>
          </w:tcPr>
          <w:p w:rsidR="00E067C2" w:rsidRPr="00E067C2" w:rsidRDefault="00E067C2" w:rsidP="00E067C2">
            <w:pPr>
              <w:pStyle w:val="TableBodyText"/>
            </w:pPr>
            <w:r w:rsidRPr="00E067C2">
              <w:t>98</w:t>
            </w:r>
          </w:p>
        </w:tc>
        <w:tc>
          <w:tcPr>
            <w:tcW w:w="445" w:type="pct"/>
            <w:vAlign w:val="center"/>
          </w:tcPr>
          <w:p w:rsidR="00E067C2" w:rsidRPr="00E067C2" w:rsidRDefault="00E067C2" w:rsidP="00E067C2">
            <w:pPr>
              <w:pStyle w:val="TableBodyText"/>
            </w:pPr>
            <w:r w:rsidRPr="00E067C2">
              <w:t>66</w:t>
            </w:r>
          </w:p>
        </w:tc>
        <w:tc>
          <w:tcPr>
            <w:tcW w:w="446" w:type="pct"/>
            <w:vAlign w:val="center"/>
          </w:tcPr>
          <w:p w:rsidR="00E067C2" w:rsidRPr="00E067C2" w:rsidRDefault="00E067C2" w:rsidP="00E067C2">
            <w:pPr>
              <w:pStyle w:val="TableBodyText"/>
            </w:pPr>
            <w:r w:rsidRPr="00E067C2">
              <w:t>75</w:t>
            </w:r>
          </w:p>
        </w:tc>
        <w:tc>
          <w:tcPr>
            <w:tcW w:w="445" w:type="pct"/>
            <w:vAlign w:val="center"/>
          </w:tcPr>
          <w:p w:rsidR="00E067C2" w:rsidRPr="00E067C2" w:rsidRDefault="00E067C2" w:rsidP="00E067C2">
            <w:pPr>
              <w:pStyle w:val="TableBodyText"/>
            </w:pPr>
            <w:r w:rsidRPr="00E067C2">
              <w:t>21</w:t>
            </w:r>
          </w:p>
        </w:tc>
        <w:tc>
          <w:tcPr>
            <w:tcW w:w="446" w:type="pct"/>
            <w:vAlign w:val="center"/>
          </w:tcPr>
          <w:p w:rsidR="00E067C2" w:rsidRPr="00E067C2" w:rsidRDefault="00E067C2" w:rsidP="00E067C2">
            <w:pPr>
              <w:pStyle w:val="TableBodyText"/>
            </w:pPr>
            <w:r w:rsidRPr="00E067C2">
              <w:t>5</w:t>
            </w:r>
          </w:p>
        </w:tc>
        <w:tc>
          <w:tcPr>
            <w:tcW w:w="445" w:type="pct"/>
            <w:vAlign w:val="center"/>
          </w:tcPr>
          <w:p w:rsidR="00E067C2" w:rsidRPr="00E067C2" w:rsidRDefault="00E067C2" w:rsidP="00E067C2">
            <w:pPr>
              <w:pStyle w:val="TableBodyText"/>
            </w:pPr>
            <w:r w:rsidRPr="00E067C2">
              <w:t>5</w:t>
            </w:r>
          </w:p>
        </w:tc>
        <w:tc>
          <w:tcPr>
            <w:tcW w:w="446" w:type="pct"/>
            <w:vAlign w:val="center"/>
          </w:tcPr>
          <w:p w:rsidR="00E067C2" w:rsidRPr="00E067C2" w:rsidRDefault="00E067C2" w:rsidP="00E067C2">
            <w:pPr>
              <w:pStyle w:val="TableBodyText"/>
            </w:pPr>
            <w:r w:rsidRPr="00E067C2">
              <w:t>6</w:t>
            </w:r>
          </w:p>
        </w:tc>
        <w:tc>
          <w:tcPr>
            <w:tcW w:w="443" w:type="pct"/>
            <w:vAlign w:val="center"/>
          </w:tcPr>
          <w:p w:rsidR="00E067C2" w:rsidRPr="00E067C2" w:rsidRDefault="00E067C2" w:rsidP="00E067C2">
            <w:pPr>
              <w:pStyle w:val="TableBodyText"/>
              <w:ind w:right="28"/>
            </w:pPr>
            <w:r w:rsidRPr="00E067C2">
              <w:t>431</w:t>
            </w:r>
          </w:p>
        </w:tc>
      </w:tr>
      <w:tr w:rsidR="00E067C2" w:rsidRPr="00792428" w:rsidTr="00467E94">
        <w:tc>
          <w:tcPr>
            <w:tcW w:w="987" w:type="pct"/>
          </w:tcPr>
          <w:p w:rsidR="00E067C2" w:rsidRPr="00792428" w:rsidRDefault="00E067C2" w:rsidP="00386AA0">
            <w:pPr>
              <w:pStyle w:val="TableBodyText"/>
              <w:ind w:left="136"/>
              <w:jc w:val="left"/>
              <w:rPr>
                <w:b/>
              </w:rPr>
            </w:pPr>
            <w:r w:rsidRPr="00792428">
              <w:rPr>
                <w:b/>
              </w:rPr>
              <w:t>Total</w:t>
            </w:r>
          </w:p>
        </w:tc>
        <w:tc>
          <w:tcPr>
            <w:tcW w:w="455" w:type="pct"/>
            <w:vAlign w:val="center"/>
          </w:tcPr>
          <w:p w:rsidR="00E067C2" w:rsidRPr="00E067C2" w:rsidRDefault="00E067C2" w:rsidP="00E067C2">
            <w:pPr>
              <w:pStyle w:val="TableBodyText"/>
              <w:rPr>
                <w:b/>
              </w:rPr>
            </w:pPr>
            <w:r w:rsidRPr="00E067C2">
              <w:rPr>
                <w:b/>
              </w:rPr>
              <w:t>3</w:t>
            </w:r>
            <w:r w:rsidR="00CC06F0">
              <w:rPr>
                <w:b/>
              </w:rPr>
              <w:t> </w:t>
            </w:r>
            <w:r w:rsidRPr="00E067C2">
              <w:rPr>
                <w:b/>
              </w:rPr>
              <w:t>081</w:t>
            </w:r>
          </w:p>
        </w:tc>
        <w:tc>
          <w:tcPr>
            <w:tcW w:w="442" w:type="pct"/>
            <w:vAlign w:val="center"/>
          </w:tcPr>
          <w:p w:rsidR="00E067C2" w:rsidRPr="00E067C2" w:rsidRDefault="00E067C2" w:rsidP="00E067C2">
            <w:pPr>
              <w:pStyle w:val="TableBodyText"/>
              <w:rPr>
                <w:b/>
              </w:rPr>
            </w:pPr>
            <w:r w:rsidRPr="00E067C2">
              <w:rPr>
                <w:b/>
              </w:rPr>
              <w:t>2</w:t>
            </w:r>
            <w:r w:rsidR="00CC06F0">
              <w:rPr>
                <w:b/>
              </w:rPr>
              <w:t> </w:t>
            </w:r>
            <w:r w:rsidRPr="00E067C2">
              <w:rPr>
                <w:b/>
              </w:rPr>
              <w:t>219</w:t>
            </w:r>
          </w:p>
        </w:tc>
        <w:tc>
          <w:tcPr>
            <w:tcW w:w="445" w:type="pct"/>
            <w:vAlign w:val="center"/>
          </w:tcPr>
          <w:p w:rsidR="00E067C2" w:rsidRPr="00E067C2" w:rsidRDefault="00E067C2" w:rsidP="00E067C2">
            <w:pPr>
              <w:pStyle w:val="TableBodyText"/>
              <w:rPr>
                <w:b/>
              </w:rPr>
            </w:pPr>
            <w:r w:rsidRPr="00E067C2">
              <w:rPr>
                <w:b/>
              </w:rPr>
              <w:t>1</w:t>
            </w:r>
            <w:r w:rsidR="00CC06F0">
              <w:rPr>
                <w:b/>
              </w:rPr>
              <w:t> </w:t>
            </w:r>
            <w:r w:rsidRPr="00E067C2">
              <w:rPr>
                <w:b/>
              </w:rPr>
              <w:t>719</w:t>
            </w:r>
          </w:p>
        </w:tc>
        <w:tc>
          <w:tcPr>
            <w:tcW w:w="446" w:type="pct"/>
            <w:vAlign w:val="center"/>
          </w:tcPr>
          <w:p w:rsidR="00E067C2" w:rsidRPr="00E067C2" w:rsidRDefault="00E067C2" w:rsidP="00E067C2">
            <w:pPr>
              <w:pStyle w:val="TableBodyText"/>
              <w:rPr>
                <w:b/>
              </w:rPr>
            </w:pPr>
            <w:r w:rsidRPr="00E067C2">
              <w:rPr>
                <w:b/>
              </w:rPr>
              <w:t>1</w:t>
            </w:r>
            <w:r w:rsidR="00CC06F0">
              <w:rPr>
                <w:b/>
              </w:rPr>
              <w:t> </w:t>
            </w:r>
            <w:r w:rsidRPr="00E067C2">
              <w:rPr>
                <w:b/>
              </w:rPr>
              <w:t>067</w:t>
            </w:r>
          </w:p>
        </w:tc>
        <w:tc>
          <w:tcPr>
            <w:tcW w:w="445" w:type="pct"/>
            <w:vAlign w:val="center"/>
          </w:tcPr>
          <w:p w:rsidR="00E067C2" w:rsidRPr="00E067C2" w:rsidRDefault="00E067C2" w:rsidP="00E067C2">
            <w:pPr>
              <w:pStyle w:val="TableBodyText"/>
              <w:rPr>
                <w:b/>
              </w:rPr>
            </w:pPr>
            <w:r w:rsidRPr="00E067C2">
              <w:rPr>
                <w:b/>
              </w:rPr>
              <w:t>722</w:t>
            </w:r>
          </w:p>
        </w:tc>
        <w:tc>
          <w:tcPr>
            <w:tcW w:w="446" w:type="pct"/>
            <w:vAlign w:val="center"/>
          </w:tcPr>
          <w:p w:rsidR="00E067C2" w:rsidRPr="00E067C2" w:rsidRDefault="00E067C2" w:rsidP="00E067C2">
            <w:pPr>
              <w:pStyle w:val="TableBodyText"/>
              <w:rPr>
                <w:b/>
              </w:rPr>
            </w:pPr>
            <w:r w:rsidRPr="00E067C2">
              <w:rPr>
                <w:b/>
              </w:rPr>
              <w:t>263</w:t>
            </w:r>
          </w:p>
        </w:tc>
        <w:tc>
          <w:tcPr>
            <w:tcW w:w="445" w:type="pct"/>
            <w:vAlign w:val="center"/>
          </w:tcPr>
          <w:p w:rsidR="00E067C2" w:rsidRPr="00E067C2" w:rsidRDefault="00E067C2" w:rsidP="00E067C2">
            <w:pPr>
              <w:pStyle w:val="TableBodyText"/>
              <w:rPr>
                <w:b/>
              </w:rPr>
            </w:pPr>
            <w:r w:rsidRPr="00E067C2">
              <w:rPr>
                <w:b/>
              </w:rPr>
              <w:t>130</w:t>
            </w:r>
          </w:p>
        </w:tc>
        <w:tc>
          <w:tcPr>
            <w:tcW w:w="446" w:type="pct"/>
            <w:vAlign w:val="center"/>
          </w:tcPr>
          <w:p w:rsidR="00E067C2" w:rsidRPr="00E067C2" w:rsidRDefault="00E067C2" w:rsidP="00E067C2">
            <w:pPr>
              <w:pStyle w:val="TableBodyText"/>
              <w:rPr>
                <w:b/>
              </w:rPr>
            </w:pPr>
            <w:r w:rsidRPr="00E067C2">
              <w:rPr>
                <w:b/>
              </w:rPr>
              <w:t>192</w:t>
            </w:r>
          </w:p>
        </w:tc>
        <w:tc>
          <w:tcPr>
            <w:tcW w:w="443" w:type="pct"/>
            <w:vAlign w:val="center"/>
          </w:tcPr>
          <w:p w:rsidR="00E067C2" w:rsidRPr="00E067C2" w:rsidRDefault="00E067C2" w:rsidP="00E067C2">
            <w:pPr>
              <w:pStyle w:val="TableBodyText"/>
              <w:ind w:right="28"/>
              <w:rPr>
                <w:b/>
              </w:rPr>
            </w:pPr>
            <w:r w:rsidRPr="00E067C2">
              <w:rPr>
                <w:b/>
              </w:rPr>
              <w:t>9</w:t>
            </w:r>
            <w:r w:rsidR="00CC06F0">
              <w:rPr>
                <w:b/>
              </w:rPr>
              <w:t> </w:t>
            </w:r>
            <w:r w:rsidRPr="00E067C2">
              <w:rPr>
                <w:b/>
              </w:rPr>
              <w:t>393</w:t>
            </w:r>
          </w:p>
        </w:tc>
      </w:tr>
      <w:tr w:rsidR="00792428" w:rsidRPr="00792428" w:rsidTr="00534A3D">
        <w:tc>
          <w:tcPr>
            <w:tcW w:w="3220" w:type="pct"/>
            <w:gridSpan w:val="6"/>
            <w:vAlign w:val="center"/>
          </w:tcPr>
          <w:p w:rsidR="00534A3D" w:rsidRPr="00792428" w:rsidRDefault="00534A3D" w:rsidP="00386AA0">
            <w:pPr>
              <w:pStyle w:val="TableBodyText"/>
              <w:ind w:right="28"/>
              <w:jc w:val="left"/>
            </w:pPr>
            <w:r w:rsidRPr="00792428">
              <w:t>Proportion of schools that are government schools (per cent)</w:t>
            </w:r>
          </w:p>
        </w:tc>
        <w:tc>
          <w:tcPr>
            <w:tcW w:w="446" w:type="pct"/>
          </w:tcPr>
          <w:p w:rsidR="00534A3D" w:rsidRPr="00792428" w:rsidRDefault="00534A3D" w:rsidP="00386AA0">
            <w:pPr>
              <w:pStyle w:val="TableBodyText"/>
              <w:ind w:right="28"/>
            </w:pPr>
          </w:p>
        </w:tc>
        <w:tc>
          <w:tcPr>
            <w:tcW w:w="445" w:type="pct"/>
          </w:tcPr>
          <w:p w:rsidR="00534A3D" w:rsidRPr="00792428" w:rsidRDefault="00534A3D" w:rsidP="00386AA0">
            <w:pPr>
              <w:pStyle w:val="TableBodyText"/>
              <w:ind w:right="28"/>
            </w:pPr>
          </w:p>
        </w:tc>
        <w:tc>
          <w:tcPr>
            <w:tcW w:w="446" w:type="pct"/>
          </w:tcPr>
          <w:p w:rsidR="00534A3D" w:rsidRPr="00792428" w:rsidRDefault="00534A3D" w:rsidP="00386AA0">
            <w:pPr>
              <w:pStyle w:val="TableBodyText"/>
              <w:ind w:right="28"/>
            </w:pPr>
          </w:p>
        </w:tc>
        <w:tc>
          <w:tcPr>
            <w:tcW w:w="443" w:type="pct"/>
          </w:tcPr>
          <w:p w:rsidR="00534A3D" w:rsidRPr="00792428" w:rsidRDefault="00534A3D" w:rsidP="00386AA0">
            <w:pPr>
              <w:pStyle w:val="TableBodyText"/>
              <w:ind w:right="28"/>
            </w:pPr>
          </w:p>
        </w:tc>
      </w:tr>
      <w:tr w:rsidR="00E067C2" w:rsidRPr="00792428" w:rsidTr="00467E94">
        <w:tc>
          <w:tcPr>
            <w:tcW w:w="987" w:type="pct"/>
          </w:tcPr>
          <w:p w:rsidR="00E067C2" w:rsidRPr="00792428" w:rsidRDefault="00E067C2" w:rsidP="00386AA0">
            <w:pPr>
              <w:pStyle w:val="TableBodyText"/>
              <w:ind w:left="136"/>
              <w:jc w:val="left"/>
            </w:pPr>
            <w:r w:rsidRPr="00792428">
              <w:t>Primary</w:t>
            </w:r>
          </w:p>
        </w:tc>
        <w:tc>
          <w:tcPr>
            <w:tcW w:w="455" w:type="pct"/>
            <w:vAlign w:val="center"/>
          </w:tcPr>
          <w:p w:rsidR="00E067C2" w:rsidRPr="00E067C2" w:rsidRDefault="00E067C2" w:rsidP="00E067C2">
            <w:pPr>
              <w:pStyle w:val="TableBodyText"/>
            </w:pPr>
            <w:r w:rsidRPr="00E067C2">
              <w:t>76.8</w:t>
            </w:r>
          </w:p>
        </w:tc>
        <w:tc>
          <w:tcPr>
            <w:tcW w:w="442" w:type="pct"/>
            <w:vAlign w:val="center"/>
          </w:tcPr>
          <w:p w:rsidR="00E067C2" w:rsidRPr="00E067C2" w:rsidRDefault="00E067C2" w:rsidP="00E067C2">
            <w:pPr>
              <w:pStyle w:val="TableBodyText"/>
            </w:pPr>
            <w:r w:rsidRPr="00E067C2">
              <w:t>72.8</w:t>
            </w:r>
          </w:p>
        </w:tc>
        <w:tc>
          <w:tcPr>
            <w:tcW w:w="445" w:type="pct"/>
            <w:vAlign w:val="center"/>
          </w:tcPr>
          <w:p w:rsidR="00E067C2" w:rsidRPr="00E067C2" w:rsidRDefault="00E067C2" w:rsidP="00E067C2">
            <w:pPr>
              <w:pStyle w:val="TableBodyText"/>
            </w:pPr>
            <w:r w:rsidRPr="00E067C2">
              <w:t>80.0</w:t>
            </w:r>
          </w:p>
        </w:tc>
        <w:tc>
          <w:tcPr>
            <w:tcW w:w="446" w:type="pct"/>
            <w:vAlign w:val="center"/>
          </w:tcPr>
          <w:p w:rsidR="00E067C2" w:rsidRPr="00E067C2" w:rsidRDefault="00E067C2" w:rsidP="00E067C2">
            <w:pPr>
              <w:pStyle w:val="TableBodyText"/>
            </w:pPr>
            <w:r w:rsidRPr="00E067C2">
              <w:t>77.6</w:t>
            </w:r>
          </w:p>
        </w:tc>
        <w:tc>
          <w:tcPr>
            <w:tcW w:w="445" w:type="pct"/>
            <w:vAlign w:val="center"/>
          </w:tcPr>
          <w:p w:rsidR="00E067C2" w:rsidRPr="00E067C2" w:rsidRDefault="00E067C2" w:rsidP="00E067C2">
            <w:pPr>
              <w:pStyle w:val="TableBodyText"/>
            </w:pPr>
            <w:r w:rsidRPr="00E067C2">
              <w:t>78.6</w:t>
            </w:r>
          </w:p>
        </w:tc>
        <w:tc>
          <w:tcPr>
            <w:tcW w:w="446" w:type="pct"/>
            <w:vAlign w:val="center"/>
          </w:tcPr>
          <w:p w:rsidR="00E067C2" w:rsidRPr="00E067C2" w:rsidRDefault="00E067C2" w:rsidP="00E067C2">
            <w:pPr>
              <w:pStyle w:val="TableBodyText"/>
            </w:pPr>
            <w:r w:rsidRPr="00E067C2">
              <w:t>82.4</w:t>
            </w:r>
          </w:p>
        </w:tc>
        <w:tc>
          <w:tcPr>
            <w:tcW w:w="445" w:type="pct"/>
            <w:vAlign w:val="center"/>
          </w:tcPr>
          <w:p w:rsidR="00E067C2" w:rsidRPr="00E067C2" w:rsidRDefault="00E067C2" w:rsidP="00E067C2">
            <w:pPr>
              <w:pStyle w:val="TableBodyText"/>
            </w:pPr>
            <w:r w:rsidRPr="00E067C2">
              <w:t>68.8</w:t>
            </w:r>
          </w:p>
        </w:tc>
        <w:tc>
          <w:tcPr>
            <w:tcW w:w="446" w:type="pct"/>
            <w:vAlign w:val="center"/>
          </w:tcPr>
          <w:p w:rsidR="00E067C2" w:rsidRPr="00E067C2" w:rsidRDefault="00E067C2" w:rsidP="00E067C2">
            <w:pPr>
              <w:pStyle w:val="TableBodyText"/>
            </w:pPr>
            <w:r w:rsidRPr="00E067C2">
              <w:t>85.1</w:t>
            </w:r>
          </w:p>
        </w:tc>
        <w:tc>
          <w:tcPr>
            <w:tcW w:w="443" w:type="pct"/>
            <w:vAlign w:val="center"/>
          </w:tcPr>
          <w:p w:rsidR="00E067C2" w:rsidRPr="00E067C2" w:rsidRDefault="00E067C2" w:rsidP="00E067C2">
            <w:pPr>
              <w:pStyle w:val="TableBodyText"/>
              <w:ind w:right="28"/>
            </w:pPr>
            <w:r w:rsidRPr="00E067C2">
              <w:t>76.8</w:t>
            </w:r>
          </w:p>
        </w:tc>
      </w:tr>
      <w:tr w:rsidR="00E067C2" w:rsidRPr="00792428" w:rsidTr="00467E94">
        <w:tc>
          <w:tcPr>
            <w:tcW w:w="987" w:type="pct"/>
          </w:tcPr>
          <w:p w:rsidR="00E067C2" w:rsidRPr="00792428" w:rsidRDefault="00E067C2" w:rsidP="00386AA0">
            <w:pPr>
              <w:pStyle w:val="TableBodyText"/>
              <w:ind w:left="136"/>
              <w:jc w:val="left"/>
            </w:pPr>
            <w:r w:rsidRPr="00792428">
              <w:t>Secondary</w:t>
            </w:r>
          </w:p>
        </w:tc>
        <w:tc>
          <w:tcPr>
            <w:tcW w:w="455" w:type="pct"/>
            <w:vAlign w:val="center"/>
          </w:tcPr>
          <w:p w:rsidR="00E067C2" w:rsidRPr="00E067C2" w:rsidRDefault="00E067C2" w:rsidP="00E067C2">
            <w:pPr>
              <w:pStyle w:val="TableBodyText"/>
            </w:pPr>
            <w:r w:rsidRPr="00E067C2">
              <w:t>71.8</w:t>
            </w:r>
          </w:p>
        </w:tc>
        <w:tc>
          <w:tcPr>
            <w:tcW w:w="442" w:type="pct"/>
            <w:vAlign w:val="center"/>
          </w:tcPr>
          <w:p w:rsidR="00E067C2" w:rsidRPr="00E067C2" w:rsidRDefault="00E067C2" w:rsidP="00E067C2">
            <w:pPr>
              <w:pStyle w:val="TableBodyText"/>
            </w:pPr>
            <w:r w:rsidRPr="00E067C2">
              <w:t>71.1</w:t>
            </w:r>
          </w:p>
        </w:tc>
        <w:tc>
          <w:tcPr>
            <w:tcW w:w="445" w:type="pct"/>
            <w:vAlign w:val="center"/>
          </w:tcPr>
          <w:p w:rsidR="00E067C2" w:rsidRPr="00E067C2" w:rsidRDefault="00E067C2" w:rsidP="00E067C2">
            <w:pPr>
              <w:pStyle w:val="TableBodyText"/>
            </w:pPr>
            <w:r w:rsidRPr="00E067C2">
              <w:t>71.4</w:t>
            </w:r>
          </w:p>
        </w:tc>
        <w:tc>
          <w:tcPr>
            <w:tcW w:w="446" w:type="pct"/>
            <w:vAlign w:val="center"/>
          </w:tcPr>
          <w:p w:rsidR="00E067C2" w:rsidRPr="00E067C2" w:rsidRDefault="00E067C2" w:rsidP="00E067C2">
            <w:pPr>
              <w:pStyle w:val="TableBodyText"/>
            </w:pPr>
            <w:r w:rsidRPr="00E067C2">
              <w:t>93.3</w:t>
            </w:r>
          </w:p>
        </w:tc>
        <w:tc>
          <w:tcPr>
            <w:tcW w:w="445" w:type="pct"/>
            <w:vAlign w:val="center"/>
          </w:tcPr>
          <w:p w:rsidR="00E067C2" w:rsidRPr="00E067C2" w:rsidRDefault="00E067C2" w:rsidP="00E067C2">
            <w:pPr>
              <w:pStyle w:val="TableBodyText"/>
            </w:pPr>
            <w:r w:rsidRPr="00E067C2">
              <w:t>77.6</w:t>
            </w:r>
          </w:p>
        </w:tc>
        <w:tc>
          <w:tcPr>
            <w:tcW w:w="446" w:type="pct"/>
            <w:vAlign w:val="center"/>
          </w:tcPr>
          <w:p w:rsidR="00E067C2" w:rsidRPr="00E067C2" w:rsidRDefault="00E067C2" w:rsidP="00E067C2">
            <w:pPr>
              <w:pStyle w:val="TableBodyText"/>
            </w:pPr>
            <w:r w:rsidRPr="00E067C2">
              <w:t>88.4</w:t>
            </w:r>
          </w:p>
        </w:tc>
        <w:tc>
          <w:tcPr>
            <w:tcW w:w="445" w:type="pct"/>
            <w:vAlign w:val="center"/>
          </w:tcPr>
          <w:p w:rsidR="00E067C2" w:rsidRPr="00E067C2" w:rsidRDefault="00E067C2" w:rsidP="00E067C2">
            <w:pPr>
              <w:pStyle w:val="TableBodyText"/>
            </w:pPr>
            <w:r w:rsidRPr="00E067C2">
              <w:t>78.3</w:t>
            </w:r>
          </w:p>
        </w:tc>
        <w:tc>
          <w:tcPr>
            <w:tcW w:w="446" w:type="pct"/>
            <w:vAlign w:val="center"/>
          </w:tcPr>
          <w:p w:rsidR="00E067C2" w:rsidRPr="00E067C2" w:rsidRDefault="00E067C2" w:rsidP="00E067C2">
            <w:pPr>
              <w:pStyle w:val="TableBodyText"/>
            </w:pPr>
            <w:r w:rsidRPr="00E067C2">
              <w:t>62.5</w:t>
            </w:r>
          </w:p>
        </w:tc>
        <w:tc>
          <w:tcPr>
            <w:tcW w:w="443" w:type="pct"/>
            <w:vAlign w:val="center"/>
          </w:tcPr>
          <w:p w:rsidR="00E067C2" w:rsidRPr="00E067C2" w:rsidRDefault="00E067C2" w:rsidP="00E067C2">
            <w:pPr>
              <w:pStyle w:val="TableBodyText"/>
              <w:ind w:right="28"/>
            </w:pPr>
            <w:r w:rsidRPr="00E067C2">
              <w:t>74.0</w:t>
            </w:r>
          </w:p>
        </w:tc>
      </w:tr>
      <w:tr w:rsidR="00E067C2" w:rsidRPr="00792428" w:rsidTr="00467E94">
        <w:tc>
          <w:tcPr>
            <w:tcW w:w="987" w:type="pct"/>
          </w:tcPr>
          <w:p w:rsidR="00E067C2" w:rsidRPr="00792428" w:rsidRDefault="00E067C2" w:rsidP="00386AA0">
            <w:pPr>
              <w:pStyle w:val="TableBodyText"/>
              <w:ind w:left="136"/>
              <w:jc w:val="left"/>
            </w:pPr>
            <w:r w:rsidRPr="00792428">
              <w:t>Combined</w:t>
            </w:r>
            <w:r w:rsidRPr="00792428">
              <w:rPr>
                <w:rStyle w:val="NoteLabel"/>
              </w:rPr>
              <w:t>b</w:t>
            </w:r>
          </w:p>
        </w:tc>
        <w:tc>
          <w:tcPr>
            <w:tcW w:w="455" w:type="pct"/>
            <w:vAlign w:val="center"/>
          </w:tcPr>
          <w:p w:rsidR="00E067C2" w:rsidRPr="00E067C2" w:rsidRDefault="00E067C2" w:rsidP="00E067C2">
            <w:pPr>
              <w:pStyle w:val="TableBodyText"/>
            </w:pPr>
            <w:r w:rsidRPr="00E067C2">
              <w:t>21.7</w:t>
            </w:r>
          </w:p>
        </w:tc>
        <w:tc>
          <w:tcPr>
            <w:tcW w:w="442" w:type="pct"/>
            <w:vAlign w:val="center"/>
          </w:tcPr>
          <w:p w:rsidR="00E067C2" w:rsidRPr="00E067C2" w:rsidRDefault="00E067C2" w:rsidP="00E067C2">
            <w:pPr>
              <w:pStyle w:val="TableBodyText"/>
            </w:pPr>
            <w:r w:rsidRPr="00E067C2">
              <w:t>33.9</w:t>
            </w:r>
          </w:p>
        </w:tc>
        <w:tc>
          <w:tcPr>
            <w:tcW w:w="445" w:type="pct"/>
            <w:vAlign w:val="center"/>
          </w:tcPr>
          <w:p w:rsidR="00E067C2" w:rsidRPr="00E067C2" w:rsidRDefault="00E067C2" w:rsidP="00E067C2">
            <w:pPr>
              <w:pStyle w:val="TableBodyText"/>
            </w:pPr>
            <w:r w:rsidRPr="00E067C2">
              <w:t>36.3</w:t>
            </w:r>
          </w:p>
        </w:tc>
        <w:tc>
          <w:tcPr>
            <w:tcW w:w="446" w:type="pct"/>
            <w:vAlign w:val="center"/>
          </w:tcPr>
          <w:p w:rsidR="00E067C2" w:rsidRPr="00E067C2" w:rsidRDefault="00E067C2" w:rsidP="00E067C2">
            <w:pPr>
              <w:pStyle w:val="TableBodyText"/>
            </w:pPr>
            <w:r w:rsidRPr="00E067C2">
              <w:t>40.5</w:t>
            </w:r>
          </w:p>
        </w:tc>
        <w:tc>
          <w:tcPr>
            <w:tcW w:w="445" w:type="pct"/>
            <w:vAlign w:val="center"/>
          </w:tcPr>
          <w:p w:rsidR="00E067C2" w:rsidRPr="00E067C2" w:rsidRDefault="00E067C2" w:rsidP="00E067C2">
            <w:pPr>
              <w:pStyle w:val="TableBodyText"/>
            </w:pPr>
            <w:r w:rsidRPr="00E067C2">
              <w:t>50.7</w:t>
            </w:r>
          </w:p>
        </w:tc>
        <w:tc>
          <w:tcPr>
            <w:tcW w:w="446" w:type="pct"/>
            <w:vAlign w:val="center"/>
          </w:tcPr>
          <w:p w:rsidR="00E067C2" w:rsidRPr="00E067C2" w:rsidRDefault="00E067C2" w:rsidP="00E067C2">
            <w:pPr>
              <w:pStyle w:val="TableBodyText"/>
            </w:pPr>
            <w:r w:rsidRPr="00E067C2">
              <w:t>44.6</w:t>
            </w:r>
          </w:p>
        </w:tc>
        <w:tc>
          <w:tcPr>
            <w:tcW w:w="445" w:type="pct"/>
            <w:vAlign w:val="center"/>
          </w:tcPr>
          <w:p w:rsidR="00E067C2" w:rsidRPr="00E067C2" w:rsidRDefault="00E067C2" w:rsidP="00E067C2">
            <w:pPr>
              <w:pStyle w:val="TableBodyText"/>
            </w:pPr>
            <w:r w:rsidRPr="00E067C2">
              <w:t>40.9</w:t>
            </w:r>
          </w:p>
        </w:tc>
        <w:tc>
          <w:tcPr>
            <w:tcW w:w="446" w:type="pct"/>
            <w:vAlign w:val="center"/>
          </w:tcPr>
          <w:p w:rsidR="00E067C2" w:rsidRPr="00E067C2" w:rsidRDefault="00E067C2" w:rsidP="00E067C2">
            <w:pPr>
              <w:pStyle w:val="TableBodyText"/>
            </w:pPr>
            <w:r w:rsidRPr="00E067C2">
              <w:t>80.7</w:t>
            </w:r>
          </w:p>
        </w:tc>
        <w:tc>
          <w:tcPr>
            <w:tcW w:w="443" w:type="pct"/>
            <w:vAlign w:val="center"/>
          </w:tcPr>
          <w:p w:rsidR="00E067C2" w:rsidRPr="00E067C2" w:rsidRDefault="00E067C2" w:rsidP="00E067C2">
            <w:pPr>
              <w:pStyle w:val="TableBodyText"/>
              <w:ind w:right="28"/>
            </w:pPr>
            <w:r w:rsidRPr="00E067C2">
              <w:t>38.2</w:t>
            </w:r>
          </w:p>
        </w:tc>
      </w:tr>
      <w:tr w:rsidR="00E067C2" w:rsidRPr="00792428" w:rsidTr="00467E94">
        <w:tc>
          <w:tcPr>
            <w:tcW w:w="987" w:type="pct"/>
          </w:tcPr>
          <w:p w:rsidR="00E067C2" w:rsidRPr="00792428" w:rsidRDefault="00E067C2" w:rsidP="00386AA0">
            <w:pPr>
              <w:pStyle w:val="TableBodyText"/>
              <w:ind w:left="136"/>
              <w:jc w:val="left"/>
            </w:pPr>
            <w:r w:rsidRPr="00792428">
              <w:t>Special schools</w:t>
            </w:r>
            <w:r w:rsidRPr="00792428">
              <w:rPr>
                <w:rStyle w:val="NoteLabel"/>
              </w:rPr>
              <w:t>c</w:t>
            </w:r>
          </w:p>
        </w:tc>
        <w:tc>
          <w:tcPr>
            <w:tcW w:w="455" w:type="pct"/>
            <w:vAlign w:val="center"/>
          </w:tcPr>
          <w:p w:rsidR="00E067C2" w:rsidRPr="00E067C2" w:rsidRDefault="00E067C2" w:rsidP="00E067C2">
            <w:pPr>
              <w:pStyle w:val="TableBodyText"/>
            </w:pPr>
            <w:r w:rsidRPr="00E067C2">
              <w:t>71.0</w:t>
            </w:r>
          </w:p>
        </w:tc>
        <w:tc>
          <w:tcPr>
            <w:tcW w:w="442" w:type="pct"/>
            <w:vAlign w:val="center"/>
          </w:tcPr>
          <w:p w:rsidR="00E067C2" w:rsidRPr="00E067C2" w:rsidRDefault="00E067C2" w:rsidP="00E067C2">
            <w:pPr>
              <w:pStyle w:val="TableBodyText"/>
            </w:pPr>
            <w:r w:rsidRPr="00E067C2">
              <w:t>79.6</w:t>
            </w:r>
          </w:p>
        </w:tc>
        <w:tc>
          <w:tcPr>
            <w:tcW w:w="445" w:type="pct"/>
            <w:vAlign w:val="center"/>
          </w:tcPr>
          <w:p w:rsidR="00E067C2" w:rsidRPr="00E067C2" w:rsidRDefault="00E067C2" w:rsidP="00E067C2">
            <w:pPr>
              <w:pStyle w:val="TableBodyText"/>
            </w:pPr>
            <w:r w:rsidRPr="00E067C2">
              <w:t>69.7</w:t>
            </w:r>
          </w:p>
        </w:tc>
        <w:tc>
          <w:tcPr>
            <w:tcW w:w="446" w:type="pct"/>
            <w:vAlign w:val="center"/>
          </w:tcPr>
          <w:p w:rsidR="00E067C2" w:rsidRPr="00E067C2" w:rsidRDefault="00E067C2" w:rsidP="00E067C2">
            <w:pPr>
              <w:pStyle w:val="TableBodyText"/>
            </w:pPr>
            <w:r w:rsidRPr="00E067C2">
              <w:t>85.3</w:t>
            </w:r>
          </w:p>
        </w:tc>
        <w:tc>
          <w:tcPr>
            <w:tcW w:w="445" w:type="pct"/>
            <w:vAlign w:val="center"/>
          </w:tcPr>
          <w:p w:rsidR="00E067C2" w:rsidRPr="00E067C2" w:rsidRDefault="00E067C2" w:rsidP="00E067C2">
            <w:pPr>
              <w:pStyle w:val="TableBodyText"/>
            </w:pPr>
            <w:r w:rsidRPr="00E067C2">
              <w:t>85.7</w:t>
            </w:r>
          </w:p>
        </w:tc>
        <w:tc>
          <w:tcPr>
            <w:tcW w:w="446" w:type="pct"/>
            <w:vAlign w:val="center"/>
          </w:tcPr>
          <w:p w:rsidR="00E067C2" w:rsidRPr="00E067C2" w:rsidRDefault="00E067C2" w:rsidP="00E067C2">
            <w:pPr>
              <w:pStyle w:val="TableBodyText"/>
            </w:pPr>
            <w:r w:rsidRPr="00E067C2">
              <w:t>80.0</w:t>
            </w:r>
          </w:p>
        </w:tc>
        <w:tc>
          <w:tcPr>
            <w:tcW w:w="445" w:type="pct"/>
            <w:vAlign w:val="center"/>
          </w:tcPr>
          <w:p w:rsidR="00E067C2" w:rsidRPr="00E067C2" w:rsidRDefault="00E067C2" w:rsidP="00E067C2">
            <w:pPr>
              <w:pStyle w:val="TableBodyText"/>
            </w:pPr>
            <w:r w:rsidRPr="00E067C2">
              <w:t>80.0</w:t>
            </w:r>
          </w:p>
        </w:tc>
        <w:tc>
          <w:tcPr>
            <w:tcW w:w="446" w:type="pct"/>
            <w:vAlign w:val="center"/>
          </w:tcPr>
          <w:p w:rsidR="00E067C2" w:rsidRPr="00E067C2" w:rsidRDefault="00E067C2" w:rsidP="00E067C2">
            <w:pPr>
              <w:pStyle w:val="TableBodyText"/>
            </w:pPr>
            <w:r w:rsidRPr="00E067C2">
              <w:t>83.3</w:t>
            </w:r>
          </w:p>
        </w:tc>
        <w:tc>
          <w:tcPr>
            <w:tcW w:w="443" w:type="pct"/>
            <w:vAlign w:val="center"/>
          </w:tcPr>
          <w:p w:rsidR="00E067C2" w:rsidRPr="00E067C2" w:rsidRDefault="00E067C2" w:rsidP="00E067C2">
            <w:pPr>
              <w:pStyle w:val="TableBodyText"/>
              <w:ind w:right="28"/>
            </w:pPr>
            <w:r w:rsidRPr="00E067C2">
              <w:t>76.3</w:t>
            </w:r>
          </w:p>
        </w:tc>
      </w:tr>
      <w:tr w:rsidR="00E067C2" w:rsidRPr="00792428" w:rsidTr="00467E94">
        <w:tc>
          <w:tcPr>
            <w:tcW w:w="987" w:type="pct"/>
          </w:tcPr>
          <w:p w:rsidR="00E067C2" w:rsidRPr="00792428" w:rsidRDefault="00E067C2" w:rsidP="00386AA0">
            <w:pPr>
              <w:pStyle w:val="TableBodyText"/>
              <w:ind w:left="136"/>
              <w:jc w:val="left"/>
              <w:rPr>
                <w:b/>
              </w:rPr>
            </w:pPr>
            <w:r w:rsidRPr="00792428">
              <w:rPr>
                <w:b/>
              </w:rPr>
              <w:t>All schools</w:t>
            </w:r>
          </w:p>
        </w:tc>
        <w:tc>
          <w:tcPr>
            <w:tcW w:w="455" w:type="pct"/>
            <w:vAlign w:val="center"/>
          </w:tcPr>
          <w:p w:rsidR="00E067C2" w:rsidRPr="00E067C2" w:rsidRDefault="00E067C2" w:rsidP="00E067C2">
            <w:pPr>
              <w:pStyle w:val="TableBodyText"/>
              <w:rPr>
                <w:b/>
              </w:rPr>
            </w:pPr>
            <w:r w:rsidRPr="00E067C2">
              <w:rPr>
                <w:b/>
              </w:rPr>
              <w:t>70.2</w:t>
            </w:r>
          </w:p>
        </w:tc>
        <w:tc>
          <w:tcPr>
            <w:tcW w:w="442" w:type="pct"/>
            <w:vAlign w:val="center"/>
          </w:tcPr>
          <w:p w:rsidR="00E067C2" w:rsidRPr="00E067C2" w:rsidRDefault="00E067C2" w:rsidP="00E067C2">
            <w:pPr>
              <w:pStyle w:val="TableBodyText"/>
              <w:rPr>
                <w:b/>
              </w:rPr>
            </w:pPr>
            <w:r w:rsidRPr="00E067C2">
              <w:rPr>
                <w:b/>
              </w:rPr>
              <w:t>68.8</w:t>
            </w:r>
          </w:p>
        </w:tc>
        <w:tc>
          <w:tcPr>
            <w:tcW w:w="445" w:type="pct"/>
            <w:vAlign w:val="center"/>
          </w:tcPr>
          <w:p w:rsidR="00E067C2" w:rsidRPr="00E067C2" w:rsidRDefault="00E067C2" w:rsidP="00E067C2">
            <w:pPr>
              <w:pStyle w:val="TableBodyText"/>
              <w:rPr>
                <w:b/>
              </w:rPr>
            </w:pPr>
            <w:r w:rsidRPr="00E067C2">
              <w:rPr>
                <w:b/>
              </w:rPr>
              <w:t>72.0</w:t>
            </w:r>
          </w:p>
        </w:tc>
        <w:tc>
          <w:tcPr>
            <w:tcW w:w="446" w:type="pct"/>
            <w:vAlign w:val="center"/>
          </w:tcPr>
          <w:p w:rsidR="00E067C2" w:rsidRPr="00E067C2" w:rsidRDefault="00E067C2" w:rsidP="00E067C2">
            <w:pPr>
              <w:pStyle w:val="TableBodyText"/>
              <w:rPr>
                <w:b/>
              </w:rPr>
            </w:pPr>
            <w:r w:rsidRPr="00E067C2">
              <w:rPr>
                <w:b/>
              </w:rPr>
              <w:t>72.0</w:t>
            </w:r>
          </w:p>
        </w:tc>
        <w:tc>
          <w:tcPr>
            <w:tcW w:w="445" w:type="pct"/>
            <w:vAlign w:val="center"/>
          </w:tcPr>
          <w:p w:rsidR="00E067C2" w:rsidRPr="00E067C2" w:rsidRDefault="00E067C2" w:rsidP="00E067C2">
            <w:pPr>
              <w:pStyle w:val="TableBodyText"/>
              <w:rPr>
                <w:b/>
              </w:rPr>
            </w:pPr>
            <w:r w:rsidRPr="00E067C2">
              <w:rPr>
                <w:b/>
              </w:rPr>
              <w:t>73.0</w:t>
            </w:r>
          </w:p>
        </w:tc>
        <w:tc>
          <w:tcPr>
            <w:tcW w:w="446" w:type="pct"/>
            <w:vAlign w:val="center"/>
          </w:tcPr>
          <w:p w:rsidR="00E067C2" w:rsidRPr="00E067C2" w:rsidRDefault="00E067C2" w:rsidP="00E067C2">
            <w:pPr>
              <w:pStyle w:val="TableBodyText"/>
              <w:rPr>
                <w:b/>
              </w:rPr>
            </w:pPr>
            <w:r w:rsidRPr="00E067C2">
              <w:rPr>
                <w:b/>
              </w:rPr>
              <w:t>75.3</w:t>
            </w:r>
          </w:p>
        </w:tc>
        <w:tc>
          <w:tcPr>
            <w:tcW w:w="445" w:type="pct"/>
            <w:vAlign w:val="center"/>
          </w:tcPr>
          <w:p w:rsidR="00E067C2" w:rsidRPr="00E067C2" w:rsidRDefault="00E067C2" w:rsidP="00E067C2">
            <w:pPr>
              <w:pStyle w:val="TableBodyText"/>
              <w:rPr>
                <w:b/>
              </w:rPr>
            </w:pPr>
            <w:r w:rsidRPr="00E067C2">
              <w:rPr>
                <w:b/>
              </w:rPr>
              <w:t>66.2</w:t>
            </w:r>
          </w:p>
        </w:tc>
        <w:tc>
          <w:tcPr>
            <w:tcW w:w="446" w:type="pct"/>
            <w:vAlign w:val="center"/>
          </w:tcPr>
          <w:p w:rsidR="00E067C2" w:rsidRPr="00E067C2" w:rsidRDefault="00E067C2" w:rsidP="00E067C2">
            <w:pPr>
              <w:pStyle w:val="TableBodyText"/>
              <w:rPr>
                <w:b/>
              </w:rPr>
            </w:pPr>
            <w:r w:rsidRPr="00E067C2">
              <w:rPr>
                <w:b/>
              </w:rPr>
              <w:t>80.2</w:t>
            </w:r>
          </w:p>
        </w:tc>
        <w:tc>
          <w:tcPr>
            <w:tcW w:w="443" w:type="pct"/>
            <w:vAlign w:val="center"/>
          </w:tcPr>
          <w:p w:rsidR="00E067C2" w:rsidRPr="00E067C2" w:rsidRDefault="00E067C2" w:rsidP="00E067C2">
            <w:pPr>
              <w:pStyle w:val="TableBodyText"/>
              <w:ind w:right="28"/>
              <w:rPr>
                <w:b/>
              </w:rPr>
            </w:pPr>
            <w:r w:rsidRPr="00E067C2">
              <w:rPr>
                <w:b/>
              </w:rPr>
              <w:t>70.9</w:t>
            </w:r>
          </w:p>
        </w:tc>
      </w:tr>
      <w:tr w:rsidR="00792428" w:rsidRPr="00792428" w:rsidTr="00534A3D">
        <w:tc>
          <w:tcPr>
            <w:tcW w:w="5000" w:type="pct"/>
            <w:gridSpan w:val="10"/>
          </w:tcPr>
          <w:p w:rsidR="00534A3D" w:rsidRPr="00792428" w:rsidRDefault="00534A3D" w:rsidP="00386AA0">
            <w:pPr>
              <w:pStyle w:val="TableBodyText"/>
              <w:ind w:right="28"/>
              <w:jc w:val="left"/>
            </w:pPr>
            <w:r w:rsidRPr="00792428">
              <w:t>Proportion of schools that are primary schools in each sector (per cent)</w:t>
            </w:r>
          </w:p>
        </w:tc>
      </w:tr>
      <w:tr w:rsidR="00E067C2" w:rsidRPr="00792428" w:rsidTr="00467E94">
        <w:tc>
          <w:tcPr>
            <w:tcW w:w="987" w:type="pct"/>
          </w:tcPr>
          <w:p w:rsidR="00E067C2" w:rsidRPr="00792428" w:rsidRDefault="00E067C2" w:rsidP="00386AA0">
            <w:pPr>
              <w:pStyle w:val="TableBodyText"/>
              <w:ind w:left="136"/>
              <w:jc w:val="left"/>
            </w:pPr>
            <w:r w:rsidRPr="00792428">
              <w:t>Government</w:t>
            </w:r>
          </w:p>
        </w:tc>
        <w:tc>
          <w:tcPr>
            <w:tcW w:w="455" w:type="pct"/>
            <w:vAlign w:val="center"/>
          </w:tcPr>
          <w:p w:rsidR="00E067C2" w:rsidRPr="00E067C2" w:rsidRDefault="00E067C2" w:rsidP="00E067C2">
            <w:pPr>
              <w:pStyle w:val="TableBodyText"/>
            </w:pPr>
            <w:r w:rsidRPr="00E067C2">
              <w:t>74.8</w:t>
            </w:r>
          </w:p>
        </w:tc>
        <w:tc>
          <w:tcPr>
            <w:tcW w:w="442" w:type="pct"/>
            <w:vAlign w:val="center"/>
          </w:tcPr>
          <w:p w:rsidR="00E067C2" w:rsidRPr="00E067C2" w:rsidRDefault="00E067C2" w:rsidP="00E067C2">
            <w:pPr>
              <w:pStyle w:val="TableBodyText"/>
            </w:pPr>
            <w:r w:rsidRPr="00E067C2">
              <w:t>74.0</w:t>
            </w:r>
          </w:p>
        </w:tc>
        <w:tc>
          <w:tcPr>
            <w:tcW w:w="445" w:type="pct"/>
            <w:vAlign w:val="center"/>
          </w:tcPr>
          <w:p w:rsidR="00E067C2" w:rsidRPr="00E067C2" w:rsidRDefault="00E067C2" w:rsidP="00E067C2">
            <w:pPr>
              <w:pStyle w:val="TableBodyText"/>
            </w:pPr>
            <w:r w:rsidRPr="00E067C2">
              <w:t>74.3</w:t>
            </w:r>
          </w:p>
        </w:tc>
        <w:tc>
          <w:tcPr>
            <w:tcW w:w="446" w:type="pct"/>
            <w:vAlign w:val="center"/>
          </w:tcPr>
          <w:p w:rsidR="00E067C2" w:rsidRPr="00E067C2" w:rsidRDefault="00E067C2" w:rsidP="00E067C2">
            <w:pPr>
              <w:pStyle w:val="TableBodyText"/>
            </w:pPr>
            <w:r w:rsidRPr="00E067C2">
              <w:t>67.3</w:t>
            </w:r>
          </w:p>
        </w:tc>
        <w:tc>
          <w:tcPr>
            <w:tcW w:w="445" w:type="pct"/>
            <w:vAlign w:val="center"/>
          </w:tcPr>
          <w:p w:rsidR="00E067C2" w:rsidRPr="00E067C2" w:rsidRDefault="00E067C2" w:rsidP="00E067C2">
            <w:pPr>
              <w:pStyle w:val="TableBodyText"/>
            </w:pPr>
            <w:r w:rsidRPr="00E067C2">
              <w:t>69.8</w:t>
            </w:r>
          </w:p>
        </w:tc>
        <w:tc>
          <w:tcPr>
            <w:tcW w:w="446" w:type="pct"/>
            <w:vAlign w:val="center"/>
          </w:tcPr>
          <w:p w:rsidR="00E067C2" w:rsidRPr="00E067C2" w:rsidRDefault="00E067C2" w:rsidP="00E067C2">
            <w:pPr>
              <w:pStyle w:val="TableBodyText"/>
            </w:pPr>
            <w:r w:rsidRPr="00E067C2">
              <w:t>66.2</w:t>
            </w:r>
          </w:p>
        </w:tc>
        <w:tc>
          <w:tcPr>
            <w:tcW w:w="445" w:type="pct"/>
            <w:vAlign w:val="center"/>
          </w:tcPr>
          <w:p w:rsidR="00E067C2" w:rsidRPr="00E067C2" w:rsidRDefault="00E067C2" w:rsidP="00E067C2">
            <w:pPr>
              <w:pStyle w:val="TableBodyText"/>
            </w:pPr>
            <w:r w:rsidRPr="00E067C2">
              <w:t>64.0</w:t>
            </w:r>
          </w:p>
        </w:tc>
        <w:tc>
          <w:tcPr>
            <w:tcW w:w="446" w:type="pct"/>
            <w:vAlign w:val="center"/>
          </w:tcPr>
          <w:p w:rsidR="00E067C2" w:rsidRPr="00E067C2" w:rsidRDefault="00E067C2" w:rsidP="00E067C2">
            <w:pPr>
              <w:pStyle w:val="TableBodyText"/>
            </w:pPr>
            <w:r w:rsidRPr="00E067C2">
              <w:t>40.9</w:t>
            </w:r>
          </w:p>
        </w:tc>
        <w:tc>
          <w:tcPr>
            <w:tcW w:w="443" w:type="pct"/>
            <w:vAlign w:val="center"/>
          </w:tcPr>
          <w:p w:rsidR="00E067C2" w:rsidRPr="00E067C2" w:rsidRDefault="00E067C2" w:rsidP="00E067C2">
            <w:pPr>
              <w:pStyle w:val="TableBodyText"/>
              <w:ind w:right="28"/>
            </w:pPr>
            <w:r w:rsidRPr="00E067C2">
              <w:t>72.1</w:t>
            </w:r>
          </w:p>
        </w:tc>
      </w:tr>
      <w:tr w:rsidR="00E067C2" w:rsidRPr="00792428" w:rsidTr="00467E94">
        <w:tc>
          <w:tcPr>
            <w:tcW w:w="987" w:type="pct"/>
          </w:tcPr>
          <w:p w:rsidR="00E067C2" w:rsidRPr="00792428" w:rsidRDefault="00E067C2" w:rsidP="00386AA0">
            <w:pPr>
              <w:pStyle w:val="TableBodyText"/>
              <w:ind w:left="136"/>
              <w:jc w:val="left"/>
            </w:pPr>
            <w:r w:rsidRPr="00792428">
              <w:t>Non</w:t>
            </w:r>
            <w:r w:rsidRPr="00792428">
              <w:noBreakHyphen/>
              <w:t>government</w:t>
            </w:r>
          </w:p>
        </w:tc>
        <w:tc>
          <w:tcPr>
            <w:tcW w:w="455" w:type="pct"/>
            <w:vAlign w:val="center"/>
          </w:tcPr>
          <w:p w:rsidR="00E067C2" w:rsidRPr="00E067C2" w:rsidRDefault="00E067C2" w:rsidP="00E067C2">
            <w:pPr>
              <w:pStyle w:val="TableBodyText"/>
            </w:pPr>
            <w:r w:rsidRPr="00E067C2">
              <w:t>53.3</w:t>
            </w:r>
          </w:p>
        </w:tc>
        <w:tc>
          <w:tcPr>
            <w:tcW w:w="442" w:type="pct"/>
            <w:vAlign w:val="center"/>
          </w:tcPr>
          <w:p w:rsidR="00E067C2" w:rsidRPr="00E067C2" w:rsidRDefault="00E067C2" w:rsidP="00E067C2">
            <w:pPr>
              <w:pStyle w:val="TableBodyText"/>
            </w:pPr>
            <w:r w:rsidRPr="00E067C2">
              <w:t>60.9</w:t>
            </w:r>
          </w:p>
        </w:tc>
        <w:tc>
          <w:tcPr>
            <w:tcW w:w="445" w:type="pct"/>
            <w:vAlign w:val="center"/>
          </w:tcPr>
          <w:p w:rsidR="00E067C2" w:rsidRPr="00E067C2" w:rsidRDefault="00E067C2" w:rsidP="00E067C2">
            <w:pPr>
              <w:pStyle w:val="TableBodyText"/>
            </w:pPr>
            <w:r w:rsidRPr="00E067C2">
              <w:t>47.8</w:t>
            </w:r>
          </w:p>
        </w:tc>
        <w:tc>
          <w:tcPr>
            <w:tcW w:w="446" w:type="pct"/>
            <w:vAlign w:val="center"/>
          </w:tcPr>
          <w:p w:rsidR="00E067C2" w:rsidRPr="00E067C2" w:rsidRDefault="00E067C2" w:rsidP="00E067C2">
            <w:pPr>
              <w:pStyle w:val="TableBodyText"/>
            </w:pPr>
            <w:r w:rsidRPr="00E067C2">
              <w:t>49.8</w:t>
            </w:r>
          </w:p>
        </w:tc>
        <w:tc>
          <w:tcPr>
            <w:tcW w:w="445" w:type="pct"/>
            <w:vAlign w:val="center"/>
          </w:tcPr>
          <w:p w:rsidR="00E067C2" w:rsidRPr="00E067C2" w:rsidRDefault="00E067C2" w:rsidP="00E067C2">
            <w:pPr>
              <w:pStyle w:val="TableBodyText"/>
            </w:pPr>
            <w:r w:rsidRPr="00E067C2">
              <w:t>51.3</w:t>
            </w:r>
          </w:p>
        </w:tc>
        <w:tc>
          <w:tcPr>
            <w:tcW w:w="446" w:type="pct"/>
            <w:vAlign w:val="center"/>
          </w:tcPr>
          <w:p w:rsidR="00E067C2" w:rsidRPr="00E067C2" w:rsidRDefault="00E067C2" w:rsidP="00E067C2">
            <w:pPr>
              <w:pStyle w:val="TableBodyText"/>
            </w:pPr>
            <w:r w:rsidRPr="00E067C2">
              <w:t>43.1</w:t>
            </w:r>
          </w:p>
        </w:tc>
        <w:tc>
          <w:tcPr>
            <w:tcW w:w="445" w:type="pct"/>
            <w:vAlign w:val="center"/>
          </w:tcPr>
          <w:p w:rsidR="00E067C2" w:rsidRPr="00E067C2" w:rsidRDefault="00E067C2" w:rsidP="00E067C2">
            <w:pPr>
              <w:pStyle w:val="TableBodyText"/>
            </w:pPr>
            <w:r w:rsidRPr="00E067C2">
              <w:t>56.8</w:t>
            </w:r>
          </w:p>
        </w:tc>
        <w:tc>
          <w:tcPr>
            <w:tcW w:w="446" w:type="pct"/>
            <w:vAlign w:val="center"/>
          </w:tcPr>
          <w:p w:rsidR="00E067C2" w:rsidRPr="00E067C2" w:rsidRDefault="00E067C2" w:rsidP="00E067C2">
            <w:pPr>
              <w:pStyle w:val="TableBodyText"/>
            </w:pPr>
            <w:r w:rsidRPr="00E067C2">
              <w:t>28.9</w:t>
            </w:r>
          </w:p>
        </w:tc>
        <w:tc>
          <w:tcPr>
            <w:tcW w:w="443" w:type="pct"/>
            <w:vAlign w:val="center"/>
          </w:tcPr>
          <w:p w:rsidR="00E067C2" w:rsidRPr="00E067C2" w:rsidRDefault="00E067C2" w:rsidP="00E067C2">
            <w:pPr>
              <w:pStyle w:val="TableBodyText"/>
              <w:ind w:right="28"/>
            </w:pPr>
            <w:r w:rsidRPr="00E067C2">
              <w:t>53.2</w:t>
            </w:r>
          </w:p>
        </w:tc>
      </w:tr>
      <w:tr w:rsidR="00E067C2" w:rsidRPr="00792428" w:rsidTr="00467E94">
        <w:tc>
          <w:tcPr>
            <w:tcW w:w="987" w:type="pct"/>
          </w:tcPr>
          <w:p w:rsidR="00E067C2" w:rsidRPr="00792428" w:rsidRDefault="00E067C2" w:rsidP="00386AA0">
            <w:pPr>
              <w:pStyle w:val="TableBodyText"/>
              <w:ind w:left="136"/>
              <w:jc w:val="left"/>
              <w:rPr>
                <w:b/>
              </w:rPr>
            </w:pPr>
            <w:r w:rsidRPr="00792428">
              <w:rPr>
                <w:b/>
              </w:rPr>
              <w:t>All schools</w:t>
            </w:r>
          </w:p>
        </w:tc>
        <w:tc>
          <w:tcPr>
            <w:tcW w:w="455" w:type="pct"/>
            <w:vAlign w:val="center"/>
          </w:tcPr>
          <w:p w:rsidR="00E067C2" w:rsidRPr="00E067C2" w:rsidRDefault="00E067C2" w:rsidP="00E067C2">
            <w:pPr>
              <w:pStyle w:val="TableBodyText"/>
              <w:rPr>
                <w:b/>
              </w:rPr>
            </w:pPr>
            <w:r w:rsidRPr="00E067C2">
              <w:rPr>
                <w:b/>
              </w:rPr>
              <w:t>68.4</w:t>
            </w:r>
          </w:p>
        </w:tc>
        <w:tc>
          <w:tcPr>
            <w:tcW w:w="442" w:type="pct"/>
            <w:vAlign w:val="center"/>
          </w:tcPr>
          <w:p w:rsidR="00E067C2" w:rsidRPr="00E067C2" w:rsidRDefault="00E067C2" w:rsidP="00E067C2">
            <w:pPr>
              <w:pStyle w:val="TableBodyText"/>
              <w:rPr>
                <w:b/>
              </w:rPr>
            </w:pPr>
            <w:r w:rsidRPr="00E067C2">
              <w:rPr>
                <w:b/>
              </w:rPr>
              <w:t>69.9</w:t>
            </w:r>
          </w:p>
        </w:tc>
        <w:tc>
          <w:tcPr>
            <w:tcW w:w="445" w:type="pct"/>
            <w:vAlign w:val="center"/>
          </w:tcPr>
          <w:p w:rsidR="00E067C2" w:rsidRPr="00E067C2" w:rsidRDefault="00E067C2" w:rsidP="00E067C2">
            <w:pPr>
              <w:pStyle w:val="TableBodyText"/>
              <w:rPr>
                <w:b/>
              </w:rPr>
            </w:pPr>
            <w:r w:rsidRPr="00E067C2">
              <w:rPr>
                <w:b/>
              </w:rPr>
              <w:t>66.9</w:t>
            </w:r>
          </w:p>
        </w:tc>
        <w:tc>
          <w:tcPr>
            <w:tcW w:w="446" w:type="pct"/>
            <w:vAlign w:val="center"/>
          </w:tcPr>
          <w:p w:rsidR="00E067C2" w:rsidRPr="00E067C2" w:rsidRDefault="00E067C2" w:rsidP="00E067C2">
            <w:pPr>
              <w:pStyle w:val="TableBodyText"/>
              <w:rPr>
                <w:b/>
              </w:rPr>
            </w:pPr>
            <w:r w:rsidRPr="00E067C2">
              <w:rPr>
                <w:b/>
              </w:rPr>
              <w:t>62.4</w:t>
            </w:r>
          </w:p>
        </w:tc>
        <w:tc>
          <w:tcPr>
            <w:tcW w:w="445" w:type="pct"/>
            <w:vAlign w:val="center"/>
          </w:tcPr>
          <w:p w:rsidR="00E067C2" w:rsidRPr="00E067C2" w:rsidRDefault="00E067C2" w:rsidP="00E067C2">
            <w:pPr>
              <w:pStyle w:val="TableBodyText"/>
              <w:rPr>
                <w:b/>
              </w:rPr>
            </w:pPr>
            <w:r w:rsidRPr="00E067C2">
              <w:rPr>
                <w:b/>
              </w:rPr>
              <w:t>64.8</w:t>
            </w:r>
          </w:p>
        </w:tc>
        <w:tc>
          <w:tcPr>
            <w:tcW w:w="446" w:type="pct"/>
            <w:vAlign w:val="center"/>
          </w:tcPr>
          <w:p w:rsidR="00E067C2" w:rsidRPr="00E067C2" w:rsidRDefault="00E067C2" w:rsidP="00E067C2">
            <w:pPr>
              <w:pStyle w:val="TableBodyText"/>
              <w:rPr>
                <w:b/>
              </w:rPr>
            </w:pPr>
            <w:r w:rsidRPr="00E067C2">
              <w:rPr>
                <w:b/>
              </w:rPr>
              <w:t>60.5</w:t>
            </w:r>
          </w:p>
        </w:tc>
        <w:tc>
          <w:tcPr>
            <w:tcW w:w="445" w:type="pct"/>
            <w:vAlign w:val="center"/>
          </w:tcPr>
          <w:p w:rsidR="00E067C2" w:rsidRPr="00E067C2" w:rsidRDefault="00E067C2" w:rsidP="00E067C2">
            <w:pPr>
              <w:pStyle w:val="TableBodyText"/>
              <w:rPr>
                <w:b/>
              </w:rPr>
            </w:pPr>
            <w:r w:rsidRPr="00E067C2">
              <w:rPr>
                <w:b/>
              </w:rPr>
              <w:t>61.5</w:t>
            </w:r>
          </w:p>
        </w:tc>
        <w:tc>
          <w:tcPr>
            <w:tcW w:w="446" w:type="pct"/>
            <w:vAlign w:val="center"/>
          </w:tcPr>
          <w:p w:rsidR="00E067C2" w:rsidRPr="00E067C2" w:rsidRDefault="00E067C2" w:rsidP="00E067C2">
            <w:pPr>
              <w:pStyle w:val="TableBodyText"/>
              <w:rPr>
                <w:b/>
              </w:rPr>
            </w:pPr>
            <w:r w:rsidRPr="00E067C2">
              <w:rPr>
                <w:b/>
              </w:rPr>
              <w:t>38.5</w:t>
            </w:r>
          </w:p>
        </w:tc>
        <w:tc>
          <w:tcPr>
            <w:tcW w:w="443" w:type="pct"/>
            <w:vAlign w:val="center"/>
          </w:tcPr>
          <w:p w:rsidR="00E067C2" w:rsidRPr="00E067C2" w:rsidRDefault="00E067C2" w:rsidP="00E067C2">
            <w:pPr>
              <w:pStyle w:val="TableBodyText"/>
              <w:ind w:right="28"/>
              <w:rPr>
                <w:b/>
              </w:rPr>
            </w:pPr>
            <w:r w:rsidRPr="00E067C2">
              <w:rPr>
                <w:b/>
              </w:rPr>
              <w:t>66.6</w:t>
            </w:r>
          </w:p>
        </w:tc>
      </w:tr>
      <w:tr w:rsidR="00792428" w:rsidRPr="00792428" w:rsidTr="00534A3D">
        <w:tc>
          <w:tcPr>
            <w:tcW w:w="5000" w:type="pct"/>
            <w:gridSpan w:val="10"/>
          </w:tcPr>
          <w:p w:rsidR="00534A3D" w:rsidRPr="00792428" w:rsidRDefault="00534A3D" w:rsidP="00386AA0">
            <w:pPr>
              <w:pStyle w:val="TableBodyText"/>
              <w:ind w:right="28"/>
              <w:jc w:val="left"/>
            </w:pPr>
            <w:r w:rsidRPr="00792428">
              <w:t>Proportion of primary schools enrolling over 300 students (per cent)</w:t>
            </w:r>
            <w:r w:rsidRPr="00792428">
              <w:rPr>
                <w:rStyle w:val="NoteLabel"/>
              </w:rPr>
              <w:t>d</w:t>
            </w:r>
          </w:p>
        </w:tc>
      </w:tr>
      <w:tr w:rsidR="00E067C2" w:rsidRPr="00792428" w:rsidTr="00467E94">
        <w:tc>
          <w:tcPr>
            <w:tcW w:w="987" w:type="pct"/>
          </w:tcPr>
          <w:p w:rsidR="00E067C2" w:rsidRPr="00792428" w:rsidRDefault="00E067C2" w:rsidP="00386AA0">
            <w:pPr>
              <w:pStyle w:val="TableBodyText"/>
              <w:ind w:left="136"/>
              <w:jc w:val="left"/>
              <w:rPr>
                <w:b/>
              </w:rPr>
            </w:pPr>
            <w:r w:rsidRPr="00792428">
              <w:t>Government</w:t>
            </w:r>
          </w:p>
        </w:tc>
        <w:tc>
          <w:tcPr>
            <w:tcW w:w="455" w:type="pct"/>
            <w:vAlign w:val="center"/>
          </w:tcPr>
          <w:p w:rsidR="00E067C2" w:rsidRPr="00E067C2" w:rsidRDefault="00E067C2" w:rsidP="00E067C2">
            <w:pPr>
              <w:pStyle w:val="TableBodyText"/>
            </w:pPr>
            <w:r w:rsidRPr="00E067C2">
              <w:t>39.1</w:t>
            </w:r>
          </w:p>
        </w:tc>
        <w:tc>
          <w:tcPr>
            <w:tcW w:w="442" w:type="pct"/>
            <w:vAlign w:val="center"/>
          </w:tcPr>
          <w:p w:rsidR="00E067C2" w:rsidRPr="00E067C2" w:rsidRDefault="00E067C2" w:rsidP="00E067C2">
            <w:pPr>
              <w:pStyle w:val="TableBodyText"/>
            </w:pPr>
            <w:r w:rsidRPr="00E067C2">
              <w:t>38.3</w:t>
            </w:r>
          </w:p>
        </w:tc>
        <w:tc>
          <w:tcPr>
            <w:tcW w:w="445" w:type="pct"/>
            <w:vAlign w:val="center"/>
          </w:tcPr>
          <w:p w:rsidR="00E067C2" w:rsidRPr="00E067C2" w:rsidRDefault="00E067C2" w:rsidP="00E067C2">
            <w:pPr>
              <w:pStyle w:val="TableBodyText"/>
            </w:pPr>
            <w:r w:rsidRPr="00E067C2">
              <w:t>44.7</w:t>
            </w:r>
          </w:p>
        </w:tc>
        <w:tc>
          <w:tcPr>
            <w:tcW w:w="446" w:type="pct"/>
            <w:vAlign w:val="center"/>
          </w:tcPr>
          <w:p w:rsidR="00E067C2" w:rsidRPr="00E067C2" w:rsidRDefault="00E067C2" w:rsidP="00E067C2">
            <w:pPr>
              <w:pStyle w:val="TableBodyText"/>
            </w:pPr>
            <w:r w:rsidRPr="00E067C2">
              <w:t>52.2</w:t>
            </w:r>
          </w:p>
        </w:tc>
        <w:tc>
          <w:tcPr>
            <w:tcW w:w="445" w:type="pct"/>
            <w:vAlign w:val="center"/>
          </w:tcPr>
          <w:p w:rsidR="00E067C2" w:rsidRPr="00E067C2" w:rsidRDefault="00E067C2" w:rsidP="00E067C2">
            <w:pPr>
              <w:pStyle w:val="TableBodyText"/>
            </w:pPr>
            <w:r w:rsidRPr="00E067C2">
              <w:t>36.7</w:t>
            </w:r>
          </w:p>
        </w:tc>
        <w:tc>
          <w:tcPr>
            <w:tcW w:w="446" w:type="pct"/>
            <w:vAlign w:val="center"/>
          </w:tcPr>
          <w:p w:rsidR="00E067C2" w:rsidRPr="00E067C2" w:rsidRDefault="00E067C2" w:rsidP="00E067C2">
            <w:pPr>
              <w:pStyle w:val="TableBodyText"/>
            </w:pPr>
            <w:r w:rsidRPr="00E067C2">
              <w:t>26.7</w:t>
            </w:r>
          </w:p>
        </w:tc>
        <w:tc>
          <w:tcPr>
            <w:tcW w:w="445" w:type="pct"/>
            <w:vAlign w:val="center"/>
          </w:tcPr>
          <w:p w:rsidR="00E067C2" w:rsidRPr="00E067C2" w:rsidRDefault="00E067C2" w:rsidP="00E067C2">
            <w:pPr>
              <w:pStyle w:val="TableBodyText"/>
            </w:pPr>
            <w:r w:rsidRPr="00E067C2">
              <w:t>52.7</w:t>
            </w:r>
          </w:p>
        </w:tc>
        <w:tc>
          <w:tcPr>
            <w:tcW w:w="446" w:type="pct"/>
            <w:vAlign w:val="center"/>
          </w:tcPr>
          <w:p w:rsidR="00E067C2" w:rsidRPr="00E067C2" w:rsidRDefault="00E067C2" w:rsidP="00E067C2">
            <w:pPr>
              <w:pStyle w:val="TableBodyText"/>
            </w:pPr>
            <w:r w:rsidRPr="00E067C2">
              <w:t>34.9</w:t>
            </w:r>
          </w:p>
        </w:tc>
        <w:tc>
          <w:tcPr>
            <w:tcW w:w="443" w:type="pct"/>
            <w:vAlign w:val="center"/>
          </w:tcPr>
          <w:p w:rsidR="00E067C2" w:rsidRPr="00E067C2" w:rsidRDefault="00E067C2" w:rsidP="00E067C2">
            <w:pPr>
              <w:pStyle w:val="TableBodyText"/>
              <w:ind w:right="28"/>
            </w:pPr>
            <w:r w:rsidRPr="00E067C2">
              <w:t>41.0</w:t>
            </w:r>
          </w:p>
        </w:tc>
      </w:tr>
      <w:tr w:rsidR="00E067C2" w:rsidRPr="00792428" w:rsidTr="00467E94">
        <w:tc>
          <w:tcPr>
            <w:tcW w:w="987" w:type="pct"/>
          </w:tcPr>
          <w:p w:rsidR="00E067C2" w:rsidRPr="00792428" w:rsidRDefault="00E067C2" w:rsidP="00386AA0">
            <w:pPr>
              <w:pStyle w:val="TableBodyText"/>
              <w:ind w:left="136"/>
              <w:jc w:val="left"/>
              <w:rPr>
                <w:b/>
              </w:rPr>
            </w:pPr>
            <w:r w:rsidRPr="00792428">
              <w:t>Non</w:t>
            </w:r>
            <w:r w:rsidRPr="00792428">
              <w:noBreakHyphen/>
              <w:t>government</w:t>
            </w:r>
          </w:p>
        </w:tc>
        <w:tc>
          <w:tcPr>
            <w:tcW w:w="455" w:type="pct"/>
            <w:vAlign w:val="center"/>
          </w:tcPr>
          <w:p w:rsidR="00E067C2" w:rsidRPr="00E067C2" w:rsidRDefault="00E067C2" w:rsidP="00E067C2">
            <w:pPr>
              <w:pStyle w:val="TableBodyText"/>
            </w:pPr>
            <w:r w:rsidRPr="00E067C2">
              <w:t>41.3</w:t>
            </w:r>
          </w:p>
        </w:tc>
        <w:tc>
          <w:tcPr>
            <w:tcW w:w="442" w:type="pct"/>
            <w:vAlign w:val="center"/>
          </w:tcPr>
          <w:p w:rsidR="00E067C2" w:rsidRPr="00E067C2" w:rsidRDefault="00E067C2" w:rsidP="00E067C2">
            <w:pPr>
              <w:pStyle w:val="TableBodyText"/>
            </w:pPr>
            <w:r w:rsidRPr="00E067C2">
              <w:t>33.9</w:t>
            </w:r>
          </w:p>
        </w:tc>
        <w:tc>
          <w:tcPr>
            <w:tcW w:w="445" w:type="pct"/>
            <w:vAlign w:val="center"/>
          </w:tcPr>
          <w:p w:rsidR="00E067C2" w:rsidRPr="00E067C2" w:rsidRDefault="00E067C2" w:rsidP="00E067C2">
            <w:pPr>
              <w:pStyle w:val="TableBodyText"/>
            </w:pPr>
            <w:r w:rsidRPr="00E067C2">
              <w:t>52.6</w:t>
            </w:r>
          </w:p>
        </w:tc>
        <w:tc>
          <w:tcPr>
            <w:tcW w:w="446" w:type="pct"/>
            <w:vAlign w:val="center"/>
          </w:tcPr>
          <w:p w:rsidR="00E067C2" w:rsidRPr="00E067C2" w:rsidRDefault="00E067C2" w:rsidP="00E067C2">
            <w:pPr>
              <w:pStyle w:val="TableBodyText"/>
            </w:pPr>
            <w:r w:rsidRPr="00E067C2">
              <w:t>31.5</w:t>
            </w:r>
          </w:p>
        </w:tc>
        <w:tc>
          <w:tcPr>
            <w:tcW w:w="445" w:type="pct"/>
            <w:vAlign w:val="center"/>
          </w:tcPr>
          <w:p w:rsidR="00E067C2" w:rsidRPr="00E067C2" w:rsidRDefault="00E067C2" w:rsidP="00E067C2">
            <w:pPr>
              <w:pStyle w:val="TableBodyText"/>
            </w:pPr>
            <w:r w:rsidRPr="00E067C2">
              <w:t>34.0</w:t>
            </w:r>
          </w:p>
        </w:tc>
        <w:tc>
          <w:tcPr>
            <w:tcW w:w="446" w:type="pct"/>
            <w:vAlign w:val="center"/>
          </w:tcPr>
          <w:p w:rsidR="00E067C2" w:rsidRPr="00E067C2" w:rsidRDefault="00E067C2" w:rsidP="00E067C2">
            <w:pPr>
              <w:pStyle w:val="TableBodyText"/>
            </w:pPr>
            <w:r w:rsidRPr="00E067C2">
              <w:t>17.9</w:t>
            </w:r>
          </w:p>
        </w:tc>
        <w:tc>
          <w:tcPr>
            <w:tcW w:w="445" w:type="pct"/>
            <w:vAlign w:val="center"/>
          </w:tcPr>
          <w:p w:rsidR="00E067C2" w:rsidRPr="00E067C2" w:rsidRDefault="00E067C2" w:rsidP="00E067C2">
            <w:pPr>
              <w:pStyle w:val="TableBodyText"/>
            </w:pPr>
            <w:r w:rsidRPr="00E067C2">
              <w:t>48.0</w:t>
            </w:r>
          </w:p>
        </w:tc>
        <w:tc>
          <w:tcPr>
            <w:tcW w:w="446" w:type="pct"/>
            <w:vAlign w:val="center"/>
          </w:tcPr>
          <w:p w:rsidR="00E067C2" w:rsidRPr="00E067C2" w:rsidRDefault="00E067C2" w:rsidP="00E067C2">
            <w:pPr>
              <w:pStyle w:val="TableBodyText"/>
            </w:pPr>
            <w:r w:rsidRPr="00E067C2">
              <w:t>9.1</w:t>
            </w:r>
          </w:p>
        </w:tc>
        <w:tc>
          <w:tcPr>
            <w:tcW w:w="443" w:type="pct"/>
            <w:vAlign w:val="center"/>
          </w:tcPr>
          <w:p w:rsidR="00E067C2" w:rsidRPr="00E067C2" w:rsidRDefault="00E067C2" w:rsidP="00E067C2">
            <w:pPr>
              <w:pStyle w:val="TableBodyText"/>
              <w:ind w:right="28"/>
            </w:pPr>
            <w:r w:rsidRPr="00E067C2">
              <w:t>38.9</w:t>
            </w:r>
          </w:p>
        </w:tc>
      </w:tr>
      <w:tr w:rsidR="00E067C2" w:rsidRPr="00792428" w:rsidTr="00467E94">
        <w:tc>
          <w:tcPr>
            <w:tcW w:w="987" w:type="pct"/>
          </w:tcPr>
          <w:p w:rsidR="00E067C2" w:rsidRPr="00792428" w:rsidRDefault="00E067C2" w:rsidP="00386AA0">
            <w:pPr>
              <w:pStyle w:val="TableBodyText"/>
              <w:ind w:left="136"/>
              <w:jc w:val="left"/>
              <w:rPr>
                <w:b/>
              </w:rPr>
            </w:pPr>
            <w:r w:rsidRPr="00792428">
              <w:rPr>
                <w:b/>
              </w:rPr>
              <w:t>All schools</w:t>
            </w:r>
          </w:p>
        </w:tc>
        <w:tc>
          <w:tcPr>
            <w:tcW w:w="455" w:type="pct"/>
            <w:vAlign w:val="center"/>
          </w:tcPr>
          <w:p w:rsidR="00E067C2" w:rsidRPr="00E067C2" w:rsidRDefault="00E067C2" w:rsidP="00E067C2">
            <w:pPr>
              <w:pStyle w:val="TableBodyText"/>
              <w:rPr>
                <w:b/>
              </w:rPr>
            </w:pPr>
            <w:r w:rsidRPr="00E067C2">
              <w:rPr>
                <w:b/>
              </w:rPr>
              <w:t>39.6</w:t>
            </w:r>
          </w:p>
        </w:tc>
        <w:tc>
          <w:tcPr>
            <w:tcW w:w="442" w:type="pct"/>
            <w:vAlign w:val="center"/>
          </w:tcPr>
          <w:p w:rsidR="00E067C2" w:rsidRPr="00E067C2" w:rsidRDefault="00E067C2" w:rsidP="00E067C2">
            <w:pPr>
              <w:pStyle w:val="TableBodyText"/>
              <w:rPr>
                <w:b/>
              </w:rPr>
            </w:pPr>
            <w:r w:rsidRPr="00E067C2">
              <w:rPr>
                <w:b/>
              </w:rPr>
              <w:t>37.1</w:t>
            </w:r>
          </w:p>
        </w:tc>
        <w:tc>
          <w:tcPr>
            <w:tcW w:w="445" w:type="pct"/>
            <w:vAlign w:val="center"/>
          </w:tcPr>
          <w:p w:rsidR="00E067C2" w:rsidRPr="00E067C2" w:rsidRDefault="00E067C2" w:rsidP="00E067C2">
            <w:pPr>
              <w:pStyle w:val="TableBodyText"/>
              <w:rPr>
                <w:b/>
              </w:rPr>
            </w:pPr>
            <w:r w:rsidRPr="00E067C2">
              <w:rPr>
                <w:b/>
              </w:rPr>
              <w:t>46.3</w:t>
            </w:r>
          </w:p>
        </w:tc>
        <w:tc>
          <w:tcPr>
            <w:tcW w:w="446" w:type="pct"/>
            <w:vAlign w:val="center"/>
          </w:tcPr>
          <w:p w:rsidR="00E067C2" w:rsidRPr="00E067C2" w:rsidRDefault="00E067C2" w:rsidP="00E067C2">
            <w:pPr>
              <w:pStyle w:val="TableBodyText"/>
              <w:rPr>
                <w:b/>
              </w:rPr>
            </w:pPr>
            <w:r w:rsidRPr="00E067C2">
              <w:rPr>
                <w:b/>
              </w:rPr>
              <w:t>47.6</w:t>
            </w:r>
          </w:p>
        </w:tc>
        <w:tc>
          <w:tcPr>
            <w:tcW w:w="445" w:type="pct"/>
            <w:vAlign w:val="center"/>
          </w:tcPr>
          <w:p w:rsidR="00E067C2" w:rsidRPr="00E067C2" w:rsidRDefault="00E067C2" w:rsidP="00E067C2">
            <w:pPr>
              <w:pStyle w:val="TableBodyText"/>
              <w:rPr>
                <w:b/>
              </w:rPr>
            </w:pPr>
            <w:r w:rsidRPr="00E067C2">
              <w:rPr>
                <w:b/>
              </w:rPr>
              <w:t>36.1</w:t>
            </w:r>
          </w:p>
        </w:tc>
        <w:tc>
          <w:tcPr>
            <w:tcW w:w="446" w:type="pct"/>
            <w:vAlign w:val="center"/>
          </w:tcPr>
          <w:p w:rsidR="00E067C2" w:rsidRPr="00E067C2" w:rsidRDefault="00E067C2" w:rsidP="00E067C2">
            <w:pPr>
              <w:pStyle w:val="TableBodyText"/>
              <w:rPr>
                <w:b/>
              </w:rPr>
            </w:pPr>
            <w:r w:rsidRPr="00E067C2">
              <w:rPr>
                <w:b/>
              </w:rPr>
              <w:t>25.2</w:t>
            </w:r>
          </w:p>
        </w:tc>
        <w:tc>
          <w:tcPr>
            <w:tcW w:w="445" w:type="pct"/>
            <w:vAlign w:val="center"/>
          </w:tcPr>
          <w:p w:rsidR="00E067C2" w:rsidRPr="00E067C2" w:rsidRDefault="00E067C2" w:rsidP="00E067C2">
            <w:pPr>
              <w:pStyle w:val="TableBodyText"/>
              <w:rPr>
                <w:b/>
              </w:rPr>
            </w:pPr>
            <w:r w:rsidRPr="00E067C2">
              <w:rPr>
                <w:b/>
              </w:rPr>
              <w:t>51.3</w:t>
            </w:r>
          </w:p>
        </w:tc>
        <w:tc>
          <w:tcPr>
            <w:tcW w:w="446" w:type="pct"/>
            <w:vAlign w:val="center"/>
          </w:tcPr>
          <w:p w:rsidR="00E067C2" w:rsidRPr="00E067C2" w:rsidRDefault="00E067C2" w:rsidP="00E067C2">
            <w:pPr>
              <w:pStyle w:val="TableBodyText"/>
              <w:rPr>
                <w:b/>
              </w:rPr>
            </w:pPr>
            <w:r w:rsidRPr="00E067C2">
              <w:rPr>
                <w:b/>
              </w:rPr>
              <w:t>31.1</w:t>
            </w:r>
          </w:p>
        </w:tc>
        <w:tc>
          <w:tcPr>
            <w:tcW w:w="443" w:type="pct"/>
            <w:vAlign w:val="center"/>
          </w:tcPr>
          <w:p w:rsidR="00E067C2" w:rsidRPr="00E067C2" w:rsidRDefault="00E067C2" w:rsidP="00E067C2">
            <w:pPr>
              <w:pStyle w:val="TableBodyText"/>
              <w:ind w:right="28"/>
              <w:rPr>
                <w:b/>
              </w:rPr>
            </w:pPr>
            <w:r w:rsidRPr="00E067C2">
              <w:rPr>
                <w:b/>
              </w:rPr>
              <w:t>40.5</w:t>
            </w:r>
          </w:p>
        </w:tc>
      </w:tr>
      <w:tr w:rsidR="00792428" w:rsidRPr="00792428" w:rsidTr="00534A3D">
        <w:tc>
          <w:tcPr>
            <w:tcW w:w="5000" w:type="pct"/>
            <w:gridSpan w:val="10"/>
          </w:tcPr>
          <w:p w:rsidR="00534A3D" w:rsidRPr="00792428" w:rsidRDefault="00534A3D" w:rsidP="00386AA0">
            <w:pPr>
              <w:pStyle w:val="TableBodyText"/>
              <w:ind w:right="28"/>
              <w:jc w:val="left"/>
            </w:pPr>
            <w:r w:rsidRPr="00792428">
              <w:t>Proportion of secondary schools enrolling over 600 students (per cent)</w:t>
            </w:r>
            <w:r w:rsidRPr="00792428">
              <w:rPr>
                <w:rStyle w:val="NoteLabel"/>
              </w:rPr>
              <w:t>d</w:t>
            </w:r>
          </w:p>
        </w:tc>
      </w:tr>
      <w:tr w:rsidR="00E067C2" w:rsidRPr="00792428" w:rsidTr="00467E94">
        <w:tc>
          <w:tcPr>
            <w:tcW w:w="987" w:type="pct"/>
          </w:tcPr>
          <w:p w:rsidR="00E067C2" w:rsidRPr="00792428" w:rsidRDefault="00E067C2" w:rsidP="00386AA0">
            <w:pPr>
              <w:pStyle w:val="TableBodyText"/>
              <w:ind w:left="136"/>
              <w:jc w:val="left"/>
              <w:rPr>
                <w:b/>
              </w:rPr>
            </w:pPr>
            <w:r w:rsidRPr="00792428">
              <w:t>Government</w:t>
            </w:r>
          </w:p>
        </w:tc>
        <w:tc>
          <w:tcPr>
            <w:tcW w:w="455" w:type="pct"/>
            <w:vAlign w:val="center"/>
          </w:tcPr>
          <w:p w:rsidR="00E067C2" w:rsidRPr="00E067C2" w:rsidRDefault="00E067C2" w:rsidP="00E067C2">
            <w:pPr>
              <w:pStyle w:val="TableBodyText"/>
            </w:pPr>
            <w:r w:rsidRPr="00E067C2">
              <w:t>68.6</w:t>
            </w:r>
          </w:p>
        </w:tc>
        <w:tc>
          <w:tcPr>
            <w:tcW w:w="442" w:type="pct"/>
            <w:vAlign w:val="center"/>
          </w:tcPr>
          <w:p w:rsidR="00E067C2" w:rsidRPr="00E067C2" w:rsidRDefault="00E067C2" w:rsidP="00E067C2">
            <w:pPr>
              <w:pStyle w:val="TableBodyText"/>
            </w:pPr>
            <w:r w:rsidRPr="00E067C2">
              <w:t>61.9</w:t>
            </w:r>
          </w:p>
        </w:tc>
        <w:tc>
          <w:tcPr>
            <w:tcW w:w="445" w:type="pct"/>
            <w:vAlign w:val="center"/>
          </w:tcPr>
          <w:p w:rsidR="00E067C2" w:rsidRPr="00E067C2" w:rsidRDefault="00E067C2" w:rsidP="00E067C2">
            <w:pPr>
              <w:pStyle w:val="TableBodyText"/>
            </w:pPr>
            <w:r w:rsidRPr="00E067C2">
              <w:t>65.9</w:t>
            </w:r>
          </w:p>
        </w:tc>
        <w:tc>
          <w:tcPr>
            <w:tcW w:w="446" w:type="pct"/>
            <w:vAlign w:val="center"/>
          </w:tcPr>
          <w:p w:rsidR="00E067C2" w:rsidRPr="00E067C2" w:rsidRDefault="00E067C2" w:rsidP="00E067C2">
            <w:pPr>
              <w:pStyle w:val="TableBodyText"/>
            </w:pPr>
            <w:r w:rsidRPr="00E067C2">
              <w:t>53.6</w:t>
            </w:r>
          </w:p>
        </w:tc>
        <w:tc>
          <w:tcPr>
            <w:tcW w:w="445" w:type="pct"/>
            <w:vAlign w:val="center"/>
          </w:tcPr>
          <w:p w:rsidR="00E067C2" w:rsidRPr="00E067C2" w:rsidRDefault="00E067C2" w:rsidP="00E067C2">
            <w:pPr>
              <w:pStyle w:val="TableBodyText"/>
            </w:pPr>
            <w:r w:rsidRPr="00E067C2">
              <w:t>56.1</w:t>
            </w:r>
          </w:p>
        </w:tc>
        <w:tc>
          <w:tcPr>
            <w:tcW w:w="446" w:type="pct"/>
            <w:vAlign w:val="center"/>
          </w:tcPr>
          <w:p w:rsidR="00E067C2" w:rsidRPr="00E067C2" w:rsidRDefault="00E067C2" w:rsidP="00E067C2">
            <w:pPr>
              <w:pStyle w:val="TableBodyText"/>
            </w:pPr>
            <w:r w:rsidRPr="00E067C2">
              <w:t>44.7</w:t>
            </w:r>
          </w:p>
        </w:tc>
        <w:tc>
          <w:tcPr>
            <w:tcW w:w="445" w:type="pct"/>
            <w:vAlign w:val="center"/>
          </w:tcPr>
          <w:p w:rsidR="00E067C2" w:rsidRPr="00E067C2" w:rsidRDefault="00E067C2" w:rsidP="00E067C2">
            <w:pPr>
              <w:pStyle w:val="TableBodyText"/>
            </w:pPr>
            <w:r w:rsidRPr="00E067C2">
              <w:t>61.1</w:t>
            </w:r>
          </w:p>
        </w:tc>
        <w:tc>
          <w:tcPr>
            <w:tcW w:w="446" w:type="pct"/>
            <w:vAlign w:val="center"/>
          </w:tcPr>
          <w:p w:rsidR="00E067C2" w:rsidRPr="00E067C2" w:rsidRDefault="00E067C2" w:rsidP="00E067C2">
            <w:pPr>
              <w:pStyle w:val="TableBodyText"/>
            </w:pPr>
            <w:r w:rsidRPr="00E067C2">
              <w:t>40.0</w:t>
            </w:r>
          </w:p>
        </w:tc>
        <w:tc>
          <w:tcPr>
            <w:tcW w:w="443" w:type="pct"/>
            <w:vAlign w:val="center"/>
          </w:tcPr>
          <w:p w:rsidR="00E067C2" w:rsidRPr="00E067C2" w:rsidRDefault="00E067C2" w:rsidP="00E067C2">
            <w:pPr>
              <w:pStyle w:val="TableBodyText"/>
              <w:ind w:right="28"/>
            </w:pPr>
            <w:r w:rsidRPr="00E067C2">
              <w:t>62.9</w:t>
            </w:r>
          </w:p>
        </w:tc>
      </w:tr>
      <w:tr w:rsidR="00E067C2" w:rsidRPr="00792428" w:rsidTr="00467E94">
        <w:tc>
          <w:tcPr>
            <w:tcW w:w="987" w:type="pct"/>
          </w:tcPr>
          <w:p w:rsidR="00E067C2" w:rsidRPr="00792428" w:rsidRDefault="00E067C2" w:rsidP="00386AA0">
            <w:pPr>
              <w:pStyle w:val="TableBodyText"/>
              <w:ind w:left="136"/>
              <w:jc w:val="left"/>
              <w:rPr>
                <w:b/>
              </w:rPr>
            </w:pPr>
            <w:r w:rsidRPr="00792428">
              <w:t>Non</w:t>
            </w:r>
            <w:r w:rsidRPr="00792428">
              <w:noBreakHyphen/>
              <w:t>government</w:t>
            </w:r>
          </w:p>
        </w:tc>
        <w:tc>
          <w:tcPr>
            <w:tcW w:w="455" w:type="pct"/>
            <w:vAlign w:val="center"/>
          </w:tcPr>
          <w:p w:rsidR="00E067C2" w:rsidRPr="00E067C2" w:rsidRDefault="00E067C2" w:rsidP="00E067C2">
            <w:pPr>
              <w:pStyle w:val="TableBodyText"/>
            </w:pPr>
            <w:r w:rsidRPr="00E067C2">
              <w:t>69.0</w:t>
            </w:r>
          </w:p>
        </w:tc>
        <w:tc>
          <w:tcPr>
            <w:tcW w:w="442" w:type="pct"/>
            <w:vAlign w:val="center"/>
          </w:tcPr>
          <w:p w:rsidR="00E067C2" w:rsidRPr="00E067C2" w:rsidRDefault="00E067C2" w:rsidP="00E067C2">
            <w:pPr>
              <w:pStyle w:val="TableBodyText"/>
            </w:pPr>
            <w:r w:rsidRPr="00E067C2">
              <w:t>72.2</w:t>
            </w:r>
          </w:p>
        </w:tc>
        <w:tc>
          <w:tcPr>
            <w:tcW w:w="445" w:type="pct"/>
            <w:vAlign w:val="center"/>
          </w:tcPr>
          <w:p w:rsidR="00E067C2" w:rsidRPr="00E067C2" w:rsidRDefault="00E067C2" w:rsidP="00E067C2">
            <w:pPr>
              <w:pStyle w:val="TableBodyText"/>
            </w:pPr>
            <w:r w:rsidRPr="00E067C2">
              <w:t>50.7</w:t>
            </w:r>
          </w:p>
        </w:tc>
        <w:tc>
          <w:tcPr>
            <w:tcW w:w="446" w:type="pct"/>
            <w:vAlign w:val="center"/>
          </w:tcPr>
          <w:p w:rsidR="00E067C2" w:rsidRPr="00E067C2" w:rsidRDefault="00E067C2" w:rsidP="00E067C2">
            <w:pPr>
              <w:pStyle w:val="TableBodyText"/>
            </w:pPr>
            <w:r w:rsidRPr="00E067C2">
              <w:t>28.6</w:t>
            </w:r>
          </w:p>
        </w:tc>
        <w:tc>
          <w:tcPr>
            <w:tcW w:w="445" w:type="pct"/>
            <w:vAlign w:val="center"/>
          </w:tcPr>
          <w:p w:rsidR="00E067C2" w:rsidRPr="00E067C2" w:rsidRDefault="00E067C2" w:rsidP="00E067C2">
            <w:pPr>
              <w:pStyle w:val="TableBodyText"/>
            </w:pPr>
            <w:r w:rsidRPr="00E067C2">
              <w:t>42.1</w:t>
            </w:r>
          </w:p>
        </w:tc>
        <w:tc>
          <w:tcPr>
            <w:tcW w:w="446" w:type="pct"/>
            <w:vAlign w:val="center"/>
          </w:tcPr>
          <w:p w:rsidR="00E067C2" w:rsidRPr="00E067C2" w:rsidRDefault="00E067C2" w:rsidP="00E067C2">
            <w:pPr>
              <w:pStyle w:val="TableBodyText"/>
            </w:pPr>
            <w:r w:rsidRPr="00E067C2">
              <w:t>80.0</w:t>
            </w:r>
          </w:p>
        </w:tc>
        <w:tc>
          <w:tcPr>
            <w:tcW w:w="445" w:type="pct"/>
            <w:vAlign w:val="center"/>
          </w:tcPr>
          <w:p w:rsidR="00E067C2" w:rsidRPr="00E067C2" w:rsidRDefault="00E067C2" w:rsidP="00E067C2">
            <w:pPr>
              <w:pStyle w:val="TableBodyText"/>
            </w:pPr>
            <w:r w:rsidRPr="00E067C2">
              <w:t>100.0</w:t>
            </w:r>
          </w:p>
        </w:tc>
        <w:tc>
          <w:tcPr>
            <w:tcW w:w="446" w:type="pct"/>
            <w:vAlign w:val="center"/>
          </w:tcPr>
          <w:p w:rsidR="00E067C2" w:rsidRPr="00E067C2" w:rsidRDefault="00E067C2" w:rsidP="00E067C2">
            <w:pPr>
              <w:pStyle w:val="TableBodyText"/>
            </w:pPr>
            <w:r w:rsidRPr="00E067C2">
              <w:t>11.1</w:t>
            </w:r>
          </w:p>
        </w:tc>
        <w:tc>
          <w:tcPr>
            <w:tcW w:w="443" w:type="pct"/>
            <w:vAlign w:val="center"/>
          </w:tcPr>
          <w:p w:rsidR="00E067C2" w:rsidRPr="00E067C2" w:rsidRDefault="00E067C2" w:rsidP="00E067C2">
            <w:pPr>
              <w:pStyle w:val="TableBodyText"/>
              <w:ind w:right="28"/>
            </w:pPr>
            <w:r w:rsidRPr="00E067C2">
              <w:t>63.1</w:t>
            </w:r>
          </w:p>
        </w:tc>
      </w:tr>
      <w:tr w:rsidR="00E067C2" w:rsidRPr="00792428" w:rsidTr="00467E94">
        <w:tc>
          <w:tcPr>
            <w:tcW w:w="987" w:type="pct"/>
            <w:tcBorders>
              <w:bottom w:val="single" w:sz="6" w:space="0" w:color="auto"/>
            </w:tcBorders>
          </w:tcPr>
          <w:p w:rsidR="00E067C2" w:rsidRPr="00792428" w:rsidRDefault="00E067C2" w:rsidP="00CC06F0">
            <w:pPr>
              <w:pStyle w:val="TableBodyText"/>
              <w:ind w:left="136"/>
              <w:jc w:val="left"/>
              <w:rPr>
                <w:b/>
              </w:rPr>
            </w:pPr>
            <w:r w:rsidRPr="00792428">
              <w:rPr>
                <w:b/>
              </w:rPr>
              <w:t>All schools</w:t>
            </w:r>
          </w:p>
        </w:tc>
        <w:tc>
          <w:tcPr>
            <w:tcW w:w="455" w:type="pct"/>
            <w:tcBorders>
              <w:bottom w:val="single" w:sz="6" w:space="0" w:color="auto"/>
            </w:tcBorders>
            <w:shd w:val="clear" w:color="auto" w:fill="auto"/>
            <w:vAlign w:val="center"/>
          </w:tcPr>
          <w:p w:rsidR="00E067C2" w:rsidRPr="00E067C2" w:rsidRDefault="00E067C2" w:rsidP="00CC06F0">
            <w:pPr>
              <w:pStyle w:val="TableBodyText"/>
              <w:rPr>
                <w:b/>
              </w:rPr>
            </w:pPr>
            <w:r w:rsidRPr="00E067C2">
              <w:rPr>
                <w:b/>
              </w:rPr>
              <w:t>68.7</w:t>
            </w:r>
          </w:p>
        </w:tc>
        <w:tc>
          <w:tcPr>
            <w:tcW w:w="442" w:type="pct"/>
            <w:tcBorders>
              <w:bottom w:val="single" w:sz="6" w:space="0" w:color="auto"/>
            </w:tcBorders>
            <w:vAlign w:val="center"/>
          </w:tcPr>
          <w:p w:rsidR="00E067C2" w:rsidRPr="00E067C2" w:rsidRDefault="00E067C2" w:rsidP="00CC06F0">
            <w:pPr>
              <w:pStyle w:val="TableBodyText"/>
              <w:rPr>
                <w:b/>
              </w:rPr>
            </w:pPr>
            <w:r w:rsidRPr="00E067C2">
              <w:rPr>
                <w:b/>
              </w:rPr>
              <w:t>64.9</w:t>
            </w:r>
          </w:p>
        </w:tc>
        <w:tc>
          <w:tcPr>
            <w:tcW w:w="445" w:type="pct"/>
            <w:tcBorders>
              <w:bottom w:val="single" w:sz="6" w:space="0" w:color="auto"/>
            </w:tcBorders>
            <w:vAlign w:val="center"/>
          </w:tcPr>
          <w:p w:rsidR="00E067C2" w:rsidRPr="00E067C2" w:rsidRDefault="00E067C2" w:rsidP="00CC06F0">
            <w:pPr>
              <w:pStyle w:val="TableBodyText"/>
              <w:rPr>
                <w:b/>
              </w:rPr>
            </w:pPr>
            <w:r w:rsidRPr="00E067C2">
              <w:rPr>
                <w:b/>
              </w:rPr>
              <w:t>61.6</w:t>
            </w:r>
          </w:p>
        </w:tc>
        <w:tc>
          <w:tcPr>
            <w:tcW w:w="446" w:type="pct"/>
            <w:tcBorders>
              <w:bottom w:val="single" w:sz="6" w:space="0" w:color="auto"/>
            </w:tcBorders>
            <w:vAlign w:val="center"/>
          </w:tcPr>
          <w:p w:rsidR="00E067C2" w:rsidRPr="00E067C2" w:rsidRDefault="00E067C2" w:rsidP="00CC06F0">
            <w:pPr>
              <w:pStyle w:val="TableBodyText"/>
              <w:rPr>
                <w:b/>
              </w:rPr>
            </w:pPr>
            <w:r w:rsidRPr="00E067C2">
              <w:rPr>
                <w:b/>
              </w:rPr>
              <w:t>51.9</w:t>
            </w:r>
          </w:p>
        </w:tc>
        <w:tc>
          <w:tcPr>
            <w:tcW w:w="445" w:type="pct"/>
            <w:tcBorders>
              <w:bottom w:val="single" w:sz="6" w:space="0" w:color="auto"/>
            </w:tcBorders>
            <w:vAlign w:val="center"/>
          </w:tcPr>
          <w:p w:rsidR="00E067C2" w:rsidRPr="00E067C2" w:rsidRDefault="00E067C2" w:rsidP="00CC06F0">
            <w:pPr>
              <w:pStyle w:val="TableBodyText"/>
              <w:rPr>
                <w:b/>
              </w:rPr>
            </w:pPr>
            <w:r w:rsidRPr="00E067C2">
              <w:rPr>
                <w:b/>
              </w:rPr>
              <w:t>52.9</w:t>
            </w:r>
          </w:p>
        </w:tc>
        <w:tc>
          <w:tcPr>
            <w:tcW w:w="446" w:type="pct"/>
            <w:tcBorders>
              <w:bottom w:val="single" w:sz="6" w:space="0" w:color="auto"/>
            </w:tcBorders>
            <w:vAlign w:val="center"/>
          </w:tcPr>
          <w:p w:rsidR="00E067C2" w:rsidRPr="00E067C2" w:rsidRDefault="00E067C2" w:rsidP="00CC06F0">
            <w:pPr>
              <w:pStyle w:val="TableBodyText"/>
              <w:rPr>
                <w:b/>
              </w:rPr>
            </w:pPr>
            <w:r w:rsidRPr="00E067C2">
              <w:rPr>
                <w:b/>
              </w:rPr>
              <w:t>48.8</w:t>
            </w:r>
          </w:p>
        </w:tc>
        <w:tc>
          <w:tcPr>
            <w:tcW w:w="445" w:type="pct"/>
            <w:tcBorders>
              <w:bottom w:val="single" w:sz="6" w:space="0" w:color="auto"/>
            </w:tcBorders>
            <w:vAlign w:val="center"/>
          </w:tcPr>
          <w:p w:rsidR="00E067C2" w:rsidRPr="00E067C2" w:rsidRDefault="00E067C2" w:rsidP="00CC06F0">
            <w:pPr>
              <w:pStyle w:val="TableBodyText"/>
              <w:rPr>
                <w:b/>
              </w:rPr>
            </w:pPr>
            <w:r w:rsidRPr="00E067C2">
              <w:rPr>
                <w:b/>
              </w:rPr>
              <w:t>69.6</w:t>
            </w:r>
          </w:p>
        </w:tc>
        <w:tc>
          <w:tcPr>
            <w:tcW w:w="446" w:type="pct"/>
            <w:tcBorders>
              <w:bottom w:val="single" w:sz="6" w:space="0" w:color="auto"/>
            </w:tcBorders>
            <w:vAlign w:val="center"/>
          </w:tcPr>
          <w:p w:rsidR="00E067C2" w:rsidRPr="00E067C2" w:rsidRDefault="00E067C2" w:rsidP="00CC06F0">
            <w:pPr>
              <w:pStyle w:val="TableBodyText"/>
              <w:rPr>
                <w:b/>
              </w:rPr>
            </w:pPr>
            <w:r w:rsidRPr="00E067C2">
              <w:rPr>
                <w:b/>
              </w:rPr>
              <w:t>29.2</w:t>
            </w:r>
          </w:p>
        </w:tc>
        <w:tc>
          <w:tcPr>
            <w:tcW w:w="443" w:type="pct"/>
            <w:tcBorders>
              <w:bottom w:val="single" w:sz="6" w:space="0" w:color="auto"/>
            </w:tcBorders>
            <w:shd w:val="clear" w:color="auto" w:fill="auto"/>
            <w:vAlign w:val="center"/>
          </w:tcPr>
          <w:p w:rsidR="00E067C2" w:rsidRPr="00E067C2" w:rsidRDefault="00E067C2" w:rsidP="00CC06F0">
            <w:pPr>
              <w:pStyle w:val="TableBodyText"/>
              <w:ind w:right="28"/>
              <w:rPr>
                <w:b/>
              </w:rPr>
            </w:pPr>
            <w:r w:rsidRPr="00E067C2">
              <w:rPr>
                <w:b/>
              </w:rPr>
              <w:t>63.0</w:t>
            </w:r>
          </w:p>
        </w:tc>
      </w:tr>
    </w:tbl>
    <w:p w:rsidR="00534A3D" w:rsidRPr="00792428" w:rsidRDefault="00534A3D" w:rsidP="00CC06F0">
      <w:pPr>
        <w:pStyle w:val="Note"/>
        <w:keepNext/>
      </w:pPr>
      <w:r w:rsidRPr="00792428">
        <w:rPr>
          <w:rStyle w:val="NoteLabel"/>
        </w:rPr>
        <w:t>a</w:t>
      </w:r>
      <w:r w:rsidR="002B4FDD">
        <w:rPr>
          <w:rStyle w:val="NoteLabel"/>
        </w:rPr>
        <w:t xml:space="preserve"> </w:t>
      </w:r>
      <w:r w:rsidR="00D478B5" w:rsidRPr="00D478B5">
        <w:t>From 2011 for WA, and 2012 for Qld, year 7 is being piloted in some secondary schools. The ABS has been advised that for reporting purposes, year 7 will remain at the primary level until the states decide whether to transition year 7 to the secondary level. This may affect comparisons between students in primary and secondary levels in WA from 2011, and in Qld from 2012.</w:t>
      </w:r>
      <w:r w:rsidR="00D478B5">
        <w:t xml:space="preserve"> </w:t>
      </w:r>
      <w:r w:rsidR="00967269">
        <w:t xml:space="preserve"> </w:t>
      </w:r>
      <w:r w:rsidRPr="00792428">
        <w:rPr>
          <w:rStyle w:val="NoteLabel"/>
        </w:rPr>
        <w:t>b</w:t>
      </w:r>
      <w:r w:rsidR="002B4FDD">
        <w:rPr>
          <w:rStyle w:val="NoteLabel"/>
        </w:rPr>
        <w:t xml:space="preserve"> </w:t>
      </w:r>
      <w:r w:rsidR="00D478B5" w:rsidRPr="00792428">
        <w:t xml:space="preserve">Combined primary and secondary schools. </w:t>
      </w:r>
      <w:r w:rsidR="00967269">
        <w:t xml:space="preserve"> </w:t>
      </w:r>
      <w:r w:rsidR="002B4FDD">
        <w:br/>
      </w:r>
      <w:r w:rsidR="00D478B5" w:rsidRPr="00792428">
        <w:rPr>
          <w:rStyle w:val="NoteLabel"/>
        </w:rPr>
        <w:t>c</w:t>
      </w:r>
      <w:r w:rsidR="002B4FDD">
        <w:rPr>
          <w:rStyle w:val="NoteLabel"/>
        </w:rPr>
        <w:t xml:space="preserve"> </w:t>
      </w:r>
      <w:r w:rsidRPr="00792428">
        <w:t xml:space="preserve">Special schools provide special instruction for students with a physical and/or mental disability/impairment, or with social problems. Students must exhibit one or more of the following characteristics before enrolment is allowed: mental or physical disability or impairment, slow learning ability, social or emotional problems, and in custody, on remand or in hospital. </w:t>
      </w:r>
      <w:r w:rsidR="00967269">
        <w:t xml:space="preserve"> </w:t>
      </w:r>
      <w:r w:rsidR="00D478B5" w:rsidRPr="00D478B5">
        <w:rPr>
          <w:rStyle w:val="NoteLabel"/>
        </w:rPr>
        <w:t>d</w:t>
      </w:r>
      <w:r w:rsidR="002B4FDD">
        <w:rPr>
          <w:rStyle w:val="NoteLabel"/>
        </w:rPr>
        <w:t xml:space="preserve"> </w:t>
      </w:r>
      <w:r w:rsidRPr="00792428">
        <w:t>Excludes combined schools and special schools.</w:t>
      </w:r>
    </w:p>
    <w:p w:rsidR="00534A3D" w:rsidRPr="00792428" w:rsidRDefault="00534A3D" w:rsidP="00CC06F0">
      <w:pPr>
        <w:pStyle w:val="Source"/>
        <w:keepNext/>
      </w:pPr>
      <w:r w:rsidRPr="00792428">
        <w:rPr>
          <w:i/>
        </w:rPr>
        <w:t>Source</w:t>
      </w:r>
      <w:r w:rsidRPr="00792428">
        <w:t>: A</w:t>
      </w:r>
      <w:r w:rsidR="00C05514" w:rsidRPr="00792428">
        <w:t>BS (2014</w:t>
      </w:r>
      <w:r w:rsidRPr="00792428">
        <w:t xml:space="preserve"> and unpublished) </w:t>
      </w:r>
      <w:r w:rsidRPr="00792428">
        <w:rPr>
          <w:i/>
        </w:rPr>
        <w:t>Schools Aus</w:t>
      </w:r>
      <w:r w:rsidR="00C05514" w:rsidRPr="00792428">
        <w:rPr>
          <w:i/>
        </w:rPr>
        <w:t>tralia 2013</w:t>
      </w:r>
      <w:r w:rsidRPr="00792428">
        <w:rPr>
          <w:i/>
        </w:rPr>
        <w:t xml:space="preserve">, </w:t>
      </w:r>
      <w:r w:rsidRPr="00792428">
        <w:t>Cat. no. 4221.0, data cube NSSC T35a.</w:t>
      </w:r>
    </w:p>
    <w:p w:rsidR="00534A3D" w:rsidRPr="00452237" w:rsidRDefault="00E21C7C" w:rsidP="00E21C7C">
      <w:pPr>
        <w:pStyle w:val="Heading3"/>
      </w:pPr>
      <w:r w:rsidRPr="00452237">
        <w:t>NEA outputs</w:t>
      </w:r>
    </w:p>
    <w:p w:rsidR="00E21C7C" w:rsidRPr="00452237" w:rsidRDefault="00E21C7C" w:rsidP="00E21C7C">
      <w:pPr>
        <w:pStyle w:val="BodyText"/>
      </w:pPr>
      <w:r w:rsidRPr="00452237">
        <w:t>The following outputs have been identified in the NEA as supporting achievement of the NEA outcomes:</w:t>
      </w:r>
    </w:p>
    <w:p w:rsidR="00E21C7C" w:rsidRPr="00452237" w:rsidRDefault="00E21C7C" w:rsidP="00E21C7C">
      <w:pPr>
        <w:pStyle w:val="ListBullet"/>
      </w:pPr>
      <w:r w:rsidRPr="00452237">
        <w:t>Number of students enrolled in school, including enrolled in VET in school, disaggregated by:</w:t>
      </w:r>
    </w:p>
    <w:p w:rsidR="00E21C7C" w:rsidRPr="00452237" w:rsidRDefault="00E21C7C" w:rsidP="00E21C7C">
      <w:pPr>
        <w:pStyle w:val="ListBullet2"/>
      </w:pPr>
      <w:r w:rsidRPr="00452237">
        <w:t>school sector</w:t>
      </w:r>
    </w:p>
    <w:p w:rsidR="00E21C7C" w:rsidRPr="00452237" w:rsidRDefault="00E21C7C" w:rsidP="00E21C7C">
      <w:pPr>
        <w:pStyle w:val="ListBullet2"/>
      </w:pPr>
      <w:r w:rsidRPr="00452237">
        <w:t>Indigenous status</w:t>
      </w:r>
    </w:p>
    <w:p w:rsidR="00E21C7C" w:rsidRPr="00452237" w:rsidRDefault="00E21C7C" w:rsidP="00E21C7C">
      <w:pPr>
        <w:pStyle w:val="ListBullet2"/>
      </w:pPr>
      <w:r w:rsidRPr="00452237">
        <w:t>socioeconomic status of schools.</w:t>
      </w:r>
    </w:p>
    <w:p w:rsidR="00E21C7C" w:rsidRPr="00452237" w:rsidRDefault="00E21C7C" w:rsidP="00E21C7C">
      <w:pPr>
        <w:pStyle w:val="BodyText"/>
      </w:pPr>
      <w:r w:rsidRPr="00452237">
        <w:t xml:space="preserve">Data for the NEA outputs for the current reporting year </w:t>
      </w:r>
      <w:r w:rsidR="00452237">
        <w:t>(2013</w:t>
      </w:r>
      <w:r w:rsidRPr="00452237">
        <w:t>) have been provided where available. At the request of the CRC, historical data have only been provided where measures are new or data have been amended since the previous report.</w:t>
      </w:r>
    </w:p>
    <w:p w:rsidR="00CA78CF" w:rsidRPr="00FE4399" w:rsidRDefault="00CA78CF" w:rsidP="00CA78CF">
      <w:pPr>
        <w:pStyle w:val="Heading4"/>
      </w:pPr>
      <w:r w:rsidRPr="00FE4399">
        <w:t>Number of students enrolled</w:t>
      </w:r>
    </w:p>
    <w:p w:rsidR="00CA78CF" w:rsidRPr="00F747F5" w:rsidRDefault="00CA78CF" w:rsidP="00CA78CF">
      <w:pPr>
        <w:pStyle w:val="BodyText"/>
      </w:pPr>
      <w:r w:rsidRPr="00F747F5">
        <w:t>Full time equivalent (FTE) student enrolments in primar</w:t>
      </w:r>
      <w:r w:rsidR="00BA215E">
        <w:t>y and secondary schools for 2013</w:t>
      </w:r>
      <w:r w:rsidRPr="00F747F5">
        <w:t xml:space="preserve"> are in table</w:t>
      </w:r>
      <w:r w:rsidR="00966FAA" w:rsidRPr="00F747F5">
        <w:t> </w:t>
      </w:r>
      <w:r w:rsidR="008C2F47" w:rsidRPr="00F747F5">
        <w:fldChar w:fldCharType="begin"/>
      </w:r>
      <w:r w:rsidR="008C2F47" w:rsidRPr="00F747F5">
        <w:instrText xml:space="preserve"> LINK Word.Document.12 "\\\\mel_1\\groups\\Monitor\\09 National Agreement Report\\02 NAR Report WIP\\2013 NAR Report - Ed and training\\2013 NAR first draft\\NEA\\NEA 2013 first draft for CA new template.docx" "OLE_LINK5" \a \t </w:instrText>
      </w:r>
      <w:r w:rsidR="008C2F47" w:rsidRPr="00F747F5">
        <w:fldChar w:fldCharType="separate"/>
      </w:r>
      <w:r w:rsidR="00665723" w:rsidRPr="00F747F5">
        <w:t>3</w:t>
      </w:r>
      <w:r w:rsidR="008C2F47" w:rsidRPr="00F747F5">
        <w:fldChar w:fldCharType="end"/>
      </w:r>
      <w:r w:rsidRPr="00F747F5">
        <w:t>. Student enrolments include enrolled students studying VET in schools.</w:t>
      </w:r>
    </w:p>
    <w:p w:rsidR="00CA78CF" w:rsidRPr="0081712B" w:rsidRDefault="00CA78CF" w:rsidP="00CA78CF">
      <w:pPr>
        <w:pStyle w:val="BodyText"/>
      </w:pPr>
      <w:r w:rsidRPr="0081712B">
        <w:t>Comparability across states and territories may be affected by</w:t>
      </w:r>
      <w:r w:rsidR="00973C47" w:rsidRPr="0081712B">
        <w:t xml:space="preserve"> administrative </w:t>
      </w:r>
      <w:r w:rsidR="0081712B" w:rsidRPr="0081712B">
        <w:t>differences</w:t>
      </w:r>
      <w:r w:rsidR="00973C47" w:rsidRPr="0081712B">
        <w:t>,</w:t>
      </w:r>
      <w:r w:rsidRPr="0081712B">
        <w:t xml:space="preserve"> differences in the organisation of grades, policy on student intake and advancement, and flows from secondary to</w:t>
      </w:r>
      <w:r w:rsidR="003F6030" w:rsidRPr="0081712B">
        <w:t xml:space="preserve"> vocational education (ABS 2014</w:t>
      </w:r>
      <w:r w:rsidRPr="0081712B">
        <w:t xml:space="preserve">). In addition, the ACT is </w:t>
      </w:r>
      <w:r w:rsidR="00A75F4E">
        <w:t>impacted</w:t>
      </w:r>
      <w:r w:rsidR="00A75F4E" w:rsidRPr="0081712B">
        <w:t xml:space="preserve"> </w:t>
      </w:r>
      <w:r w:rsidRPr="0081712B">
        <w:t xml:space="preserve">by cross border use of services, in particular by NSW students attending ACT schools (ACT </w:t>
      </w:r>
      <w:r w:rsidR="00E40E4A">
        <w:t xml:space="preserve">Government </w:t>
      </w:r>
      <w:r w:rsidR="008F68A1">
        <w:t xml:space="preserve">employee, </w:t>
      </w:r>
      <w:r w:rsidR="00C254D9">
        <w:t>email advice</w:t>
      </w:r>
      <w:r w:rsidR="008F68A1">
        <w:t>, 23 </w:t>
      </w:r>
      <w:r w:rsidR="00E40E4A">
        <w:t>June 2009</w:t>
      </w:r>
      <w:r w:rsidRPr="0081712B">
        <w:t>).</w:t>
      </w:r>
    </w:p>
    <w:p w:rsidR="008C2F47" w:rsidRPr="00132F15" w:rsidRDefault="008C2F47">
      <w:pPr>
        <w:pStyle w:val="TableTitle"/>
      </w:pPr>
      <w:r w:rsidRPr="00132F15">
        <w:rPr>
          <w:b w:val="0"/>
        </w:rPr>
        <w:t xml:space="preserve">Table </w:t>
      </w:r>
      <w:bookmarkStart w:id="7" w:name="OLE_LINK5"/>
      <w:r w:rsidRPr="00132F15">
        <w:rPr>
          <w:b w:val="0"/>
        </w:rPr>
        <w:fldChar w:fldCharType="begin"/>
      </w:r>
      <w:r w:rsidRPr="00132F15">
        <w:rPr>
          <w:b w:val="0"/>
        </w:rPr>
        <w:instrText xml:space="preserve"> SEQ Table \* ARABIC </w:instrText>
      </w:r>
      <w:r w:rsidRPr="00132F15">
        <w:rPr>
          <w:b w:val="0"/>
        </w:rPr>
        <w:fldChar w:fldCharType="separate"/>
      </w:r>
      <w:r w:rsidR="005F5618">
        <w:rPr>
          <w:b w:val="0"/>
          <w:noProof/>
        </w:rPr>
        <w:t>3</w:t>
      </w:r>
      <w:r w:rsidRPr="00132F15">
        <w:rPr>
          <w:b w:val="0"/>
        </w:rPr>
        <w:fldChar w:fldCharType="end"/>
      </w:r>
      <w:bookmarkEnd w:id="7"/>
      <w:r w:rsidRPr="00132F15">
        <w:tab/>
        <w:t>Total FTE student enrolments by level of education, 2013 (‘000)</w:t>
      </w:r>
      <w:r w:rsidRPr="00132F15">
        <w:rPr>
          <w:rStyle w:val="NoteLabel"/>
          <w:b/>
        </w:rPr>
        <w:t>a</w:t>
      </w:r>
    </w:p>
    <w:tbl>
      <w:tblPr>
        <w:tblW w:w="5000" w:type="pct"/>
        <w:tblCellMar>
          <w:left w:w="0" w:type="dxa"/>
          <w:right w:w="0" w:type="dxa"/>
        </w:tblCellMar>
        <w:tblLook w:val="0000" w:firstRow="0" w:lastRow="0" w:firstColumn="0" w:lastColumn="0" w:noHBand="0" w:noVBand="0"/>
      </w:tblPr>
      <w:tblGrid>
        <w:gridCol w:w="1961"/>
        <w:gridCol w:w="787"/>
        <w:gridCol w:w="755"/>
        <w:gridCol w:w="755"/>
        <w:gridCol w:w="755"/>
        <w:gridCol w:w="755"/>
        <w:gridCol w:w="755"/>
        <w:gridCol w:w="755"/>
        <w:gridCol w:w="755"/>
        <w:gridCol w:w="756"/>
      </w:tblGrid>
      <w:tr w:rsidR="00ED1A66" w:rsidRPr="00132F15" w:rsidTr="008C2F47">
        <w:tc>
          <w:tcPr>
            <w:tcW w:w="1118" w:type="pct"/>
            <w:tcBorders>
              <w:top w:val="single" w:sz="6" w:space="0" w:color="auto"/>
              <w:bottom w:val="single" w:sz="6" w:space="0" w:color="auto"/>
            </w:tcBorders>
            <w:shd w:val="clear" w:color="auto" w:fill="auto"/>
          </w:tcPr>
          <w:p w:rsidR="008C2F47" w:rsidRPr="00132F15" w:rsidRDefault="008C2F47" w:rsidP="00CB6594">
            <w:pPr>
              <w:pStyle w:val="TableColumnHeading"/>
              <w:jc w:val="left"/>
            </w:pPr>
          </w:p>
        </w:tc>
        <w:tc>
          <w:tcPr>
            <w:tcW w:w="431" w:type="pct"/>
            <w:tcBorders>
              <w:top w:val="single" w:sz="6" w:space="0" w:color="auto"/>
              <w:bottom w:val="single" w:sz="6" w:space="0" w:color="auto"/>
            </w:tcBorders>
            <w:shd w:val="clear" w:color="auto" w:fill="auto"/>
          </w:tcPr>
          <w:p w:rsidR="008C2F47" w:rsidRPr="00132F15" w:rsidRDefault="008C2F47" w:rsidP="00CB6594">
            <w:pPr>
              <w:pStyle w:val="TableColumnHeading"/>
            </w:pPr>
            <w:r w:rsidRPr="00132F15">
              <w:t>NSW</w:t>
            </w:r>
          </w:p>
        </w:tc>
        <w:tc>
          <w:tcPr>
            <w:tcW w:w="431" w:type="pct"/>
            <w:tcBorders>
              <w:top w:val="single" w:sz="6" w:space="0" w:color="auto"/>
              <w:bottom w:val="single" w:sz="6" w:space="0" w:color="auto"/>
            </w:tcBorders>
          </w:tcPr>
          <w:p w:rsidR="008C2F47" w:rsidRPr="00132F15" w:rsidRDefault="008C2F47" w:rsidP="00CB6594">
            <w:pPr>
              <w:pStyle w:val="TableColumnHeading"/>
            </w:pPr>
            <w:r w:rsidRPr="00132F15">
              <w:t>Vic</w:t>
            </w:r>
          </w:p>
        </w:tc>
        <w:tc>
          <w:tcPr>
            <w:tcW w:w="431" w:type="pct"/>
            <w:tcBorders>
              <w:top w:val="single" w:sz="6" w:space="0" w:color="auto"/>
              <w:bottom w:val="single" w:sz="6" w:space="0" w:color="auto"/>
            </w:tcBorders>
          </w:tcPr>
          <w:p w:rsidR="008C2F47" w:rsidRPr="00132F15" w:rsidRDefault="008C2F47" w:rsidP="00CB6594">
            <w:pPr>
              <w:pStyle w:val="TableColumnHeading"/>
            </w:pPr>
            <w:r w:rsidRPr="00132F15">
              <w:t>Qld</w:t>
            </w:r>
          </w:p>
        </w:tc>
        <w:tc>
          <w:tcPr>
            <w:tcW w:w="431" w:type="pct"/>
            <w:tcBorders>
              <w:top w:val="single" w:sz="6" w:space="0" w:color="auto"/>
              <w:bottom w:val="single" w:sz="6" w:space="0" w:color="auto"/>
            </w:tcBorders>
          </w:tcPr>
          <w:p w:rsidR="008C2F47" w:rsidRPr="00132F15" w:rsidRDefault="008C2F47" w:rsidP="00CB6594">
            <w:pPr>
              <w:pStyle w:val="TableColumnHeading"/>
            </w:pPr>
            <w:r w:rsidRPr="00132F15">
              <w:t>WA</w:t>
            </w:r>
          </w:p>
        </w:tc>
        <w:tc>
          <w:tcPr>
            <w:tcW w:w="431" w:type="pct"/>
            <w:tcBorders>
              <w:top w:val="single" w:sz="6" w:space="0" w:color="auto"/>
              <w:bottom w:val="single" w:sz="6" w:space="0" w:color="auto"/>
            </w:tcBorders>
          </w:tcPr>
          <w:p w:rsidR="008C2F47" w:rsidRPr="00132F15" w:rsidRDefault="008C2F47" w:rsidP="00CB6594">
            <w:pPr>
              <w:pStyle w:val="TableColumnHeading"/>
            </w:pPr>
            <w:r w:rsidRPr="00132F15">
              <w:t>SA</w:t>
            </w:r>
          </w:p>
        </w:tc>
        <w:tc>
          <w:tcPr>
            <w:tcW w:w="431" w:type="pct"/>
            <w:tcBorders>
              <w:top w:val="single" w:sz="6" w:space="0" w:color="auto"/>
              <w:bottom w:val="single" w:sz="6" w:space="0" w:color="auto"/>
            </w:tcBorders>
          </w:tcPr>
          <w:p w:rsidR="008C2F47" w:rsidRPr="00132F15" w:rsidRDefault="008C2F47" w:rsidP="00CB6594">
            <w:pPr>
              <w:pStyle w:val="TableColumnHeading"/>
            </w:pPr>
            <w:r w:rsidRPr="00132F15">
              <w:t>Tas</w:t>
            </w:r>
          </w:p>
        </w:tc>
        <w:tc>
          <w:tcPr>
            <w:tcW w:w="431" w:type="pct"/>
            <w:tcBorders>
              <w:top w:val="single" w:sz="6" w:space="0" w:color="auto"/>
              <w:bottom w:val="single" w:sz="6" w:space="0" w:color="auto"/>
            </w:tcBorders>
          </w:tcPr>
          <w:p w:rsidR="008C2F47" w:rsidRPr="00132F15" w:rsidRDefault="008C2F47" w:rsidP="00CB6594">
            <w:pPr>
              <w:pStyle w:val="TableColumnHeading"/>
            </w:pPr>
            <w:r w:rsidRPr="00132F15">
              <w:t>ACT</w:t>
            </w:r>
          </w:p>
        </w:tc>
        <w:tc>
          <w:tcPr>
            <w:tcW w:w="431" w:type="pct"/>
            <w:tcBorders>
              <w:top w:val="single" w:sz="6" w:space="0" w:color="auto"/>
              <w:bottom w:val="single" w:sz="6" w:space="0" w:color="auto"/>
            </w:tcBorders>
          </w:tcPr>
          <w:p w:rsidR="008C2F47" w:rsidRPr="00132F15" w:rsidRDefault="008C2F47" w:rsidP="00CB6594">
            <w:pPr>
              <w:pStyle w:val="TableColumnHeading"/>
            </w:pPr>
            <w:r w:rsidRPr="00132F15">
              <w:t>NT</w:t>
            </w:r>
          </w:p>
        </w:tc>
        <w:tc>
          <w:tcPr>
            <w:tcW w:w="432" w:type="pct"/>
            <w:tcBorders>
              <w:top w:val="single" w:sz="6" w:space="0" w:color="auto"/>
              <w:bottom w:val="single" w:sz="6" w:space="0" w:color="auto"/>
            </w:tcBorders>
            <w:shd w:val="clear" w:color="auto" w:fill="auto"/>
          </w:tcPr>
          <w:p w:rsidR="008C2F47" w:rsidRPr="00132F15" w:rsidRDefault="008C2F47" w:rsidP="00CB6594">
            <w:pPr>
              <w:pStyle w:val="TableColumnHeading"/>
              <w:ind w:right="28"/>
            </w:pPr>
            <w:r w:rsidRPr="00132F15">
              <w:t>Aust</w:t>
            </w:r>
          </w:p>
        </w:tc>
      </w:tr>
      <w:tr w:rsidR="00722649" w:rsidRPr="00132F15" w:rsidTr="008C2F47">
        <w:tc>
          <w:tcPr>
            <w:tcW w:w="1118" w:type="pct"/>
            <w:tcBorders>
              <w:top w:val="single" w:sz="6" w:space="0" w:color="auto"/>
            </w:tcBorders>
          </w:tcPr>
          <w:p w:rsidR="00722649" w:rsidRPr="00132F15" w:rsidRDefault="00722649" w:rsidP="002B74BB">
            <w:pPr>
              <w:pStyle w:val="TableUnitsRow"/>
              <w:keepLines w:val="0"/>
              <w:jc w:val="left"/>
            </w:pPr>
            <w:r w:rsidRPr="00132F15">
              <w:t>Primary schools</w:t>
            </w:r>
          </w:p>
        </w:tc>
        <w:tc>
          <w:tcPr>
            <w:tcW w:w="431" w:type="pct"/>
            <w:tcBorders>
              <w:top w:val="single" w:sz="6" w:space="0" w:color="auto"/>
            </w:tcBorders>
          </w:tcPr>
          <w:p w:rsidR="00722649" w:rsidRPr="00132F15" w:rsidRDefault="00722649" w:rsidP="002B74BB">
            <w:pPr>
              <w:pStyle w:val="TableUnitsRow"/>
              <w:keepLines w:val="0"/>
            </w:pPr>
            <w:r w:rsidRPr="00132F15">
              <w:t>647.2</w:t>
            </w:r>
          </w:p>
        </w:tc>
        <w:tc>
          <w:tcPr>
            <w:tcW w:w="431" w:type="pct"/>
            <w:tcBorders>
              <w:top w:val="single" w:sz="6" w:space="0" w:color="auto"/>
            </w:tcBorders>
          </w:tcPr>
          <w:p w:rsidR="00722649" w:rsidRPr="00132F15" w:rsidRDefault="00722649" w:rsidP="002B74BB">
            <w:pPr>
              <w:pStyle w:val="TableUnitsRow"/>
              <w:keepLines w:val="0"/>
            </w:pPr>
            <w:r w:rsidRPr="00132F15">
              <w:t>490.1</w:t>
            </w:r>
          </w:p>
        </w:tc>
        <w:tc>
          <w:tcPr>
            <w:tcW w:w="431" w:type="pct"/>
            <w:tcBorders>
              <w:top w:val="single" w:sz="6" w:space="0" w:color="auto"/>
            </w:tcBorders>
          </w:tcPr>
          <w:p w:rsidR="00722649" w:rsidRPr="00132F15" w:rsidRDefault="00722649" w:rsidP="002B74BB">
            <w:pPr>
              <w:pStyle w:val="TableUnitsRow"/>
              <w:keepLines w:val="0"/>
            </w:pPr>
            <w:r w:rsidRPr="00132F15">
              <w:t>473.3</w:t>
            </w:r>
          </w:p>
        </w:tc>
        <w:tc>
          <w:tcPr>
            <w:tcW w:w="431" w:type="pct"/>
            <w:tcBorders>
              <w:top w:val="single" w:sz="6" w:space="0" w:color="auto"/>
            </w:tcBorders>
          </w:tcPr>
          <w:p w:rsidR="00722649" w:rsidRPr="00132F15" w:rsidRDefault="00722649" w:rsidP="002B74BB">
            <w:pPr>
              <w:pStyle w:val="TableUnitsRow"/>
              <w:keepLines w:val="0"/>
            </w:pPr>
            <w:r w:rsidRPr="00132F15">
              <w:t>251.0</w:t>
            </w:r>
          </w:p>
        </w:tc>
        <w:tc>
          <w:tcPr>
            <w:tcW w:w="431" w:type="pct"/>
            <w:tcBorders>
              <w:top w:val="single" w:sz="6" w:space="0" w:color="auto"/>
            </w:tcBorders>
          </w:tcPr>
          <w:p w:rsidR="00722649" w:rsidRPr="00132F15" w:rsidRDefault="00722649" w:rsidP="002B74BB">
            <w:pPr>
              <w:pStyle w:val="TableUnitsRow"/>
              <w:keepLines w:val="0"/>
            </w:pPr>
            <w:r w:rsidRPr="00132F15">
              <w:t>160.5</w:t>
            </w:r>
          </w:p>
        </w:tc>
        <w:tc>
          <w:tcPr>
            <w:tcW w:w="431" w:type="pct"/>
            <w:tcBorders>
              <w:top w:val="single" w:sz="6" w:space="0" w:color="auto"/>
            </w:tcBorders>
          </w:tcPr>
          <w:p w:rsidR="00722649" w:rsidRPr="00132F15" w:rsidRDefault="00722649" w:rsidP="002B74BB">
            <w:pPr>
              <w:pStyle w:val="TableUnitsRow"/>
              <w:keepLines w:val="0"/>
            </w:pPr>
            <w:r w:rsidRPr="00132F15">
              <w:t>43.6</w:t>
            </w:r>
          </w:p>
        </w:tc>
        <w:tc>
          <w:tcPr>
            <w:tcW w:w="431" w:type="pct"/>
            <w:tcBorders>
              <w:top w:val="single" w:sz="6" w:space="0" w:color="auto"/>
            </w:tcBorders>
          </w:tcPr>
          <w:p w:rsidR="00722649" w:rsidRPr="00132F15" w:rsidRDefault="00722649" w:rsidP="002B74BB">
            <w:pPr>
              <w:pStyle w:val="TableUnitsRow"/>
              <w:keepLines w:val="0"/>
            </w:pPr>
            <w:r w:rsidRPr="00132F15">
              <w:t>34.0</w:t>
            </w:r>
          </w:p>
        </w:tc>
        <w:tc>
          <w:tcPr>
            <w:tcW w:w="431" w:type="pct"/>
            <w:tcBorders>
              <w:top w:val="single" w:sz="6" w:space="0" w:color="auto"/>
            </w:tcBorders>
          </w:tcPr>
          <w:p w:rsidR="00722649" w:rsidRPr="00132F15" w:rsidRDefault="00722649" w:rsidP="002B74BB">
            <w:pPr>
              <w:pStyle w:val="TableUnitsRow"/>
              <w:keepLines w:val="0"/>
            </w:pPr>
            <w:r w:rsidRPr="00132F15">
              <w:t>24.2</w:t>
            </w:r>
          </w:p>
        </w:tc>
        <w:tc>
          <w:tcPr>
            <w:tcW w:w="432" w:type="pct"/>
            <w:tcBorders>
              <w:top w:val="single" w:sz="6" w:space="0" w:color="auto"/>
            </w:tcBorders>
          </w:tcPr>
          <w:p w:rsidR="00722649" w:rsidRPr="00132F15" w:rsidRDefault="00722649" w:rsidP="002B74BB">
            <w:pPr>
              <w:pStyle w:val="TableUnitsRow"/>
              <w:keepLines w:val="0"/>
              <w:ind w:right="28"/>
            </w:pPr>
            <w:r w:rsidRPr="00132F15">
              <w:t>2</w:t>
            </w:r>
            <w:r w:rsidR="0036109B">
              <w:t> </w:t>
            </w:r>
            <w:r w:rsidRPr="00132F15">
              <w:t>123.9</w:t>
            </w:r>
          </w:p>
        </w:tc>
      </w:tr>
      <w:tr w:rsidR="00722649" w:rsidRPr="00132F15" w:rsidTr="008C2F47">
        <w:tc>
          <w:tcPr>
            <w:tcW w:w="1118" w:type="pct"/>
          </w:tcPr>
          <w:p w:rsidR="00722649" w:rsidRPr="00132F15" w:rsidRDefault="00722649" w:rsidP="00CB6594">
            <w:pPr>
              <w:pStyle w:val="TableBodyText"/>
              <w:jc w:val="left"/>
            </w:pPr>
            <w:r w:rsidRPr="00132F15">
              <w:t>Secondary schools</w:t>
            </w:r>
          </w:p>
        </w:tc>
        <w:tc>
          <w:tcPr>
            <w:tcW w:w="431" w:type="pct"/>
          </w:tcPr>
          <w:p w:rsidR="00722649" w:rsidRPr="00132F15" w:rsidRDefault="00722649" w:rsidP="00722649">
            <w:pPr>
              <w:pStyle w:val="TableBodyText"/>
            </w:pPr>
            <w:r w:rsidRPr="00132F15">
              <w:t>507.0</w:t>
            </w:r>
          </w:p>
        </w:tc>
        <w:tc>
          <w:tcPr>
            <w:tcW w:w="431" w:type="pct"/>
          </w:tcPr>
          <w:p w:rsidR="00722649" w:rsidRPr="00132F15" w:rsidRDefault="00722649" w:rsidP="00722649">
            <w:pPr>
              <w:pStyle w:val="TableBodyText"/>
            </w:pPr>
            <w:r w:rsidRPr="00132F15">
              <w:t>392.6</w:t>
            </w:r>
          </w:p>
        </w:tc>
        <w:tc>
          <w:tcPr>
            <w:tcW w:w="431" w:type="pct"/>
          </w:tcPr>
          <w:p w:rsidR="00722649" w:rsidRPr="00132F15" w:rsidRDefault="00722649" w:rsidP="00722649">
            <w:pPr>
              <w:pStyle w:val="TableBodyText"/>
            </w:pPr>
            <w:r w:rsidRPr="00132F15">
              <w:t>291.0</w:t>
            </w:r>
          </w:p>
        </w:tc>
        <w:tc>
          <w:tcPr>
            <w:tcW w:w="431" w:type="pct"/>
          </w:tcPr>
          <w:p w:rsidR="00722649" w:rsidRPr="00132F15" w:rsidRDefault="00722649" w:rsidP="00722649">
            <w:pPr>
              <w:pStyle w:val="TableBodyText"/>
            </w:pPr>
            <w:r w:rsidRPr="00132F15">
              <w:t>134.7</w:t>
            </w:r>
          </w:p>
        </w:tc>
        <w:tc>
          <w:tcPr>
            <w:tcW w:w="431" w:type="pct"/>
          </w:tcPr>
          <w:p w:rsidR="00722649" w:rsidRPr="00132F15" w:rsidRDefault="00722649" w:rsidP="00722649">
            <w:pPr>
              <w:pStyle w:val="TableBodyText"/>
            </w:pPr>
            <w:r w:rsidRPr="00132F15">
              <w:t>101.9</w:t>
            </w:r>
          </w:p>
        </w:tc>
        <w:tc>
          <w:tcPr>
            <w:tcW w:w="431" w:type="pct"/>
          </w:tcPr>
          <w:p w:rsidR="00722649" w:rsidRPr="00132F15" w:rsidRDefault="00722649" w:rsidP="00722649">
            <w:pPr>
              <w:pStyle w:val="TableBodyText"/>
            </w:pPr>
            <w:r w:rsidRPr="00132F15">
              <w:t>36.8</w:t>
            </w:r>
          </w:p>
        </w:tc>
        <w:tc>
          <w:tcPr>
            <w:tcW w:w="431" w:type="pct"/>
          </w:tcPr>
          <w:p w:rsidR="00722649" w:rsidRPr="00132F15" w:rsidRDefault="00722649" w:rsidP="00722649">
            <w:pPr>
              <w:pStyle w:val="TableBodyText"/>
            </w:pPr>
            <w:r w:rsidRPr="00132F15">
              <w:t>29.3</w:t>
            </w:r>
          </w:p>
        </w:tc>
        <w:tc>
          <w:tcPr>
            <w:tcW w:w="431" w:type="pct"/>
          </w:tcPr>
          <w:p w:rsidR="00722649" w:rsidRPr="00132F15" w:rsidRDefault="00722649" w:rsidP="00722649">
            <w:pPr>
              <w:pStyle w:val="TableBodyText"/>
            </w:pPr>
            <w:r w:rsidRPr="00132F15">
              <w:t>16.2</w:t>
            </w:r>
          </w:p>
        </w:tc>
        <w:tc>
          <w:tcPr>
            <w:tcW w:w="432" w:type="pct"/>
          </w:tcPr>
          <w:p w:rsidR="00722649" w:rsidRPr="00132F15" w:rsidRDefault="00722649" w:rsidP="00132F15">
            <w:pPr>
              <w:pStyle w:val="TableBodyText"/>
              <w:ind w:right="28"/>
            </w:pPr>
            <w:r w:rsidRPr="00132F15">
              <w:t>1</w:t>
            </w:r>
            <w:r w:rsidR="0036109B">
              <w:t> </w:t>
            </w:r>
            <w:r w:rsidRPr="00132F15">
              <w:t>509.6</w:t>
            </w:r>
          </w:p>
        </w:tc>
      </w:tr>
      <w:tr w:rsidR="00722649" w:rsidRPr="00132F15" w:rsidTr="008C2F47">
        <w:tc>
          <w:tcPr>
            <w:tcW w:w="1118" w:type="pct"/>
            <w:tcBorders>
              <w:bottom w:val="single" w:sz="6" w:space="0" w:color="auto"/>
            </w:tcBorders>
            <w:shd w:val="clear" w:color="auto" w:fill="auto"/>
          </w:tcPr>
          <w:p w:rsidR="00722649" w:rsidRPr="00132F15" w:rsidRDefault="00722649" w:rsidP="00CB6594">
            <w:pPr>
              <w:pStyle w:val="TableBodyText"/>
              <w:jc w:val="left"/>
              <w:rPr>
                <w:b/>
              </w:rPr>
            </w:pPr>
            <w:r w:rsidRPr="00132F15">
              <w:rPr>
                <w:b/>
              </w:rPr>
              <w:t>All schools</w:t>
            </w:r>
          </w:p>
        </w:tc>
        <w:tc>
          <w:tcPr>
            <w:tcW w:w="431" w:type="pct"/>
            <w:tcBorders>
              <w:bottom w:val="single" w:sz="6" w:space="0" w:color="auto"/>
            </w:tcBorders>
            <w:shd w:val="clear" w:color="auto" w:fill="auto"/>
          </w:tcPr>
          <w:p w:rsidR="00722649" w:rsidRPr="0032567C" w:rsidRDefault="00722649" w:rsidP="00722649">
            <w:pPr>
              <w:pStyle w:val="TableBodyText"/>
              <w:rPr>
                <w:b/>
              </w:rPr>
            </w:pPr>
            <w:r w:rsidRPr="0032567C">
              <w:rPr>
                <w:b/>
              </w:rPr>
              <w:t>1</w:t>
            </w:r>
            <w:r w:rsidR="0036109B" w:rsidRPr="0032567C">
              <w:rPr>
                <w:b/>
              </w:rPr>
              <w:t> </w:t>
            </w:r>
            <w:r w:rsidRPr="0032567C">
              <w:rPr>
                <w:b/>
              </w:rPr>
              <w:t>154.2</w:t>
            </w:r>
          </w:p>
        </w:tc>
        <w:tc>
          <w:tcPr>
            <w:tcW w:w="431" w:type="pct"/>
            <w:tcBorders>
              <w:bottom w:val="single" w:sz="6" w:space="0" w:color="auto"/>
            </w:tcBorders>
          </w:tcPr>
          <w:p w:rsidR="00722649" w:rsidRPr="0032567C" w:rsidRDefault="00722649" w:rsidP="00722649">
            <w:pPr>
              <w:pStyle w:val="TableBodyText"/>
              <w:rPr>
                <w:b/>
              </w:rPr>
            </w:pPr>
            <w:r w:rsidRPr="0032567C">
              <w:rPr>
                <w:b/>
              </w:rPr>
              <w:t>882.7</w:t>
            </w:r>
          </w:p>
        </w:tc>
        <w:tc>
          <w:tcPr>
            <w:tcW w:w="431" w:type="pct"/>
            <w:tcBorders>
              <w:bottom w:val="single" w:sz="6" w:space="0" w:color="auto"/>
            </w:tcBorders>
          </w:tcPr>
          <w:p w:rsidR="00722649" w:rsidRPr="0032567C" w:rsidRDefault="00722649" w:rsidP="00722649">
            <w:pPr>
              <w:pStyle w:val="TableBodyText"/>
              <w:rPr>
                <w:b/>
              </w:rPr>
            </w:pPr>
            <w:r w:rsidRPr="0032567C">
              <w:rPr>
                <w:b/>
              </w:rPr>
              <w:t>764.3</w:t>
            </w:r>
          </w:p>
        </w:tc>
        <w:tc>
          <w:tcPr>
            <w:tcW w:w="431" w:type="pct"/>
            <w:tcBorders>
              <w:bottom w:val="single" w:sz="6" w:space="0" w:color="auto"/>
            </w:tcBorders>
          </w:tcPr>
          <w:p w:rsidR="00722649" w:rsidRPr="0032567C" w:rsidRDefault="00722649" w:rsidP="00722649">
            <w:pPr>
              <w:pStyle w:val="TableBodyText"/>
              <w:rPr>
                <w:b/>
              </w:rPr>
            </w:pPr>
            <w:r w:rsidRPr="0032567C">
              <w:rPr>
                <w:b/>
              </w:rPr>
              <w:t>385.7</w:t>
            </w:r>
          </w:p>
        </w:tc>
        <w:tc>
          <w:tcPr>
            <w:tcW w:w="431" w:type="pct"/>
            <w:tcBorders>
              <w:bottom w:val="single" w:sz="6" w:space="0" w:color="auto"/>
            </w:tcBorders>
          </w:tcPr>
          <w:p w:rsidR="00722649" w:rsidRPr="0032567C" w:rsidRDefault="00722649" w:rsidP="00722649">
            <w:pPr>
              <w:pStyle w:val="TableBodyText"/>
              <w:rPr>
                <w:b/>
              </w:rPr>
            </w:pPr>
            <w:r w:rsidRPr="0032567C">
              <w:rPr>
                <w:b/>
              </w:rPr>
              <w:t>262.3</w:t>
            </w:r>
          </w:p>
        </w:tc>
        <w:tc>
          <w:tcPr>
            <w:tcW w:w="431" w:type="pct"/>
            <w:tcBorders>
              <w:bottom w:val="single" w:sz="6" w:space="0" w:color="auto"/>
            </w:tcBorders>
          </w:tcPr>
          <w:p w:rsidR="00722649" w:rsidRPr="0032567C" w:rsidRDefault="00722649" w:rsidP="00722649">
            <w:pPr>
              <w:pStyle w:val="TableBodyText"/>
              <w:rPr>
                <w:b/>
              </w:rPr>
            </w:pPr>
            <w:r w:rsidRPr="0032567C">
              <w:rPr>
                <w:b/>
              </w:rPr>
              <w:t>80.4</w:t>
            </w:r>
          </w:p>
        </w:tc>
        <w:tc>
          <w:tcPr>
            <w:tcW w:w="431" w:type="pct"/>
            <w:tcBorders>
              <w:bottom w:val="single" w:sz="6" w:space="0" w:color="auto"/>
            </w:tcBorders>
          </w:tcPr>
          <w:p w:rsidR="00722649" w:rsidRPr="0032567C" w:rsidRDefault="00722649" w:rsidP="00722649">
            <w:pPr>
              <w:pStyle w:val="TableBodyText"/>
              <w:rPr>
                <w:b/>
              </w:rPr>
            </w:pPr>
            <w:r w:rsidRPr="0032567C">
              <w:rPr>
                <w:b/>
              </w:rPr>
              <w:t>63.3</w:t>
            </w:r>
          </w:p>
        </w:tc>
        <w:tc>
          <w:tcPr>
            <w:tcW w:w="431" w:type="pct"/>
            <w:tcBorders>
              <w:bottom w:val="single" w:sz="6" w:space="0" w:color="auto"/>
            </w:tcBorders>
          </w:tcPr>
          <w:p w:rsidR="00722649" w:rsidRPr="0032567C" w:rsidRDefault="00722649" w:rsidP="00722649">
            <w:pPr>
              <w:pStyle w:val="TableBodyText"/>
              <w:rPr>
                <w:b/>
              </w:rPr>
            </w:pPr>
            <w:r w:rsidRPr="0032567C">
              <w:rPr>
                <w:b/>
              </w:rPr>
              <w:t>40.5</w:t>
            </w:r>
          </w:p>
        </w:tc>
        <w:tc>
          <w:tcPr>
            <w:tcW w:w="432" w:type="pct"/>
            <w:tcBorders>
              <w:bottom w:val="single" w:sz="6" w:space="0" w:color="auto"/>
            </w:tcBorders>
            <w:shd w:val="clear" w:color="auto" w:fill="auto"/>
          </w:tcPr>
          <w:p w:rsidR="00722649" w:rsidRPr="0032567C" w:rsidRDefault="00722649" w:rsidP="00132F15">
            <w:pPr>
              <w:pStyle w:val="TableBodyText"/>
              <w:ind w:right="28"/>
              <w:rPr>
                <w:b/>
              </w:rPr>
            </w:pPr>
            <w:r w:rsidRPr="0032567C">
              <w:rPr>
                <w:b/>
              </w:rPr>
              <w:t>3</w:t>
            </w:r>
            <w:r w:rsidR="0036109B" w:rsidRPr="0032567C">
              <w:rPr>
                <w:b/>
              </w:rPr>
              <w:t> </w:t>
            </w:r>
            <w:r w:rsidRPr="0032567C">
              <w:rPr>
                <w:b/>
              </w:rPr>
              <w:t>633.4</w:t>
            </w:r>
          </w:p>
        </w:tc>
      </w:tr>
    </w:tbl>
    <w:p w:rsidR="008C2F47" w:rsidRPr="00132F15" w:rsidRDefault="008C2F47" w:rsidP="008C2F47">
      <w:pPr>
        <w:pStyle w:val="Note"/>
      </w:pPr>
      <w:proofErr w:type="spellStart"/>
      <w:r w:rsidRPr="00132F15">
        <w:rPr>
          <w:rStyle w:val="NoteLabel"/>
        </w:rPr>
        <w:t>a</w:t>
      </w:r>
      <w:proofErr w:type="spellEnd"/>
      <w:r w:rsidRPr="00132F15">
        <w:sym w:font="Symbol" w:char="F020"/>
      </w:r>
      <w:r w:rsidRPr="00132F15">
        <w:t>Includes students enrolled in special schools. Ungraded students are allocated to either primary or secondary school, depending on the age level in each jurisdiction.</w:t>
      </w:r>
    </w:p>
    <w:p w:rsidR="008C2F47" w:rsidRPr="00ED1A66" w:rsidRDefault="008C2F47" w:rsidP="008C2F47">
      <w:pPr>
        <w:pStyle w:val="Note"/>
      </w:pPr>
      <w:r w:rsidRPr="00132F15">
        <w:rPr>
          <w:i/>
        </w:rPr>
        <w:t>Source</w:t>
      </w:r>
      <w:r w:rsidRPr="00132F15">
        <w:t xml:space="preserve">: </w:t>
      </w:r>
      <w:bookmarkStart w:id="8" w:name="OLE_LINK14"/>
      <w:bookmarkStart w:id="9" w:name="OLE_LINK16"/>
      <w:r w:rsidR="003F6030" w:rsidRPr="00132F15">
        <w:t>ABS (2014</w:t>
      </w:r>
      <w:r w:rsidRPr="00132F15">
        <w:t xml:space="preserve">) </w:t>
      </w:r>
      <w:r w:rsidRPr="00132F15">
        <w:rPr>
          <w:i/>
        </w:rPr>
        <w:t>Schools, Australia, 2</w:t>
      </w:r>
      <w:r w:rsidR="003F6030" w:rsidRPr="00132F15">
        <w:rPr>
          <w:i/>
        </w:rPr>
        <w:t>013</w:t>
      </w:r>
      <w:r w:rsidRPr="00132F15">
        <w:t>, Cat. no. 4221.0, data cube NSSC T43a</w:t>
      </w:r>
      <w:r w:rsidR="00801332">
        <w:t>; table NEA</w:t>
      </w:r>
      <w:r w:rsidR="00801332" w:rsidRPr="00C67FF6">
        <w:t>.c.3</w:t>
      </w:r>
      <w:r w:rsidR="00801332">
        <w:t>.</w:t>
      </w:r>
    </w:p>
    <w:bookmarkEnd w:id="8"/>
    <w:bookmarkEnd w:id="9"/>
    <w:p w:rsidR="00CB6594" w:rsidRPr="003575E1" w:rsidRDefault="00CB6594" w:rsidP="00CB6594">
      <w:pPr>
        <w:pStyle w:val="Heading4"/>
      </w:pPr>
      <w:r w:rsidRPr="00FE4399">
        <w:t>Number of students enrolled in school by school sector</w:t>
      </w:r>
    </w:p>
    <w:p w:rsidR="008C2F47" w:rsidRPr="001239B5" w:rsidRDefault="00CB6594" w:rsidP="00CA78CF">
      <w:pPr>
        <w:pStyle w:val="BodyText"/>
      </w:pPr>
      <w:r w:rsidRPr="001239B5">
        <w:t xml:space="preserve">FTE student enrolments in government and </w:t>
      </w:r>
      <w:r w:rsidR="00CC3C86" w:rsidRPr="001239B5">
        <w:t>non</w:t>
      </w:r>
      <w:r w:rsidR="00966FAA" w:rsidRPr="001239B5">
        <w:noBreakHyphen/>
      </w:r>
      <w:r w:rsidR="00CC3C86" w:rsidRPr="001239B5">
        <w:t>government</w:t>
      </w:r>
      <w:r w:rsidR="003F6030" w:rsidRPr="001239B5">
        <w:t xml:space="preserve"> schools for 2013</w:t>
      </w:r>
      <w:r w:rsidRPr="001239B5">
        <w:t xml:space="preserve"> are in table</w:t>
      </w:r>
      <w:r w:rsidR="00966FAA" w:rsidRPr="001239B5">
        <w:t> </w:t>
      </w:r>
      <w:r w:rsidR="007B059B" w:rsidRPr="001239B5">
        <w:rPr>
          <w:highlight w:val="yellow"/>
        </w:rPr>
        <w:fldChar w:fldCharType="begin"/>
      </w:r>
      <w:r w:rsidR="007B059B" w:rsidRPr="001239B5">
        <w:rPr>
          <w:highlight w:val="yellow"/>
        </w:rPr>
        <w:instrText xml:space="preserve"> LINK Word.Document.12 "\\\\mel_1\\groups\\Monitor\\09 National Agreement Report\\02 NAR Report WIP\\2013 NAR Report - Ed and training\\2013 NAR first draft\\NEA\\NEA 2013 first draft for CA new template.docx" "OLE_LINK6" \a \t </w:instrText>
      </w:r>
      <w:r w:rsidR="007B059B" w:rsidRPr="001239B5">
        <w:rPr>
          <w:highlight w:val="yellow"/>
        </w:rPr>
        <w:fldChar w:fldCharType="separate"/>
      </w:r>
      <w:r w:rsidR="00665723" w:rsidRPr="001239B5">
        <w:t>4</w:t>
      </w:r>
      <w:r w:rsidR="007B059B" w:rsidRPr="001239B5">
        <w:rPr>
          <w:highlight w:val="yellow"/>
        </w:rPr>
        <w:fldChar w:fldCharType="end"/>
      </w:r>
      <w:r w:rsidRPr="001239B5">
        <w:t>.</w:t>
      </w:r>
    </w:p>
    <w:p w:rsidR="00CB6594" w:rsidRPr="00AA7925" w:rsidRDefault="00CB6594" w:rsidP="00CB6594">
      <w:pPr>
        <w:pStyle w:val="TableTitle"/>
      </w:pPr>
      <w:r w:rsidRPr="00AA7925">
        <w:rPr>
          <w:b w:val="0"/>
        </w:rPr>
        <w:t xml:space="preserve">Table </w:t>
      </w:r>
      <w:bookmarkStart w:id="10" w:name="OLE_LINK6"/>
      <w:r w:rsidRPr="00AA7925">
        <w:rPr>
          <w:b w:val="0"/>
        </w:rPr>
        <w:fldChar w:fldCharType="begin"/>
      </w:r>
      <w:r w:rsidRPr="00AA7925">
        <w:rPr>
          <w:b w:val="0"/>
        </w:rPr>
        <w:instrText xml:space="preserve"> SEQ Table \* ARABIC </w:instrText>
      </w:r>
      <w:r w:rsidRPr="00AA7925">
        <w:rPr>
          <w:b w:val="0"/>
        </w:rPr>
        <w:fldChar w:fldCharType="separate"/>
      </w:r>
      <w:r w:rsidR="005F5618">
        <w:rPr>
          <w:b w:val="0"/>
          <w:noProof/>
        </w:rPr>
        <w:t>4</w:t>
      </w:r>
      <w:r w:rsidRPr="00AA7925">
        <w:rPr>
          <w:b w:val="0"/>
        </w:rPr>
        <w:fldChar w:fldCharType="end"/>
      </w:r>
      <w:bookmarkEnd w:id="10"/>
      <w:r w:rsidRPr="00AA7925">
        <w:tab/>
        <w:t>Number and proportion of FTE students who were enrolled in government and non</w:t>
      </w:r>
      <w:r w:rsidRPr="00AA7925">
        <w:noBreakHyphen/>
        <w:t>government scho</w:t>
      </w:r>
      <w:r w:rsidR="003F6030" w:rsidRPr="00AA7925">
        <w:t>ols, by level of education, 2013</w:t>
      </w:r>
      <w:r w:rsidRPr="00AA7925">
        <w:rPr>
          <w:rStyle w:val="NoteLabel"/>
          <w:b/>
        </w:rPr>
        <w:t>a, b</w:t>
      </w:r>
      <w:r w:rsidR="00AA7925" w:rsidRPr="00AA7925">
        <w:rPr>
          <w:rStyle w:val="NoteLabel"/>
          <w:b/>
        </w:rPr>
        <w:t>, c</w:t>
      </w:r>
    </w:p>
    <w:tbl>
      <w:tblPr>
        <w:tblW w:w="5000" w:type="pct"/>
        <w:tblLayout w:type="fixed"/>
        <w:tblCellMar>
          <w:left w:w="0" w:type="dxa"/>
          <w:right w:w="0" w:type="dxa"/>
        </w:tblCellMar>
        <w:tblLook w:val="0000" w:firstRow="0" w:lastRow="0" w:firstColumn="0" w:lastColumn="0" w:noHBand="0" w:noVBand="0"/>
      </w:tblPr>
      <w:tblGrid>
        <w:gridCol w:w="2015"/>
        <w:gridCol w:w="753"/>
        <w:gridCol w:w="753"/>
        <w:gridCol w:w="752"/>
        <w:gridCol w:w="752"/>
        <w:gridCol w:w="752"/>
        <w:gridCol w:w="65"/>
        <w:gridCol w:w="687"/>
        <w:gridCol w:w="446"/>
        <w:gridCol w:w="306"/>
        <w:gridCol w:w="262"/>
        <w:gridCol w:w="490"/>
        <w:gridCol w:w="756"/>
      </w:tblGrid>
      <w:tr w:rsidR="00AA7925" w:rsidRPr="00AA7925" w:rsidTr="0084361E">
        <w:tc>
          <w:tcPr>
            <w:tcW w:w="1146" w:type="pct"/>
            <w:tcBorders>
              <w:top w:val="single" w:sz="6" w:space="0" w:color="auto"/>
              <w:bottom w:val="single" w:sz="6" w:space="0" w:color="auto"/>
            </w:tcBorders>
            <w:shd w:val="clear" w:color="auto" w:fill="auto"/>
          </w:tcPr>
          <w:p w:rsidR="003C0134" w:rsidRPr="00AA7925" w:rsidRDefault="003C0134" w:rsidP="00CB6594">
            <w:pPr>
              <w:pStyle w:val="TableColumnHeading"/>
              <w:jc w:val="left"/>
            </w:pPr>
          </w:p>
        </w:tc>
        <w:tc>
          <w:tcPr>
            <w:tcW w:w="428" w:type="pct"/>
            <w:tcBorders>
              <w:top w:val="single" w:sz="6" w:space="0" w:color="auto"/>
              <w:bottom w:val="single" w:sz="6" w:space="0" w:color="auto"/>
            </w:tcBorders>
          </w:tcPr>
          <w:p w:rsidR="003C0134" w:rsidRPr="00AA7925" w:rsidRDefault="003C0134" w:rsidP="00E54D48">
            <w:pPr>
              <w:pStyle w:val="TableColumnHeading"/>
            </w:pPr>
            <w:r w:rsidRPr="00AA7925">
              <w:t>NSW</w:t>
            </w:r>
          </w:p>
        </w:tc>
        <w:tc>
          <w:tcPr>
            <w:tcW w:w="428" w:type="pct"/>
            <w:tcBorders>
              <w:top w:val="single" w:sz="6" w:space="0" w:color="auto"/>
              <w:bottom w:val="single" w:sz="6" w:space="0" w:color="auto"/>
            </w:tcBorders>
          </w:tcPr>
          <w:p w:rsidR="003C0134" w:rsidRPr="00AA7925" w:rsidRDefault="003C0134" w:rsidP="00E54D48">
            <w:pPr>
              <w:pStyle w:val="TableColumnHeading"/>
            </w:pPr>
            <w:r w:rsidRPr="00AA7925">
              <w:t>Vic</w:t>
            </w:r>
          </w:p>
        </w:tc>
        <w:tc>
          <w:tcPr>
            <w:tcW w:w="428" w:type="pct"/>
            <w:tcBorders>
              <w:top w:val="single" w:sz="6" w:space="0" w:color="auto"/>
              <w:bottom w:val="single" w:sz="6" w:space="0" w:color="auto"/>
            </w:tcBorders>
          </w:tcPr>
          <w:p w:rsidR="003C0134" w:rsidRPr="00AA7925" w:rsidRDefault="003C0134" w:rsidP="00E54D48">
            <w:pPr>
              <w:pStyle w:val="TableColumnHeading"/>
            </w:pPr>
            <w:r w:rsidRPr="00AA7925">
              <w:t>Qld</w:t>
            </w:r>
          </w:p>
        </w:tc>
        <w:tc>
          <w:tcPr>
            <w:tcW w:w="428" w:type="pct"/>
            <w:tcBorders>
              <w:top w:val="single" w:sz="6" w:space="0" w:color="auto"/>
              <w:bottom w:val="single" w:sz="6" w:space="0" w:color="auto"/>
            </w:tcBorders>
          </w:tcPr>
          <w:p w:rsidR="003C0134" w:rsidRPr="00AA7925" w:rsidRDefault="003C0134" w:rsidP="00E54D48">
            <w:pPr>
              <w:pStyle w:val="TableColumnHeading"/>
            </w:pPr>
            <w:r w:rsidRPr="00AA7925">
              <w:t>WA</w:t>
            </w:r>
          </w:p>
        </w:tc>
        <w:tc>
          <w:tcPr>
            <w:tcW w:w="428" w:type="pct"/>
            <w:tcBorders>
              <w:top w:val="single" w:sz="6" w:space="0" w:color="auto"/>
              <w:bottom w:val="single" w:sz="6" w:space="0" w:color="auto"/>
            </w:tcBorders>
          </w:tcPr>
          <w:p w:rsidR="003C0134" w:rsidRPr="00AA7925" w:rsidRDefault="003C0134" w:rsidP="00E54D48">
            <w:pPr>
              <w:pStyle w:val="TableColumnHeading"/>
            </w:pPr>
            <w:r w:rsidRPr="00AA7925">
              <w:t>SA</w:t>
            </w:r>
          </w:p>
        </w:tc>
        <w:tc>
          <w:tcPr>
            <w:tcW w:w="428" w:type="pct"/>
            <w:gridSpan w:val="2"/>
            <w:tcBorders>
              <w:top w:val="single" w:sz="6" w:space="0" w:color="auto"/>
              <w:bottom w:val="single" w:sz="6" w:space="0" w:color="auto"/>
            </w:tcBorders>
          </w:tcPr>
          <w:p w:rsidR="003C0134" w:rsidRPr="00AA7925" w:rsidRDefault="003C0134" w:rsidP="00E54D48">
            <w:pPr>
              <w:pStyle w:val="TableColumnHeading"/>
            </w:pPr>
            <w:r w:rsidRPr="00AA7925">
              <w:t>Tas</w:t>
            </w:r>
          </w:p>
        </w:tc>
        <w:tc>
          <w:tcPr>
            <w:tcW w:w="428" w:type="pct"/>
            <w:gridSpan w:val="2"/>
            <w:tcBorders>
              <w:top w:val="single" w:sz="6" w:space="0" w:color="auto"/>
              <w:bottom w:val="single" w:sz="6" w:space="0" w:color="auto"/>
            </w:tcBorders>
          </w:tcPr>
          <w:p w:rsidR="003C0134" w:rsidRPr="00AA7925" w:rsidRDefault="003C0134" w:rsidP="00E54D48">
            <w:pPr>
              <w:pStyle w:val="TableColumnHeading"/>
            </w:pPr>
            <w:r w:rsidRPr="00AA7925">
              <w:t>ACT</w:t>
            </w:r>
          </w:p>
        </w:tc>
        <w:tc>
          <w:tcPr>
            <w:tcW w:w="428" w:type="pct"/>
            <w:gridSpan w:val="2"/>
            <w:tcBorders>
              <w:top w:val="single" w:sz="6" w:space="0" w:color="auto"/>
              <w:bottom w:val="single" w:sz="6" w:space="0" w:color="auto"/>
            </w:tcBorders>
            <w:shd w:val="clear" w:color="auto" w:fill="auto"/>
          </w:tcPr>
          <w:p w:rsidR="003C0134" w:rsidRPr="00AA7925" w:rsidRDefault="003C0134" w:rsidP="00E54D48">
            <w:pPr>
              <w:pStyle w:val="TableColumnHeading"/>
            </w:pPr>
            <w:r w:rsidRPr="00AA7925">
              <w:t>NT</w:t>
            </w:r>
          </w:p>
        </w:tc>
        <w:tc>
          <w:tcPr>
            <w:tcW w:w="430" w:type="pct"/>
            <w:tcBorders>
              <w:top w:val="single" w:sz="6" w:space="0" w:color="auto"/>
              <w:bottom w:val="single" w:sz="6" w:space="0" w:color="auto"/>
            </w:tcBorders>
            <w:shd w:val="clear" w:color="auto" w:fill="auto"/>
          </w:tcPr>
          <w:p w:rsidR="003C0134" w:rsidRPr="00AA7925" w:rsidRDefault="003C0134" w:rsidP="00E54D48">
            <w:pPr>
              <w:pStyle w:val="TableColumnHeading"/>
              <w:ind w:right="28"/>
            </w:pPr>
            <w:r w:rsidRPr="00AA7925">
              <w:t>Aust</w:t>
            </w:r>
          </w:p>
        </w:tc>
      </w:tr>
      <w:tr w:rsidR="00AA7925" w:rsidRPr="00AA7925" w:rsidTr="0084361E">
        <w:tc>
          <w:tcPr>
            <w:tcW w:w="3323" w:type="pct"/>
            <w:gridSpan w:val="7"/>
            <w:tcBorders>
              <w:top w:val="single" w:sz="6" w:space="0" w:color="auto"/>
            </w:tcBorders>
          </w:tcPr>
          <w:p w:rsidR="003C0134" w:rsidRPr="00AA7925" w:rsidRDefault="003C0134" w:rsidP="003C0134">
            <w:pPr>
              <w:pStyle w:val="TableUnitsRow"/>
              <w:jc w:val="left"/>
            </w:pPr>
            <w:r w:rsidRPr="00AA7925">
              <w:t>Number of FTE students enrolled in government schools (‘000)</w:t>
            </w:r>
          </w:p>
        </w:tc>
        <w:tc>
          <w:tcPr>
            <w:tcW w:w="1677" w:type="pct"/>
            <w:gridSpan w:val="6"/>
            <w:tcBorders>
              <w:top w:val="single" w:sz="6" w:space="0" w:color="auto"/>
            </w:tcBorders>
          </w:tcPr>
          <w:p w:rsidR="003C0134" w:rsidRPr="00AA7925" w:rsidRDefault="003C0134" w:rsidP="00CB6594">
            <w:pPr>
              <w:pStyle w:val="TableUnitsRow"/>
              <w:ind w:right="28"/>
            </w:pPr>
          </w:p>
        </w:tc>
      </w:tr>
      <w:tr w:rsidR="00AA7925" w:rsidRPr="00AA7925" w:rsidTr="0084361E">
        <w:tc>
          <w:tcPr>
            <w:tcW w:w="1146" w:type="pct"/>
          </w:tcPr>
          <w:p w:rsidR="00AA7925" w:rsidRPr="00AA7925" w:rsidRDefault="00AA7925" w:rsidP="00CB6594">
            <w:pPr>
              <w:pStyle w:val="TableBodyText"/>
              <w:ind w:left="180"/>
              <w:jc w:val="left"/>
            </w:pPr>
            <w:r w:rsidRPr="00AA7925">
              <w:t>Primary schools</w:t>
            </w:r>
          </w:p>
        </w:tc>
        <w:tc>
          <w:tcPr>
            <w:tcW w:w="428" w:type="pct"/>
            <w:vAlign w:val="bottom"/>
          </w:tcPr>
          <w:p w:rsidR="00AA7925" w:rsidRPr="00AA7925" w:rsidRDefault="00AA7925" w:rsidP="00AA7925">
            <w:pPr>
              <w:pStyle w:val="TableBodyText"/>
            </w:pPr>
            <w:r w:rsidRPr="00AA7925">
              <w:t>448.8</w:t>
            </w:r>
          </w:p>
        </w:tc>
        <w:tc>
          <w:tcPr>
            <w:tcW w:w="428" w:type="pct"/>
            <w:vAlign w:val="bottom"/>
          </w:tcPr>
          <w:p w:rsidR="00AA7925" w:rsidRPr="00AA7925" w:rsidRDefault="00AA7925" w:rsidP="00AA7925">
            <w:pPr>
              <w:pStyle w:val="TableBodyText"/>
            </w:pPr>
            <w:r w:rsidRPr="00AA7925">
              <w:t>330.5</w:t>
            </w:r>
          </w:p>
        </w:tc>
        <w:tc>
          <w:tcPr>
            <w:tcW w:w="428" w:type="pct"/>
            <w:vAlign w:val="bottom"/>
          </w:tcPr>
          <w:p w:rsidR="00AA7925" w:rsidRPr="00AA7925" w:rsidRDefault="00AA7925" w:rsidP="00AA7925">
            <w:pPr>
              <w:pStyle w:val="TableBodyText"/>
            </w:pPr>
            <w:r w:rsidRPr="00AA7925">
              <w:t>331.2</w:t>
            </w:r>
          </w:p>
        </w:tc>
        <w:tc>
          <w:tcPr>
            <w:tcW w:w="428" w:type="pct"/>
            <w:vAlign w:val="bottom"/>
          </w:tcPr>
          <w:p w:rsidR="00AA7925" w:rsidRPr="00AA7925" w:rsidRDefault="00AA7925" w:rsidP="00AA7925">
            <w:pPr>
              <w:pStyle w:val="TableBodyText"/>
            </w:pPr>
            <w:r w:rsidRPr="00AA7925">
              <w:t>175.8</w:t>
            </w:r>
          </w:p>
        </w:tc>
        <w:tc>
          <w:tcPr>
            <w:tcW w:w="428" w:type="pct"/>
            <w:vAlign w:val="bottom"/>
          </w:tcPr>
          <w:p w:rsidR="00AA7925" w:rsidRPr="00AA7925" w:rsidRDefault="00AA7925" w:rsidP="00AA7925">
            <w:pPr>
              <w:pStyle w:val="TableBodyText"/>
            </w:pPr>
            <w:r w:rsidRPr="00AA7925">
              <w:t>106.2</w:t>
            </w:r>
          </w:p>
        </w:tc>
        <w:tc>
          <w:tcPr>
            <w:tcW w:w="428" w:type="pct"/>
            <w:gridSpan w:val="2"/>
            <w:vAlign w:val="bottom"/>
          </w:tcPr>
          <w:p w:rsidR="00AA7925" w:rsidRPr="00AA7925" w:rsidRDefault="00AA7925" w:rsidP="00AA7925">
            <w:pPr>
              <w:pStyle w:val="TableBodyText"/>
            </w:pPr>
            <w:r w:rsidRPr="00AA7925">
              <w:t>31.8</w:t>
            </w:r>
          </w:p>
        </w:tc>
        <w:tc>
          <w:tcPr>
            <w:tcW w:w="428" w:type="pct"/>
            <w:gridSpan w:val="2"/>
            <w:vAlign w:val="bottom"/>
          </w:tcPr>
          <w:p w:rsidR="00AA7925" w:rsidRPr="00AA7925" w:rsidRDefault="00AA7925" w:rsidP="00AA7925">
            <w:pPr>
              <w:pStyle w:val="TableBodyText"/>
            </w:pPr>
            <w:r w:rsidRPr="00AA7925">
              <w:t>20.6</w:t>
            </w:r>
          </w:p>
        </w:tc>
        <w:tc>
          <w:tcPr>
            <w:tcW w:w="428" w:type="pct"/>
            <w:gridSpan w:val="2"/>
            <w:vAlign w:val="bottom"/>
          </w:tcPr>
          <w:p w:rsidR="00AA7925" w:rsidRPr="00AA7925" w:rsidRDefault="00AA7925" w:rsidP="00AA7925">
            <w:pPr>
              <w:pStyle w:val="TableBodyText"/>
            </w:pPr>
            <w:r w:rsidRPr="00AA7925">
              <w:t>18.9</w:t>
            </w:r>
          </w:p>
        </w:tc>
        <w:tc>
          <w:tcPr>
            <w:tcW w:w="430" w:type="pct"/>
            <w:vAlign w:val="bottom"/>
          </w:tcPr>
          <w:p w:rsidR="00AA7925" w:rsidRPr="00AA7925" w:rsidRDefault="00AA7925" w:rsidP="009855DA">
            <w:pPr>
              <w:pStyle w:val="TableBodyText"/>
              <w:ind w:right="28"/>
            </w:pPr>
            <w:r w:rsidRPr="00AA7925">
              <w:t>1</w:t>
            </w:r>
            <w:r w:rsidR="007676B0">
              <w:t> </w:t>
            </w:r>
            <w:r w:rsidRPr="00AA7925">
              <w:t>463.7</w:t>
            </w:r>
          </w:p>
        </w:tc>
      </w:tr>
      <w:tr w:rsidR="00AA7925" w:rsidRPr="00AA7925" w:rsidTr="0084361E">
        <w:tc>
          <w:tcPr>
            <w:tcW w:w="1146" w:type="pct"/>
          </w:tcPr>
          <w:p w:rsidR="00AA7925" w:rsidRPr="00AA7925" w:rsidRDefault="00AA7925" w:rsidP="00CB6594">
            <w:pPr>
              <w:pStyle w:val="TableBodyText"/>
              <w:ind w:left="180"/>
              <w:jc w:val="left"/>
            </w:pPr>
            <w:r w:rsidRPr="00AA7925">
              <w:t>Secondary schools</w:t>
            </w:r>
          </w:p>
        </w:tc>
        <w:tc>
          <w:tcPr>
            <w:tcW w:w="428" w:type="pct"/>
            <w:vAlign w:val="bottom"/>
          </w:tcPr>
          <w:p w:rsidR="00AA7925" w:rsidRPr="00AA7925" w:rsidRDefault="00AA7925" w:rsidP="00AA7925">
            <w:pPr>
              <w:pStyle w:val="TableBodyText"/>
            </w:pPr>
            <w:r w:rsidRPr="00AA7925">
              <w:t>306.6</w:t>
            </w:r>
          </w:p>
        </w:tc>
        <w:tc>
          <w:tcPr>
            <w:tcW w:w="428" w:type="pct"/>
            <w:vAlign w:val="bottom"/>
          </w:tcPr>
          <w:p w:rsidR="00AA7925" w:rsidRPr="00AA7925" w:rsidRDefault="00AA7925" w:rsidP="00AA7925">
            <w:pPr>
              <w:pStyle w:val="TableBodyText"/>
            </w:pPr>
            <w:r w:rsidRPr="00AA7925">
              <w:t>224.3</w:t>
            </w:r>
          </w:p>
        </w:tc>
        <w:tc>
          <w:tcPr>
            <w:tcW w:w="428" w:type="pct"/>
            <w:vAlign w:val="bottom"/>
          </w:tcPr>
          <w:p w:rsidR="00AA7925" w:rsidRPr="00AA7925" w:rsidRDefault="00AA7925" w:rsidP="00AA7925">
            <w:pPr>
              <w:pStyle w:val="TableBodyText"/>
            </w:pPr>
            <w:r w:rsidRPr="00AA7925">
              <w:t>178.5</w:t>
            </w:r>
          </w:p>
        </w:tc>
        <w:tc>
          <w:tcPr>
            <w:tcW w:w="428" w:type="pct"/>
            <w:vAlign w:val="bottom"/>
          </w:tcPr>
          <w:p w:rsidR="00AA7925" w:rsidRPr="00AA7925" w:rsidRDefault="00AA7925" w:rsidP="00AA7925">
            <w:pPr>
              <w:pStyle w:val="TableBodyText"/>
            </w:pPr>
            <w:r w:rsidRPr="00AA7925">
              <w:t>78.1</w:t>
            </w:r>
          </w:p>
        </w:tc>
        <w:tc>
          <w:tcPr>
            <w:tcW w:w="428" w:type="pct"/>
            <w:vAlign w:val="bottom"/>
          </w:tcPr>
          <w:p w:rsidR="00AA7925" w:rsidRPr="00AA7925" w:rsidRDefault="00AA7925" w:rsidP="00AA7925">
            <w:pPr>
              <w:pStyle w:val="TableBodyText"/>
            </w:pPr>
            <w:r w:rsidRPr="00AA7925">
              <w:t>61.4</w:t>
            </w:r>
          </w:p>
        </w:tc>
        <w:tc>
          <w:tcPr>
            <w:tcW w:w="428" w:type="pct"/>
            <w:gridSpan w:val="2"/>
            <w:vAlign w:val="bottom"/>
          </w:tcPr>
          <w:p w:rsidR="00AA7925" w:rsidRPr="00AA7925" w:rsidRDefault="00AA7925" w:rsidP="00AA7925">
            <w:pPr>
              <w:pStyle w:val="TableBodyText"/>
            </w:pPr>
            <w:r w:rsidRPr="00AA7925">
              <w:t>24.7</w:t>
            </w:r>
          </w:p>
        </w:tc>
        <w:tc>
          <w:tcPr>
            <w:tcW w:w="428" w:type="pct"/>
            <w:gridSpan w:val="2"/>
            <w:vAlign w:val="bottom"/>
          </w:tcPr>
          <w:p w:rsidR="00AA7925" w:rsidRPr="00AA7925" w:rsidRDefault="00AA7925" w:rsidP="00AA7925">
            <w:pPr>
              <w:pStyle w:val="TableBodyText"/>
            </w:pPr>
            <w:r w:rsidRPr="00AA7925">
              <w:t>15.8</w:t>
            </w:r>
          </w:p>
        </w:tc>
        <w:tc>
          <w:tcPr>
            <w:tcW w:w="428" w:type="pct"/>
            <w:gridSpan w:val="2"/>
            <w:vAlign w:val="bottom"/>
          </w:tcPr>
          <w:p w:rsidR="00AA7925" w:rsidRPr="00AA7925" w:rsidRDefault="00AA7925" w:rsidP="00AA7925">
            <w:pPr>
              <w:pStyle w:val="TableBodyText"/>
            </w:pPr>
            <w:r w:rsidRPr="00AA7925">
              <w:t>10.6</w:t>
            </w:r>
          </w:p>
        </w:tc>
        <w:tc>
          <w:tcPr>
            <w:tcW w:w="430" w:type="pct"/>
            <w:vAlign w:val="bottom"/>
          </w:tcPr>
          <w:p w:rsidR="00AA7925" w:rsidRPr="00AA7925" w:rsidRDefault="00AA7925" w:rsidP="009855DA">
            <w:pPr>
              <w:pStyle w:val="TableBodyText"/>
              <w:ind w:right="28"/>
            </w:pPr>
            <w:r w:rsidRPr="00AA7925">
              <w:t>900.0</w:t>
            </w:r>
          </w:p>
        </w:tc>
      </w:tr>
      <w:tr w:rsidR="00AA7925" w:rsidRPr="00AA7925" w:rsidTr="0084361E">
        <w:tc>
          <w:tcPr>
            <w:tcW w:w="1146" w:type="pct"/>
          </w:tcPr>
          <w:p w:rsidR="00AA7925" w:rsidRPr="00AA7925" w:rsidRDefault="00AA7925" w:rsidP="00CB6594">
            <w:pPr>
              <w:pStyle w:val="TableBodyText"/>
              <w:ind w:left="180"/>
              <w:jc w:val="left"/>
            </w:pPr>
            <w:r w:rsidRPr="00AA7925">
              <w:rPr>
                <w:b/>
              </w:rPr>
              <w:t>All schools</w:t>
            </w:r>
          </w:p>
        </w:tc>
        <w:tc>
          <w:tcPr>
            <w:tcW w:w="428" w:type="pct"/>
            <w:vAlign w:val="bottom"/>
          </w:tcPr>
          <w:p w:rsidR="00AA7925" w:rsidRPr="0032567C" w:rsidRDefault="00AA7925" w:rsidP="00AA7925">
            <w:pPr>
              <w:pStyle w:val="TableBodyText"/>
              <w:rPr>
                <w:b/>
              </w:rPr>
            </w:pPr>
            <w:r w:rsidRPr="0032567C">
              <w:rPr>
                <w:b/>
              </w:rPr>
              <w:t>755.3</w:t>
            </w:r>
          </w:p>
        </w:tc>
        <w:tc>
          <w:tcPr>
            <w:tcW w:w="428" w:type="pct"/>
            <w:vAlign w:val="bottom"/>
          </w:tcPr>
          <w:p w:rsidR="00AA7925" w:rsidRPr="0032567C" w:rsidRDefault="00AA7925" w:rsidP="00AA7925">
            <w:pPr>
              <w:pStyle w:val="TableBodyText"/>
              <w:rPr>
                <w:b/>
              </w:rPr>
            </w:pPr>
            <w:r w:rsidRPr="0032567C">
              <w:rPr>
                <w:b/>
              </w:rPr>
              <w:t>554.8</w:t>
            </w:r>
          </w:p>
        </w:tc>
        <w:tc>
          <w:tcPr>
            <w:tcW w:w="428" w:type="pct"/>
            <w:vAlign w:val="bottom"/>
          </w:tcPr>
          <w:p w:rsidR="00AA7925" w:rsidRPr="0032567C" w:rsidRDefault="00AA7925" w:rsidP="00AA7925">
            <w:pPr>
              <w:pStyle w:val="TableBodyText"/>
              <w:rPr>
                <w:b/>
              </w:rPr>
            </w:pPr>
            <w:r w:rsidRPr="0032567C">
              <w:rPr>
                <w:b/>
              </w:rPr>
              <w:t>509.7</w:t>
            </w:r>
          </w:p>
        </w:tc>
        <w:tc>
          <w:tcPr>
            <w:tcW w:w="428" w:type="pct"/>
            <w:vAlign w:val="bottom"/>
          </w:tcPr>
          <w:p w:rsidR="00AA7925" w:rsidRPr="0032567C" w:rsidRDefault="00AA7925" w:rsidP="00AA7925">
            <w:pPr>
              <w:pStyle w:val="TableBodyText"/>
              <w:rPr>
                <w:b/>
              </w:rPr>
            </w:pPr>
            <w:r w:rsidRPr="0032567C">
              <w:rPr>
                <w:b/>
              </w:rPr>
              <w:t>254.0</w:t>
            </w:r>
          </w:p>
        </w:tc>
        <w:tc>
          <w:tcPr>
            <w:tcW w:w="428" w:type="pct"/>
            <w:vAlign w:val="bottom"/>
          </w:tcPr>
          <w:p w:rsidR="00AA7925" w:rsidRPr="0032567C" w:rsidRDefault="00AA7925" w:rsidP="00AA7925">
            <w:pPr>
              <w:pStyle w:val="TableBodyText"/>
              <w:rPr>
                <w:b/>
              </w:rPr>
            </w:pPr>
            <w:r w:rsidRPr="0032567C">
              <w:rPr>
                <w:b/>
              </w:rPr>
              <w:t>167.6</w:t>
            </w:r>
          </w:p>
        </w:tc>
        <w:tc>
          <w:tcPr>
            <w:tcW w:w="428" w:type="pct"/>
            <w:gridSpan w:val="2"/>
            <w:vAlign w:val="bottom"/>
          </w:tcPr>
          <w:p w:rsidR="00AA7925" w:rsidRPr="0032567C" w:rsidRDefault="00AA7925" w:rsidP="00AA7925">
            <w:pPr>
              <w:pStyle w:val="TableBodyText"/>
              <w:rPr>
                <w:b/>
              </w:rPr>
            </w:pPr>
            <w:r w:rsidRPr="0032567C">
              <w:rPr>
                <w:b/>
              </w:rPr>
              <w:t>56.5</w:t>
            </w:r>
          </w:p>
        </w:tc>
        <w:tc>
          <w:tcPr>
            <w:tcW w:w="428" w:type="pct"/>
            <w:gridSpan w:val="2"/>
            <w:vAlign w:val="bottom"/>
          </w:tcPr>
          <w:p w:rsidR="00AA7925" w:rsidRPr="0032567C" w:rsidRDefault="00AA7925" w:rsidP="00AA7925">
            <w:pPr>
              <w:pStyle w:val="TableBodyText"/>
              <w:rPr>
                <w:b/>
              </w:rPr>
            </w:pPr>
            <w:r w:rsidRPr="0032567C">
              <w:rPr>
                <w:b/>
              </w:rPr>
              <w:t>36.4</w:t>
            </w:r>
          </w:p>
        </w:tc>
        <w:tc>
          <w:tcPr>
            <w:tcW w:w="428" w:type="pct"/>
            <w:gridSpan w:val="2"/>
            <w:vAlign w:val="bottom"/>
          </w:tcPr>
          <w:p w:rsidR="00AA7925" w:rsidRPr="0032567C" w:rsidRDefault="00AA7925" w:rsidP="00AA7925">
            <w:pPr>
              <w:pStyle w:val="TableBodyText"/>
              <w:rPr>
                <w:b/>
              </w:rPr>
            </w:pPr>
            <w:r w:rsidRPr="0032567C">
              <w:rPr>
                <w:b/>
              </w:rPr>
              <w:t>29.4</w:t>
            </w:r>
          </w:p>
        </w:tc>
        <w:tc>
          <w:tcPr>
            <w:tcW w:w="430" w:type="pct"/>
            <w:vAlign w:val="bottom"/>
          </w:tcPr>
          <w:p w:rsidR="00AA7925" w:rsidRPr="009855DA" w:rsidRDefault="00AA7925" w:rsidP="009855DA">
            <w:pPr>
              <w:pStyle w:val="TableBodyText"/>
              <w:ind w:right="28"/>
              <w:rPr>
                <w:b/>
              </w:rPr>
            </w:pPr>
            <w:r w:rsidRPr="009855DA">
              <w:rPr>
                <w:b/>
              </w:rPr>
              <w:t>2</w:t>
            </w:r>
            <w:r w:rsidR="007676B0">
              <w:rPr>
                <w:b/>
              </w:rPr>
              <w:t> </w:t>
            </w:r>
            <w:r w:rsidRPr="009855DA">
              <w:rPr>
                <w:b/>
              </w:rPr>
              <w:t>363.7</w:t>
            </w:r>
          </w:p>
        </w:tc>
      </w:tr>
      <w:tr w:rsidR="00AA7925" w:rsidRPr="00AA7925" w:rsidTr="0084361E">
        <w:tc>
          <w:tcPr>
            <w:tcW w:w="3968" w:type="pct"/>
            <w:gridSpan w:val="9"/>
          </w:tcPr>
          <w:p w:rsidR="003C0134" w:rsidRPr="00AA7925" w:rsidRDefault="003C0134" w:rsidP="003C0134">
            <w:pPr>
              <w:pStyle w:val="TableBodyText"/>
              <w:jc w:val="left"/>
            </w:pPr>
            <w:r w:rsidRPr="00AA7925">
              <w:t>Number of FTE students enrolled in non</w:t>
            </w:r>
            <w:r w:rsidRPr="00AA7925">
              <w:noBreakHyphen/>
              <w:t>government schools (‘000)</w:t>
            </w:r>
          </w:p>
        </w:tc>
        <w:tc>
          <w:tcPr>
            <w:tcW w:w="1032" w:type="pct"/>
            <w:gridSpan w:val="4"/>
          </w:tcPr>
          <w:p w:rsidR="003C0134" w:rsidRPr="00AA7925" w:rsidRDefault="003C0134" w:rsidP="00CB6594">
            <w:pPr>
              <w:pStyle w:val="TableBodyText"/>
              <w:ind w:right="28"/>
            </w:pPr>
          </w:p>
        </w:tc>
      </w:tr>
      <w:tr w:rsidR="00AA7925" w:rsidRPr="00AA7925" w:rsidTr="0084361E">
        <w:tc>
          <w:tcPr>
            <w:tcW w:w="1146" w:type="pct"/>
          </w:tcPr>
          <w:p w:rsidR="00AA7925" w:rsidRPr="00AA7925" w:rsidRDefault="00AA7925" w:rsidP="00CB6594">
            <w:pPr>
              <w:pStyle w:val="TableBodyText"/>
              <w:ind w:left="136"/>
              <w:jc w:val="both"/>
              <w:rPr>
                <w:b/>
              </w:rPr>
            </w:pPr>
            <w:r w:rsidRPr="00AA7925">
              <w:t>Primary schools</w:t>
            </w:r>
          </w:p>
        </w:tc>
        <w:tc>
          <w:tcPr>
            <w:tcW w:w="428" w:type="pct"/>
            <w:vAlign w:val="bottom"/>
          </w:tcPr>
          <w:p w:rsidR="00AA7925" w:rsidRPr="00AA7925" w:rsidRDefault="00AA7925" w:rsidP="00AA7925">
            <w:pPr>
              <w:pStyle w:val="TableBodyText"/>
            </w:pPr>
            <w:r w:rsidRPr="00AA7925">
              <w:t>198.4</w:t>
            </w:r>
          </w:p>
        </w:tc>
        <w:tc>
          <w:tcPr>
            <w:tcW w:w="428" w:type="pct"/>
            <w:vAlign w:val="bottom"/>
          </w:tcPr>
          <w:p w:rsidR="00AA7925" w:rsidRPr="00AA7925" w:rsidRDefault="00AA7925" w:rsidP="00AA7925">
            <w:pPr>
              <w:pStyle w:val="TableBodyText"/>
            </w:pPr>
            <w:r w:rsidRPr="00AA7925">
              <w:t>159.6</w:t>
            </w:r>
          </w:p>
        </w:tc>
        <w:tc>
          <w:tcPr>
            <w:tcW w:w="428" w:type="pct"/>
            <w:vAlign w:val="bottom"/>
          </w:tcPr>
          <w:p w:rsidR="00AA7925" w:rsidRPr="00AA7925" w:rsidRDefault="00AA7925" w:rsidP="00AA7925">
            <w:pPr>
              <w:pStyle w:val="TableBodyText"/>
            </w:pPr>
            <w:r w:rsidRPr="00AA7925">
              <w:t>142.1</w:t>
            </w:r>
          </w:p>
        </w:tc>
        <w:tc>
          <w:tcPr>
            <w:tcW w:w="428" w:type="pct"/>
            <w:vAlign w:val="bottom"/>
          </w:tcPr>
          <w:p w:rsidR="00AA7925" w:rsidRPr="00AA7925" w:rsidRDefault="00AA7925" w:rsidP="00AA7925">
            <w:pPr>
              <w:pStyle w:val="TableBodyText"/>
            </w:pPr>
            <w:r w:rsidRPr="00AA7925">
              <w:t>75.2</w:t>
            </w:r>
          </w:p>
        </w:tc>
        <w:tc>
          <w:tcPr>
            <w:tcW w:w="428" w:type="pct"/>
            <w:vAlign w:val="bottom"/>
          </w:tcPr>
          <w:p w:rsidR="00AA7925" w:rsidRPr="00AA7925" w:rsidRDefault="00AA7925" w:rsidP="00AA7925">
            <w:pPr>
              <w:pStyle w:val="TableBodyText"/>
            </w:pPr>
            <w:r w:rsidRPr="00AA7925">
              <w:t>54.3</w:t>
            </w:r>
          </w:p>
        </w:tc>
        <w:tc>
          <w:tcPr>
            <w:tcW w:w="428" w:type="pct"/>
            <w:gridSpan w:val="2"/>
            <w:vAlign w:val="bottom"/>
          </w:tcPr>
          <w:p w:rsidR="00AA7925" w:rsidRPr="00AA7925" w:rsidRDefault="00AA7925" w:rsidP="00AA7925">
            <w:pPr>
              <w:pStyle w:val="TableBodyText"/>
            </w:pPr>
            <w:r w:rsidRPr="00AA7925">
              <w:t>11.8</w:t>
            </w:r>
          </w:p>
        </w:tc>
        <w:tc>
          <w:tcPr>
            <w:tcW w:w="428" w:type="pct"/>
            <w:gridSpan w:val="2"/>
            <w:vAlign w:val="bottom"/>
          </w:tcPr>
          <w:p w:rsidR="00AA7925" w:rsidRPr="00AA7925" w:rsidRDefault="00AA7925" w:rsidP="00AA7925">
            <w:pPr>
              <w:pStyle w:val="TableBodyText"/>
            </w:pPr>
            <w:r w:rsidRPr="00AA7925">
              <w:t>13.4</w:t>
            </w:r>
          </w:p>
        </w:tc>
        <w:tc>
          <w:tcPr>
            <w:tcW w:w="428" w:type="pct"/>
            <w:gridSpan w:val="2"/>
            <w:vAlign w:val="bottom"/>
          </w:tcPr>
          <w:p w:rsidR="00AA7925" w:rsidRPr="00AA7925" w:rsidRDefault="00AA7925" w:rsidP="00AA7925">
            <w:pPr>
              <w:pStyle w:val="TableBodyText"/>
            </w:pPr>
            <w:r w:rsidRPr="00AA7925">
              <w:t>5.4</w:t>
            </w:r>
          </w:p>
        </w:tc>
        <w:tc>
          <w:tcPr>
            <w:tcW w:w="430" w:type="pct"/>
            <w:vAlign w:val="bottom"/>
          </w:tcPr>
          <w:p w:rsidR="00AA7925" w:rsidRPr="00AA7925" w:rsidRDefault="00AA7925" w:rsidP="009855DA">
            <w:pPr>
              <w:pStyle w:val="TableBodyText"/>
              <w:ind w:right="28"/>
            </w:pPr>
            <w:r w:rsidRPr="00AA7925">
              <w:t>660.2</w:t>
            </w:r>
          </w:p>
        </w:tc>
      </w:tr>
      <w:tr w:rsidR="00AA7925" w:rsidRPr="00AA7925" w:rsidTr="0084361E">
        <w:tc>
          <w:tcPr>
            <w:tcW w:w="1146" w:type="pct"/>
          </w:tcPr>
          <w:p w:rsidR="00AA7925" w:rsidRPr="00AA7925" w:rsidRDefault="00AA7925" w:rsidP="00CB6594">
            <w:pPr>
              <w:pStyle w:val="TableBodyText"/>
              <w:ind w:left="136"/>
              <w:jc w:val="both"/>
              <w:rPr>
                <w:b/>
              </w:rPr>
            </w:pPr>
            <w:r w:rsidRPr="00AA7925">
              <w:t>Secondary schools</w:t>
            </w:r>
          </w:p>
        </w:tc>
        <w:tc>
          <w:tcPr>
            <w:tcW w:w="428" w:type="pct"/>
            <w:vAlign w:val="bottom"/>
          </w:tcPr>
          <w:p w:rsidR="00AA7925" w:rsidRPr="00AA7925" w:rsidRDefault="00AA7925" w:rsidP="00AA7925">
            <w:pPr>
              <w:pStyle w:val="TableBodyText"/>
            </w:pPr>
            <w:r w:rsidRPr="00AA7925">
              <w:t>200.4</w:t>
            </w:r>
          </w:p>
        </w:tc>
        <w:tc>
          <w:tcPr>
            <w:tcW w:w="428" w:type="pct"/>
            <w:vAlign w:val="bottom"/>
          </w:tcPr>
          <w:p w:rsidR="00AA7925" w:rsidRPr="00AA7925" w:rsidRDefault="00AA7925" w:rsidP="00AA7925">
            <w:pPr>
              <w:pStyle w:val="TableBodyText"/>
            </w:pPr>
            <w:r w:rsidRPr="00AA7925">
              <w:t>168.3</w:t>
            </w:r>
          </w:p>
        </w:tc>
        <w:tc>
          <w:tcPr>
            <w:tcW w:w="428" w:type="pct"/>
            <w:vAlign w:val="bottom"/>
          </w:tcPr>
          <w:p w:rsidR="00AA7925" w:rsidRPr="00AA7925" w:rsidRDefault="00AA7925" w:rsidP="00AA7925">
            <w:pPr>
              <w:pStyle w:val="TableBodyText"/>
            </w:pPr>
            <w:r w:rsidRPr="00AA7925">
              <w:t>112.5</w:t>
            </w:r>
          </w:p>
        </w:tc>
        <w:tc>
          <w:tcPr>
            <w:tcW w:w="428" w:type="pct"/>
            <w:vAlign w:val="bottom"/>
          </w:tcPr>
          <w:p w:rsidR="00AA7925" w:rsidRPr="00AA7925" w:rsidRDefault="00AA7925" w:rsidP="00AA7925">
            <w:pPr>
              <w:pStyle w:val="TableBodyText"/>
            </w:pPr>
            <w:r w:rsidRPr="00AA7925">
              <w:t>56.6</w:t>
            </w:r>
          </w:p>
        </w:tc>
        <w:tc>
          <w:tcPr>
            <w:tcW w:w="428" w:type="pct"/>
            <w:vAlign w:val="bottom"/>
          </w:tcPr>
          <w:p w:rsidR="00AA7925" w:rsidRPr="00AA7925" w:rsidRDefault="00AA7925" w:rsidP="00AA7925">
            <w:pPr>
              <w:pStyle w:val="TableBodyText"/>
            </w:pPr>
            <w:r w:rsidRPr="00AA7925">
              <w:t>40.4</w:t>
            </w:r>
          </w:p>
        </w:tc>
        <w:tc>
          <w:tcPr>
            <w:tcW w:w="428" w:type="pct"/>
            <w:gridSpan w:val="2"/>
            <w:vAlign w:val="bottom"/>
          </w:tcPr>
          <w:p w:rsidR="00AA7925" w:rsidRPr="00AA7925" w:rsidRDefault="00AA7925" w:rsidP="00AA7925">
            <w:pPr>
              <w:pStyle w:val="TableBodyText"/>
            </w:pPr>
            <w:r w:rsidRPr="00AA7925">
              <w:t>12.1</w:t>
            </w:r>
          </w:p>
        </w:tc>
        <w:tc>
          <w:tcPr>
            <w:tcW w:w="428" w:type="pct"/>
            <w:gridSpan w:val="2"/>
            <w:vAlign w:val="bottom"/>
          </w:tcPr>
          <w:p w:rsidR="00AA7925" w:rsidRPr="00AA7925" w:rsidRDefault="00AA7925" w:rsidP="00AA7925">
            <w:pPr>
              <w:pStyle w:val="TableBodyText"/>
            </w:pPr>
            <w:r w:rsidRPr="00AA7925">
              <w:t>13.5</w:t>
            </w:r>
          </w:p>
        </w:tc>
        <w:tc>
          <w:tcPr>
            <w:tcW w:w="428" w:type="pct"/>
            <w:gridSpan w:val="2"/>
            <w:vAlign w:val="bottom"/>
          </w:tcPr>
          <w:p w:rsidR="00AA7925" w:rsidRPr="00AA7925" w:rsidRDefault="00AA7925" w:rsidP="00AA7925">
            <w:pPr>
              <w:pStyle w:val="TableBodyText"/>
            </w:pPr>
            <w:r w:rsidRPr="00AA7925">
              <w:t>5.7</w:t>
            </w:r>
          </w:p>
        </w:tc>
        <w:tc>
          <w:tcPr>
            <w:tcW w:w="430" w:type="pct"/>
            <w:vAlign w:val="bottom"/>
          </w:tcPr>
          <w:p w:rsidR="00AA7925" w:rsidRPr="00AA7925" w:rsidRDefault="00AA7925" w:rsidP="009855DA">
            <w:pPr>
              <w:pStyle w:val="TableBodyText"/>
              <w:ind w:right="28"/>
            </w:pPr>
            <w:r w:rsidRPr="00AA7925">
              <w:t>609.6</w:t>
            </w:r>
          </w:p>
        </w:tc>
      </w:tr>
      <w:tr w:rsidR="00AA7925" w:rsidRPr="00AA7925" w:rsidTr="0084361E">
        <w:tc>
          <w:tcPr>
            <w:tcW w:w="1146" w:type="pct"/>
          </w:tcPr>
          <w:p w:rsidR="00AA7925" w:rsidRPr="00AA7925" w:rsidRDefault="00AA7925" w:rsidP="00CB6594">
            <w:pPr>
              <w:pStyle w:val="TableBodyText"/>
              <w:ind w:left="136"/>
              <w:jc w:val="both"/>
              <w:rPr>
                <w:b/>
              </w:rPr>
            </w:pPr>
            <w:r w:rsidRPr="00AA7925">
              <w:rPr>
                <w:b/>
              </w:rPr>
              <w:t>All schools</w:t>
            </w:r>
          </w:p>
        </w:tc>
        <w:tc>
          <w:tcPr>
            <w:tcW w:w="428" w:type="pct"/>
            <w:vAlign w:val="bottom"/>
          </w:tcPr>
          <w:p w:rsidR="00AA7925" w:rsidRPr="0032567C" w:rsidRDefault="00AA7925" w:rsidP="00AA7925">
            <w:pPr>
              <w:pStyle w:val="TableBodyText"/>
              <w:rPr>
                <w:b/>
              </w:rPr>
            </w:pPr>
            <w:r w:rsidRPr="0032567C">
              <w:rPr>
                <w:b/>
              </w:rPr>
              <w:t>398.8</w:t>
            </w:r>
          </w:p>
        </w:tc>
        <w:tc>
          <w:tcPr>
            <w:tcW w:w="428" w:type="pct"/>
            <w:vAlign w:val="bottom"/>
          </w:tcPr>
          <w:p w:rsidR="00AA7925" w:rsidRPr="0032567C" w:rsidRDefault="00AA7925" w:rsidP="00AA7925">
            <w:pPr>
              <w:pStyle w:val="TableBodyText"/>
              <w:rPr>
                <w:b/>
              </w:rPr>
            </w:pPr>
            <w:r w:rsidRPr="0032567C">
              <w:rPr>
                <w:b/>
              </w:rPr>
              <w:t>327.9</w:t>
            </w:r>
          </w:p>
        </w:tc>
        <w:tc>
          <w:tcPr>
            <w:tcW w:w="428" w:type="pct"/>
            <w:vAlign w:val="bottom"/>
          </w:tcPr>
          <w:p w:rsidR="00AA7925" w:rsidRPr="0032567C" w:rsidRDefault="00AA7925" w:rsidP="00AA7925">
            <w:pPr>
              <w:pStyle w:val="TableBodyText"/>
              <w:rPr>
                <w:b/>
              </w:rPr>
            </w:pPr>
            <w:r w:rsidRPr="0032567C">
              <w:rPr>
                <w:b/>
              </w:rPr>
              <w:t>254.6</w:t>
            </w:r>
          </w:p>
        </w:tc>
        <w:tc>
          <w:tcPr>
            <w:tcW w:w="428" w:type="pct"/>
            <w:vAlign w:val="bottom"/>
          </w:tcPr>
          <w:p w:rsidR="00AA7925" w:rsidRPr="0032567C" w:rsidRDefault="00AA7925" w:rsidP="00AA7925">
            <w:pPr>
              <w:pStyle w:val="TableBodyText"/>
              <w:rPr>
                <w:b/>
              </w:rPr>
            </w:pPr>
            <w:r w:rsidRPr="0032567C">
              <w:rPr>
                <w:b/>
              </w:rPr>
              <w:t>131.8</w:t>
            </w:r>
          </w:p>
        </w:tc>
        <w:tc>
          <w:tcPr>
            <w:tcW w:w="428" w:type="pct"/>
            <w:vAlign w:val="bottom"/>
          </w:tcPr>
          <w:p w:rsidR="00AA7925" w:rsidRPr="0032567C" w:rsidRDefault="00AA7925" w:rsidP="00AA7925">
            <w:pPr>
              <w:pStyle w:val="TableBodyText"/>
              <w:rPr>
                <w:b/>
              </w:rPr>
            </w:pPr>
            <w:r w:rsidRPr="0032567C">
              <w:rPr>
                <w:b/>
              </w:rPr>
              <w:t>94.7</w:t>
            </w:r>
          </w:p>
        </w:tc>
        <w:tc>
          <w:tcPr>
            <w:tcW w:w="428" w:type="pct"/>
            <w:gridSpan w:val="2"/>
            <w:vAlign w:val="bottom"/>
          </w:tcPr>
          <w:p w:rsidR="00AA7925" w:rsidRPr="0032567C" w:rsidRDefault="00AA7925" w:rsidP="00AA7925">
            <w:pPr>
              <w:pStyle w:val="TableBodyText"/>
              <w:rPr>
                <w:b/>
              </w:rPr>
            </w:pPr>
            <w:r w:rsidRPr="0032567C">
              <w:rPr>
                <w:b/>
              </w:rPr>
              <w:t>23.9</w:t>
            </w:r>
          </w:p>
        </w:tc>
        <w:tc>
          <w:tcPr>
            <w:tcW w:w="428" w:type="pct"/>
            <w:gridSpan w:val="2"/>
            <w:vAlign w:val="bottom"/>
          </w:tcPr>
          <w:p w:rsidR="00AA7925" w:rsidRPr="0032567C" w:rsidRDefault="00AA7925" w:rsidP="00AA7925">
            <w:pPr>
              <w:pStyle w:val="TableBodyText"/>
              <w:rPr>
                <w:b/>
              </w:rPr>
            </w:pPr>
            <w:r w:rsidRPr="0032567C">
              <w:rPr>
                <w:b/>
              </w:rPr>
              <w:t>26.9</w:t>
            </w:r>
          </w:p>
        </w:tc>
        <w:tc>
          <w:tcPr>
            <w:tcW w:w="428" w:type="pct"/>
            <w:gridSpan w:val="2"/>
            <w:vAlign w:val="bottom"/>
          </w:tcPr>
          <w:p w:rsidR="00AA7925" w:rsidRPr="0032567C" w:rsidRDefault="00AA7925" w:rsidP="00AA7925">
            <w:pPr>
              <w:pStyle w:val="TableBodyText"/>
              <w:rPr>
                <w:b/>
              </w:rPr>
            </w:pPr>
            <w:r w:rsidRPr="0032567C">
              <w:rPr>
                <w:b/>
              </w:rPr>
              <w:t>11.0</w:t>
            </w:r>
          </w:p>
        </w:tc>
        <w:tc>
          <w:tcPr>
            <w:tcW w:w="430" w:type="pct"/>
            <w:vAlign w:val="bottom"/>
          </w:tcPr>
          <w:p w:rsidR="00AA7925" w:rsidRPr="009855DA" w:rsidRDefault="00AA7925" w:rsidP="009855DA">
            <w:pPr>
              <w:pStyle w:val="TableBodyText"/>
              <w:ind w:right="28"/>
              <w:rPr>
                <w:b/>
              </w:rPr>
            </w:pPr>
            <w:r w:rsidRPr="009855DA">
              <w:rPr>
                <w:b/>
              </w:rPr>
              <w:t>1</w:t>
            </w:r>
            <w:r w:rsidR="007676B0">
              <w:rPr>
                <w:b/>
              </w:rPr>
              <w:t> </w:t>
            </w:r>
            <w:r w:rsidRPr="009855DA">
              <w:rPr>
                <w:b/>
              </w:rPr>
              <w:t>269.8</w:t>
            </w:r>
          </w:p>
        </w:tc>
      </w:tr>
      <w:tr w:rsidR="00AA7925" w:rsidRPr="00AA7925" w:rsidTr="0084361E">
        <w:tc>
          <w:tcPr>
            <w:tcW w:w="4291" w:type="pct"/>
            <w:gridSpan w:val="11"/>
          </w:tcPr>
          <w:p w:rsidR="003C0134" w:rsidRPr="00AA7925" w:rsidRDefault="003C0134" w:rsidP="003C0134">
            <w:pPr>
              <w:pStyle w:val="TableBodyText"/>
              <w:jc w:val="left"/>
            </w:pPr>
            <w:r w:rsidRPr="00AA7925">
              <w:t>Proportion of FTE students who were enrolled in government schools (per cent)</w:t>
            </w:r>
          </w:p>
        </w:tc>
        <w:tc>
          <w:tcPr>
            <w:tcW w:w="709" w:type="pct"/>
            <w:gridSpan w:val="2"/>
          </w:tcPr>
          <w:p w:rsidR="003C0134" w:rsidRPr="00AA7925" w:rsidRDefault="003C0134" w:rsidP="00CB6594">
            <w:pPr>
              <w:pStyle w:val="TableBodyText"/>
              <w:ind w:right="28"/>
            </w:pPr>
          </w:p>
        </w:tc>
      </w:tr>
      <w:tr w:rsidR="00AA7925" w:rsidRPr="00AA7925" w:rsidTr="0084361E">
        <w:tc>
          <w:tcPr>
            <w:tcW w:w="1146" w:type="pct"/>
          </w:tcPr>
          <w:p w:rsidR="00AA7925" w:rsidRPr="00AA7925" w:rsidRDefault="00AA7925" w:rsidP="00CB6594">
            <w:pPr>
              <w:pStyle w:val="TableBodyText"/>
              <w:ind w:left="180"/>
              <w:jc w:val="left"/>
            </w:pPr>
            <w:r w:rsidRPr="00AA7925">
              <w:t>Primary schools</w:t>
            </w:r>
          </w:p>
        </w:tc>
        <w:tc>
          <w:tcPr>
            <w:tcW w:w="428" w:type="pct"/>
          </w:tcPr>
          <w:p w:rsidR="00AA7925" w:rsidRPr="00AA7925" w:rsidRDefault="00AA7925" w:rsidP="00AA7925">
            <w:pPr>
              <w:pStyle w:val="TableBodyText"/>
            </w:pPr>
            <w:r w:rsidRPr="00AA7925">
              <w:t>69.3</w:t>
            </w:r>
          </w:p>
        </w:tc>
        <w:tc>
          <w:tcPr>
            <w:tcW w:w="428" w:type="pct"/>
          </w:tcPr>
          <w:p w:rsidR="00AA7925" w:rsidRPr="00AA7925" w:rsidRDefault="00AA7925" w:rsidP="00AA7925">
            <w:pPr>
              <w:pStyle w:val="TableBodyText"/>
            </w:pPr>
            <w:r w:rsidRPr="00AA7925">
              <w:t>67.4</w:t>
            </w:r>
          </w:p>
        </w:tc>
        <w:tc>
          <w:tcPr>
            <w:tcW w:w="428" w:type="pct"/>
          </w:tcPr>
          <w:p w:rsidR="00AA7925" w:rsidRPr="00AA7925" w:rsidRDefault="00AA7925" w:rsidP="00AA7925">
            <w:pPr>
              <w:pStyle w:val="TableBodyText"/>
            </w:pPr>
            <w:r w:rsidRPr="00AA7925">
              <w:t>70.0</w:t>
            </w:r>
          </w:p>
        </w:tc>
        <w:tc>
          <w:tcPr>
            <w:tcW w:w="428" w:type="pct"/>
          </w:tcPr>
          <w:p w:rsidR="00AA7925" w:rsidRPr="00AA7925" w:rsidRDefault="00AA7925" w:rsidP="00AA7925">
            <w:pPr>
              <w:pStyle w:val="TableBodyText"/>
            </w:pPr>
            <w:r w:rsidRPr="00AA7925">
              <w:t>70.0</w:t>
            </w:r>
          </w:p>
        </w:tc>
        <w:tc>
          <w:tcPr>
            <w:tcW w:w="428" w:type="pct"/>
          </w:tcPr>
          <w:p w:rsidR="00AA7925" w:rsidRPr="00AA7925" w:rsidRDefault="00AA7925" w:rsidP="00AA7925">
            <w:pPr>
              <w:pStyle w:val="TableBodyText"/>
            </w:pPr>
            <w:r w:rsidRPr="00AA7925">
              <w:t>66.2</w:t>
            </w:r>
          </w:p>
        </w:tc>
        <w:tc>
          <w:tcPr>
            <w:tcW w:w="428" w:type="pct"/>
            <w:gridSpan w:val="2"/>
          </w:tcPr>
          <w:p w:rsidR="00AA7925" w:rsidRPr="00AA7925" w:rsidRDefault="00AA7925" w:rsidP="00AA7925">
            <w:pPr>
              <w:pStyle w:val="TableBodyText"/>
            </w:pPr>
            <w:r w:rsidRPr="00AA7925">
              <w:t>73.0</w:t>
            </w:r>
          </w:p>
        </w:tc>
        <w:tc>
          <w:tcPr>
            <w:tcW w:w="428" w:type="pct"/>
            <w:gridSpan w:val="2"/>
          </w:tcPr>
          <w:p w:rsidR="00AA7925" w:rsidRPr="00AA7925" w:rsidRDefault="00AA7925" w:rsidP="00AA7925">
            <w:pPr>
              <w:pStyle w:val="TableBodyText"/>
            </w:pPr>
            <w:r w:rsidRPr="00AA7925">
              <w:t>60.6</w:t>
            </w:r>
          </w:p>
        </w:tc>
        <w:tc>
          <w:tcPr>
            <w:tcW w:w="428" w:type="pct"/>
            <w:gridSpan w:val="2"/>
          </w:tcPr>
          <w:p w:rsidR="00AA7925" w:rsidRPr="00AA7925" w:rsidRDefault="00AA7925" w:rsidP="00AA7925">
            <w:pPr>
              <w:pStyle w:val="TableBodyText"/>
            </w:pPr>
            <w:r w:rsidRPr="00AA7925">
              <w:t>77.8</w:t>
            </w:r>
          </w:p>
        </w:tc>
        <w:tc>
          <w:tcPr>
            <w:tcW w:w="430" w:type="pct"/>
          </w:tcPr>
          <w:p w:rsidR="00AA7925" w:rsidRPr="00AA7925" w:rsidRDefault="00AA7925" w:rsidP="009855DA">
            <w:pPr>
              <w:pStyle w:val="TableBodyText"/>
              <w:ind w:right="28"/>
            </w:pPr>
            <w:r w:rsidRPr="00AA7925">
              <w:t>68.9</w:t>
            </w:r>
          </w:p>
        </w:tc>
      </w:tr>
      <w:tr w:rsidR="00AA7925" w:rsidRPr="00AA7925" w:rsidTr="0084361E">
        <w:tc>
          <w:tcPr>
            <w:tcW w:w="1146" w:type="pct"/>
            <w:shd w:val="clear" w:color="auto" w:fill="auto"/>
          </w:tcPr>
          <w:p w:rsidR="00AA7925" w:rsidRPr="00AA7925" w:rsidRDefault="00AA7925" w:rsidP="00CB6594">
            <w:pPr>
              <w:pStyle w:val="TableBodyText"/>
              <w:ind w:left="180"/>
              <w:jc w:val="left"/>
            </w:pPr>
            <w:r w:rsidRPr="00AA7925">
              <w:t>Secondary schools</w:t>
            </w:r>
          </w:p>
        </w:tc>
        <w:tc>
          <w:tcPr>
            <w:tcW w:w="428" w:type="pct"/>
          </w:tcPr>
          <w:p w:rsidR="00AA7925" w:rsidRPr="00AA7925" w:rsidRDefault="00AA7925" w:rsidP="00AA7925">
            <w:pPr>
              <w:pStyle w:val="TableBodyText"/>
            </w:pPr>
            <w:r w:rsidRPr="00AA7925">
              <w:t>60.5</w:t>
            </w:r>
          </w:p>
        </w:tc>
        <w:tc>
          <w:tcPr>
            <w:tcW w:w="428" w:type="pct"/>
          </w:tcPr>
          <w:p w:rsidR="00AA7925" w:rsidRPr="00AA7925" w:rsidRDefault="00AA7925" w:rsidP="00AA7925">
            <w:pPr>
              <w:pStyle w:val="TableBodyText"/>
            </w:pPr>
            <w:r w:rsidRPr="00AA7925">
              <w:t>57.1</w:t>
            </w:r>
          </w:p>
        </w:tc>
        <w:tc>
          <w:tcPr>
            <w:tcW w:w="428" w:type="pct"/>
          </w:tcPr>
          <w:p w:rsidR="00AA7925" w:rsidRPr="00AA7925" w:rsidRDefault="00AA7925" w:rsidP="00AA7925">
            <w:pPr>
              <w:pStyle w:val="TableBodyText"/>
            </w:pPr>
            <w:r w:rsidRPr="00AA7925">
              <w:t>61.3</w:t>
            </w:r>
          </w:p>
        </w:tc>
        <w:tc>
          <w:tcPr>
            <w:tcW w:w="428" w:type="pct"/>
          </w:tcPr>
          <w:p w:rsidR="00AA7925" w:rsidRPr="00AA7925" w:rsidRDefault="00AA7925" w:rsidP="00AA7925">
            <w:pPr>
              <w:pStyle w:val="TableBodyText"/>
            </w:pPr>
            <w:r w:rsidRPr="00AA7925">
              <w:t>58.0</w:t>
            </w:r>
          </w:p>
        </w:tc>
        <w:tc>
          <w:tcPr>
            <w:tcW w:w="428" w:type="pct"/>
          </w:tcPr>
          <w:p w:rsidR="00AA7925" w:rsidRPr="00AA7925" w:rsidRDefault="00AA7925" w:rsidP="00AA7925">
            <w:pPr>
              <w:pStyle w:val="TableBodyText"/>
            </w:pPr>
            <w:r w:rsidRPr="00AA7925">
              <w:t>60.3</w:t>
            </w:r>
          </w:p>
        </w:tc>
        <w:tc>
          <w:tcPr>
            <w:tcW w:w="428" w:type="pct"/>
            <w:gridSpan w:val="2"/>
          </w:tcPr>
          <w:p w:rsidR="00AA7925" w:rsidRPr="00AA7925" w:rsidRDefault="00AA7925" w:rsidP="00AA7925">
            <w:pPr>
              <w:pStyle w:val="TableBodyText"/>
            </w:pPr>
            <w:r w:rsidRPr="00AA7925">
              <w:t>67.1</w:t>
            </w:r>
          </w:p>
        </w:tc>
        <w:tc>
          <w:tcPr>
            <w:tcW w:w="428" w:type="pct"/>
            <w:gridSpan w:val="2"/>
          </w:tcPr>
          <w:p w:rsidR="00AA7925" w:rsidRPr="00AA7925" w:rsidRDefault="00AA7925" w:rsidP="00AA7925">
            <w:pPr>
              <w:pStyle w:val="TableBodyText"/>
            </w:pPr>
            <w:r w:rsidRPr="00AA7925">
              <w:t>53.8</w:t>
            </w:r>
          </w:p>
        </w:tc>
        <w:tc>
          <w:tcPr>
            <w:tcW w:w="428" w:type="pct"/>
            <w:gridSpan w:val="2"/>
            <w:shd w:val="clear" w:color="auto" w:fill="auto"/>
          </w:tcPr>
          <w:p w:rsidR="00AA7925" w:rsidRPr="00AA7925" w:rsidRDefault="00AA7925" w:rsidP="00AA7925">
            <w:pPr>
              <w:pStyle w:val="TableBodyText"/>
            </w:pPr>
            <w:r w:rsidRPr="00AA7925">
              <w:t>65.2</w:t>
            </w:r>
          </w:p>
        </w:tc>
        <w:tc>
          <w:tcPr>
            <w:tcW w:w="430" w:type="pct"/>
            <w:shd w:val="clear" w:color="auto" w:fill="auto"/>
          </w:tcPr>
          <w:p w:rsidR="00AA7925" w:rsidRPr="00AA7925" w:rsidRDefault="00AA7925" w:rsidP="009855DA">
            <w:pPr>
              <w:pStyle w:val="TableBodyText"/>
              <w:ind w:right="28"/>
            </w:pPr>
            <w:r w:rsidRPr="00AA7925">
              <w:t>59.6</w:t>
            </w:r>
          </w:p>
        </w:tc>
      </w:tr>
      <w:tr w:rsidR="00AA7925" w:rsidRPr="00AA7925" w:rsidTr="0084361E">
        <w:tc>
          <w:tcPr>
            <w:tcW w:w="1146" w:type="pct"/>
            <w:tcBorders>
              <w:bottom w:val="single" w:sz="6" w:space="0" w:color="auto"/>
            </w:tcBorders>
            <w:shd w:val="clear" w:color="auto" w:fill="auto"/>
          </w:tcPr>
          <w:p w:rsidR="00AA7925" w:rsidRPr="00AA7925" w:rsidRDefault="00AA7925" w:rsidP="00E54D48">
            <w:pPr>
              <w:pStyle w:val="TableBodyText"/>
              <w:jc w:val="left"/>
              <w:rPr>
                <w:b/>
              </w:rPr>
            </w:pPr>
            <w:r w:rsidRPr="00AA7925">
              <w:rPr>
                <w:b/>
              </w:rPr>
              <w:t>All schools</w:t>
            </w:r>
          </w:p>
        </w:tc>
        <w:tc>
          <w:tcPr>
            <w:tcW w:w="428" w:type="pct"/>
            <w:tcBorders>
              <w:bottom w:val="single" w:sz="6" w:space="0" w:color="auto"/>
            </w:tcBorders>
          </w:tcPr>
          <w:p w:rsidR="00AA7925" w:rsidRPr="0032567C" w:rsidRDefault="00AA7925" w:rsidP="0032567C">
            <w:pPr>
              <w:pStyle w:val="TableBodyText"/>
              <w:rPr>
                <w:b/>
              </w:rPr>
            </w:pPr>
            <w:r w:rsidRPr="0032567C">
              <w:rPr>
                <w:b/>
              </w:rPr>
              <w:t>65.4</w:t>
            </w:r>
          </w:p>
        </w:tc>
        <w:tc>
          <w:tcPr>
            <w:tcW w:w="428" w:type="pct"/>
            <w:tcBorders>
              <w:bottom w:val="single" w:sz="6" w:space="0" w:color="auto"/>
            </w:tcBorders>
          </w:tcPr>
          <w:p w:rsidR="00AA7925" w:rsidRPr="0032567C" w:rsidRDefault="00AA7925" w:rsidP="0032567C">
            <w:pPr>
              <w:pStyle w:val="TableBodyText"/>
              <w:rPr>
                <w:b/>
              </w:rPr>
            </w:pPr>
            <w:r w:rsidRPr="0032567C">
              <w:rPr>
                <w:b/>
              </w:rPr>
              <w:t>62.9</w:t>
            </w:r>
          </w:p>
        </w:tc>
        <w:tc>
          <w:tcPr>
            <w:tcW w:w="428" w:type="pct"/>
            <w:tcBorders>
              <w:bottom w:val="single" w:sz="6" w:space="0" w:color="auto"/>
            </w:tcBorders>
          </w:tcPr>
          <w:p w:rsidR="00AA7925" w:rsidRPr="0032567C" w:rsidRDefault="00AA7925" w:rsidP="0032567C">
            <w:pPr>
              <w:pStyle w:val="TableBodyText"/>
              <w:rPr>
                <w:b/>
              </w:rPr>
            </w:pPr>
            <w:r w:rsidRPr="0032567C">
              <w:rPr>
                <w:b/>
              </w:rPr>
              <w:t>66.7</w:t>
            </w:r>
          </w:p>
        </w:tc>
        <w:tc>
          <w:tcPr>
            <w:tcW w:w="428" w:type="pct"/>
            <w:tcBorders>
              <w:bottom w:val="single" w:sz="6" w:space="0" w:color="auto"/>
            </w:tcBorders>
          </w:tcPr>
          <w:p w:rsidR="00AA7925" w:rsidRPr="0032567C" w:rsidRDefault="00AA7925" w:rsidP="0032567C">
            <w:pPr>
              <w:pStyle w:val="TableBodyText"/>
              <w:rPr>
                <w:b/>
              </w:rPr>
            </w:pPr>
            <w:r w:rsidRPr="0032567C">
              <w:rPr>
                <w:b/>
              </w:rPr>
              <w:t>65.8</w:t>
            </w:r>
          </w:p>
        </w:tc>
        <w:tc>
          <w:tcPr>
            <w:tcW w:w="428" w:type="pct"/>
            <w:tcBorders>
              <w:bottom w:val="single" w:sz="6" w:space="0" w:color="auto"/>
            </w:tcBorders>
          </w:tcPr>
          <w:p w:rsidR="00AA7925" w:rsidRPr="0032567C" w:rsidRDefault="00AA7925" w:rsidP="0032567C">
            <w:pPr>
              <w:pStyle w:val="TableBodyText"/>
              <w:rPr>
                <w:b/>
              </w:rPr>
            </w:pPr>
            <w:r w:rsidRPr="0032567C">
              <w:rPr>
                <w:b/>
              </w:rPr>
              <w:t>63.9</w:t>
            </w:r>
          </w:p>
        </w:tc>
        <w:tc>
          <w:tcPr>
            <w:tcW w:w="428" w:type="pct"/>
            <w:gridSpan w:val="2"/>
            <w:tcBorders>
              <w:bottom w:val="single" w:sz="6" w:space="0" w:color="auto"/>
            </w:tcBorders>
          </w:tcPr>
          <w:p w:rsidR="00AA7925" w:rsidRPr="0032567C" w:rsidRDefault="00AA7925" w:rsidP="0032567C">
            <w:pPr>
              <w:pStyle w:val="TableBodyText"/>
              <w:rPr>
                <w:b/>
              </w:rPr>
            </w:pPr>
            <w:r w:rsidRPr="0032567C">
              <w:rPr>
                <w:b/>
              </w:rPr>
              <w:t>70.3</w:t>
            </w:r>
          </w:p>
        </w:tc>
        <w:tc>
          <w:tcPr>
            <w:tcW w:w="428" w:type="pct"/>
            <w:gridSpan w:val="2"/>
            <w:tcBorders>
              <w:bottom w:val="single" w:sz="6" w:space="0" w:color="auto"/>
            </w:tcBorders>
          </w:tcPr>
          <w:p w:rsidR="00AA7925" w:rsidRPr="0032567C" w:rsidRDefault="00AA7925" w:rsidP="0032567C">
            <w:pPr>
              <w:pStyle w:val="TableBodyText"/>
              <w:rPr>
                <w:b/>
              </w:rPr>
            </w:pPr>
            <w:r w:rsidRPr="0032567C">
              <w:rPr>
                <w:b/>
              </w:rPr>
              <w:t>57.4</w:t>
            </w:r>
          </w:p>
        </w:tc>
        <w:tc>
          <w:tcPr>
            <w:tcW w:w="428" w:type="pct"/>
            <w:gridSpan w:val="2"/>
            <w:tcBorders>
              <w:bottom w:val="single" w:sz="6" w:space="0" w:color="auto"/>
            </w:tcBorders>
            <w:shd w:val="clear" w:color="auto" w:fill="auto"/>
          </w:tcPr>
          <w:p w:rsidR="00AA7925" w:rsidRPr="0032567C" w:rsidRDefault="00AA7925" w:rsidP="0032567C">
            <w:pPr>
              <w:pStyle w:val="TableBodyText"/>
              <w:rPr>
                <w:b/>
              </w:rPr>
            </w:pPr>
            <w:r w:rsidRPr="0032567C">
              <w:rPr>
                <w:b/>
              </w:rPr>
              <w:t>72.7</w:t>
            </w:r>
          </w:p>
        </w:tc>
        <w:tc>
          <w:tcPr>
            <w:tcW w:w="430" w:type="pct"/>
            <w:tcBorders>
              <w:bottom w:val="single" w:sz="6" w:space="0" w:color="auto"/>
            </w:tcBorders>
            <w:shd w:val="clear" w:color="auto" w:fill="auto"/>
          </w:tcPr>
          <w:p w:rsidR="00AA7925" w:rsidRPr="009855DA" w:rsidRDefault="00AA7925" w:rsidP="009855DA">
            <w:pPr>
              <w:pStyle w:val="TableBodyText"/>
              <w:ind w:right="28"/>
              <w:rPr>
                <w:b/>
              </w:rPr>
            </w:pPr>
            <w:r w:rsidRPr="009855DA">
              <w:rPr>
                <w:b/>
              </w:rPr>
              <w:t>65.1</w:t>
            </w:r>
          </w:p>
        </w:tc>
      </w:tr>
    </w:tbl>
    <w:p w:rsidR="003C0134" w:rsidRPr="0032567C" w:rsidRDefault="003C0134" w:rsidP="003C0134">
      <w:pPr>
        <w:pStyle w:val="Note"/>
      </w:pPr>
      <w:r w:rsidRPr="00AA7925">
        <w:rPr>
          <w:rStyle w:val="NoteLabel"/>
        </w:rPr>
        <w:t>a</w:t>
      </w:r>
      <w:r w:rsidRPr="00AA7925">
        <w:sym w:font="Symbol" w:char="F020"/>
      </w:r>
      <w:r w:rsidRPr="00AA7925">
        <w:t>Students enrolled in special schools are included, with special school students of primary school age and/or year level included in the primary figures and those of secondary school age and/or year level included in the secondary figures.</w:t>
      </w:r>
      <w:r w:rsidR="00967269" w:rsidRPr="008F68A1">
        <w:rPr>
          <w:rStyle w:val="NoteLabel"/>
        </w:rPr>
        <w:t xml:space="preserve">  </w:t>
      </w:r>
      <w:r w:rsidR="0032567C">
        <w:rPr>
          <w:rStyle w:val="NoteLabel"/>
        </w:rPr>
        <w:t xml:space="preserve">b </w:t>
      </w:r>
      <w:r w:rsidR="0032567C" w:rsidRPr="0032567C">
        <w:t>Results of other calculations using the source data may vary from the table due to rounding differences.</w:t>
      </w:r>
      <w:r w:rsidR="0032567C" w:rsidRPr="0032567C">
        <w:rPr>
          <w:rStyle w:val="NoteLabel"/>
        </w:rPr>
        <w:t xml:space="preserve"> </w:t>
      </w:r>
      <w:r w:rsidR="00967269">
        <w:rPr>
          <w:rStyle w:val="NoteLabel"/>
        </w:rPr>
        <w:t xml:space="preserve"> </w:t>
      </w:r>
      <w:r w:rsidR="0032567C">
        <w:rPr>
          <w:rStyle w:val="NoteLabel"/>
        </w:rPr>
        <w:t xml:space="preserve">c </w:t>
      </w:r>
      <w:r w:rsidR="0032567C" w:rsidRPr="0032567C">
        <w:t>Sum of components may not add to totals due to rounding.</w:t>
      </w:r>
    </w:p>
    <w:p w:rsidR="003C0134" w:rsidRPr="00AA7925" w:rsidRDefault="003C0134" w:rsidP="003C0134">
      <w:pPr>
        <w:pStyle w:val="Note"/>
      </w:pPr>
      <w:r w:rsidRPr="0032567C">
        <w:rPr>
          <w:i/>
        </w:rPr>
        <w:t>Source</w:t>
      </w:r>
      <w:r w:rsidRPr="0032567C">
        <w:t>: ABS (201</w:t>
      </w:r>
      <w:r w:rsidR="003F6030" w:rsidRPr="0032567C">
        <w:t>4</w:t>
      </w:r>
      <w:r w:rsidR="00370BB4">
        <w:t xml:space="preserve"> and unpublished</w:t>
      </w:r>
      <w:r w:rsidRPr="0032567C">
        <w:t xml:space="preserve">) </w:t>
      </w:r>
      <w:r w:rsidR="003F6030" w:rsidRPr="0032567C">
        <w:rPr>
          <w:i/>
        </w:rPr>
        <w:t>Schools Australia, 2013</w:t>
      </w:r>
      <w:r w:rsidR="00C67FF6">
        <w:t>, Cat. no. 4221.0; table NEA</w:t>
      </w:r>
      <w:r w:rsidR="00C67FF6" w:rsidRPr="00C67FF6">
        <w:t>.c.3</w:t>
      </w:r>
      <w:r w:rsidRPr="00C67FF6">
        <w:t xml:space="preserve">. </w:t>
      </w:r>
    </w:p>
    <w:p w:rsidR="00CB6594" w:rsidRPr="00EC1FF0" w:rsidRDefault="004436A2" w:rsidP="004436A2">
      <w:pPr>
        <w:pStyle w:val="Heading4"/>
      </w:pPr>
      <w:r w:rsidRPr="00EC1FF0">
        <w:t>Numbers of students enrolled in VET in Schools</w:t>
      </w:r>
    </w:p>
    <w:p w:rsidR="004436A2" w:rsidRPr="00EC1FF0" w:rsidRDefault="004436A2" w:rsidP="004436A2">
      <w:pPr>
        <w:pStyle w:val="BodyText"/>
      </w:pPr>
      <w:r w:rsidRPr="00EC1FF0">
        <w:t>A student is counted as undertaking VET in school if completion of a unit of study undertaken as part of a senior secondary certificate provides credit towards a recognised VET credential within the Australian Qualificat</w:t>
      </w:r>
      <w:r w:rsidR="003F6030">
        <w:t>ions Framework (AQF) (</w:t>
      </w:r>
      <w:r w:rsidR="0002575D">
        <w:t xml:space="preserve">Naidu, Stanwick, and </w:t>
      </w:r>
      <w:r w:rsidR="0002575D" w:rsidRPr="0002575D">
        <w:t>Frazer</w:t>
      </w:r>
      <w:r w:rsidR="003F6030" w:rsidRPr="0002575D">
        <w:t xml:space="preserve"> </w:t>
      </w:r>
      <w:r w:rsidR="003F6030">
        <w:t>2013</w:t>
      </w:r>
      <w:r w:rsidRPr="00EC1FF0">
        <w:t>).</w:t>
      </w:r>
    </w:p>
    <w:p w:rsidR="004436A2" w:rsidRPr="00EC1FF0" w:rsidRDefault="004436A2" w:rsidP="004436A2">
      <w:pPr>
        <w:pStyle w:val="BodyText"/>
      </w:pPr>
      <w:r w:rsidRPr="00EC1FF0">
        <w:t>The most recent data on the number of students enrolled in</w:t>
      </w:r>
      <w:r w:rsidR="00EC1FF0" w:rsidRPr="00EC1FF0">
        <w:t xml:space="preserve"> VET in schools are for the 2012</w:t>
      </w:r>
      <w:r w:rsidRPr="00EC1FF0">
        <w:t xml:space="preserve"> school year (table</w:t>
      </w:r>
      <w:r w:rsidR="00966FAA" w:rsidRPr="00EC1FF0">
        <w:t> </w:t>
      </w:r>
      <w:r w:rsidR="00792821" w:rsidRPr="00EC1FF0">
        <w:rPr>
          <w:highlight w:val="yellow"/>
        </w:rPr>
        <w:fldChar w:fldCharType="begin"/>
      </w:r>
      <w:r w:rsidR="00792821" w:rsidRPr="00EC1FF0">
        <w:rPr>
          <w:highlight w:val="yellow"/>
        </w:rPr>
        <w:instrText xml:space="preserve"> LINK Word.Document.12 "\\\\mel_1\\groups\\Monitor\\09 National Agreement Report\\02 NAR Report WIP\\2013 NAR Report - Ed and training\\2013 NAR first draft\\NEA\\NEA 2013 first draft for CA new template.docx" "OLE_LINK7" \a \t </w:instrText>
      </w:r>
      <w:r w:rsidR="00792821" w:rsidRPr="00EC1FF0">
        <w:rPr>
          <w:highlight w:val="yellow"/>
        </w:rPr>
        <w:fldChar w:fldCharType="separate"/>
      </w:r>
      <w:r w:rsidR="00665723" w:rsidRPr="00EC1FF0">
        <w:t>5</w:t>
      </w:r>
      <w:r w:rsidR="00792821" w:rsidRPr="00EC1FF0">
        <w:rPr>
          <w:highlight w:val="yellow"/>
        </w:rPr>
        <w:fldChar w:fldCharType="end"/>
      </w:r>
      <w:r w:rsidRPr="00EC1FF0">
        <w:t>).</w:t>
      </w:r>
    </w:p>
    <w:p w:rsidR="004436A2" w:rsidRPr="008212F0" w:rsidRDefault="004436A2" w:rsidP="00792821">
      <w:pPr>
        <w:pStyle w:val="TableTitle"/>
      </w:pPr>
      <w:r w:rsidRPr="008212F0">
        <w:rPr>
          <w:b w:val="0"/>
        </w:rPr>
        <w:t xml:space="preserve">Table </w:t>
      </w:r>
      <w:bookmarkStart w:id="11" w:name="OLE_LINK7"/>
      <w:r w:rsidRPr="008212F0">
        <w:rPr>
          <w:b w:val="0"/>
        </w:rPr>
        <w:fldChar w:fldCharType="begin"/>
      </w:r>
      <w:r w:rsidRPr="008212F0">
        <w:rPr>
          <w:b w:val="0"/>
        </w:rPr>
        <w:instrText xml:space="preserve"> SEQ Table \* ARABIC </w:instrText>
      </w:r>
      <w:r w:rsidRPr="008212F0">
        <w:rPr>
          <w:b w:val="0"/>
        </w:rPr>
        <w:fldChar w:fldCharType="separate"/>
      </w:r>
      <w:r w:rsidR="005F5618">
        <w:rPr>
          <w:b w:val="0"/>
          <w:noProof/>
        </w:rPr>
        <w:t>5</w:t>
      </w:r>
      <w:r w:rsidRPr="008212F0">
        <w:rPr>
          <w:b w:val="0"/>
        </w:rPr>
        <w:fldChar w:fldCharType="end"/>
      </w:r>
      <w:bookmarkEnd w:id="11"/>
      <w:r w:rsidRPr="008212F0">
        <w:tab/>
      </w:r>
      <w:r w:rsidR="00792821" w:rsidRPr="008212F0">
        <w:t>Total VET in Schools students, 2012 (‘000)</w:t>
      </w:r>
      <w:r w:rsidR="00792821" w:rsidRPr="008212F0">
        <w:rPr>
          <w:rStyle w:val="NoteLabel"/>
          <w:b/>
        </w:rPr>
        <w:t>a, b</w:t>
      </w:r>
    </w:p>
    <w:tbl>
      <w:tblPr>
        <w:tblW w:w="5000" w:type="pct"/>
        <w:tblCellMar>
          <w:left w:w="0" w:type="dxa"/>
          <w:right w:w="0" w:type="dxa"/>
        </w:tblCellMar>
        <w:tblLook w:val="0000" w:firstRow="0" w:lastRow="0" w:firstColumn="0" w:lastColumn="0" w:noHBand="0" w:noVBand="0"/>
      </w:tblPr>
      <w:tblGrid>
        <w:gridCol w:w="883"/>
        <w:gridCol w:w="881"/>
        <w:gridCol w:w="881"/>
        <w:gridCol w:w="879"/>
        <w:gridCol w:w="879"/>
        <w:gridCol w:w="879"/>
        <w:gridCol w:w="879"/>
        <w:gridCol w:w="879"/>
        <w:gridCol w:w="879"/>
        <w:gridCol w:w="870"/>
      </w:tblGrid>
      <w:tr w:rsidR="001A5777" w:rsidRPr="008212F0" w:rsidTr="00792821">
        <w:tc>
          <w:tcPr>
            <w:tcW w:w="502" w:type="pct"/>
            <w:tcBorders>
              <w:top w:val="single" w:sz="6" w:space="0" w:color="auto"/>
              <w:bottom w:val="single" w:sz="6" w:space="0" w:color="auto"/>
            </w:tcBorders>
            <w:shd w:val="clear" w:color="auto" w:fill="auto"/>
          </w:tcPr>
          <w:p w:rsidR="00792821" w:rsidRPr="008212F0" w:rsidRDefault="00792821" w:rsidP="00E54D48">
            <w:pPr>
              <w:pStyle w:val="TableColumnHeading"/>
              <w:jc w:val="left"/>
            </w:pPr>
          </w:p>
        </w:tc>
        <w:tc>
          <w:tcPr>
            <w:tcW w:w="501" w:type="pct"/>
            <w:tcBorders>
              <w:top w:val="single" w:sz="6" w:space="0" w:color="auto"/>
              <w:bottom w:val="single" w:sz="6" w:space="0" w:color="auto"/>
            </w:tcBorders>
          </w:tcPr>
          <w:p w:rsidR="00792821" w:rsidRPr="008212F0" w:rsidRDefault="00792821" w:rsidP="00E54D48">
            <w:pPr>
              <w:pStyle w:val="TableColumnHeading"/>
            </w:pPr>
            <w:r w:rsidRPr="008212F0">
              <w:t>NSW</w:t>
            </w:r>
          </w:p>
        </w:tc>
        <w:tc>
          <w:tcPr>
            <w:tcW w:w="501" w:type="pct"/>
            <w:tcBorders>
              <w:top w:val="single" w:sz="6" w:space="0" w:color="auto"/>
              <w:bottom w:val="single" w:sz="6" w:space="0" w:color="auto"/>
            </w:tcBorders>
          </w:tcPr>
          <w:p w:rsidR="00792821" w:rsidRPr="008212F0" w:rsidRDefault="00792821" w:rsidP="00E54D48">
            <w:pPr>
              <w:pStyle w:val="TableColumnHeading"/>
            </w:pPr>
            <w:r w:rsidRPr="008212F0">
              <w:t>Vic</w:t>
            </w:r>
          </w:p>
        </w:tc>
        <w:tc>
          <w:tcPr>
            <w:tcW w:w="500" w:type="pct"/>
            <w:tcBorders>
              <w:top w:val="single" w:sz="6" w:space="0" w:color="auto"/>
              <w:bottom w:val="single" w:sz="6" w:space="0" w:color="auto"/>
            </w:tcBorders>
          </w:tcPr>
          <w:p w:rsidR="00792821" w:rsidRPr="008212F0" w:rsidRDefault="00792821" w:rsidP="00E54D48">
            <w:pPr>
              <w:pStyle w:val="TableColumnHeading"/>
            </w:pPr>
            <w:r w:rsidRPr="008212F0">
              <w:t>Qld</w:t>
            </w:r>
          </w:p>
        </w:tc>
        <w:tc>
          <w:tcPr>
            <w:tcW w:w="500" w:type="pct"/>
            <w:tcBorders>
              <w:top w:val="single" w:sz="6" w:space="0" w:color="auto"/>
              <w:bottom w:val="single" w:sz="6" w:space="0" w:color="auto"/>
            </w:tcBorders>
          </w:tcPr>
          <w:p w:rsidR="00792821" w:rsidRPr="008212F0" w:rsidRDefault="00792821" w:rsidP="00E54D48">
            <w:pPr>
              <w:pStyle w:val="TableColumnHeading"/>
            </w:pPr>
            <w:r w:rsidRPr="008212F0">
              <w:t>WA</w:t>
            </w:r>
          </w:p>
        </w:tc>
        <w:tc>
          <w:tcPr>
            <w:tcW w:w="500" w:type="pct"/>
            <w:tcBorders>
              <w:top w:val="single" w:sz="6" w:space="0" w:color="auto"/>
              <w:bottom w:val="single" w:sz="6" w:space="0" w:color="auto"/>
            </w:tcBorders>
          </w:tcPr>
          <w:p w:rsidR="00792821" w:rsidRPr="008212F0" w:rsidRDefault="00792821" w:rsidP="00E54D48">
            <w:pPr>
              <w:pStyle w:val="TableColumnHeading"/>
            </w:pPr>
            <w:r w:rsidRPr="008212F0">
              <w:t>SA</w:t>
            </w:r>
          </w:p>
        </w:tc>
        <w:tc>
          <w:tcPr>
            <w:tcW w:w="500" w:type="pct"/>
            <w:tcBorders>
              <w:top w:val="single" w:sz="6" w:space="0" w:color="auto"/>
              <w:bottom w:val="single" w:sz="6" w:space="0" w:color="auto"/>
            </w:tcBorders>
          </w:tcPr>
          <w:p w:rsidR="00792821" w:rsidRPr="008212F0" w:rsidRDefault="00792821" w:rsidP="00E54D48">
            <w:pPr>
              <w:pStyle w:val="TableColumnHeading"/>
            </w:pPr>
            <w:r w:rsidRPr="008212F0">
              <w:t>Tas</w:t>
            </w:r>
          </w:p>
        </w:tc>
        <w:tc>
          <w:tcPr>
            <w:tcW w:w="500" w:type="pct"/>
            <w:tcBorders>
              <w:top w:val="single" w:sz="6" w:space="0" w:color="auto"/>
              <w:bottom w:val="single" w:sz="6" w:space="0" w:color="auto"/>
            </w:tcBorders>
          </w:tcPr>
          <w:p w:rsidR="00792821" w:rsidRPr="008212F0" w:rsidRDefault="00792821" w:rsidP="00E54D48">
            <w:pPr>
              <w:pStyle w:val="TableColumnHeading"/>
            </w:pPr>
            <w:r w:rsidRPr="008212F0">
              <w:t>ACT</w:t>
            </w:r>
          </w:p>
        </w:tc>
        <w:tc>
          <w:tcPr>
            <w:tcW w:w="500" w:type="pct"/>
            <w:tcBorders>
              <w:top w:val="single" w:sz="6" w:space="0" w:color="auto"/>
              <w:bottom w:val="single" w:sz="6" w:space="0" w:color="auto"/>
            </w:tcBorders>
            <w:shd w:val="clear" w:color="auto" w:fill="auto"/>
          </w:tcPr>
          <w:p w:rsidR="00792821" w:rsidRPr="008212F0" w:rsidRDefault="00792821" w:rsidP="00E54D48">
            <w:pPr>
              <w:pStyle w:val="TableColumnHeading"/>
            </w:pPr>
            <w:r w:rsidRPr="008212F0">
              <w:t>NT</w:t>
            </w:r>
          </w:p>
        </w:tc>
        <w:tc>
          <w:tcPr>
            <w:tcW w:w="495" w:type="pct"/>
            <w:tcBorders>
              <w:top w:val="single" w:sz="6" w:space="0" w:color="auto"/>
              <w:bottom w:val="single" w:sz="6" w:space="0" w:color="auto"/>
            </w:tcBorders>
            <w:shd w:val="clear" w:color="auto" w:fill="auto"/>
          </w:tcPr>
          <w:p w:rsidR="00792821" w:rsidRPr="008212F0" w:rsidRDefault="00792821" w:rsidP="00E54D48">
            <w:pPr>
              <w:pStyle w:val="TableColumnHeading"/>
              <w:ind w:right="28"/>
            </w:pPr>
            <w:r w:rsidRPr="008212F0">
              <w:t>Aust</w:t>
            </w:r>
          </w:p>
        </w:tc>
      </w:tr>
      <w:tr w:rsidR="001A5777" w:rsidRPr="008212F0" w:rsidTr="00792821">
        <w:tc>
          <w:tcPr>
            <w:tcW w:w="502" w:type="pct"/>
            <w:tcBorders>
              <w:bottom w:val="single" w:sz="6" w:space="0" w:color="auto"/>
            </w:tcBorders>
            <w:shd w:val="clear" w:color="auto" w:fill="auto"/>
          </w:tcPr>
          <w:p w:rsidR="00792821" w:rsidRPr="008212F0" w:rsidRDefault="00792821" w:rsidP="00E54D48">
            <w:pPr>
              <w:pStyle w:val="TableBodyText"/>
              <w:jc w:val="left"/>
            </w:pPr>
            <w:r w:rsidRPr="008212F0">
              <w:t>Number</w:t>
            </w:r>
          </w:p>
        </w:tc>
        <w:tc>
          <w:tcPr>
            <w:tcW w:w="501" w:type="pct"/>
            <w:tcBorders>
              <w:bottom w:val="single" w:sz="6" w:space="0" w:color="auto"/>
            </w:tcBorders>
          </w:tcPr>
          <w:p w:rsidR="00792821" w:rsidRPr="008212F0" w:rsidRDefault="008212F0" w:rsidP="00E54D48">
            <w:pPr>
              <w:pStyle w:val="TableBodyText"/>
            </w:pPr>
            <w:r>
              <w:t>61.8</w:t>
            </w:r>
          </w:p>
        </w:tc>
        <w:tc>
          <w:tcPr>
            <w:tcW w:w="501" w:type="pct"/>
            <w:tcBorders>
              <w:bottom w:val="single" w:sz="6" w:space="0" w:color="auto"/>
            </w:tcBorders>
          </w:tcPr>
          <w:p w:rsidR="008212F0" w:rsidRPr="008212F0" w:rsidRDefault="008212F0" w:rsidP="00E54D48">
            <w:pPr>
              <w:pStyle w:val="TableBodyText"/>
            </w:pPr>
            <w:r>
              <w:t>49.8</w:t>
            </w:r>
          </w:p>
        </w:tc>
        <w:tc>
          <w:tcPr>
            <w:tcW w:w="500" w:type="pct"/>
            <w:tcBorders>
              <w:bottom w:val="single" w:sz="6" w:space="0" w:color="auto"/>
            </w:tcBorders>
          </w:tcPr>
          <w:p w:rsidR="00792821" w:rsidRPr="008212F0" w:rsidRDefault="008212F0" w:rsidP="00E54D48">
            <w:pPr>
              <w:pStyle w:val="TableBodyText"/>
            </w:pPr>
            <w:r>
              <w:t>89.9</w:t>
            </w:r>
          </w:p>
        </w:tc>
        <w:tc>
          <w:tcPr>
            <w:tcW w:w="500" w:type="pct"/>
            <w:tcBorders>
              <w:bottom w:val="single" w:sz="6" w:space="0" w:color="auto"/>
            </w:tcBorders>
          </w:tcPr>
          <w:p w:rsidR="00792821" w:rsidRPr="008212F0" w:rsidRDefault="008212F0" w:rsidP="00E54D48">
            <w:pPr>
              <w:pStyle w:val="TableBodyText"/>
            </w:pPr>
            <w:r>
              <w:t>24.9</w:t>
            </w:r>
          </w:p>
        </w:tc>
        <w:tc>
          <w:tcPr>
            <w:tcW w:w="500" w:type="pct"/>
            <w:tcBorders>
              <w:bottom w:val="single" w:sz="6" w:space="0" w:color="auto"/>
            </w:tcBorders>
          </w:tcPr>
          <w:p w:rsidR="00792821" w:rsidRPr="008212F0" w:rsidRDefault="008212F0" w:rsidP="00E54D48">
            <w:pPr>
              <w:pStyle w:val="TableBodyText"/>
            </w:pPr>
            <w:r>
              <w:t>12.2</w:t>
            </w:r>
          </w:p>
        </w:tc>
        <w:tc>
          <w:tcPr>
            <w:tcW w:w="500" w:type="pct"/>
            <w:tcBorders>
              <w:bottom w:val="single" w:sz="6" w:space="0" w:color="auto"/>
            </w:tcBorders>
          </w:tcPr>
          <w:p w:rsidR="00792821" w:rsidRPr="008212F0" w:rsidRDefault="008212F0" w:rsidP="00E54D48">
            <w:pPr>
              <w:pStyle w:val="TableBodyText"/>
            </w:pPr>
            <w:r>
              <w:t>7.3</w:t>
            </w:r>
          </w:p>
        </w:tc>
        <w:tc>
          <w:tcPr>
            <w:tcW w:w="500" w:type="pct"/>
            <w:tcBorders>
              <w:bottom w:val="single" w:sz="6" w:space="0" w:color="auto"/>
            </w:tcBorders>
          </w:tcPr>
          <w:p w:rsidR="00792821" w:rsidRPr="008212F0" w:rsidRDefault="008212F0" w:rsidP="00E54D48">
            <w:pPr>
              <w:pStyle w:val="TableBodyText"/>
            </w:pPr>
            <w:r>
              <w:t>4.9</w:t>
            </w:r>
          </w:p>
        </w:tc>
        <w:tc>
          <w:tcPr>
            <w:tcW w:w="500" w:type="pct"/>
            <w:tcBorders>
              <w:bottom w:val="single" w:sz="6" w:space="0" w:color="auto"/>
            </w:tcBorders>
            <w:shd w:val="clear" w:color="auto" w:fill="auto"/>
          </w:tcPr>
          <w:p w:rsidR="00792821" w:rsidRPr="008212F0" w:rsidRDefault="008212F0" w:rsidP="00E54D48">
            <w:pPr>
              <w:pStyle w:val="TableBodyText"/>
            </w:pPr>
            <w:r>
              <w:t>1.8</w:t>
            </w:r>
          </w:p>
        </w:tc>
        <w:tc>
          <w:tcPr>
            <w:tcW w:w="495" w:type="pct"/>
            <w:tcBorders>
              <w:bottom w:val="single" w:sz="6" w:space="0" w:color="auto"/>
            </w:tcBorders>
            <w:shd w:val="clear" w:color="auto" w:fill="auto"/>
          </w:tcPr>
          <w:p w:rsidR="00792821" w:rsidRPr="008212F0" w:rsidRDefault="008212F0" w:rsidP="00E54D48">
            <w:pPr>
              <w:pStyle w:val="TableBodyText"/>
              <w:ind w:right="28"/>
            </w:pPr>
            <w:r>
              <w:t>252.6</w:t>
            </w:r>
          </w:p>
        </w:tc>
      </w:tr>
    </w:tbl>
    <w:p w:rsidR="007D1311" w:rsidRPr="008212F0" w:rsidRDefault="007D1311" w:rsidP="007D1311">
      <w:pPr>
        <w:pStyle w:val="Note"/>
        <w:rPr>
          <w:rFonts w:ascii="Times New Roman" w:hAnsi="Times New Roman"/>
          <w:sz w:val="26"/>
        </w:rPr>
      </w:pPr>
      <w:r w:rsidRPr="008212F0">
        <w:rPr>
          <w:rStyle w:val="NoteLabel"/>
        </w:rPr>
        <w:t xml:space="preserve">a </w:t>
      </w:r>
      <w:r w:rsidRPr="008212F0">
        <w:t>Data in this table may not be comparable to data for previous years due to compilation issues.</w:t>
      </w:r>
      <w:r w:rsidRPr="008212F0">
        <w:rPr>
          <w:rStyle w:val="NoteLabel"/>
        </w:rPr>
        <w:t xml:space="preserve"> </w:t>
      </w:r>
      <w:r w:rsidR="00967269">
        <w:rPr>
          <w:rStyle w:val="NoteLabel"/>
        </w:rPr>
        <w:t xml:space="preserve"> </w:t>
      </w:r>
      <w:r w:rsidRPr="008212F0">
        <w:rPr>
          <w:rStyle w:val="NoteLabel"/>
        </w:rPr>
        <w:t>b</w:t>
      </w:r>
      <w:r w:rsidRPr="008212F0">
        <w:t xml:space="preserve"> Data may not be comparable across states and territories due to differences in the implementation of VET in Schools programs and data compilation issues. </w:t>
      </w:r>
    </w:p>
    <w:p w:rsidR="007D1311" w:rsidRPr="008212F0" w:rsidRDefault="007D1311" w:rsidP="007D1311">
      <w:pPr>
        <w:pStyle w:val="Source"/>
      </w:pPr>
      <w:r w:rsidRPr="00B10B19">
        <w:rPr>
          <w:i/>
        </w:rPr>
        <w:t>Source</w:t>
      </w:r>
      <w:r w:rsidRPr="00B10B19">
        <w:t xml:space="preserve">: </w:t>
      </w:r>
      <w:r w:rsidR="008212F0" w:rsidRPr="00B10B19">
        <w:t>NCVER 2013</w:t>
      </w:r>
      <w:r w:rsidRPr="00B10B19">
        <w:rPr>
          <w:i/>
        </w:rPr>
        <w:t>, Australian vocational education and training</w:t>
      </w:r>
      <w:r w:rsidR="008212F0" w:rsidRPr="00B10B19">
        <w:rPr>
          <w:i/>
        </w:rPr>
        <w:t xml:space="preserve"> statistics: VET in Schools 2012</w:t>
      </w:r>
      <w:r w:rsidRPr="00B10B19">
        <w:rPr>
          <w:i/>
        </w:rPr>
        <w:t xml:space="preserve"> data tables Australia</w:t>
      </w:r>
      <w:r w:rsidRPr="00B10B19">
        <w:t>, NCVER Adelaide.</w:t>
      </w:r>
    </w:p>
    <w:p w:rsidR="004436A2" w:rsidRPr="006C227C" w:rsidRDefault="006C131E" w:rsidP="006C131E">
      <w:pPr>
        <w:pStyle w:val="Heading4"/>
      </w:pPr>
      <w:r w:rsidRPr="006C227C">
        <w:t>Special needs groups</w:t>
      </w:r>
    </w:p>
    <w:p w:rsidR="006C131E" w:rsidRPr="006C227C" w:rsidRDefault="006C131E" w:rsidP="006C131E">
      <w:pPr>
        <w:pStyle w:val="BodyText"/>
      </w:pPr>
      <w:r w:rsidRPr="006C227C">
        <w:t>The NEA explicitly identifies the number of students from low SES schools and Indigenous students as outputs. Other reports have identified additional groups of students with special needs, including:</w:t>
      </w:r>
    </w:p>
    <w:p w:rsidR="006C131E" w:rsidRPr="006C227C" w:rsidRDefault="006C131E" w:rsidP="006C131E">
      <w:pPr>
        <w:pStyle w:val="ListBullet"/>
      </w:pPr>
      <w:r w:rsidRPr="006C227C">
        <w:t>students from language backgrounds other than English (LBOTE)</w:t>
      </w:r>
    </w:p>
    <w:p w:rsidR="006C131E" w:rsidRPr="006C227C" w:rsidRDefault="00C031E4" w:rsidP="006C131E">
      <w:pPr>
        <w:pStyle w:val="ListBullet"/>
      </w:pPr>
      <w:r>
        <w:t>students with disability</w:t>
      </w:r>
    </w:p>
    <w:p w:rsidR="006C131E" w:rsidRPr="006C227C" w:rsidRDefault="006C131E" w:rsidP="006C131E">
      <w:pPr>
        <w:pStyle w:val="ListBullet"/>
      </w:pPr>
      <w:r w:rsidRPr="006C227C">
        <w:t>geographically r</w:t>
      </w:r>
      <w:r w:rsidR="00483891">
        <w:t>emote students (see SCRGSP [2014</w:t>
      </w:r>
      <w:r w:rsidRPr="006C227C">
        <w:t>] chapter</w:t>
      </w:r>
      <w:r w:rsidR="00966FAA" w:rsidRPr="006C227C">
        <w:t> </w:t>
      </w:r>
      <w:r w:rsidRPr="006C227C">
        <w:t>4).</w:t>
      </w:r>
    </w:p>
    <w:p w:rsidR="006C131E" w:rsidRPr="006C227C" w:rsidRDefault="006C131E" w:rsidP="006C131E">
      <w:pPr>
        <w:pStyle w:val="BodyText"/>
      </w:pPr>
      <w:r w:rsidRPr="006C227C">
        <w:t xml:space="preserve">This section provides contextual information on the proportions of Indigenous students, LBOTE students, </w:t>
      </w:r>
      <w:r w:rsidR="00C031E4">
        <w:t>students with disability</w:t>
      </w:r>
      <w:r w:rsidRPr="006C227C">
        <w:t xml:space="preserve"> and students who are geographically remote in each jurisdiction. </w:t>
      </w:r>
      <w:r w:rsidR="00853405">
        <w:t xml:space="preserve">Nationally consistent definitions have been agreed for all categories except students with disability, where agreement has been reached to </w:t>
      </w:r>
      <w:r w:rsidR="00853405" w:rsidRPr="00853405">
        <w:t>work towards a nationally consistent collection of data by 2015</w:t>
      </w:r>
      <w:r w:rsidR="00853405">
        <w:t xml:space="preserve">. </w:t>
      </w:r>
    </w:p>
    <w:p w:rsidR="006C131E" w:rsidRPr="006C227C" w:rsidRDefault="006C131E" w:rsidP="006C131E">
      <w:pPr>
        <w:pStyle w:val="BodyText"/>
      </w:pPr>
      <w:r w:rsidRPr="006C227C">
        <w:t xml:space="preserve">Data are not </w:t>
      </w:r>
      <w:r w:rsidR="004A71CC" w:rsidRPr="006C227C">
        <w:t xml:space="preserve">currently </w:t>
      </w:r>
      <w:r w:rsidRPr="006C227C">
        <w:t>available on</w:t>
      </w:r>
      <w:r w:rsidR="004A71CC">
        <w:t xml:space="preserve"> all Australian</w:t>
      </w:r>
      <w:r w:rsidRPr="006C227C">
        <w:t xml:space="preserve"> </w:t>
      </w:r>
      <w:r w:rsidRPr="006C227C">
        <w:rPr>
          <w:i/>
        </w:rPr>
        <w:t>students</w:t>
      </w:r>
      <w:r w:rsidRPr="006C227C">
        <w:t xml:space="preserve"> from low SES backgrounds. The Australian Curriculum, Assessment and Reporting Authority (ACARA) has developed the ICSEA — a measure of educational advantage, by which NAPLAN data can be compared across </w:t>
      </w:r>
      <w:r w:rsidRPr="006C227C">
        <w:rPr>
          <w:i/>
        </w:rPr>
        <w:t>schools</w:t>
      </w:r>
      <w:r w:rsidRPr="006C227C">
        <w:t xml:space="preserve"> that serve students with</w:t>
      </w:r>
      <w:r w:rsidR="003F4949">
        <w:t xml:space="preserve"> similar backgrounds (ACARA 2013</w:t>
      </w:r>
      <w:r w:rsidRPr="006C227C">
        <w:t>).</w:t>
      </w:r>
    </w:p>
    <w:p w:rsidR="006C131E" w:rsidRPr="00A5554D" w:rsidRDefault="006C131E" w:rsidP="00E23C42">
      <w:pPr>
        <w:pStyle w:val="Heading5"/>
      </w:pPr>
      <w:r w:rsidRPr="00A5554D">
        <w:t>Indigenous students</w:t>
      </w:r>
    </w:p>
    <w:p w:rsidR="006C131E" w:rsidRPr="00A5554D" w:rsidRDefault="006C131E" w:rsidP="006C131E">
      <w:pPr>
        <w:pStyle w:val="BodyText"/>
      </w:pPr>
      <w:r w:rsidRPr="00A5554D">
        <w:t>The most recent data on the number of Indigenous students enr</w:t>
      </w:r>
      <w:r w:rsidR="00A5554D">
        <w:t>olled in school are for the 2013</w:t>
      </w:r>
      <w:r w:rsidRPr="00A5554D">
        <w:t xml:space="preserve"> school year (table</w:t>
      </w:r>
      <w:r w:rsidR="00966FAA" w:rsidRPr="00A5554D">
        <w:t> </w:t>
      </w:r>
      <w:r w:rsidR="00A73FF3" w:rsidRPr="00A5554D">
        <w:rPr>
          <w:highlight w:val="yellow"/>
        </w:rPr>
        <w:fldChar w:fldCharType="begin"/>
      </w:r>
      <w:r w:rsidR="00A73FF3" w:rsidRPr="00A5554D">
        <w:rPr>
          <w:highlight w:val="yellow"/>
        </w:rPr>
        <w:instrText xml:space="preserve"> LINK Word.Document.12 "\\\\mel_1\\groups\\Monitor\\09 National Agreement Report\\02 NAR Report WIP\\2013 NAR Report - Ed and training\\2013 NAR first draft\\NEA\\NEA 2013 first draft for CA new template.docx" "OLE_LINK8" \a \t </w:instrText>
      </w:r>
      <w:r w:rsidR="00A73FF3" w:rsidRPr="00A5554D">
        <w:rPr>
          <w:highlight w:val="yellow"/>
        </w:rPr>
        <w:fldChar w:fldCharType="separate"/>
      </w:r>
      <w:r w:rsidR="00665723" w:rsidRPr="00A5554D">
        <w:t>6</w:t>
      </w:r>
      <w:r w:rsidR="00A73FF3" w:rsidRPr="00A5554D">
        <w:rPr>
          <w:highlight w:val="yellow"/>
        </w:rPr>
        <w:fldChar w:fldCharType="end"/>
      </w:r>
      <w:r w:rsidRPr="00A5554D">
        <w:t>).</w:t>
      </w:r>
    </w:p>
    <w:p w:rsidR="00A73FF3" w:rsidRPr="00103EF5" w:rsidRDefault="00A73FF3" w:rsidP="00A73FF3">
      <w:pPr>
        <w:pStyle w:val="TableTitle"/>
      </w:pPr>
      <w:r w:rsidRPr="00103EF5">
        <w:rPr>
          <w:b w:val="0"/>
        </w:rPr>
        <w:t xml:space="preserve">Table </w:t>
      </w:r>
      <w:bookmarkStart w:id="12" w:name="OLE_LINK8"/>
      <w:r w:rsidRPr="00103EF5">
        <w:rPr>
          <w:b w:val="0"/>
        </w:rPr>
        <w:fldChar w:fldCharType="begin"/>
      </w:r>
      <w:r w:rsidRPr="00103EF5">
        <w:rPr>
          <w:b w:val="0"/>
        </w:rPr>
        <w:instrText xml:space="preserve"> SEQ Table \* ARABIC </w:instrText>
      </w:r>
      <w:r w:rsidRPr="00103EF5">
        <w:rPr>
          <w:b w:val="0"/>
        </w:rPr>
        <w:fldChar w:fldCharType="separate"/>
      </w:r>
      <w:r w:rsidR="005F5618">
        <w:rPr>
          <w:b w:val="0"/>
          <w:noProof/>
        </w:rPr>
        <w:t>6</w:t>
      </w:r>
      <w:r w:rsidRPr="00103EF5">
        <w:rPr>
          <w:b w:val="0"/>
        </w:rPr>
        <w:fldChar w:fldCharType="end"/>
      </w:r>
      <w:bookmarkEnd w:id="12"/>
      <w:r w:rsidRPr="00103EF5">
        <w:tab/>
        <w:t>Number and proportion of Indigenous students enrolled in school, by school sector, 201</w:t>
      </w:r>
      <w:r w:rsidR="00BA4935" w:rsidRPr="00103EF5">
        <w:t>3</w:t>
      </w:r>
      <w:r w:rsidRPr="00103EF5">
        <w:rPr>
          <w:rStyle w:val="NoteLabel"/>
          <w:b/>
        </w:rPr>
        <w:t>a, b</w:t>
      </w:r>
      <w:r w:rsidR="00103EF5">
        <w:rPr>
          <w:rStyle w:val="NoteLabel"/>
          <w:b/>
        </w:rPr>
        <w:t>, c</w:t>
      </w:r>
    </w:p>
    <w:tbl>
      <w:tblPr>
        <w:tblW w:w="5000" w:type="pct"/>
        <w:tblLayout w:type="fixed"/>
        <w:tblCellMar>
          <w:left w:w="0" w:type="dxa"/>
          <w:right w:w="0" w:type="dxa"/>
        </w:tblCellMar>
        <w:tblLook w:val="0000" w:firstRow="0" w:lastRow="0" w:firstColumn="0" w:lastColumn="0" w:noHBand="0" w:noVBand="0"/>
      </w:tblPr>
      <w:tblGrid>
        <w:gridCol w:w="2578"/>
        <w:gridCol w:w="689"/>
        <w:gridCol w:w="691"/>
        <w:gridCol w:w="691"/>
        <w:gridCol w:w="691"/>
        <w:gridCol w:w="689"/>
        <w:gridCol w:w="691"/>
        <w:gridCol w:w="691"/>
        <w:gridCol w:w="691"/>
        <w:gridCol w:w="7"/>
        <w:gridCol w:w="680"/>
      </w:tblGrid>
      <w:tr w:rsidR="00103EF5" w:rsidRPr="00103EF5" w:rsidTr="006A37AB">
        <w:trPr>
          <w:trHeight w:val="330"/>
        </w:trPr>
        <w:tc>
          <w:tcPr>
            <w:tcW w:w="1467" w:type="pct"/>
            <w:tcBorders>
              <w:top w:val="single" w:sz="6" w:space="0" w:color="auto"/>
              <w:bottom w:val="single" w:sz="6" w:space="0" w:color="auto"/>
            </w:tcBorders>
            <w:shd w:val="clear" w:color="auto" w:fill="auto"/>
          </w:tcPr>
          <w:p w:rsidR="00A73FF3" w:rsidRPr="00103EF5" w:rsidRDefault="00A73FF3" w:rsidP="00E54D48">
            <w:pPr>
              <w:pStyle w:val="TableColumnHeading"/>
              <w:jc w:val="left"/>
            </w:pPr>
          </w:p>
        </w:tc>
        <w:tc>
          <w:tcPr>
            <w:tcW w:w="392" w:type="pct"/>
            <w:tcBorders>
              <w:top w:val="single" w:sz="6" w:space="0" w:color="auto"/>
              <w:bottom w:val="single" w:sz="6" w:space="0" w:color="auto"/>
            </w:tcBorders>
          </w:tcPr>
          <w:p w:rsidR="00A73FF3" w:rsidRPr="00103EF5" w:rsidRDefault="00A73FF3" w:rsidP="00E54D48">
            <w:pPr>
              <w:pStyle w:val="TableColumnHeading"/>
            </w:pPr>
            <w:r w:rsidRPr="00103EF5">
              <w:t>NSW</w:t>
            </w:r>
          </w:p>
        </w:tc>
        <w:tc>
          <w:tcPr>
            <w:tcW w:w="393" w:type="pct"/>
            <w:tcBorders>
              <w:top w:val="single" w:sz="6" w:space="0" w:color="auto"/>
              <w:bottom w:val="single" w:sz="6" w:space="0" w:color="auto"/>
            </w:tcBorders>
          </w:tcPr>
          <w:p w:rsidR="00A73FF3" w:rsidRPr="00103EF5" w:rsidRDefault="00A73FF3" w:rsidP="00E54D48">
            <w:pPr>
              <w:pStyle w:val="TableColumnHeading"/>
            </w:pPr>
            <w:r w:rsidRPr="00103EF5">
              <w:t>Vic</w:t>
            </w:r>
          </w:p>
        </w:tc>
        <w:tc>
          <w:tcPr>
            <w:tcW w:w="393" w:type="pct"/>
            <w:tcBorders>
              <w:top w:val="single" w:sz="6" w:space="0" w:color="auto"/>
              <w:bottom w:val="single" w:sz="6" w:space="0" w:color="auto"/>
            </w:tcBorders>
          </w:tcPr>
          <w:p w:rsidR="00A73FF3" w:rsidRPr="00103EF5" w:rsidRDefault="00A73FF3" w:rsidP="00E54D48">
            <w:pPr>
              <w:pStyle w:val="TableColumnHeading"/>
            </w:pPr>
            <w:r w:rsidRPr="00103EF5">
              <w:t>Qld</w:t>
            </w:r>
          </w:p>
        </w:tc>
        <w:tc>
          <w:tcPr>
            <w:tcW w:w="393" w:type="pct"/>
            <w:tcBorders>
              <w:top w:val="single" w:sz="6" w:space="0" w:color="auto"/>
              <w:bottom w:val="single" w:sz="6" w:space="0" w:color="auto"/>
            </w:tcBorders>
          </w:tcPr>
          <w:p w:rsidR="00A73FF3" w:rsidRPr="00103EF5" w:rsidRDefault="00A73FF3" w:rsidP="00E54D48">
            <w:pPr>
              <w:pStyle w:val="TableColumnHeading"/>
            </w:pPr>
            <w:r w:rsidRPr="00103EF5">
              <w:t>WA</w:t>
            </w:r>
          </w:p>
        </w:tc>
        <w:tc>
          <w:tcPr>
            <w:tcW w:w="392" w:type="pct"/>
            <w:tcBorders>
              <w:top w:val="single" w:sz="6" w:space="0" w:color="auto"/>
              <w:bottom w:val="single" w:sz="6" w:space="0" w:color="auto"/>
            </w:tcBorders>
          </w:tcPr>
          <w:p w:rsidR="00A73FF3" w:rsidRPr="00103EF5" w:rsidRDefault="00A73FF3" w:rsidP="00E54D48">
            <w:pPr>
              <w:pStyle w:val="TableColumnHeading"/>
            </w:pPr>
            <w:r w:rsidRPr="00103EF5">
              <w:t>SA</w:t>
            </w:r>
          </w:p>
        </w:tc>
        <w:tc>
          <w:tcPr>
            <w:tcW w:w="393" w:type="pct"/>
            <w:tcBorders>
              <w:top w:val="single" w:sz="6" w:space="0" w:color="auto"/>
              <w:bottom w:val="single" w:sz="6" w:space="0" w:color="auto"/>
            </w:tcBorders>
          </w:tcPr>
          <w:p w:rsidR="00A73FF3" w:rsidRPr="00103EF5" w:rsidRDefault="00A73FF3" w:rsidP="00E54D48">
            <w:pPr>
              <w:pStyle w:val="TableColumnHeading"/>
            </w:pPr>
            <w:r w:rsidRPr="00103EF5">
              <w:t>Tas</w:t>
            </w:r>
          </w:p>
        </w:tc>
        <w:tc>
          <w:tcPr>
            <w:tcW w:w="393" w:type="pct"/>
            <w:tcBorders>
              <w:top w:val="single" w:sz="6" w:space="0" w:color="auto"/>
              <w:bottom w:val="single" w:sz="6" w:space="0" w:color="auto"/>
            </w:tcBorders>
          </w:tcPr>
          <w:p w:rsidR="00A73FF3" w:rsidRPr="00103EF5" w:rsidRDefault="00A73FF3" w:rsidP="00E54D48">
            <w:pPr>
              <w:pStyle w:val="TableColumnHeading"/>
            </w:pPr>
            <w:r w:rsidRPr="00103EF5">
              <w:t>ACT</w:t>
            </w:r>
          </w:p>
        </w:tc>
        <w:tc>
          <w:tcPr>
            <w:tcW w:w="393" w:type="pct"/>
            <w:tcBorders>
              <w:top w:val="single" w:sz="6" w:space="0" w:color="auto"/>
              <w:bottom w:val="single" w:sz="6" w:space="0" w:color="auto"/>
            </w:tcBorders>
            <w:shd w:val="clear" w:color="auto" w:fill="auto"/>
          </w:tcPr>
          <w:p w:rsidR="00A73FF3" w:rsidRPr="00103EF5" w:rsidRDefault="00A73FF3" w:rsidP="00E54D48">
            <w:pPr>
              <w:pStyle w:val="TableColumnHeading"/>
            </w:pPr>
            <w:r w:rsidRPr="00103EF5">
              <w:t>NT</w:t>
            </w:r>
          </w:p>
        </w:tc>
        <w:tc>
          <w:tcPr>
            <w:tcW w:w="391" w:type="pct"/>
            <w:gridSpan w:val="2"/>
            <w:tcBorders>
              <w:top w:val="single" w:sz="6" w:space="0" w:color="auto"/>
              <w:bottom w:val="single" w:sz="6" w:space="0" w:color="auto"/>
            </w:tcBorders>
            <w:shd w:val="clear" w:color="auto" w:fill="auto"/>
          </w:tcPr>
          <w:p w:rsidR="00A73FF3" w:rsidRPr="00103EF5" w:rsidRDefault="00A73FF3" w:rsidP="00E54D48">
            <w:pPr>
              <w:pStyle w:val="TableColumnHeading"/>
              <w:ind w:right="28"/>
            </w:pPr>
            <w:r w:rsidRPr="00103EF5">
              <w:t>Aust</w:t>
            </w:r>
          </w:p>
        </w:tc>
      </w:tr>
      <w:tr w:rsidR="00103EF5" w:rsidRPr="00103EF5" w:rsidTr="006A37AB">
        <w:trPr>
          <w:trHeight w:val="208"/>
        </w:trPr>
        <w:tc>
          <w:tcPr>
            <w:tcW w:w="4613" w:type="pct"/>
            <w:gridSpan w:val="10"/>
            <w:tcBorders>
              <w:top w:val="single" w:sz="6" w:space="0" w:color="auto"/>
            </w:tcBorders>
          </w:tcPr>
          <w:p w:rsidR="00A73FF3" w:rsidRPr="00103EF5" w:rsidRDefault="00A73FF3" w:rsidP="00A73FF3">
            <w:pPr>
              <w:pStyle w:val="TableUnitsRow"/>
              <w:jc w:val="left"/>
            </w:pPr>
            <w:r w:rsidRPr="00103EF5">
              <w:t>Number of Indigenous students enrolled in school (‘000)</w:t>
            </w:r>
          </w:p>
        </w:tc>
        <w:tc>
          <w:tcPr>
            <w:tcW w:w="387" w:type="pct"/>
            <w:tcBorders>
              <w:top w:val="single" w:sz="6" w:space="0" w:color="auto"/>
            </w:tcBorders>
          </w:tcPr>
          <w:p w:rsidR="00A73FF3" w:rsidRPr="00103EF5" w:rsidRDefault="00A73FF3" w:rsidP="00E54D48">
            <w:pPr>
              <w:pStyle w:val="TableUnitsRow"/>
              <w:ind w:right="28"/>
            </w:pPr>
          </w:p>
        </w:tc>
      </w:tr>
      <w:tr w:rsidR="00103EF5" w:rsidRPr="00103EF5" w:rsidTr="005B6C45">
        <w:tc>
          <w:tcPr>
            <w:tcW w:w="1467" w:type="pct"/>
          </w:tcPr>
          <w:p w:rsidR="00103EF5" w:rsidRPr="00103EF5" w:rsidRDefault="00103EF5" w:rsidP="00E54D48">
            <w:pPr>
              <w:pStyle w:val="TableBodyText"/>
              <w:ind w:left="180"/>
              <w:jc w:val="left"/>
              <w:rPr>
                <w:b/>
              </w:rPr>
            </w:pPr>
            <w:r w:rsidRPr="00103EF5">
              <w:t>Government schools</w:t>
            </w:r>
          </w:p>
        </w:tc>
        <w:tc>
          <w:tcPr>
            <w:tcW w:w="392" w:type="pct"/>
          </w:tcPr>
          <w:p w:rsidR="00103EF5" w:rsidRPr="00733626" w:rsidRDefault="00103EF5" w:rsidP="00103EF5">
            <w:pPr>
              <w:pStyle w:val="TableBodyText"/>
            </w:pPr>
            <w:r w:rsidRPr="00733626">
              <w:t>49.2</w:t>
            </w:r>
          </w:p>
        </w:tc>
        <w:tc>
          <w:tcPr>
            <w:tcW w:w="393" w:type="pct"/>
          </w:tcPr>
          <w:p w:rsidR="00103EF5" w:rsidRPr="00733626" w:rsidRDefault="00103EF5" w:rsidP="00103EF5">
            <w:pPr>
              <w:pStyle w:val="TableBodyText"/>
            </w:pPr>
            <w:r w:rsidRPr="00733626">
              <w:t>10.4</w:t>
            </w:r>
          </w:p>
        </w:tc>
        <w:tc>
          <w:tcPr>
            <w:tcW w:w="393" w:type="pct"/>
          </w:tcPr>
          <w:p w:rsidR="00103EF5" w:rsidRPr="00733626" w:rsidRDefault="00103EF5" w:rsidP="00103EF5">
            <w:pPr>
              <w:pStyle w:val="TableBodyText"/>
            </w:pPr>
            <w:r w:rsidRPr="00733626">
              <w:t>45.2</w:t>
            </w:r>
          </w:p>
        </w:tc>
        <w:tc>
          <w:tcPr>
            <w:tcW w:w="393" w:type="pct"/>
          </w:tcPr>
          <w:p w:rsidR="00103EF5" w:rsidRPr="00733626" w:rsidRDefault="00103EF5" w:rsidP="00103EF5">
            <w:pPr>
              <w:pStyle w:val="TableBodyText"/>
            </w:pPr>
            <w:r w:rsidRPr="00733626">
              <w:t>20.7</w:t>
            </w:r>
          </w:p>
        </w:tc>
        <w:tc>
          <w:tcPr>
            <w:tcW w:w="392" w:type="pct"/>
          </w:tcPr>
          <w:p w:rsidR="00103EF5" w:rsidRPr="00733626" w:rsidRDefault="00103EF5" w:rsidP="00103EF5">
            <w:pPr>
              <w:pStyle w:val="TableBodyText"/>
            </w:pPr>
            <w:r w:rsidRPr="00733626">
              <w:t>9.4</w:t>
            </w:r>
          </w:p>
        </w:tc>
        <w:tc>
          <w:tcPr>
            <w:tcW w:w="393" w:type="pct"/>
          </w:tcPr>
          <w:p w:rsidR="00103EF5" w:rsidRPr="00733626" w:rsidRDefault="00103EF5" w:rsidP="00103EF5">
            <w:pPr>
              <w:pStyle w:val="TableBodyText"/>
            </w:pPr>
            <w:r w:rsidRPr="00733626">
              <w:t>4.9</w:t>
            </w:r>
          </w:p>
        </w:tc>
        <w:tc>
          <w:tcPr>
            <w:tcW w:w="393" w:type="pct"/>
          </w:tcPr>
          <w:p w:rsidR="00103EF5" w:rsidRPr="00733626" w:rsidRDefault="00103EF5" w:rsidP="00103EF5">
            <w:pPr>
              <w:pStyle w:val="TableBodyText"/>
            </w:pPr>
            <w:r w:rsidRPr="00733626">
              <w:t>1.2</w:t>
            </w:r>
          </w:p>
        </w:tc>
        <w:tc>
          <w:tcPr>
            <w:tcW w:w="393" w:type="pct"/>
          </w:tcPr>
          <w:p w:rsidR="00103EF5" w:rsidRPr="00733626" w:rsidRDefault="00103EF5" w:rsidP="00103EF5">
            <w:pPr>
              <w:pStyle w:val="TableBodyText"/>
            </w:pPr>
            <w:r w:rsidRPr="00733626">
              <w:t>13.1</w:t>
            </w:r>
          </w:p>
        </w:tc>
        <w:tc>
          <w:tcPr>
            <w:tcW w:w="391" w:type="pct"/>
            <w:gridSpan w:val="2"/>
          </w:tcPr>
          <w:p w:rsidR="00103EF5" w:rsidRPr="00733626" w:rsidRDefault="00103EF5" w:rsidP="00103EF5">
            <w:pPr>
              <w:pStyle w:val="TableBodyText"/>
              <w:ind w:right="28"/>
            </w:pPr>
            <w:r w:rsidRPr="00733626">
              <w:t>154.1</w:t>
            </w:r>
          </w:p>
        </w:tc>
      </w:tr>
      <w:tr w:rsidR="00103EF5" w:rsidRPr="00103EF5" w:rsidTr="005B6C45">
        <w:tc>
          <w:tcPr>
            <w:tcW w:w="1467" w:type="pct"/>
          </w:tcPr>
          <w:p w:rsidR="00103EF5" w:rsidRPr="00103EF5" w:rsidRDefault="00103EF5" w:rsidP="00E54D48">
            <w:pPr>
              <w:pStyle w:val="TableBodyText"/>
              <w:ind w:left="180"/>
              <w:jc w:val="left"/>
              <w:rPr>
                <w:b/>
              </w:rPr>
            </w:pPr>
            <w:r w:rsidRPr="00103EF5">
              <w:t>Non</w:t>
            </w:r>
            <w:r w:rsidRPr="00103EF5">
              <w:noBreakHyphen/>
              <w:t>government schools</w:t>
            </w:r>
          </w:p>
        </w:tc>
        <w:tc>
          <w:tcPr>
            <w:tcW w:w="392" w:type="pct"/>
          </w:tcPr>
          <w:p w:rsidR="00103EF5" w:rsidRPr="00733626" w:rsidRDefault="00103EF5" w:rsidP="00103EF5">
            <w:pPr>
              <w:pStyle w:val="TableBodyText"/>
            </w:pPr>
            <w:r w:rsidRPr="00733626">
              <w:t>8.6</w:t>
            </w:r>
          </w:p>
        </w:tc>
        <w:tc>
          <w:tcPr>
            <w:tcW w:w="393" w:type="pct"/>
          </w:tcPr>
          <w:p w:rsidR="00103EF5" w:rsidRPr="00733626" w:rsidRDefault="00103EF5" w:rsidP="00103EF5">
            <w:pPr>
              <w:pStyle w:val="TableBodyText"/>
            </w:pPr>
            <w:r w:rsidRPr="00733626">
              <w:t>1.7</w:t>
            </w:r>
          </w:p>
        </w:tc>
        <w:tc>
          <w:tcPr>
            <w:tcW w:w="393" w:type="pct"/>
          </w:tcPr>
          <w:p w:rsidR="00103EF5" w:rsidRPr="00733626" w:rsidRDefault="00103EF5" w:rsidP="00103EF5">
            <w:pPr>
              <w:pStyle w:val="TableBodyText"/>
            </w:pPr>
            <w:r w:rsidRPr="00733626">
              <w:t>8.6</w:t>
            </w:r>
          </w:p>
        </w:tc>
        <w:tc>
          <w:tcPr>
            <w:tcW w:w="393" w:type="pct"/>
          </w:tcPr>
          <w:p w:rsidR="00103EF5" w:rsidRPr="00733626" w:rsidRDefault="00103EF5" w:rsidP="00103EF5">
            <w:pPr>
              <w:pStyle w:val="TableBodyText"/>
            </w:pPr>
            <w:r w:rsidRPr="00733626">
              <w:t>3.9</w:t>
            </w:r>
          </w:p>
        </w:tc>
        <w:tc>
          <w:tcPr>
            <w:tcW w:w="392" w:type="pct"/>
          </w:tcPr>
          <w:p w:rsidR="00103EF5" w:rsidRPr="00733626" w:rsidRDefault="00103EF5" w:rsidP="00103EF5">
            <w:pPr>
              <w:pStyle w:val="TableBodyText"/>
            </w:pPr>
            <w:r w:rsidRPr="00733626">
              <w:t>1.2</w:t>
            </w:r>
          </w:p>
        </w:tc>
        <w:tc>
          <w:tcPr>
            <w:tcW w:w="393" w:type="pct"/>
          </w:tcPr>
          <w:p w:rsidR="00103EF5" w:rsidRPr="00733626" w:rsidRDefault="00103EF5" w:rsidP="00103EF5">
            <w:pPr>
              <w:pStyle w:val="TableBodyText"/>
            </w:pPr>
            <w:r w:rsidRPr="00733626">
              <w:t>1.0</w:t>
            </w:r>
          </w:p>
        </w:tc>
        <w:tc>
          <w:tcPr>
            <w:tcW w:w="393" w:type="pct"/>
          </w:tcPr>
          <w:p w:rsidR="00103EF5" w:rsidRPr="00733626" w:rsidRDefault="006F3AC6" w:rsidP="00103EF5">
            <w:pPr>
              <w:pStyle w:val="TableBodyText"/>
            </w:pPr>
            <w:r>
              <w:t>0</w:t>
            </w:r>
            <w:r w:rsidR="00103EF5" w:rsidRPr="00733626">
              <w:t>.4</w:t>
            </w:r>
          </w:p>
        </w:tc>
        <w:tc>
          <w:tcPr>
            <w:tcW w:w="393" w:type="pct"/>
          </w:tcPr>
          <w:p w:rsidR="00103EF5" w:rsidRPr="00733626" w:rsidRDefault="00103EF5" w:rsidP="00103EF5">
            <w:pPr>
              <w:pStyle w:val="TableBodyText"/>
            </w:pPr>
            <w:r w:rsidRPr="00733626">
              <w:t>3.2</w:t>
            </w:r>
          </w:p>
        </w:tc>
        <w:tc>
          <w:tcPr>
            <w:tcW w:w="391" w:type="pct"/>
            <w:gridSpan w:val="2"/>
          </w:tcPr>
          <w:p w:rsidR="00103EF5" w:rsidRPr="00733626" w:rsidRDefault="00103EF5" w:rsidP="00103EF5">
            <w:pPr>
              <w:pStyle w:val="TableBodyText"/>
              <w:ind w:right="28"/>
            </w:pPr>
            <w:r w:rsidRPr="00733626">
              <w:t>28.6</w:t>
            </w:r>
          </w:p>
        </w:tc>
      </w:tr>
      <w:tr w:rsidR="00103EF5" w:rsidRPr="00103EF5" w:rsidTr="005B6C45">
        <w:tc>
          <w:tcPr>
            <w:tcW w:w="1467" w:type="pct"/>
          </w:tcPr>
          <w:p w:rsidR="00103EF5" w:rsidRPr="00103EF5" w:rsidRDefault="00103EF5" w:rsidP="00E54D48">
            <w:pPr>
              <w:pStyle w:val="TableBodyText"/>
              <w:ind w:left="180"/>
              <w:jc w:val="left"/>
              <w:rPr>
                <w:b/>
              </w:rPr>
            </w:pPr>
            <w:r w:rsidRPr="00103EF5">
              <w:rPr>
                <w:b/>
              </w:rPr>
              <w:t>All schools</w:t>
            </w:r>
          </w:p>
        </w:tc>
        <w:tc>
          <w:tcPr>
            <w:tcW w:w="392" w:type="pct"/>
          </w:tcPr>
          <w:p w:rsidR="00103EF5" w:rsidRPr="00103EF5" w:rsidRDefault="00103EF5" w:rsidP="00103EF5">
            <w:pPr>
              <w:pStyle w:val="TableBodyText"/>
              <w:rPr>
                <w:b/>
              </w:rPr>
            </w:pPr>
            <w:r w:rsidRPr="00103EF5">
              <w:rPr>
                <w:b/>
              </w:rPr>
              <w:t>57.7</w:t>
            </w:r>
          </w:p>
        </w:tc>
        <w:tc>
          <w:tcPr>
            <w:tcW w:w="393" w:type="pct"/>
          </w:tcPr>
          <w:p w:rsidR="00103EF5" w:rsidRPr="00103EF5" w:rsidRDefault="00103EF5" w:rsidP="00103EF5">
            <w:pPr>
              <w:pStyle w:val="TableBodyText"/>
              <w:rPr>
                <w:b/>
              </w:rPr>
            </w:pPr>
            <w:r w:rsidRPr="00103EF5">
              <w:rPr>
                <w:b/>
              </w:rPr>
              <w:t>12.1</w:t>
            </w:r>
          </w:p>
        </w:tc>
        <w:tc>
          <w:tcPr>
            <w:tcW w:w="393" w:type="pct"/>
          </w:tcPr>
          <w:p w:rsidR="00103EF5" w:rsidRPr="00103EF5" w:rsidRDefault="00103EF5" w:rsidP="00103EF5">
            <w:pPr>
              <w:pStyle w:val="TableBodyText"/>
              <w:rPr>
                <w:b/>
              </w:rPr>
            </w:pPr>
            <w:r w:rsidRPr="00103EF5">
              <w:rPr>
                <w:b/>
              </w:rPr>
              <w:t>53.8</w:t>
            </w:r>
          </w:p>
        </w:tc>
        <w:tc>
          <w:tcPr>
            <w:tcW w:w="393" w:type="pct"/>
          </w:tcPr>
          <w:p w:rsidR="00103EF5" w:rsidRPr="00103EF5" w:rsidRDefault="00103EF5" w:rsidP="00103EF5">
            <w:pPr>
              <w:pStyle w:val="TableBodyText"/>
              <w:rPr>
                <w:b/>
              </w:rPr>
            </w:pPr>
            <w:r w:rsidRPr="00103EF5">
              <w:rPr>
                <w:b/>
              </w:rPr>
              <w:t>24.6</w:t>
            </w:r>
          </w:p>
        </w:tc>
        <w:tc>
          <w:tcPr>
            <w:tcW w:w="392" w:type="pct"/>
          </w:tcPr>
          <w:p w:rsidR="00103EF5" w:rsidRPr="00103EF5" w:rsidRDefault="00103EF5" w:rsidP="00103EF5">
            <w:pPr>
              <w:pStyle w:val="TableBodyText"/>
              <w:rPr>
                <w:b/>
              </w:rPr>
            </w:pPr>
            <w:r w:rsidRPr="00103EF5">
              <w:rPr>
                <w:b/>
              </w:rPr>
              <w:t>10.6</w:t>
            </w:r>
          </w:p>
        </w:tc>
        <w:tc>
          <w:tcPr>
            <w:tcW w:w="393" w:type="pct"/>
          </w:tcPr>
          <w:p w:rsidR="00103EF5" w:rsidRPr="00103EF5" w:rsidRDefault="00103EF5" w:rsidP="00103EF5">
            <w:pPr>
              <w:pStyle w:val="TableBodyText"/>
              <w:rPr>
                <w:b/>
              </w:rPr>
            </w:pPr>
            <w:r w:rsidRPr="00103EF5">
              <w:rPr>
                <w:b/>
              </w:rPr>
              <w:t>5.9</w:t>
            </w:r>
          </w:p>
        </w:tc>
        <w:tc>
          <w:tcPr>
            <w:tcW w:w="393" w:type="pct"/>
          </w:tcPr>
          <w:p w:rsidR="00103EF5" w:rsidRPr="00103EF5" w:rsidRDefault="00103EF5" w:rsidP="00103EF5">
            <w:pPr>
              <w:pStyle w:val="TableBodyText"/>
              <w:rPr>
                <w:b/>
              </w:rPr>
            </w:pPr>
            <w:r w:rsidRPr="00103EF5">
              <w:rPr>
                <w:b/>
              </w:rPr>
              <w:t>1.6</w:t>
            </w:r>
          </w:p>
        </w:tc>
        <w:tc>
          <w:tcPr>
            <w:tcW w:w="393" w:type="pct"/>
          </w:tcPr>
          <w:p w:rsidR="00103EF5" w:rsidRPr="00103EF5" w:rsidRDefault="00103EF5" w:rsidP="00103EF5">
            <w:pPr>
              <w:pStyle w:val="TableBodyText"/>
              <w:rPr>
                <w:b/>
              </w:rPr>
            </w:pPr>
            <w:r w:rsidRPr="00103EF5">
              <w:rPr>
                <w:b/>
              </w:rPr>
              <w:t>16.3</w:t>
            </w:r>
          </w:p>
        </w:tc>
        <w:tc>
          <w:tcPr>
            <w:tcW w:w="391" w:type="pct"/>
            <w:gridSpan w:val="2"/>
          </w:tcPr>
          <w:p w:rsidR="00103EF5" w:rsidRPr="00103EF5" w:rsidRDefault="00103EF5" w:rsidP="00103EF5">
            <w:pPr>
              <w:pStyle w:val="TableBodyText"/>
              <w:ind w:right="28"/>
              <w:rPr>
                <w:b/>
              </w:rPr>
            </w:pPr>
            <w:r w:rsidRPr="00103EF5">
              <w:rPr>
                <w:b/>
              </w:rPr>
              <w:t>182.6</w:t>
            </w:r>
          </w:p>
        </w:tc>
      </w:tr>
      <w:tr w:rsidR="00103EF5" w:rsidRPr="00103EF5" w:rsidTr="005B6C45">
        <w:tc>
          <w:tcPr>
            <w:tcW w:w="4613" w:type="pct"/>
            <w:gridSpan w:val="10"/>
          </w:tcPr>
          <w:p w:rsidR="00A73FF3" w:rsidRPr="00103EF5" w:rsidRDefault="004177CF" w:rsidP="00A73FF3">
            <w:pPr>
              <w:pStyle w:val="TableBodyText"/>
              <w:jc w:val="left"/>
            </w:pPr>
            <w:r>
              <w:rPr>
                <w:rFonts w:cs="Arial"/>
              </w:rPr>
              <w:t>Proportion of students enrolled in school who are</w:t>
            </w:r>
            <w:r w:rsidRPr="00103EF5">
              <w:t xml:space="preserve"> </w:t>
            </w:r>
            <w:r w:rsidR="00370BB4">
              <w:t xml:space="preserve">Indigenous </w:t>
            </w:r>
            <w:r w:rsidR="00A73FF3" w:rsidRPr="00103EF5">
              <w:t>(per cent)</w:t>
            </w:r>
          </w:p>
        </w:tc>
        <w:tc>
          <w:tcPr>
            <w:tcW w:w="387" w:type="pct"/>
          </w:tcPr>
          <w:p w:rsidR="00A73FF3" w:rsidRPr="00103EF5" w:rsidRDefault="00A73FF3" w:rsidP="00E54D48">
            <w:pPr>
              <w:pStyle w:val="TableBodyText"/>
              <w:ind w:right="28"/>
            </w:pPr>
          </w:p>
        </w:tc>
      </w:tr>
      <w:tr w:rsidR="00103EF5" w:rsidRPr="00103EF5" w:rsidTr="0036701A">
        <w:tc>
          <w:tcPr>
            <w:tcW w:w="1467" w:type="pct"/>
          </w:tcPr>
          <w:p w:rsidR="00103EF5" w:rsidRPr="00103EF5" w:rsidRDefault="00103EF5" w:rsidP="00E54D48">
            <w:pPr>
              <w:pStyle w:val="TableBodyText"/>
              <w:ind w:left="180"/>
              <w:jc w:val="left"/>
            </w:pPr>
            <w:r w:rsidRPr="00103EF5">
              <w:t>Government schools</w:t>
            </w:r>
          </w:p>
        </w:tc>
        <w:tc>
          <w:tcPr>
            <w:tcW w:w="392" w:type="pct"/>
            <w:vAlign w:val="bottom"/>
          </w:tcPr>
          <w:p w:rsidR="00103EF5" w:rsidRDefault="00103EF5" w:rsidP="00103EF5">
            <w:pPr>
              <w:pStyle w:val="TableBodyText"/>
            </w:pPr>
            <w:r>
              <w:t>6.5</w:t>
            </w:r>
          </w:p>
        </w:tc>
        <w:tc>
          <w:tcPr>
            <w:tcW w:w="393" w:type="pct"/>
            <w:vAlign w:val="bottom"/>
          </w:tcPr>
          <w:p w:rsidR="00103EF5" w:rsidRDefault="00103EF5" w:rsidP="00103EF5">
            <w:pPr>
              <w:pStyle w:val="TableBodyText"/>
            </w:pPr>
            <w:r>
              <w:t>1.9</w:t>
            </w:r>
          </w:p>
        </w:tc>
        <w:tc>
          <w:tcPr>
            <w:tcW w:w="393" w:type="pct"/>
            <w:vAlign w:val="bottom"/>
          </w:tcPr>
          <w:p w:rsidR="00103EF5" w:rsidRDefault="00103EF5" w:rsidP="00103EF5">
            <w:pPr>
              <w:pStyle w:val="TableBodyText"/>
            </w:pPr>
            <w:r>
              <w:t>8.9</w:t>
            </w:r>
          </w:p>
        </w:tc>
        <w:tc>
          <w:tcPr>
            <w:tcW w:w="393" w:type="pct"/>
            <w:vAlign w:val="bottom"/>
          </w:tcPr>
          <w:p w:rsidR="00103EF5" w:rsidRDefault="00103EF5" w:rsidP="00103EF5">
            <w:pPr>
              <w:pStyle w:val="TableBodyText"/>
            </w:pPr>
            <w:r>
              <w:t>8.2</w:t>
            </w:r>
          </w:p>
        </w:tc>
        <w:tc>
          <w:tcPr>
            <w:tcW w:w="392" w:type="pct"/>
            <w:vAlign w:val="bottom"/>
          </w:tcPr>
          <w:p w:rsidR="00103EF5" w:rsidRDefault="00103EF5" w:rsidP="00103EF5">
            <w:pPr>
              <w:pStyle w:val="TableBodyText"/>
            </w:pPr>
            <w:r>
              <w:t>5.7</w:t>
            </w:r>
          </w:p>
        </w:tc>
        <w:tc>
          <w:tcPr>
            <w:tcW w:w="393" w:type="pct"/>
            <w:vAlign w:val="bottom"/>
          </w:tcPr>
          <w:p w:rsidR="00103EF5" w:rsidRDefault="00103EF5" w:rsidP="00103EF5">
            <w:pPr>
              <w:pStyle w:val="TableBodyText"/>
            </w:pPr>
            <w:r>
              <w:t>8.8</w:t>
            </w:r>
          </w:p>
        </w:tc>
        <w:tc>
          <w:tcPr>
            <w:tcW w:w="393" w:type="pct"/>
            <w:vAlign w:val="bottom"/>
          </w:tcPr>
          <w:p w:rsidR="00103EF5" w:rsidRDefault="00103EF5" w:rsidP="00103EF5">
            <w:pPr>
              <w:pStyle w:val="TableBodyText"/>
            </w:pPr>
            <w:r>
              <w:t>3.3</w:t>
            </w:r>
          </w:p>
        </w:tc>
        <w:tc>
          <w:tcPr>
            <w:tcW w:w="393" w:type="pct"/>
            <w:vAlign w:val="bottom"/>
          </w:tcPr>
          <w:p w:rsidR="00103EF5" w:rsidRDefault="00103EF5" w:rsidP="00103EF5">
            <w:pPr>
              <w:pStyle w:val="TableBodyText"/>
            </w:pPr>
            <w:r>
              <w:t>44.7</w:t>
            </w:r>
          </w:p>
        </w:tc>
        <w:tc>
          <w:tcPr>
            <w:tcW w:w="391" w:type="pct"/>
            <w:gridSpan w:val="2"/>
            <w:vAlign w:val="bottom"/>
          </w:tcPr>
          <w:p w:rsidR="00103EF5" w:rsidRDefault="00103EF5" w:rsidP="00103EF5">
            <w:pPr>
              <w:pStyle w:val="TableBodyText"/>
              <w:ind w:right="28"/>
            </w:pPr>
            <w:r>
              <w:t>6.5</w:t>
            </w:r>
          </w:p>
        </w:tc>
      </w:tr>
      <w:tr w:rsidR="00103EF5" w:rsidRPr="00103EF5" w:rsidTr="0036701A">
        <w:tc>
          <w:tcPr>
            <w:tcW w:w="1467" w:type="pct"/>
          </w:tcPr>
          <w:p w:rsidR="00103EF5" w:rsidRPr="00103EF5" w:rsidRDefault="00103EF5" w:rsidP="00E54D48">
            <w:pPr>
              <w:pStyle w:val="TableBodyText"/>
              <w:ind w:left="180"/>
              <w:jc w:val="left"/>
            </w:pPr>
            <w:r w:rsidRPr="00103EF5">
              <w:t>Non</w:t>
            </w:r>
            <w:r w:rsidRPr="00103EF5">
              <w:noBreakHyphen/>
              <w:t>government schools</w:t>
            </w:r>
          </w:p>
        </w:tc>
        <w:tc>
          <w:tcPr>
            <w:tcW w:w="392" w:type="pct"/>
            <w:vAlign w:val="bottom"/>
          </w:tcPr>
          <w:p w:rsidR="00103EF5" w:rsidRDefault="00103EF5" w:rsidP="00103EF5">
            <w:pPr>
              <w:pStyle w:val="TableBodyText"/>
            </w:pPr>
            <w:r>
              <w:t>2.1</w:t>
            </w:r>
          </w:p>
        </w:tc>
        <w:tc>
          <w:tcPr>
            <w:tcW w:w="393" w:type="pct"/>
            <w:vAlign w:val="bottom"/>
          </w:tcPr>
          <w:p w:rsidR="00103EF5" w:rsidRDefault="00103EF5" w:rsidP="00103EF5">
            <w:pPr>
              <w:pStyle w:val="TableBodyText"/>
            </w:pPr>
            <w:r>
              <w:t>0.5</w:t>
            </w:r>
          </w:p>
        </w:tc>
        <w:tc>
          <w:tcPr>
            <w:tcW w:w="393" w:type="pct"/>
            <w:vAlign w:val="bottom"/>
          </w:tcPr>
          <w:p w:rsidR="00103EF5" w:rsidRDefault="00103EF5" w:rsidP="00103EF5">
            <w:pPr>
              <w:pStyle w:val="TableBodyText"/>
            </w:pPr>
            <w:r>
              <w:t>3.4</w:t>
            </w:r>
          </w:p>
        </w:tc>
        <w:tc>
          <w:tcPr>
            <w:tcW w:w="393" w:type="pct"/>
            <w:vAlign w:val="bottom"/>
          </w:tcPr>
          <w:p w:rsidR="00103EF5" w:rsidRDefault="00103EF5" w:rsidP="00103EF5">
            <w:pPr>
              <w:pStyle w:val="TableBodyText"/>
            </w:pPr>
            <w:r>
              <w:t>3.0</w:t>
            </w:r>
          </w:p>
        </w:tc>
        <w:tc>
          <w:tcPr>
            <w:tcW w:w="392" w:type="pct"/>
            <w:vAlign w:val="bottom"/>
          </w:tcPr>
          <w:p w:rsidR="00103EF5" w:rsidRDefault="00103EF5" w:rsidP="00103EF5">
            <w:pPr>
              <w:pStyle w:val="TableBodyText"/>
            </w:pPr>
            <w:r>
              <w:t>1.3</w:t>
            </w:r>
          </w:p>
        </w:tc>
        <w:tc>
          <w:tcPr>
            <w:tcW w:w="393" w:type="pct"/>
            <w:vAlign w:val="bottom"/>
          </w:tcPr>
          <w:p w:rsidR="00103EF5" w:rsidRDefault="00103EF5" w:rsidP="00103EF5">
            <w:pPr>
              <w:pStyle w:val="TableBodyText"/>
            </w:pPr>
            <w:r>
              <w:t>4.2</w:t>
            </w:r>
          </w:p>
        </w:tc>
        <w:tc>
          <w:tcPr>
            <w:tcW w:w="393" w:type="pct"/>
            <w:vAlign w:val="bottom"/>
          </w:tcPr>
          <w:p w:rsidR="00103EF5" w:rsidRDefault="00103EF5" w:rsidP="00103EF5">
            <w:pPr>
              <w:pStyle w:val="TableBodyText"/>
            </w:pPr>
            <w:r>
              <w:t>1.4</w:t>
            </w:r>
          </w:p>
        </w:tc>
        <w:tc>
          <w:tcPr>
            <w:tcW w:w="393" w:type="pct"/>
            <w:vAlign w:val="bottom"/>
          </w:tcPr>
          <w:p w:rsidR="00103EF5" w:rsidRDefault="00103EF5" w:rsidP="00103EF5">
            <w:pPr>
              <w:pStyle w:val="TableBodyText"/>
            </w:pPr>
            <w:r>
              <w:t>29.0</w:t>
            </w:r>
          </w:p>
        </w:tc>
        <w:tc>
          <w:tcPr>
            <w:tcW w:w="391" w:type="pct"/>
            <w:gridSpan w:val="2"/>
            <w:vAlign w:val="bottom"/>
          </w:tcPr>
          <w:p w:rsidR="00103EF5" w:rsidRDefault="00103EF5" w:rsidP="00103EF5">
            <w:pPr>
              <w:pStyle w:val="TableBodyText"/>
              <w:ind w:right="28"/>
            </w:pPr>
            <w:r>
              <w:t>2.3</w:t>
            </w:r>
          </w:p>
        </w:tc>
      </w:tr>
      <w:tr w:rsidR="00103EF5" w:rsidRPr="00103EF5" w:rsidTr="0036701A">
        <w:tc>
          <w:tcPr>
            <w:tcW w:w="1467" w:type="pct"/>
            <w:tcBorders>
              <w:bottom w:val="single" w:sz="6" w:space="0" w:color="auto"/>
            </w:tcBorders>
            <w:shd w:val="clear" w:color="auto" w:fill="auto"/>
          </w:tcPr>
          <w:p w:rsidR="00103EF5" w:rsidRPr="00103EF5" w:rsidRDefault="00103EF5" w:rsidP="00E54D48">
            <w:pPr>
              <w:pStyle w:val="TableBodyText"/>
              <w:ind w:left="180"/>
              <w:jc w:val="left"/>
              <w:rPr>
                <w:b/>
              </w:rPr>
            </w:pPr>
            <w:r w:rsidRPr="00103EF5">
              <w:rPr>
                <w:b/>
              </w:rPr>
              <w:t>All schools</w:t>
            </w:r>
          </w:p>
        </w:tc>
        <w:tc>
          <w:tcPr>
            <w:tcW w:w="392" w:type="pct"/>
            <w:tcBorders>
              <w:bottom w:val="single" w:sz="6" w:space="0" w:color="auto"/>
            </w:tcBorders>
            <w:vAlign w:val="bottom"/>
          </w:tcPr>
          <w:p w:rsidR="00103EF5" w:rsidRDefault="00103EF5" w:rsidP="00103EF5">
            <w:pPr>
              <w:pStyle w:val="TableBodyText"/>
              <w:rPr>
                <w:b/>
                <w:bCs/>
              </w:rPr>
            </w:pPr>
            <w:r>
              <w:rPr>
                <w:b/>
                <w:bCs/>
              </w:rPr>
              <w:t>5.0</w:t>
            </w:r>
          </w:p>
        </w:tc>
        <w:tc>
          <w:tcPr>
            <w:tcW w:w="393" w:type="pct"/>
            <w:tcBorders>
              <w:bottom w:val="single" w:sz="6" w:space="0" w:color="auto"/>
            </w:tcBorders>
            <w:vAlign w:val="bottom"/>
          </w:tcPr>
          <w:p w:rsidR="00103EF5" w:rsidRDefault="00103EF5" w:rsidP="00103EF5">
            <w:pPr>
              <w:pStyle w:val="TableBodyText"/>
              <w:rPr>
                <w:b/>
                <w:bCs/>
              </w:rPr>
            </w:pPr>
            <w:r>
              <w:rPr>
                <w:b/>
                <w:bCs/>
              </w:rPr>
              <w:t>1.4</w:t>
            </w:r>
          </w:p>
        </w:tc>
        <w:tc>
          <w:tcPr>
            <w:tcW w:w="393" w:type="pct"/>
            <w:tcBorders>
              <w:bottom w:val="single" w:sz="6" w:space="0" w:color="auto"/>
            </w:tcBorders>
            <w:vAlign w:val="bottom"/>
          </w:tcPr>
          <w:p w:rsidR="00103EF5" w:rsidRDefault="00103EF5" w:rsidP="00103EF5">
            <w:pPr>
              <w:pStyle w:val="TableBodyText"/>
              <w:rPr>
                <w:b/>
                <w:bCs/>
              </w:rPr>
            </w:pPr>
            <w:r>
              <w:rPr>
                <w:b/>
                <w:bCs/>
              </w:rPr>
              <w:t>7.1</w:t>
            </w:r>
          </w:p>
        </w:tc>
        <w:tc>
          <w:tcPr>
            <w:tcW w:w="393" w:type="pct"/>
            <w:tcBorders>
              <w:bottom w:val="single" w:sz="6" w:space="0" w:color="auto"/>
            </w:tcBorders>
            <w:vAlign w:val="bottom"/>
          </w:tcPr>
          <w:p w:rsidR="00103EF5" w:rsidRDefault="00103EF5" w:rsidP="00103EF5">
            <w:pPr>
              <w:pStyle w:val="TableBodyText"/>
              <w:rPr>
                <w:b/>
                <w:bCs/>
              </w:rPr>
            </w:pPr>
            <w:r>
              <w:rPr>
                <w:b/>
                <w:bCs/>
              </w:rPr>
              <w:t>6.4</w:t>
            </w:r>
          </w:p>
        </w:tc>
        <w:tc>
          <w:tcPr>
            <w:tcW w:w="392" w:type="pct"/>
            <w:tcBorders>
              <w:bottom w:val="single" w:sz="6" w:space="0" w:color="auto"/>
            </w:tcBorders>
            <w:vAlign w:val="bottom"/>
          </w:tcPr>
          <w:p w:rsidR="00103EF5" w:rsidRDefault="00103EF5" w:rsidP="00103EF5">
            <w:pPr>
              <w:pStyle w:val="TableBodyText"/>
              <w:rPr>
                <w:b/>
                <w:bCs/>
              </w:rPr>
            </w:pPr>
            <w:r>
              <w:rPr>
                <w:b/>
                <w:bCs/>
              </w:rPr>
              <w:t>4.1</w:t>
            </w:r>
          </w:p>
        </w:tc>
        <w:tc>
          <w:tcPr>
            <w:tcW w:w="393" w:type="pct"/>
            <w:tcBorders>
              <w:bottom w:val="single" w:sz="6" w:space="0" w:color="auto"/>
            </w:tcBorders>
            <w:vAlign w:val="bottom"/>
          </w:tcPr>
          <w:p w:rsidR="00103EF5" w:rsidRDefault="00103EF5" w:rsidP="00103EF5">
            <w:pPr>
              <w:pStyle w:val="TableBodyText"/>
              <w:rPr>
                <w:b/>
                <w:bCs/>
              </w:rPr>
            </w:pPr>
            <w:r>
              <w:rPr>
                <w:b/>
                <w:bCs/>
              </w:rPr>
              <w:t>7.4</w:t>
            </w:r>
          </w:p>
        </w:tc>
        <w:tc>
          <w:tcPr>
            <w:tcW w:w="393" w:type="pct"/>
            <w:tcBorders>
              <w:bottom w:val="single" w:sz="6" w:space="0" w:color="auto"/>
            </w:tcBorders>
            <w:vAlign w:val="bottom"/>
          </w:tcPr>
          <w:p w:rsidR="00103EF5" w:rsidRDefault="00103EF5" w:rsidP="00103EF5">
            <w:pPr>
              <w:pStyle w:val="TableBodyText"/>
              <w:rPr>
                <w:b/>
                <w:bCs/>
              </w:rPr>
            </w:pPr>
            <w:r>
              <w:rPr>
                <w:b/>
                <w:bCs/>
              </w:rPr>
              <w:t>2.5</w:t>
            </w:r>
          </w:p>
        </w:tc>
        <w:tc>
          <w:tcPr>
            <w:tcW w:w="393" w:type="pct"/>
            <w:tcBorders>
              <w:bottom w:val="single" w:sz="6" w:space="0" w:color="auto"/>
            </w:tcBorders>
            <w:shd w:val="clear" w:color="auto" w:fill="auto"/>
            <w:vAlign w:val="bottom"/>
          </w:tcPr>
          <w:p w:rsidR="00103EF5" w:rsidRDefault="00103EF5" w:rsidP="00103EF5">
            <w:pPr>
              <w:pStyle w:val="TableBodyText"/>
              <w:rPr>
                <w:b/>
                <w:bCs/>
              </w:rPr>
            </w:pPr>
            <w:r>
              <w:rPr>
                <w:b/>
                <w:bCs/>
              </w:rPr>
              <w:t>40.4</w:t>
            </w:r>
          </w:p>
        </w:tc>
        <w:tc>
          <w:tcPr>
            <w:tcW w:w="391" w:type="pct"/>
            <w:gridSpan w:val="2"/>
            <w:tcBorders>
              <w:bottom w:val="single" w:sz="6" w:space="0" w:color="auto"/>
            </w:tcBorders>
            <w:shd w:val="clear" w:color="auto" w:fill="auto"/>
            <w:vAlign w:val="bottom"/>
          </w:tcPr>
          <w:p w:rsidR="00103EF5" w:rsidRPr="00103EF5" w:rsidRDefault="00103EF5" w:rsidP="00103EF5">
            <w:pPr>
              <w:pStyle w:val="TableBodyText"/>
              <w:ind w:right="28"/>
              <w:rPr>
                <w:b/>
              </w:rPr>
            </w:pPr>
            <w:r w:rsidRPr="00103EF5">
              <w:rPr>
                <w:b/>
              </w:rPr>
              <w:t>5.0</w:t>
            </w:r>
          </w:p>
        </w:tc>
      </w:tr>
    </w:tbl>
    <w:p w:rsidR="00A73FF3" w:rsidRPr="00103EF5" w:rsidRDefault="00A73FF3" w:rsidP="006A37AB">
      <w:pPr>
        <w:pStyle w:val="Note"/>
        <w:spacing w:line="200" w:lineRule="exact"/>
      </w:pPr>
      <w:r w:rsidRPr="00103EF5">
        <w:rPr>
          <w:rStyle w:val="NoteLabel"/>
        </w:rPr>
        <w:t>a</w:t>
      </w:r>
      <w:r w:rsidRPr="00103EF5">
        <w:sym w:font="Symbol" w:char="F020"/>
      </w:r>
      <w:r w:rsidRPr="00103EF5">
        <w:t>Proportions are derived by comparing absolute numbers of Indigenous and all full</w:t>
      </w:r>
      <w:r w:rsidRPr="00103EF5">
        <w:noBreakHyphen/>
        <w:t xml:space="preserve">time students. </w:t>
      </w:r>
      <w:r w:rsidR="00967269">
        <w:t xml:space="preserve"> </w:t>
      </w:r>
      <w:r w:rsidRPr="00103EF5">
        <w:rPr>
          <w:rStyle w:val="NoteLabel"/>
        </w:rPr>
        <w:t>b</w:t>
      </w:r>
      <w:r w:rsidRPr="00103EF5">
        <w:t> Disaggregations by Indigenous status are only available for Indigenous students and All students. The extent of Indigenous status being ‘not stated’ is unknown. Therefore, the potential impact of ‘not stated’ Indigenous status on overall counts cannot be determined.</w:t>
      </w:r>
      <w:r w:rsidR="00967269">
        <w:t xml:space="preserve">  </w:t>
      </w:r>
      <w:r w:rsidR="00103EF5" w:rsidRPr="00103EF5">
        <w:rPr>
          <w:rStyle w:val="NoteLabel"/>
        </w:rPr>
        <w:t>c</w:t>
      </w:r>
      <w:r w:rsidR="00103EF5" w:rsidRPr="00103EF5">
        <w:t xml:space="preserve"> Sum of components may not add to totals due to rounding.</w:t>
      </w:r>
    </w:p>
    <w:p w:rsidR="00A73FF3" w:rsidRPr="00103EF5" w:rsidRDefault="00A73FF3" w:rsidP="00A73FF3">
      <w:pPr>
        <w:pStyle w:val="Source"/>
      </w:pPr>
      <w:r w:rsidRPr="00103EF5">
        <w:rPr>
          <w:i/>
        </w:rPr>
        <w:t>Source</w:t>
      </w:r>
      <w:r w:rsidR="00103EF5">
        <w:t>: ABS (2014</w:t>
      </w:r>
      <w:r w:rsidRPr="00103EF5">
        <w:t xml:space="preserve">) </w:t>
      </w:r>
      <w:r w:rsidRPr="00103EF5">
        <w:rPr>
          <w:i/>
        </w:rPr>
        <w:t>Schools Australia, 201</w:t>
      </w:r>
      <w:r w:rsidR="00103EF5">
        <w:rPr>
          <w:i/>
        </w:rPr>
        <w:t>3</w:t>
      </w:r>
      <w:r w:rsidR="00C67FF6">
        <w:t>, Cat. no. 4221.0; table NEA.c.4</w:t>
      </w:r>
      <w:r w:rsidRPr="00103EF5">
        <w:t xml:space="preserve">. </w:t>
      </w:r>
    </w:p>
    <w:p w:rsidR="00E54D48" w:rsidRPr="00A5554D" w:rsidRDefault="00E54D48" w:rsidP="00E23C42">
      <w:pPr>
        <w:pStyle w:val="Heading5"/>
      </w:pPr>
      <w:r w:rsidRPr="00A5554D">
        <w:t>LBOTE students</w:t>
      </w:r>
    </w:p>
    <w:p w:rsidR="007B6B6D" w:rsidRDefault="00A5554D" w:rsidP="00467E94">
      <w:pPr>
        <w:pStyle w:val="BodyText"/>
      </w:pPr>
      <w:r w:rsidRPr="00A5554D">
        <w:t xml:space="preserve">The most recent available data on LBOTE students are from the 2011 Census of Population and Housing (Census) and were included in the previous NEA performance report. </w:t>
      </w:r>
      <w:r w:rsidR="007B6B6D">
        <w:t>Data from the 2006 Census are available in the baseline NEA performance report</w:t>
      </w:r>
      <w:r w:rsidR="002905D1">
        <w:t xml:space="preserve"> (CRC 2009)</w:t>
      </w:r>
      <w:r w:rsidR="007B6B6D">
        <w:t xml:space="preserve">. </w:t>
      </w:r>
      <w:r w:rsidRPr="00A5554D">
        <w:t>The next avai</w:t>
      </w:r>
      <w:r w:rsidR="007B6B6D">
        <w:t xml:space="preserve">lable data will be from the 2016 Census. </w:t>
      </w:r>
    </w:p>
    <w:p w:rsidR="00E23C42" w:rsidRPr="00CF4E4A" w:rsidRDefault="00C031E4" w:rsidP="00E23C42">
      <w:pPr>
        <w:pStyle w:val="Heading5"/>
      </w:pPr>
      <w:r>
        <w:t>Students with disability</w:t>
      </w:r>
    </w:p>
    <w:p w:rsidR="006E3B6D" w:rsidRDefault="006E3B6D" w:rsidP="00E23C42">
      <w:pPr>
        <w:pStyle w:val="BodyText"/>
      </w:pPr>
      <w:r w:rsidRPr="006E3B6D">
        <w:t>Students with disability may be educated in mainstream or special schools. Students with disability are those students who satisfy the criteria for enrolment in special education services or programs provided in the State or Territory in which they are enrolled. These criteria curr</w:t>
      </w:r>
      <w:r w:rsidR="00E540BC">
        <w:t>ently vary across jurisdictions. H</w:t>
      </w:r>
      <w:r w:rsidRPr="006E3B6D">
        <w:t>owever, in April 2012, the Australian Government and all State and Territory governments agreed to work towards the full implementation of a nationally consistent collection of data on school students with disability by 2015</w:t>
      </w:r>
      <w:r>
        <w:t xml:space="preserve">. </w:t>
      </w:r>
      <w:r w:rsidRPr="006E3B6D">
        <w:t xml:space="preserve">It is anticipated </w:t>
      </w:r>
      <w:r>
        <w:t>that these data</w:t>
      </w:r>
      <w:r w:rsidRPr="006E3B6D">
        <w:t xml:space="preserve"> will be available </w:t>
      </w:r>
      <w:r w:rsidR="001D6BEA">
        <w:t xml:space="preserve">for reporting </w:t>
      </w:r>
      <w:r w:rsidRPr="006E3B6D">
        <w:t>from 2016</w:t>
      </w:r>
      <w:r w:rsidR="00EA69AC">
        <w:t>.</w:t>
      </w:r>
    </w:p>
    <w:p w:rsidR="00E54D48" w:rsidRPr="00CF4E4A" w:rsidRDefault="00E23C42" w:rsidP="00E23C42">
      <w:pPr>
        <w:pStyle w:val="BodyText"/>
      </w:pPr>
      <w:r w:rsidRPr="00CF4E4A">
        <w:t xml:space="preserve">Data for </w:t>
      </w:r>
      <w:r w:rsidR="00C031E4">
        <w:t>students with disability</w:t>
      </w:r>
      <w:r w:rsidRPr="00CF4E4A">
        <w:t xml:space="preserve"> are </w:t>
      </w:r>
      <w:r w:rsidR="0035601B">
        <w:t>supplied</w:t>
      </w:r>
      <w:r w:rsidRPr="00CF4E4A">
        <w:t xml:space="preserve"> by the </w:t>
      </w:r>
      <w:r w:rsidR="00CD42CD">
        <w:t>Australian Government Department of Education</w:t>
      </w:r>
      <w:r w:rsidRPr="00CF4E4A">
        <w:t xml:space="preserve"> (D</w:t>
      </w:r>
      <w:r w:rsidR="00F62712" w:rsidRPr="00CF4E4A">
        <w:t>oE</w:t>
      </w:r>
      <w:r w:rsidRPr="00CF4E4A">
        <w:t xml:space="preserve">). The most recent available data for students </w:t>
      </w:r>
      <w:r w:rsidR="00B26E3A">
        <w:t>with disability are for the 2012</w:t>
      </w:r>
      <w:r w:rsidRPr="00CF4E4A">
        <w:t xml:space="preserve"> school year (table</w:t>
      </w:r>
      <w:r w:rsidR="00966FAA" w:rsidRPr="00CF4E4A">
        <w:t> </w:t>
      </w:r>
      <w:r w:rsidR="00CF4E4A">
        <w:fldChar w:fldCharType="begin"/>
      </w:r>
      <w:r w:rsidR="00CF4E4A">
        <w:instrText xml:space="preserve"> LINK Word.Document.12 "\\\\mel_1\\groups\\Monitor\\09 National Agreement Report\\02 NAR Report WIP\\2013 NAR Report - Ed and training\\2013 NAR first draft\\NEA\\NEA 2013 first draft for CA.docx" "OLE_LINK10" \a \t </w:instrText>
      </w:r>
      <w:r w:rsidR="00CF4E4A">
        <w:fldChar w:fldCharType="separate"/>
      </w:r>
      <w:r w:rsidR="00CF4E4A">
        <w:t>7</w:t>
      </w:r>
      <w:r w:rsidR="00CF4E4A">
        <w:fldChar w:fldCharType="end"/>
      </w:r>
      <w:r w:rsidRPr="00CF4E4A">
        <w:t>).</w:t>
      </w:r>
    </w:p>
    <w:p w:rsidR="00E23C42" w:rsidRPr="007B6B6D" w:rsidRDefault="00E23C42" w:rsidP="00E23C42">
      <w:pPr>
        <w:pStyle w:val="TableTitle"/>
      </w:pPr>
      <w:r w:rsidRPr="007B6B6D">
        <w:rPr>
          <w:b w:val="0"/>
        </w:rPr>
        <w:t xml:space="preserve">Table </w:t>
      </w:r>
      <w:bookmarkStart w:id="13" w:name="OLE_LINK10"/>
      <w:r w:rsidRPr="007B6B6D">
        <w:rPr>
          <w:b w:val="0"/>
        </w:rPr>
        <w:fldChar w:fldCharType="begin"/>
      </w:r>
      <w:r w:rsidRPr="007B6B6D">
        <w:rPr>
          <w:b w:val="0"/>
        </w:rPr>
        <w:instrText xml:space="preserve"> SEQ Table \* ARABIC </w:instrText>
      </w:r>
      <w:r w:rsidRPr="007B6B6D">
        <w:rPr>
          <w:b w:val="0"/>
        </w:rPr>
        <w:fldChar w:fldCharType="separate"/>
      </w:r>
      <w:r w:rsidR="005F5618">
        <w:rPr>
          <w:b w:val="0"/>
          <w:noProof/>
        </w:rPr>
        <w:t>7</w:t>
      </w:r>
      <w:r w:rsidRPr="007B6B6D">
        <w:rPr>
          <w:b w:val="0"/>
        </w:rPr>
        <w:fldChar w:fldCharType="end"/>
      </w:r>
      <w:bookmarkEnd w:id="13"/>
      <w:r w:rsidRPr="007B6B6D">
        <w:tab/>
        <w:t xml:space="preserve">Funded full time equivalent </w:t>
      </w:r>
      <w:r w:rsidR="00C031E4">
        <w:t>students with disability</w:t>
      </w:r>
      <w:r w:rsidRPr="007B6B6D">
        <w:t xml:space="preserve"> as a proportion o</w:t>
      </w:r>
      <w:r w:rsidR="001C6F06">
        <w:t>f total full time students, 2012</w:t>
      </w:r>
      <w:r w:rsidRPr="007B6B6D">
        <w:t xml:space="preserve"> (per cent)</w:t>
      </w:r>
      <w:r w:rsidRPr="007B6B6D">
        <w:rPr>
          <w:rStyle w:val="NoteLabel"/>
          <w:b/>
        </w:rPr>
        <w:t>a</w:t>
      </w:r>
      <w:r w:rsidR="00A30CCC">
        <w:rPr>
          <w:rStyle w:val="NoteLabel"/>
          <w:b/>
        </w:rPr>
        <w:t>, b</w:t>
      </w:r>
    </w:p>
    <w:tbl>
      <w:tblPr>
        <w:tblW w:w="5000" w:type="pct"/>
        <w:tblCellMar>
          <w:left w:w="0" w:type="dxa"/>
          <w:right w:w="0" w:type="dxa"/>
        </w:tblCellMar>
        <w:tblLook w:val="0000" w:firstRow="0" w:lastRow="0" w:firstColumn="0" w:lastColumn="0" w:noHBand="0" w:noVBand="0"/>
      </w:tblPr>
      <w:tblGrid>
        <w:gridCol w:w="2395"/>
        <w:gridCol w:w="710"/>
        <w:gridCol w:w="710"/>
        <w:gridCol w:w="710"/>
        <w:gridCol w:w="710"/>
        <w:gridCol w:w="710"/>
        <w:gridCol w:w="710"/>
        <w:gridCol w:w="710"/>
        <w:gridCol w:w="710"/>
        <w:gridCol w:w="714"/>
      </w:tblGrid>
      <w:tr w:rsidR="001A5777" w:rsidRPr="007B6B6D" w:rsidTr="00E23C42">
        <w:tc>
          <w:tcPr>
            <w:tcW w:w="1362" w:type="pct"/>
            <w:tcBorders>
              <w:top w:val="single" w:sz="6" w:space="0" w:color="auto"/>
              <w:bottom w:val="single" w:sz="6" w:space="0" w:color="auto"/>
            </w:tcBorders>
            <w:shd w:val="clear" w:color="auto" w:fill="auto"/>
          </w:tcPr>
          <w:p w:rsidR="00E23C42" w:rsidRPr="007B6B6D" w:rsidRDefault="00E23C42" w:rsidP="00D663D8">
            <w:pPr>
              <w:pStyle w:val="TableColumnHeading"/>
              <w:jc w:val="left"/>
            </w:pPr>
          </w:p>
        </w:tc>
        <w:tc>
          <w:tcPr>
            <w:tcW w:w="404" w:type="pct"/>
            <w:tcBorders>
              <w:top w:val="single" w:sz="6" w:space="0" w:color="auto"/>
              <w:bottom w:val="single" w:sz="6" w:space="0" w:color="auto"/>
            </w:tcBorders>
          </w:tcPr>
          <w:p w:rsidR="00E23C42" w:rsidRPr="007B6B6D" w:rsidRDefault="00E23C42" w:rsidP="00D663D8">
            <w:pPr>
              <w:pStyle w:val="TableColumnHeading"/>
            </w:pPr>
            <w:r w:rsidRPr="007B6B6D">
              <w:t>NSW</w:t>
            </w:r>
          </w:p>
        </w:tc>
        <w:tc>
          <w:tcPr>
            <w:tcW w:w="404" w:type="pct"/>
            <w:tcBorders>
              <w:top w:val="single" w:sz="6" w:space="0" w:color="auto"/>
              <w:bottom w:val="single" w:sz="6" w:space="0" w:color="auto"/>
            </w:tcBorders>
          </w:tcPr>
          <w:p w:rsidR="00E23C42" w:rsidRPr="007B6B6D" w:rsidRDefault="00E23C42" w:rsidP="00D663D8">
            <w:pPr>
              <w:pStyle w:val="TableColumnHeading"/>
            </w:pPr>
            <w:r w:rsidRPr="007B6B6D">
              <w:t>Vic</w:t>
            </w:r>
          </w:p>
        </w:tc>
        <w:tc>
          <w:tcPr>
            <w:tcW w:w="404" w:type="pct"/>
            <w:tcBorders>
              <w:top w:val="single" w:sz="6" w:space="0" w:color="auto"/>
              <w:bottom w:val="single" w:sz="6" w:space="0" w:color="auto"/>
            </w:tcBorders>
          </w:tcPr>
          <w:p w:rsidR="00E23C42" w:rsidRPr="007B6B6D" w:rsidRDefault="00E23C42" w:rsidP="00D663D8">
            <w:pPr>
              <w:pStyle w:val="TableColumnHeading"/>
            </w:pPr>
            <w:r w:rsidRPr="007B6B6D">
              <w:t>Qld</w:t>
            </w:r>
          </w:p>
        </w:tc>
        <w:tc>
          <w:tcPr>
            <w:tcW w:w="404" w:type="pct"/>
            <w:tcBorders>
              <w:top w:val="single" w:sz="6" w:space="0" w:color="auto"/>
              <w:bottom w:val="single" w:sz="6" w:space="0" w:color="auto"/>
            </w:tcBorders>
          </w:tcPr>
          <w:p w:rsidR="00E23C42" w:rsidRPr="007B6B6D" w:rsidRDefault="00E23C42" w:rsidP="00D663D8">
            <w:pPr>
              <w:pStyle w:val="TableColumnHeading"/>
            </w:pPr>
            <w:r w:rsidRPr="007B6B6D">
              <w:t>WA</w:t>
            </w:r>
          </w:p>
        </w:tc>
        <w:tc>
          <w:tcPr>
            <w:tcW w:w="404" w:type="pct"/>
            <w:tcBorders>
              <w:top w:val="single" w:sz="6" w:space="0" w:color="auto"/>
              <w:bottom w:val="single" w:sz="6" w:space="0" w:color="auto"/>
            </w:tcBorders>
          </w:tcPr>
          <w:p w:rsidR="00E23C42" w:rsidRPr="007B6B6D" w:rsidRDefault="00E23C42" w:rsidP="00D663D8">
            <w:pPr>
              <w:pStyle w:val="TableColumnHeading"/>
            </w:pPr>
            <w:r w:rsidRPr="007B6B6D">
              <w:t>SA</w:t>
            </w:r>
          </w:p>
        </w:tc>
        <w:tc>
          <w:tcPr>
            <w:tcW w:w="404" w:type="pct"/>
            <w:tcBorders>
              <w:top w:val="single" w:sz="6" w:space="0" w:color="auto"/>
              <w:bottom w:val="single" w:sz="6" w:space="0" w:color="auto"/>
            </w:tcBorders>
          </w:tcPr>
          <w:p w:rsidR="00E23C42" w:rsidRPr="007B6B6D" w:rsidRDefault="00E23C42" w:rsidP="00D663D8">
            <w:pPr>
              <w:pStyle w:val="TableColumnHeading"/>
            </w:pPr>
            <w:r w:rsidRPr="007B6B6D">
              <w:t>Tas</w:t>
            </w:r>
          </w:p>
        </w:tc>
        <w:tc>
          <w:tcPr>
            <w:tcW w:w="404" w:type="pct"/>
            <w:tcBorders>
              <w:top w:val="single" w:sz="6" w:space="0" w:color="auto"/>
              <w:bottom w:val="single" w:sz="6" w:space="0" w:color="auto"/>
            </w:tcBorders>
          </w:tcPr>
          <w:p w:rsidR="00E23C42" w:rsidRPr="007B6B6D" w:rsidRDefault="00E23C42" w:rsidP="00D663D8">
            <w:pPr>
              <w:pStyle w:val="TableColumnHeading"/>
            </w:pPr>
            <w:r w:rsidRPr="007B6B6D">
              <w:t>ACT</w:t>
            </w:r>
          </w:p>
        </w:tc>
        <w:tc>
          <w:tcPr>
            <w:tcW w:w="404" w:type="pct"/>
            <w:tcBorders>
              <w:top w:val="single" w:sz="6" w:space="0" w:color="auto"/>
              <w:bottom w:val="single" w:sz="6" w:space="0" w:color="auto"/>
            </w:tcBorders>
            <w:shd w:val="clear" w:color="auto" w:fill="auto"/>
          </w:tcPr>
          <w:p w:rsidR="00E23C42" w:rsidRPr="007B6B6D" w:rsidRDefault="00E23C42" w:rsidP="00D663D8">
            <w:pPr>
              <w:pStyle w:val="TableColumnHeading"/>
            </w:pPr>
            <w:r w:rsidRPr="007B6B6D">
              <w:t>NT</w:t>
            </w:r>
          </w:p>
        </w:tc>
        <w:tc>
          <w:tcPr>
            <w:tcW w:w="406" w:type="pct"/>
            <w:tcBorders>
              <w:top w:val="single" w:sz="6" w:space="0" w:color="auto"/>
              <w:bottom w:val="single" w:sz="6" w:space="0" w:color="auto"/>
            </w:tcBorders>
            <w:shd w:val="clear" w:color="auto" w:fill="auto"/>
          </w:tcPr>
          <w:p w:rsidR="00E23C42" w:rsidRPr="007B6B6D" w:rsidRDefault="00E23C42" w:rsidP="00D663D8">
            <w:pPr>
              <w:pStyle w:val="TableColumnHeading"/>
              <w:ind w:right="28"/>
            </w:pPr>
            <w:r w:rsidRPr="007B6B6D">
              <w:t>Aust</w:t>
            </w:r>
          </w:p>
        </w:tc>
      </w:tr>
      <w:tr w:rsidR="007B6B6D" w:rsidRPr="007B6B6D" w:rsidTr="00E23C42">
        <w:tc>
          <w:tcPr>
            <w:tcW w:w="1362" w:type="pct"/>
            <w:tcBorders>
              <w:top w:val="single" w:sz="6" w:space="0" w:color="auto"/>
            </w:tcBorders>
          </w:tcPr>
          <w:p w:rsidR="00E23C42" w:rsidRPr="007B6B6D" w:rsidRDefault="00E23C42" w:rsidP="00D663D8">
            <w:pPr>
              <w:pStyle w:val="TableBodyText"/>
              <w:spacing w:before="80"/>
              <w:jc w:val="left"/>
            </w:pPr>
            <w:r w:rsidRPr="007B6B6D">
              <w:t>Government schools</w:t>
            </w:r>
          </w:p>
        </w:tc>
        <w:tc>
          <w:tcPr>
            <w:tcW w:w="404" w:type="pct"/>
            <w:tcBorders>
              <w:top w:val="single" w:sz="6" w:space="0" w:color="auto"/>
            </w:tcBorders>
          </w:tcPr>
          <w:p w:rsidR="007B6B6D" w:rsidRPr="007B6B6D" w:rsidRDefault="007B6B6D" w:rsidP="00D663D8">
            <w:pPr>
              <w:pStyle w:val="TableUnitsRow"/>
            </w:pPr>
            <w:r w:rsidRPr="007B6B6D">
              <w:t>6.3</w:t>
            </w:r>
          </w:p>
        </w:tc>
        <w:tc>
          <w:tcPr>
            <w:tcW w:w="404" w:type="pct"/>
            <w:tcBorders>
              <w:top w:val="single" w:sz="6" w:space="0" w:color="auto"/>
            </w:tcBorders>
          </w:tcPr>
          <w:p w:rsidR="00E23C42" w:rsidRPr="007B6B6D" w:rsidRDefault="007B6B6D" w:rsidP="00D663D8">
            <w:pPr>
              <w:pStyle w:val="TableUnitsRow"/>
            </w:pPr>
            <w:r>
              <w:t>6.2</w:t>
            </w:r>
          </w:p>
        </w:tc>
        <w:tc>
          <w:tcPr>
            <w:tcW w:w="404" w:type="pct"/>
            <w:tcBorders>
              <w:top w:val="single" w:sz="6" w:space="0" w:color="auto"/>
            </w:tcBorders>
          </w:tcPr>
          <w:p w:rsidR="00E23C42" w:rsidRPr="007B6B6D" w:rsidRDefault="007B6B6D" w:rsidP="00D663D8">
            <w:pPr>
              <w:pStyle w:val="TableUnitsRow"/>
            </w:pPr>
            <w:r>
              <w:t>5.3</w:t>
            </w:r>
          </w:p>
        </w:tc>
        <w:tc>
          <w:tcPr>
            <w:tcW w:w="404" w:type="pct"/>
            <w:tcBorders>
              <w:top w:val="single" w:sz="6" w:space="0" w:color="auto"/>
            </w:tcBorders>
          </w:tcPr>
          <w:p w:rsidR="00E23C42" w:rsidRPr="007B6B6D" w:rsidRDefault="007B6B6D" w:rsidP="00D663D8">
            <w:pPr>
              <w:pStyle w:val="TableUnitsRow"/>
            </w:pPr>
            <w:r>
              <w:t>4.8</w:t>
            </w:r>
          </w:p>
        </w:tc>
        <w:tc>
          <w:tcPr>
            <w:tcW w:w="404" w:type="pct"/>
            <w:tcBorders>
              <w:top w:val="single" w:sz="6" w:space="0" w:color="auto"/>
            </w:tcBorders>
          </w:tcPr>
          <w:p w:rsidR="00E23C42" w:rsidRPr="007B6B6D" w:rsidRDefault="007B6B6D" w:rsidP="00D663D8">
            <w:pPr>
              <w:pStyle w:val="TableUnitsRow"/>
            </w:pPr>
            <w:r>
              <w:t>9.2</w:t>
            </w:r>
          </w:p>
        </w:tc>
        <w:tc>
          <w:tcPr>
            <w:tcW w:w="404" w:type="pct"/>
            <w:tcBorders>
              <w:top w:val="single" w:sz="6" w:space="0" w:color="auto"/>
            </w:tcBorders>
          </w:tcPr>
          <w:p w:rsidR="00E23C42" w:rsidRPr="007B6B6D" w:rsidRDefault="007B6B6D" w:rsidP="00D663D8">
            <w:pPr>
              <w:pStyle w:val="TableUnitsRow"/>
            </w:pPr>
            <w:r>
              <w:t>5.6</w:t>
            </w:r>
          </w:p>
        </w:tc>
        <w:tc>
          <w:tcPr>
            <w:tcW w:w="404" w:type="pct"/>
            <w:tcBorders>
              <w:top w:val="single" w:sz="6" w:space="0" w:color="auto"/>
            </w:tcBorders>
          </w:tcPr>
          <w:p w:rsidR="00E23C42" w:rsidRPr="007B6B6D" w:rsidRDefault="007B6B6D" w:rsidP="00D663D8">
            <w:pPr>
              <w:pStyle w:val="TableUnitsRow"/>
            </w:pPr>
            <w:r>
              <w:t>5.2</w:t>
            </w:r>
          </w:p>
        </w:tc>
        <w:tc>
          <w:tcPr>
            <w:tcW w:w="404" w:type="pct"/>
            <w:tcBorders>
              <w:top w:val="single" w:sz="6" w:space="0" w:color="auto"/>
            </w:tcBorders>
          </w:tcPr>
          <w:p w:rsidR="00E23C42" w:rsidRPr="007B6B6D" w:rsidRDefault="007B6B6D" w:rsidP="00D663D8">
            <w:pPr>
              <w:pStyle w:val="TableUnitsRow"/>
            </w:pPr>
            <w:r>
              <w:t>5.3</w:t>
            </w:r>
          </w:p>
        </w:tc>
        <w:tc>
          <w:tcPr>
            <w:tcW w:w="406" w:type="pct"/>
            <w:tcBorders>
              <w:top w:val="single" w:sz="6" w:space="0" w:color="auto"/>
            </w:tcBorders>
          </w:tcPr>
          <w:p w:rsidR="00E23C42" w:rsidRPr="007B6B6D" w:rsidRDefault="007B6B6D" w:rsidP="00D663D8">
            <w:pPr>
              <w:pStyle w:val="TableUnitsRow"/>
              <w:ind w:right="28"/>
            </w:pPr>
            <w:r>
              <w:t>6.1</w:t>
            </w:r>
          </w:p>
        </w:tc>
      </w:tr>
      <w:tr w:rsidR="007B6B6D" w:rsidRPr="007B6B6D" w:rsidTr="00E23C42">
        <w:tc>
          <w:tcPr>
            <w:tcW w:w="1362" w:type="pct"/>
          </w:tcPr>
          <w:p w:rsidR="00E23C42" w:rsidRPr="007B6B6D" w:rsidRDefault="00E23C42" w:rsidP="00E540BC">
            <w:pPr>
              <w:pStyle w:val="TableBodyText"/>
              <w:jc w:val="left"/>
            </w:pPr>
            <w:r w:rsidRPr="007B6B6D">
              <w:t>Non</w:t>
            </w:r>
            <w:r w:rsidR="00966FAA" w:rsidRPr="007B6B6D">
              <w:noBreakHyphen/>
            </w:r>
            <w:r w:rsidRPr="00E738D6">
              <w:t>government</w:t>
            </w:r>
            <w:r w:rsidRPr="007B6B6D">
              <w:t xml:space="preserve"> schools</w:t>
            </w:r>
          </w:p>
        </w:tc>
        <w:tc>
          <w:tcPr>
            <w:tcW w:w="404" w:type="pct"/>
          </w:tcPr>
          <w:p w:rsidR="00E23C42" w:rsidRPr="007B6B6D" w:rsidRDefault="007B6B6D" w:rsidP="006D3405">
            <w:pPr>
              <w:pStyle w:val="TableBodyText"/>
              <w:ind w:left="180"/>
            </w:pPr>
            <w:r w:rsidRPr="007B6B6D">
              <w:t>4.2</w:t>
            </w:r>
          </w:p>
        </w:tc>
        <w:tc>
          <w:tcPr>
            <w:tcW w:w="404" w:type="pct"/>
          </w:tcPr>
          <w:p w:rsidR="00E23C42" w:rsidRPr="007B6B6D" w:rsidRDefault="007B6B6D" w:rsidP="006D3405">
            <w:pPr>
              <w:pStyle w:val="TableBodyText"/>
              <w:ind w:left="180"/>
            </w:pPr>
            <w:r>
              <w:t>3.5</w:t>
            </w:r>
          </w:p>
        </w:tc>
        <w:tc>
          <w:tcPr>
            <w:tcW w:w="404" w:type="pct"/>
          </w:tcPr>
          <w:p w:rsidR="00E23C42" w:rsidRPr="007B6B6D" w:rsidRDefault="007B6B6D" w:rsidP="006D3405">
            <w:pPr>
              <w:pStyle w:val="TableBodyText"/>
              <w:ind w:left="180"/>
            </w:pPr>
            <w:r>
              <w:t>2.7</w:t>
            </w:r>
          </w:p>
        </w:tc>
        <w:tc>
          <w:tcPr>
            <w:tcW w:w="404" w:type="pct"/>
          </w:tcPr>
          <w:p w:rsidR="00E23C42" w:rsidRPr="007B6B6D" w:rsidRDefault="007B6B6D" w:rsidP="006D3405">
            <w:pPr>
              <w:pStyle w:val="TableBodyText"/>
              <w:ind w:left="180"/>
            </w:pPr>
            <w:r>
              <w:t>2.5</w:t>
            </w:r>
          </w:p>
        </w:tc>
        <w:tc>
          <w:tcPr>
            <w:tcW w:w="404" w:type="pct"/>
          </w:tcPr>
          <w:p w:rsidR="00E23C42" w:rsidRPr="007B6B6D" w:rsidRDefault="007B6B6D" w:rsidP="006D3405">
            <w:pPr>
              <w:pStyle w:val="TableBodyText"/>
              <w:ind w:left="180"/>
            </w:pPr>
            <w:r>
              <w:t>3.7</w:t>
            </w:r>
          </w:p>
        </w:tc>
        <w:tc>
          <w:tcPr>
            <w:tcW w:w="404" w:type="pct"/>
          </w:tcPr>
          <w:p w:rsidR="00E23C42" w:rsidRPr="007B6B6D" w:rsidRDefault="007B6B6D" w:rsidP="006D3405">
            <w:pPr>
              <w:pStyle w:val="TableBodyText"/>
              <w:ind w:left="180"/>
            </w:pPr>
            <w:r>
              <w:t>3.0</w:t>
            </w:r>
          </w:p>
        </w:tc>
        <w:tc>
          <w:tcPr>
            <w:tcW w:w="404" w:type="pct"/>
          </w:tcPr>
          <w:p w:rsidR="00E23C42" w:rsidRPr="007B6B6D" w:rsidRDefault="007B6B6D" w:rsidP="006D3405">
            <w:pPr>
              <w:pStyle w:val="TableBodyText"/>
              <w:ind w:left="180"/>
            </w:pPr>
            <w:r>
              <w:t>2.3</w:t>
            </w:r>
          </w:p>
        </w:tc>
        <w:tc>
          <w:tcPr>
            <w:tcW w:w="404" w:type="pct"/>
          </w:tcPr>
          <w:p w:rsidR="00E23C42" w:rsidRPr="007B6B6D" w:rsidRDefault="007B6B6D" w:rsidP="006D3405">
            <w:pPr>
              <w:pStyle w:val="TableBodyText"/>
              <w:ind w:left="180"/>
            </w:pPr>
            <w:r>
              <w:t>4.3</w:t>
            </w:r>
          </w:p>
        </w:tc>
        <w:tc>
          <w:tcPr>
            <w:tcW w:w="406" w:type="pct"/>
          </w:tcPr>
          <w:p w:rsidR="00E23C42" w:rsidRPr="007B6B6D" w:rsidRDefault="007B6B6D" w:rsidP="006D3405">
            <w:pPr>
              <w:pStyle w:val="TableBodyText"/>
              <w:ind w:left="180" w:right="28"/>
            </w:pPr>
            <w:r>
              <w:t>3.4</w:t>
            </w:r>
          </w:p>
        </w:tc>
      </w:tr>
      <w:tr w:rsidR="007B6B6D" w:rsidRPr="006D3405" w:rsidTr="00E23C42">
        <w:tc>
          <w:tcPr>
            <w:tcW w:w="1362" w:type="pct"/>
            <w:tcBorders>
              <w:bottom w:val="single" w:sz="6" w:space="0" w:color="auto"/>
            </w:tcBorders>
            <w:shd w:val="clear" w:color="auto" w:fill="auto"/>
          </w:tcPr>
          <w:p w:rsidR="00E23C42" w:rsidRPr="006D3405" w:rsidRDefault="00E23C42" w:rsidP="006D3405">
            <w:pPr>
              <w:pStyle w:val="TableBodyText"/>
              <w:jc w:val="left"/>
              <w:rPr>
                <w:b/>
              </w:rPr>
            </w:pPr>
            <w:r w:rsidRPr="006D3405">
              <w:rPr>
                <w:b/>
              </w:rPr>
              <w:t>All schools</w:t>
            </w:r>
          </w:p>
        </w:tc>
        <w:tc>
          <w:tcPr>
            <w:tcW w:w="404" w:type="pct"/>
            <w:tcBorders>
              <w:bottom w:val="single" w:sz="6" w:space="0" w:color="auto"/>
            </w:tcBorders>
          </w:tcPr>
          <w:p w:rsidR="00E23C42" w:rsidRPr="006D3405" w:rsidRDefault="007B6B6D" w:rsidP="006D3405">
            <w:pPr>
              <w:pStyle w:val="TableBodyText"/>
              <w:ind w:left="180"/>
              <w:rPr>
                <w:b/>
              </w:rPr>
            </w:pPr>
            <w:r w:rsidRPr="006D3405">
              <w:rPr>
                <w:b/>
              </w:rPr>
              <w:t>5.6</w:t>
            </w:r>
          </w:p>
        </w:tc>
        <w:tc>
          <w:tcPr>
            <w:tcW w:w="404" w:type="pct"/>
            <w:tcBorders>
              <w:bottom w:val="single" w:sz="6" w:space="0" w:color="auto"/>
            </w:tcBorders>
          </w:tcPr>
          <w:p w:rsidR="00E23C42" w:rsidRPr="006D3405" w:rsidRDefault="007B6B6D" w:rsidP="006D3405">
            <w:pPr>
              <w:pStyle w:val="TableBodyText"/>
              <w:ind w:left="180"/>
              <w:rPr>
                <w:b/>
              </w:rPr>
            </w:pPr>
            <w:r w:rsidRPr="006D3405">
              <w:rPr>
                <w:b/>
              </w:rPr>
              <w:t>5.2</w:t>
            </w:r>
          </w:p>
        </w:tc>
        <w:tc>
          <w:tcPr>
            <w:tcW w:w="404" w:type="pct"/>
            <w:tcBorders>
              <w:bottom w:val="single" w:sz="6" w:space="0" w:color="auto"/>
            </w:tcBorders>
          </w:tcPr>
          <w:p w:rsidR="00E23C42" w:rsidRPr="006D3405" w:rsidRDefault="007B6B6D" w:rsidP="006D3405">
            <w:pPr>
              <w:pStyle w:val="TableBodyText"/>
              <w:ind w:left="180"/>
              <w:rPr>
                <w:b/>
              </w:rPr>
            </w:pPr>
            <w:r w:rsidRPr="006D3405">
              <w:rPr>
                <w:b/>
              </w:rPr>
              <w:t>4.5</w:t>
            </w:r>
          </w:p>
        </w:tc>
        <w:tc>
          <w:tcPr>
            <w:tcW w:w="404" w:type="pct"/>
            <w:tcBorders>
              <w:bottom w:val="single" w:sz="6" w:space="0" w:color="auto"/>
            </w:tcBorders>
          </w:tcPr>
          <w:p w:rsidR="00E23C42" w:rsidRPr="006D3405" w:rsidRDefault="007B6B6D" w:rsidP="006D3405">
            <w:pPr>
              <w:pStyle w:val="TableBodyText"/>
              <w:ind w:left="180"/>
              <w:rPr>
                <w:b/>
              </w:rPr>
            </w:pPr>
            <w:r w:rsidRPr="006D3405">
              <w:rPr>
                <w:b/>
              </w:rPr>
              <w:t>4.0</w:t>
            </w:r>
          </w:p>
        </w:tc>
        <w:tc>
          <w:tcPr>
            <w:tcW w:w="404" w:type="pct"/>
            <w:tcBorders>
              <w:bottom w:val="single" w:sz="6" w:space="0" w:color="auto"/>
            </w:tcBorders>
          </w:tcPr>
          <w:p w:rsidR="00E23C42" w:rsidRPr="006D3405" w:rsidRDefault="007B6B6D" w:rsidP="006D3405">
            <w:pPr>
              <w:pStyle w:val="TableBodyText"/>
              <w:ind w:left="180"/>
              <w:rPr>
                <w:b/>
              </w:rPr>
            </w:pPr>
            <w:r w:rsidRPr="006D3405">
              <w:rPr>
                <w:b/>
              </w:rPr>
              <w:t>7.2</w:t>
            </w:r>
          </w:p>
        </w:tc>
        <w:tc>
          <w:tcPr>
            <w:tcW w:w="404" w:type="pct"/>
            <w:tcBorders>
              <w:bottom w:val="single" w:sz="6" w:space="0" w:color="auto"/>
            </w:tcBorders>
          </w:tcPr>
          <w:p w:rsidR="00E23C42" w:rsidRPr="006D3405" w:rsidRDefault="007B6B6D" w:rsidP="006D3405">
            <w:pPr>
              <w:pStyle w:val="TableBodyText"/>
              <w:ind w:left="180"/>
              <w:rPr>
                <w:b/>
              </w:rPr>
            </w:pPr>
            <w:r w:rsidRPr="006D3405">
              <w:rPr>
                <w:b/>
              </w:rPr>
              <w:t>4.8</w:t>
            </w:r>
          </w:p>
        </w:tc>
        <w:tc>
          <w:tcPr>
            <w:tcW w:w="404" w:type="pct"/>
            <w:tcBorders>
              <w:bottom w:val="single" w:sz="6" w:space="0" w:color="auto"/>
            </w:tcBorders>
          </w:tcPr>
          <w:p w:rsidR="00E23C42" w:rsidRPr="006D3405" w:rsidRDefault="007B6B6D" w:rsidP="006D3405">
            <w:pPr>
              <w:pStyle w:val="TableBodyText"/>
              <w:ind w:left="180"/>
              <w:rPr>
                <w:b/>
              </w:rPr>
            </w:pPr>
            <w:r w:rsidRPr="006D3405">
              <w:rPr>
                <w:b/>
              </w:rPr>
              <w:t>3.9</w:t>
            </w:r>
          </w:p>
        </w:tc>
        <w:tc>
          <w:tcPr>
            <w:tcW w:w="404" w:type="pct"/>
            <w:tcBorders>
              <w:bottom w:val="single" w:sz="6" w:space="0" w:color="auto"/>
            </w:tcBorders>
            <w:shd w:val="clear" w:color="auto" w:fill="auto"/>
          </w:tcPr>
          <w:p w:rsidR="00E23C42" w:rsidRPr="006D3405" w:rsidRDefault="007B6B6D" w:rsidP="006D3405">
            <w:pPr>
              <w:pStyle w:val="TableBodyText"/>
              <w:ind w:left="180"/>
              <w:rPr>
                <w:b/>
              </w:rPr>
            </w:pPr>
            <w:r w:rsidRPr="006D3405">
              <w:rPr>
                <w:b/>
              </w:rPr>
              <w:t>5.0</w:t>
            </w:r>
          </w:p>
        </w:tc>
        <w:tc>
          <w:tcPr>
            <w:tcW w:w="406" w:type="pct"/>
            <w:tcBorders>
              <w:bottom w:val="single" w:sz="6" w:space="0" w:color="auto"/>
            </w:tcBorders>
            <w:shd w:val="clear" w:color="auto" w:fill="auto"/>
          </w:tcPr>
          <w:p w:rsidR="00E23C42" w:rsidRPr="006D3405" w:rsidRDefault="007B6B6D" w:rsidP="006D3405">
            <w:pPr>
              <w:pStyle w:val="TableBodyText"/>
              <w:ind w:left="180" w:right="28"/>
              <w:rPr>
                <w:b/>
              </w:rPr>
            </w:pPr>
            <w:r w:rsidRPr="006D3405">
              <w:rPr>
                <w:b/>
              </w:rPr>
              <w:t>5.1</w:t>
            </w:r>
          </w:p>
        </w:tc>
      </w:tr>
    </w:tbl>
    <w:p w:rsidR="00E23C42" w:rsidRPr="001922E4" w:rsidRDefault="00E23C42" w:rsidP="009724B5">
      <w:pPr>
        <w:pStyle w:val="Note"/>
        <w:rPr>
          <w:rStyle w:val="NoteLabel"/>
          <w:b w:val="0"/>
          <w:position w:val="0"/>
        </w:rPr>
      </w:pPr>
      <w:r w:rsidRPr="007B6B6D">
        <w:rPr>
          <w:rStyle w:val="NoteLabel"/>
        </w:rPr>
        <w:t>a</w:t>
      </w:r>
      <w:r w:rsidRPr="007B6B6D">
        <w:sym w:font="Symbol" w:char="F020"/>
      </w:r>
      <w:r w:rsidRPr="007B6B6D">
        <w:t>To be an eligible student with disabilities, the student (among other things) must satisfy the criteria for enrolment in special education services or special education programs provided by the government of the State or Territory in which the student resides. Data should be used with caution as these criteria v</w:t>
      </w:r>
      <w:r w:rsidR="001D433D">
        <w:t xml:space="preserve">ary across jurisdictions, </w:t>
      </w:r>
      <w:r w:rsidR="001D433D" w:rsidRPr="001D433D">
        <w:t xml:space="preserve">for example, SA data include a large number of students in the communication and language impairment category. This subset of students is not counted by other States/Territories </w:t>
      </w:r>
      <w:r w:rsidR="001D433D">
        <w:t xml:space="preserve">as </w:t>
      </w:r>
      <w:r w:rsidR="001D433D" w:rsidRPr="001D433D">
        <w:t>funded students with disability. Other States/Territories fund these students with other specific programs.</w:t>
      </w:r>
      <w:r w:rsidR="00967269">
        <w:t xml:space="preserve"> </w:t>
      </w:r>
      <w:r w:rsidR="00A30CCC">
        <w:rPr>
          <w:rStyle w:val="NoteLabel"/>
        </w:rPr>
        <w:t xml:space="preserve"> b </w:t>
      </w:r>
      <w:r w:rsidR="00A30CCC" w:rsidRPr="00A30CCC">
        <w:t>Excludes Full Fee Paying Overseas students from both the government and non</w:t>
      </w:r>
      <w:r w:rsidR="009C2A7D">
        <w:noBreakHyphen/>
      </w:r>
      <w:r w:rsidR="00A30CCC" w:rsidRPr="00A30CCC">
        <w:t>government sectors as well students on Christmas and Cocos Islands.</w:t>
      </w:r>
    </w:p>
    <w:p w:rsidR="00E23C42" w:rsidRPr="005B6C45" w:rsidRDefault="00E23C42" w:rsidP="00E23C42">
      <w:pPr>
        <w:pStyle w:val="Source"/>
      </w:pPr>
      <w:r w:rsidRPr="005B6C45">
        <w:rPr>
          <w:i/>
        </w:rPr>
        <w:t>Source</w:t>
      </w:r>
      <w:r w:rsidRPr="00647FB7">
        <w:t xml:space="preserve">: </w:t>
      </w:r>
      <w:r w:rsidR="00A30CCC" w:rsidRPr="00647FB7">
        <w:t>ABS 2013</w:t>
      </w:r>
      <w:r w:rsidRPr="00647FB7">
        <w:t xml:space="preserve">, </w:t>
      </w:r>
      <w:r w:rsidR="00A30CCC" w:rsidRPr="00647FB7">
        <w:rPr>
          <w:i/>
        </w:rPr>
        <w:t>Schools Australia 2012</w:t>
      </w:r>
      <w:r w:rsidRPr="00647FB7">
        <w:t xml:space="preserve">, Cat. no. 4221.0, Canberra; </w:t>
      </w:r>
      <w:r w:rsidR="00CD42CD">
        <w:t>Australian Government Department of Education</w:t>
      </w:r>
      <w:r w:rsidRPr="00647FB7">
        <w:t xml:space="preserve"> (unpublished).</w:t>
      </w:r>
    </w:p>
    <w:p w:rsidR="00550D33" w:rsidRPr="005B6C45" w:rsidRDefault="00550D33" w:rsidP="00550D33">
      <w:pPr>
        <w:pStyle w:val="Heading5"/>
      </w:pPr>
      <w:r w:rsidRPr="005B6C45">
        <w:t>Geographically remote students</w:t>
      </w:r>
    </w:p>
    <w:p w:rsidR="00177D6F" w:rsidRPr="00121580" w:rsidRDefault="00177D6F" w:rsidP="00177D6F">
      <w:pPr>
        <w:pStyle w:val="BodyText"/>
      </w:pPr>
      <w:r w:rsidRPr="00121580">
        <w:t>Identification of geographically remote students is based on the school location according to the metropolitan zone, provincial zone, remote areas and very remote areas as defined in the MCEECDYA (now SCSEEC) agreed classification.</w:t>
      </w:r>
      <w:r w:rsidRPr="00121580">
        <w:rPr>
          <w:rStyle w:val="FootnoteReference"/>
        </w:rPr>
        <w:footnoteReference w:id="3"/>
      </w:r>
      <w:r w:rsidRPr="00121580">
        <w:t xml:space="preserve"> </w:t>
      </w:r>
    </w:p>
    <w:p w:rsidR="00E23C42" w:rsidRPr="00121580" w:rsidRDefault="00177D6F" w:rsidP="00177D6F">
      <w:pPr>
        <w:pStyle w:val="BodyText"/>
      </w:pPr>
      <w:r w:rsidRPr="00121580">
        <w:t>The most recent available data for student</w:t>
      </w:r>
      <w:r w:rsidR="00121580" w:rsidRPr="00121580">
        <w:t>s by geolocation is for the 2012</w:t>
      </w:r>
      <w:r w:rsidRPr="00121580">
        <w:t xml:space="preserve"> school year (table</w:t>
      </w:r>
      <w:r w:rsidR="00966FAA" w:rsidRPr="00121580">
        <w:t> </w:t>
      </w:r>
      <w:r w:rsidR="006B20F6">
        <w:fldChar w:fldCharType="begin"/>
      </w:r>
      <w:r w:rsidR="006B20F6">
        <w:instrText xml:space="preserve"> LINK Word.Document.12 "\\\\mel_1\\groups\\Monitor\\09 National Agreement Report\\02 NAR Report WIP\\2013 NAR Report - Ed and training\\2013 NAR first draft\\NEA\\NEA 2013 first draft for CA.docx" "OLE_LINK11" \a \t </w:instrText>
      </w:r>
      <w:r w:rsidR="006B20F6">
        <w:fldChar w:fldCharType="separate"/>
      </w:r>
      <w:r w:rsidR="006B20F6">
        <w:t>8</w:t>
      </w:r>
      <w:r w:rsidR="006B20F6">
        <w:fldChar w:fldCharType="end"/>
      </w:r>
      <w:r w:rsidRPr="00121580">
        <w:t>).</w:t>
      </w:r>
    </w:p>
    <w:p w:rsidR="00665574" w:rsidRPr="00121580" w:rsidRDefault="00665574">
      <w:pPr>
        <w:pStyle w:val="TableTitle"/>
      </w:pPr>
      <w:r w:rsidRPr="00121580">
        <w:rPr>
          <w:b w:val="0"/>
        </w:rPr>
        <w:t xml:space="preserve">Table </w:t>
      </w:r>
      <w:bookmarkStart w:id="14" w:name="OLE_LINK11"/>
      <w:r w:rsidRPr="00121580">
        <w:rPr>
          <w:b w:val="0"/>
        </w:rPr>
        <w:fldChar w:fldCharType="begin"/>
      </w:r>
      <w:r w:rsidRPr="00121580">
        <w:rPr>
          <w:b w:val="0"/>
        </w:rPr>
        <w:instrText xml:space="preserve"> SEQ Table \* ARABIC </w:instrText>
      </w:r>
      <w:r w:rsidRPr="00121580">
        <w:rPr>
          <w:b w:val="0"/>
        </w:rPr>
        <w:fldChar w:fldCharType="separate"/>
      </w:r>
      <w:r w:rsidR="005F5618">
        <w:rPr>
          <w:b w:val="0"/>
          <w:noProof/>
        </w:rPr>
        <w:t>8</w:t>
      </w:r>
      <w:r w:rsidRPr="00121580">
        <w:rPr>
          <w:b w:val="0"/>
        </w:rPr>
        <w:fldChar w:fldCharType="end"/>
      </w:r>
      <w:bookmarkEnd w:id="14"/>
      <w:r w:rsidRPr="00121580">
        <w:tab/>
        <w:t xml:space="preserve">Students attending schools in remote and very remote areas as a </w:t>
      </w:r>
      <w:r w:rsidR="00124E60">
        <w:t>proportion of all students, 2012</w:t>
      </w:r>
      <w:r w:rsidRPr="00121580">
        <w:t xml:space="preserve"> (per cent)</w:t>
      </w:r>
      <w:r w:rsidRPr="00121580">
        <w:rPr>
          <w:rStyle w:val="NoteLabel"/>
          <w:b/>
        </w:rPr>
        <w:t>a, b, c, d</w:t>
      </w:r>
    </w:p>
    <w:tbl>
      <w:tblPr>
        <w:tblW w:w="5000" w:type="pct"/>
        <w:tblCellMar>
          <w:left w:w="0" w:type="dxa"/>
          <w:right w:w="0" w:type="dxa"/>
        </w:tblCellMar>
        <w:tblLook w:val="0000" w:firstRow="0" w:lastRow="0" w:firstColumn="0" w:lastColumn="0" w:noHBand="0" w:noVBand="0"/>
      </w:tblPr>
      <w:tblGrid>
        <w:gridCol w:w="2553"/>
        <w:gridCol w:w="692"/>
        <w:gridCol w:w="693"/>
        <w:gridCol w:w="693"/>
        <w:gridCol w:w="693"/>
        <w:gridCol w:w="693"/>
        <w:gridCol w:w="693"/>
        <w:gridCol w:w="693"/>
        <w:gridCol w:w="693"/>
        <w:gridCol w:w="693"/>
      </w:tblGrid>
      <w:tr w:rsidR="00121580" w:rsidRPr="00121580" w:rsidTr="00121580">
        <w:tc>
          <w:tcPr>
            <w:tcW w:w="1452" w:type="pct"/>
            <w:tcBorders>
              <w:top w:val="single" w:sz="6" w:space="0" w:color="auto"/>
              <w:bottom w:val="single" w:sz="6" w:space="0" w:color="auto"/>
            </w:tcBorders>
            <w:shd w:val="clear" w:color="auto" w:fill="auto"/>
          </w:tcPr>
          <w:p w:rsidR="00D663D8" w:rsidRPr="00121580" w:rsidRDefault="00D663D8" w:rsidP="00D663D8">
            <w:pPr>
              <w:pStyle w:val="TableColumnHeading"/>
              <w:jc w:val="left"/>
            </w:pPr>
          </w:p>
        </w:tc>
        <w:tc>
          <w:tcPr>
            <w:tcW w:w="394" w:type="pct"/>
            <w:tcBorders>
              <w:top w:val="single" w:sz="6" w:space="0" w:color="auto"/>
              <w:bottom w:val="single" w:sz="6" w:space="0" w:color="auto"/>
            </w:tcBorders>
          </w:tcPr>
          <w:p w:rsidR="00D663D8" w:rsidRPr="00121580" w:rsidRDefault="00D663D8" w:rsidP="00D663D8">
            <w:pPr>
              <w:pStyle w:val="TableColumnHeading"/>
            </w:pPr>
            <w:r w:rsidRPr="00121580">
              <w:t>NSW</w:t>
            </w:r>
          </w:p>
        </w:tc>
        <w:tc>
          <w:tcPr>
            <w:tcW w:w="394" w:type="pct"/>
            <w:tcBorders>
              <w:top w:val="single" w:sz="6" w:space="0" w:color="auto"/>
              <w:bottom w:val="single" w:sz="6" w:space="0" w:color="auto"/>
            </w:tcBorders>
          </w:tcPr>
          <w:p w:rsidR="00D663D8" w:rsidRPr="00121580" w:rsidRDefault="00D663D8" w:rsidP="00D663D8">
            <w:pPr>
              <w:pStyle w:val="TableColumnHeading"/>
            </w:pPr>
            <w:r w:rsidRPr="00121580">
              <w:t>Vic</w:t>
            </w:r>
          </w:p>
        </w:tc>
        <w:tc>
          <w:tcPr>
            <w:tcW w:w="394" w:type="pct"/>
            <w:tcBorders>
              <w:top w:val="single" w:sz="6" w:space="0" w:color="auto"/>
              <w:bottom w:val="single" w:sz="6" w:space="0" w:color="auto"/>
            </w:tcBorders>
          </w:tcPr>
          <w:p w:rsidR="00D663D8" w:rsidRPr="00121580" w:rsidRDefault="00D663D8" w:rsidP="00D663D8">
            <w:pPr>
              <w:pStyle w:val="TableColumnHeading"/>
            </w:pPr>
            <w:r w:rsidRPr="00121580">
              <w:t>Qld</w:t>
            </w:r>
          </w:p>
        </w:tc>
        <w:tc>
          <w:tcPr>
            <w:tcW w:w="394" w:type="pct"/>
            <w:tcBorders>
              <w:top w:val="single" w:sz="6" w:space="0" w:color="auto"/>
              <w:bottom w:val="single" w:sz="6" w:space="0" w:color="auto"/>
            </w:tcBorders>
          </w:tcPr>
          <w:p w:rsidR="00D663D8" w:rsidRPr="00121580" w:rsidRDefault="00D663D8" w:rsidP="00D663D8">
            <w:pPr>
              <w:pStyle w:val="TableColumnHeading"/>
            </w:pPr>
            <w:r w:rsidRPr="00121580">
              <w:t>WA</w:t>
            </w:r>
          </w:p>
        </w:tc>
        <w:tc>
          <w:tcPr>
            <w:tcW w:w="394" w:type="pct"/>
            <w:tcBorders>
              <w:top w:val="single" w:sz="6" w:space="0" w:color="auto"/>
              <w:bottom w:val="single" w:sz="6" w:space="0" w:color="auto"/>
            </w:tcBorders>
          </w:tcPr>
          <w:p w:rsidR="00D663D8" w:rsidRPr="00121580" w:rsidRDefault="00D663D8" w:rsidP="00D663D8">
            <w:pPr>
              <w:pStyle w:val="TableColumnHeading"/>
            </w:pPr>
            <w:r w:rsidRPr="00121580">
              <w:t>SA</w:t>
            </w:r>
          </w:p>
        </w:tc>
        <w:tc>
          <w:tcPr>
            <w:tcW w:w="394" w:type="pct"/>
            <w:tcBorders>
              <w:top w:val="single" w:sz="6" w:space="0" w:color="auto"/>
              <w:bottom w:val="single" w:sz="6" w:space="0" w:color="auto"/>
            </w:tcBorders>
          </w:tcPr>
          <w:p w:rsidR="00D663D8" w:rsidRPr="00121580" w:rsidRDefault="00D663D8" w:rsidP="00D663D8">
            <w:pPr>
              <w:pStyle w:val="TableColumnHeading"/>
            </w:pPr>
            <w:r w:rsidRPr="00121580">
              <w:t>Tas</w:t>
            </w:r>
          </w:p>
        </w:tc>
        <w:tc>
          <w:tcPr>
            <w:tcW w:w="394" w:type="pct"/>
            <w:tcBorders>
              <w:top w:val="single" w:sz="6" w:space="0" w:color="auto"/>
              <w:bottom w:val="single" w:sz="6" w:space="0" w:color="auto"/>
            </w:tcBorders>
          </w:tcPr>
          <w:p w:rsidR="00D663D8" w:rsidRPr="00121580" w:rsidRDefault="00D663D8" w:rsidP="00D663D8">
            <w:pPr>
              <w:pStyle w:val="TableColumnHeading"/>
            </w:pPr>
            <w:r w:rsidRPr="00121580">
              <w:t>ACT</w:t>
            </w:r>
          </w:p>
        </w:tc>
        <w:tc>
          <w:tcPr>
            <w:tcW w:w="394" w:type="pct"/>
            <w:tcBorders>
              <w:top w:val="single" w:sz="6" w:space="0" w:color="auto"/>
              <w:bottom w:val="single" w:sz="6" w:space="0" w:color="auto"/>
            </w:tcBorders>
            <w:shd w:val="clear" w:color="auto" w:fill="auto"/>
          </w:tcPr>
          <w:p w:rsidR="00D663D8" w:rsidRPr="00121580" w:rsidRDefault="00D663D8" w:rsidP="00D663D8">
            <w:pPr>
              <w:pStyle w:val="TableColumnHeading"/>
            </w:pPr>
            <w:r w:rsidRPr="00121580">
              <w:t>NT</w:t>
            </w:r>
          </w:p>
        </w:tc>
        <w:tc>
          <w:tcPr>
            <w:tcW w:w="394" w:type="pct"/>
            <w:tcBorders>
              <w:top w:val="single" w:sz="6" w:space="0" w:color="auto"/>
              <w:bottom w:val="single" w:sz="6" w:space="0" w:color="auto"/>
            </w:tcBorders>
            <w:shd w:val="clear" w:color="auto" w:fill="auto"/>
          </w:tcPr>
          <w:p w:rsidR="00D663D8" w:rsidRPr="00121580" w:rsidRDefault="00D663D8" w:rsidP="00D663D8">
            <w:pPr>
              <w:pStyle w:val="TableColumnHeading"/>
              <w:ind w:right="28"/>
            </w:pPr>
            <w:r w:rsidRPr="00121580">
              <w:t>Aust</w:t>
            </w:r>
          </w:p>
        </w:tc>
      </w:tr>
      <w:tr w:rsidR="00121580" w:rsidRPr="00121580" w:rsidTr="00121580">
        <w:tc>
          <w:tcPr>
            <w:tcW w:w="1452" w:type="pct"/>
            <w:tcBorders>
              <w:top w:val="single" w:sz="6" w:space="0" w:color="auto"/>
            </w:tcBorders>
          </w:tcPr>
          <w:p w:rsidR="00F93E84" w:rsidRPr="00121580" w:rsidRDefault="00121580" w:rsidP="00FE60BF">
            <w:pPr>
              <w:pStyle w:val="TableBodyText"/>
              <w:spacing w:before="80"/>
              <w:jc w:val="left"/>
            </w:pPr>
            <w:r>
              <w:t>Remote areas</w:t>
            </w:r>
          </w:p>
        </w:tc>
        <w:tc>
          <w:tcPr>
            <w:tcW w:w="394" w:type="pct"/>
            <w:tcBorders>
              <w:top w:val="single" w:sz="6" w:space="0" w:color="auto"/>
            </w:tcBorders>
          </w:tcPr>
          <w:p w:rsidR="00F93E84" w:rsidRPr="00121580" w:rsidRDefault="00F93E84" w:rsidP="00D663D8">
            <w:pPr>
              <w:pStyle w:val="TableUnitsRow"/>
            </w:pPr>
          </w:p>
        </w:tc>
        <w:tc>
          <w:tcPr>
            <w:tcW w:w="394" w:type="pct"/>
            <w:tcBorders>
              <w:top w:val="single" w:sz="6" w:space="0" w:color="auto"/>
            </w:tcBorders>
          </w:tcPr>
          <w:p w:rsidR="00F93E84" w:rsidRPr="00121580" w:rsidRDefault="00F93E84" w:rsidP="00D663D8">
            <w:pPr>
              <w:pStyle w:val="TableUnitsRow"/>
            </w:pPr>
          </w:p>
        </w:tc>
        <w:tc>
          <w:tcPr>
            <w:tcW w:w="394" w:type="pct"/>
            <w:tcBorders>
              <w:top w:val="single" w:sz="6" w:space="0" w:color="auto"/>
            </w:tcBorders>
          </w:tcPr>
          <w:p w:rsidR="00F93E84" w:rsidRPr="00121580" w:rsidRDefault="00F93E84" w:rsidP="00D663D8">
            <w:pPr>
              <w:pStyle w:val="TableUnitsRow"/>
            </w:pPr>
          </w:p>
        </w:tc>
        <w:tc>
          <w:tcPr>
            <w:tcW w:w="394" w:type="pct"/>
            <w:tcBorders>
              <w:top w:val="single" w:sz="6" w:space="0" w:color="auto"/>
            </w:tcBorders>
          </w:tcPr>
          <w:p w:rsidR="00F93E84" w:rsidRPr="00121580" w:rsidRDefault="00F93E84" w:rsidP="00D663D8">
            <w:pPr>
              <w:pStyle w:val="TableUnitsRow"/>
            </w:pPr>
          </w:p>
        </w:tc>
        <w:tc>
          <w:tcPr>
            <w:tcW w:w="394" w:type="pct"/>
            <w:tcBorders>
              <w:top w:val="single" w:sz="6" w:space="0" w:color="auto"/>
            </w:tcBorders>
          </w:tcPr>
          <w:p w:rsidR="00F93E84" w:rsidRPr="00121580" w:rsidRDefault="00F93E84" w:rsidP="00D663D8">
            <w:pPr>
              <w:pStyle w:val="TableUnitsRow"/>
            </w:pPr>
          </w:p>
        </w:tc>
        <w:tc>
          <w:tcPr>
            <w:tcW w:w="394" w:type="pct"/>
            <w:tcBorders>
              <w:top w:val="single" w:sz="6" w:space="0" w:color="auto"/>
            </w:tcBorders>
          </w:tcPr>
          <w:p w:rsidR="00F93E84" w:rsidRPr="00121580" w:rsidRDefault="00F93E84" w:rsidP="00D663D8">
            <w:pPr>
              <w:pStyle w:val="TableUnitsRow"/>
            </w:pPr>
          </w:p>
        </w:tc>
        <w:tc>
          <w:tcPr>
            <w:tcW w:w="394" w:type="pct"/>
            <w:tcBorders>
              <w:top w:val="single" w:sz="6" w:space="0" w:color="auto"/>
            </w:tcBorders>
          </w:tcPr>
          <w:p w:rsidR="00F93E84" w:rsidRPr="00121580" w:rsidRDefault="00F93E84" w:rsidP="00D663D8">
            <w:pPr>
              <w:pStyle w:val="TableUnitsRow"/>
            </w:pPr>
          </w:p>
        </w:tc>
        <w:tc>
          <w:tcPr>
            <w:tcW w:w="394" w:type="pct"/>
            <w:tcBorders>
              <w:top w:val="single" w:sz="6" w:space="0" w:color="auto"/>
            </w:tcBorders>
          </w:tcPr>
          <w:p w:rsidR="00F93E84" w:rsidRPr="00121580" w:rsidRDefault="00F93E84" w:rsidP="00D663D8">
            <w:pPr>
              <w:pStyle w:val="TableUnitsRow"/>
            </w:pPr>
          </w:p>
        </w:tc>
        <w:tc>
          <w:tcPr>
            <w:tcW w:w="394" w:type="pct"/>
            <w:tcBorders>
              <w:top w:val="single" w:sz="6" w:space="0" w:color="auto"/>
            </w:tcBorders>
          </w:tcPr>
          <w:p w:rsidR="00F93E84" w:rsidRPr="00121580" w:rsidRDefault="00F93E84" w:rsidP="00D663D8">
            <w:pPr>
              <w:pStyle w:val="TableUnitsRow"/>
              <w:ind w:right="28"/>
            </w:pPr>
          </w:p>
        </w:tc>
      </w:tr>
      <w:tr w:rsidR="00121580" w:rsidRPr="00121580" w:rsidTr="00121580">
        <w:tc>
          <w:tcPr>
            <w:tcW w:w="1452" w:type="pct"/>
          </w:tcPr>
          <w:p w:rsidR="00121580" w:rsidRPr="00121580" w:rsidRDefault="00121580" w:rsidP="00121580">
            <w:pPr>
              <w:pStyle w:val="TableBodyText"/>
              <w:spacing w:before="80"/>
              <w:ind w:left="142"/>
              <w:jc w:val="left"/>
            </w:pPr>
            <w:r w:rsidRPr="00121580">
              <w:t>Government schools</w:t>
            </w:r>
          </w:p>
        </w:tc>
        <w:tc>
          <w:tcPr>
            <w:tcW w:w="394" w:type="pct"/>
          </w:tcPr>
          <w:p w:rsidR="00075BF1" w:rsidRPr="00121580" w:rsidRDefault="00075BF1" w:rsidP="00D663D8">
            <w:pPr>
              <w:pStyle w:val="TableBodyText"/>
            </w:pPr>
            <w:r>
              <w:t>0.5</w:t>
            </w:r>
          </w:p>
        </w:tc>
        <w:tc>
          <w:tcPr>
            <w:tcW w:w="394" w:type="pct"/>
          </w:tcPr>
          <w:p w:rsidR="00121580" w:rsidRPr="00121580" w:rsidRDefault="00075BF1" w:rsidP="00D663D8">
            <w:pPr>
              <w:pStyle w:val="TableBodyText"/>
            </w:pPr>
            <w:r>
              <w:t>0.1</w:t>
            </w:r>
          </w:p>
        </w:tc>
        <w:tc>
          <w:tcPr>
            <w:tcW w:w="394" w:type="pct"/>
          </w:tcPr>
          <w:p w:rsidR="00121580" w:rsidRPr="00121580" w:rsidRDefault="00075BF1" w:rsidP="00D663D8">
            <w:pPr>
              <w:pStyle w:val="TableBodyText"/>
            </w:pPr>
            <w:r>
              <w:t>2.0</w:t>
            </w:r>
          </w:p>
        </w:tc>
        <w:tc>
          <w:tcPr>
            <w:tcW w:w="394" w:type="pct"/>
          </w:tcPr>
          <w:p w:rsidR="00121580" w:rsidRPr="00121580" w:rsidRDefault="00075BF1" w:rsidP="00D663D8">
            <w:pPr>
              <w:pStyle w:val="TableBodyText"/>
            </w:pPr>
            <w:r>
              <w:t>5.5</w:t>
            </w:r>
          </w:p>
        </w:tc>
        <w:tc>
          <w:tcPr>
            <w:tcW w:w="394" w:type="pct"/>
          </w:tcPr>
          <w:p w:rsidR="00121580" w:rsidRPr="00121580" w:rsidRDefault="00075BF1" w:rsidP="00D663D8">
            <w:pPr>
              <w:pStyle w:val="TableBodyText"/>
            </w:pPr>
            <w:r>
              <w:t>3.5</w:t>
            </w:r>
          </w:p>
        </w:tc>
        <w:tc>
          <w:tcPr>
            <w:tcW w:w="394" w:type="pct"/>
          </w:tcPr>
          <w:p w:rsidR="00121580" w:rsidRPr="00121580" w:rsidRDefault="00075BF1" w:rsidP="00D663D8">
            <w:pPr>
              <w:pStyle w:val="TableBodyText"/>
            </w:pPr>
            <w:r>
              <w:t>0.8</w:t>
            </w:r>
          </w:p>
        </w:tc>
        <w:tc>
          <w:tcPr>
            <w:tcW w:w="394" w:type="pct"/>
          </w:tcPr>
          <w:p w:rsidR="00121580" w:rsidRPr="00121580" w:rsidRDefault="00075BF1" w:rsidP="00D663D8">
            <w:pPr>
              <w:pStyle w:val="TableBodyText"/>
            </w:pPr>
            <w:r>
              <w:t>..</w:t>
            </w:r>
          </w:p>
        </w:tc>
        <w:tc>
          <w:tcPr>
            <w:tcW w:w="394" w:type="pct"/>
          </w:tcPr>
          <w:p w:rsidR="00121580" w:rsidRPr="00121580" w:rsidRDefault="00075BF1" w:rsidP="00D663D8">
            <w:pPr>
              <w:pStyle w:val="TableBodyText"/>
            </w:pPr>
            <w:r>
              <w:t>17.0</w:t>
            </w:r>
          </w:p>
        </w:tc>
        <w:tc>
          <w:tcPr>
            <w:tcW w:w="394" w:type="pct"/>
          </w:tcPr>
          <w:p w:rsidR="00121580" w:rsidRPr="00121580" w:rsidRDefault="00075BF1" w:rsidP="00D663D8">
            <w:pPr>
              <w:pStyle w:val="TableBodyText"/>
              <w:ind w:right="28"/>
            </w:pPr>
            <w:r>
              <w:t>1.7</w:t>
            </w:r>
          </w:p>
        </w:tc>
      </w:tr>
      <w:tr w:rsidR="00121580" w:rsidRPr="00121580" w:rsidTr="00121580">
        <w:tc>
          <w:tcPr>
            <w:tcW w:w="1452" w:type="pct"/>
          </w:tcPr>
          <w:p w:rsidR="00F93E84" w:rsidRPr="00121580" w:rsidRDefault="00F93E84" w:rsidP="00121580">
            <w:pPr>
              <w:pStyle w:val="TableBodyText"/>
              <w:spacing w:before="80"/>
              <w:ind w:left="142"/>
              <w:jc w:val="left"/>
            </w:pPr>
            <w:r w:rsidRPr="00121580">
              <w:t>Non</w:t>
            </w:r>
            <w:r w:rsidR="00966FAA" w:rsidRPr="00121580">
              <w:noBreakHyphen/>
            </w:r>
            <w:r w:rsidRPr="00121580">
              <w:t>government schools</w:t>
            </w:r>
          </w:p>
        </w:tc>
        <w:tc>
          <w:tcPr>
            <w:tcW w:w="394" w:type="pct"/>
          </w:tcPr>
          <w:p w:rsidR="00F93E84" w:rsidRPr="00121580" w:rsidRDefault="00075BF1" w:rsidP="00D663D8">
            <w:pPr>
              <w:pStyle w:val="TableBodyText"/>
            </w:pPr>
            <w:r>
              <w:t>0.2</w:t>
            </w:r>
          </w:p>
        </w:tc>
        <w:tc>
          <w:tcPr>
            <w:tcW w:w="394" w:type="pct"/>
          </w:tcPr>
          <w:p w:rsidR="00F93E84" w:rsidRPr="00121580" w:rsidRDefault="00075BF1" w:rsidP="00D663D8">
            <w:pPr>
              <w:pStyle w:val="TableBodyText"/>
            </w:pPr>
            <w:r>
              <w:t>–</w:t>
            </w:r>
          </w:p>
        </w:tc>
        <w:tc>
          <w:tcPr>
            <w:tcW w:w="394" w:type="pct"/>
          </w:tcPr>
          <w:p w:rsidR="00F93E84" w:rsidRPr="00121580" w:rsidRDefault="00075BF1" w:rsidP="00D663D8">
            <w:pPr>
              <w:pStyle w:val="TableBodyText"/>
            </w:pPr>
            <w:r>
              <w:t>0.8</w:t>
            </w:r>
          </w:p>
        </w:tc>
        <w:tc>
          <w:tcPr>
            <w:tcW w:w="394" w:type="pct"/>
          </w:tcPr>
          <w:p w:rsidR="00F93E84" w:rsidRPr="00121580" w:rsidRDefault="00075BF1" w:rsidP="00D663D8">
            <w:pPr>
              <w:pStyle w:val="TableBodyText"/>
            </w:pPr>
            <w:r>
              <w:t>1.9</w:t>
            </w:r>
          </w:p>
        </w:tc>
        <w:tc>
          <w:tcPr>
            <w:tcW w:w="394" w:type="pct"/>
          </w:tcPr>
          <w:p w:rsidR="00F93E84" w:rsidRPr="00121580" w:rsidRDefault="00075BF1" w:rsidP="00D663D8">
            <w:pPr>
              <w:pStyle w:val="TableBodyText"/>
            </w:pPr>
            <w:r>
              <w:t>1.4</w:t>
            </w:r>
          </w:p>
        </w:tc>
        <w:tc>
          <w:tcPr>
            <w:tcW w:w="394" w:type="pct"/>
          </w:tcPr>
          <w:p w:rsidR="00F93E84" w:rsidRPr="00121580" w:rsidRDefault="00075BF1" w:rsidP="00D663D8">
            <w:pPr>
              <w:pStyle w:val="TableBodyText"/>
            </w:pPr>
            <w:r>
              <w:t>0.4</w:t>
            </w:r>
          </w:p>
        </w:tc>
        <w:tc>
          <w:tcPr>
            <w:tcW w:w="394" w:type="pct"/>
          </w:tcPr>
          <w:p w:rsidR="00F93E84" w:rsidRPr="00121580" w:rsidRDefault="00075BF1" w:rsidP="00D663D8">
            <w:pPr>
              <w:pStyle w:val="TableBodyText"/>
            </w:pPr>
            <w:r>
              <w:t>..</w:t>
            </w:r>
          </w:p>
        </w:tc>
        <w:tc>
          <w:tcPr>
            <w:tcW w:w="394" w:type="pct"/>
          </w:tcPr>
          <w:p w:rsidR="00F93E84" w:rsidRPr="00121580" w:rsidRDefault="00075BF1" w:rsidP="00D663D8">
            <w:pPr>
              <w:pStyle w:val="TableBodyText"/>
            </w:pPr>
            <w:r>
              <w:t>29.0</w:t>
            </w:r>
          </w:p>
        </w:tc>
        <w:tc>
          <w:tcPr>
            <w:tcW w:w="394" w:type="pct"/>
          </w:tcPr>
          <w:p w:rsidR="00F93E84" w:rsidRPr="00121580" w:rsidRDefault="00075BF1" w:rsidP="00D663D8">
            <w:pPr>
              <w:pStyle w:val="TableBodyText"/>
              <w:ind w:right="28"/>
            </w:pPr>
            <w:r>
              <w:t>0.8</w:t>
            </w:r>
          </w:p>
        </w:tc>
      </w:tr>
      <w:tr w:rsidR="00121580" w:rsidRPr="00121580" w:rsidTr="00121580">
        <w:tc>
          <w:tcPr>
            <w:tcW w:w="1452" w:type="pct"/>
          </w:tcPr>
          <w:p w:rsidR="00F93E84" w:rsidRPr="00121580" w:rsidRDefault="00F93E84" w:rsidP="00121580">
            <w:pPr>
              <w:pStyle w:val="TableBodyText"/>
              <w:spacing w:before="80"/>
              <w:ind w:left="142"/>
              <w:jc w:val="left"/>
              <w:rPr>
                <w:b/>
              </w:rPr>
            </w:pPr>
            <w:r w:rsidRPr="00121580">
              <w:rPr>
                <w:b/>
              </w:rPr>
              <w:t>All schools</w:t>
            </w:r>
          </w:p>
        </w:tc>
        <w:tc>
          <w:tcPr>
            <w:tcW w:w="394" w:type="pct"/>
          </w:tcPr>
          <w:p w:rsidR="00F93E84" w:rsidRPr="006D3405" w:rsidRDefault="00075BF1" w:rsidP="00D663D8">
            <w:pPr>
              <w:pStyle w:val="TableBodyText"/>
              <w:rPr>
                <w:b/>
              </w:rPr>
            </w:pPr>
            <w:r w:rsidRPr="006D3405">
              <w:rPr>
                <w:b/>
              </w:rPr>
              <w:t>0.4</w:t>
            </w:r>
          </w:p>
        </w:tc>
        <w:tc>
          <w:tcPr>
            <w:tcW w:w="394" w:type="pct"/>
          </w:tcPr>
          <w:p w:rsidR="00F93E84" w:rsidRPr="006D3405" w:rsidRDefault="00075BF1" w:rsidP="00D663D8">
            <w:pPr>
              <w:pStyle w:val="TableBodyText"/>
              <w:rPr>
                <w:b/>
              </w:rPr>
            </w:pPr>
            <w:r w:rsidRPr="006D3405">
              <w:rPr>
                <w:b/>
              </w:rPr>
              <w:t>0.1</w:t>
            </w:r>
          </w:p>
        </w:tc>
        <w:tc>
          <w:tcPr>
            <w:tcW w:w="394" w:type="pct"/>
          </w:tcPr>
          <w:p w:rsidR="00F93E84" w:rsidRPr="006D3405" w:rsidRDefault="00075BF1" w:rsidP="00D663D8">
            <w:pPr>
              <w:pStyle w:val="TableBodyText"/>
              <w:rPr>
                <w:b/>
              </w:rPr>
            </w:pPr>
            <w:r w:rsidRPr="006D3405">
              <w:rPr>
                <w:b/>
              </w:rPr>
              <w:t>1.6</w:t>
            </w:r>
          </w:p>
        </w:tc>
        <w:tc>
          <w:tcPr>
            <w:tcW w:w="394" w:type="pct"/>
          </w:tcPr>
          <w:p w:rsidR="00F93E84" w:rsidRPr="006D3405" w:rsidRDefault="00075BF1" w:rsidP="00D663D8">
            <w:pPr>
              <w:pStyle w:val="TableBodyText"/>
              <w:rPr>
                <w:b/>
              </w:rPr>
            </w:pPr>
            <w:r w:rsidRPr="006D3405">
              <w:rPr>
                <w:b/>
              </w:rPr>
              <w:t>4.3</w:t>
            </w:r>
          </w:p>
        </w:tc>
        <w:tc>
          <w:tcPr>
            <w:tcW w:w="394" w:type="pct"/>
          </w:tcPr>
          <w:p w:rsidR="00F93E84" w:rsidRPr="006D3405" w:rsidRDefault="00075BF1" w:rsidP="00D663D8">
            <w:pPr>
              <w:pStyle w:val="TableBodyText"/>
              <w:rPr>
                <w:b/>
              </w:rPr>
            </w:pPr>
            <w:r w:rsidRPr="006D3405">
              <w:rPr>
                <w:b/>
              </w:rPr>
              <w:t>2.8</w:t>
            </w:r>
          </w:p>
        </w:tc>
        <w:tc>
          <w:tcPr>
            <w:tcW w:w="394" w:type="pct"/>
          </w:tcPr>
          <w:p w:rsidR="00F93E84" w:rsidRPr="006D3405" w:rsidRDefault="00075BF1" w:rsidP="00D663D8">
            <w:pPr>
              <w:pStyle w:val="TableBodyText"/>
              <w:rPr>
                <w:b/>
              </w:rPr>
            </w:pPr>
            <w:r w:rsidRPr="006D3405">
              <w:rPr>
                <w:b/>
              </w:rPr>
              <w:t>0.7</w:t>
            </w:r>
          </w:p>
        </w:tc>
        <w:tc>
          <w:tcPr>
            <w:tcW w:w="394" w:type="pct"/>
          </w:tcPr>
          <w:p w:rsidR="00F93E84" w:rsidRPr="006D3405" w:rsidRDefault="00075BF1" w:rsidP="00D663D8">
            <w:pPr>
              <w:pStyle w:val="TableBodyText"/>
              <w:rPr>
                <w:b/>
              </w:rPr>
            </w:pPr>
            <w:r w:rsidRPr="006D3405">
              <w:rPr>
                <w:b/>
              </w:rPr>
              <w:t>..</w:t>
            </w:r>
          </w:p>
        </w:tc>
        <w:tc>
          <w:tcPr>
            <w:tcW w:w="394" w:type="pct"/>
          </w:tcPr>
          <w:p w:rsidR="00F93E84" w:rsidRPr="006D3405" w:rsidRDefault="00075BF1" w:rsidP="00D663D8">
            <w:pPr>
              <w:pStyle w:val="TableBodyText"/>
              <w:rPr>
                <w:b/>
              </w:rPr>
            </w:pPr>
            <w:r w:rsidRPr="006D3405">
              <w:rPr>
                <w:b/>
              </w:rPr>
              <w:t>20.0</w:t>
            </w:r>
          </w:p>
        </w:tc>
        <w:tc>
          <w:tcPr>
            <w:tcW w:w="394" w:type="pct"/>
          </w:tcPr>
          <w:p w:rsidR="00F93E84" w:rsidRPr="006D3405" w:rsidRDefault="00075BF1" w:rsidP="00D663D8">
            <w:pPr>
              <w:pStyle w:val="TableBodyText"/>
              <w:ind w:right="28"/>
              <w:rPr>
                <w:b/>
              </w:rPr>
            </w:pPr>
            <w:r w:rsidRPr="006D3405">
              <w:rPr>
                <w:b/>
              </w:rPr>
              <w:t>1.4</w:t>
            </w:r>
          </w:p>
        </w:tc>
      </w:tr>
      <w:tr w:rsidR="00121580" w:rsidRPr="00121580" w:rsidTr="00121580">
        <w:tc>
          <w:tcPr>
            <w:tcW w:w="1452" w:type="pct"/>
          </w:tcPr>
          <w:p w:rsidR="00121580" w:rsidRPr="00121580" w:rsidRDefault="00121580" w:rsidP="00FE60BF">
            <w:pPr>
              <w:pStyle w:val="TableBodyText"/>
              <w:spacing w:before="80"/>
              <w:jc w:val="left"/>
            </w:pPr>
            <w:r>
              <w:t>Very remote areas</w:t>
            </w:r>
          </w:p>
        </w:tc>
        <w:tc>
          <w:tcPr>
            <w:tcW w:w="394" w:type="pct"/>
          </w:tcPr>
          <w:p w:rsidR="00121580" w:rsidRPr="00121580" w:rsidRDefault="00121580" w:rsidP="00D663D8">
            <w:pPr>
              <w:pStyle w:val="TableBodyText"/>
            </w:pPr>
          </w:p>
        </w:tc>
        <w:tc>
          <w:tcPr>
            <w:tcW w:w="394" w:type="pct"/>
          </w:tcPr>
          <w:p w:rsidR="00121580" w:rsidRPr="00121580" w:rsidRDefault="00121580" w:rsidP="00D663D8">
            <w:pPr>
              <w:pStyle w:val="TableBodyText"/>
            </w:pPr>
          </w:p>
        </w:tc>
        <w:tc>
          <w:tcPr>
            <w:tcW w:w="394" w:type="pct"/>
          </w:tcPr>
          <w:p w:rsidR="00121580" w:rsidRPr="00121580" w:rsidRDefault="00121580" w:rsidP="00D663D8">
            <w:pPr>
              <w:pStyle w:val="TableBodyText"/>
            </w:pPr>
          </w:p>
        </w:tc>
        <w:tc>
          <w:tcPr>
            <w:tcW w:w="394" w:type="pct"/>
          </w:tcPr>
          <w:p w:rsidR="00121580" w:rsidRPr="00121580" w:rsidRDefault="00121580" w:rsidP="00D663D8">
            <w:pPr>
              <w:pStyle w:val="TableBodyText"/>
            </w:pPr>
          </w:p>
        </w:tc>
        <w:tc>
          <w:tcPr>
            <w:tcW w:w="394" w:type="pct"/>
          </w:tcPr>
          <w:p w:rsidR="00121580" w:rsidRPr="00121580" w:rsidRDefault="00121580" w:rsidP="00D663D8">
            <w:pPr>
              <w:pStyle w:val="TableBodyText"/>
            </w:pPr>
          </w:p>
        </w:tc>
        <w:tc>
          <w:tcPr>
            <w:tcW w:w="394" w:type="pct"/>
          </w:tcPr>
          <w:p w:rsidR="00121580" w:rsidRPr="00121580" w:rsidRDefault="00121580" w:rsidP="00D663D8">
            <w:pPr>
              <w:pStyle w:val="TableBodyText"/>
            </w:pPr>
          </w:p>
        </w:tc>
        <w:tc>
          <w:tcPr>
            <w:tcW w:w="394" w:type="pct"/>
          </w:tcPr>
          <w:p w:rsidR="00121580" w:rsidRPr="00121580" w:rsidRDefault="00121580" w:rsidP="00D663D8">
            <w:pPr>
              <w:pStyle w:val="TableBodyText"/>
            </w:pPr>
          </w:p>
        </w:tc>
        <w:tc>
          <w:tcPr>
            <w:tcW w:w="394" w:type="pct"/>
          </w:tcPr>
          <w:p w:rsidR="00121580" w:rsidRPr="00121580" w:rsidRDefault="00121580" w:rsidP="00D663D8">
            <w:pPr>
              <w:pStyle w:val="TableBodyText"/>
            </w:pPr>
          </w:p>
        </w:tc>
        <w:tc>
          <w:tcPr>
            <w:tcW w:w="394" w:type="pct"/>
          </w:tcPr>
          <w:p w:rsidR="00121580" w:rsidRPr="00121580" w:rsidRDefault="00121580" w:rsidP="00D663D8">
            <w:pPr>
              <w:pStyle w:val="TableBodyText"/>
              <w:ind w:right="28"/>
            </w:pPr>
          </w:p>
        </w:tc>
      </w:tr>
      <w:tr w:rsidR="00121580" w:rsidRPr="00121580" w:rsidTr="00121580">
        <w:tc>
          <w:tcPr>
            <w:tcW w:w="1452" w:type="pct"/>
          </w:tcPr>
          <w:p w:rsidR="00F93E84" w:rsidRPr="00121580" w:rsidRDefault="00F93E84" w:rsidP="00121580">
            <w:pPr>
              <w:pStyle w:val="TableBodyText"/>
              <w:spacing w:before="80"/>
              <w:ind w:left="142"/>
              <w:jc w:val="left"/>
            </w:pPr>
            <w:r w:rsidRPr="00121580">
              <w:t>Government schools</w:t>
            </w:r>
          </w:p>
        </w:tc>
        <w:tc>
          <w:tcPr>
            <w:tcW w:w="394" w:type="pct"/>
          </w:tcPr>
          <w:p w:rsidR="00F93E84" w:rsidRPr="00121580" w:rsidRDefault="00075BF1" w:rsidP="00D663D8">
            <w:pPr>
              <w:pStyle w:val="TableBodyText"/>
            </w:pPr>
            <w:r>
              <w:t>0.1</w:t>
            </w:r>
          </w:p>
        </w:tc>
        <w:tc>
          <w:tcPr>
            <w:tcW w:w="394" w:type="pct"/>
          </w:tcPr>
          <w:p w:rsidR="00F93E84" w:rsidRPr="00121580" w:rsidRDefault="00075BF1" w:rsidP="00D663D8">
            <w:pPr>
              <w:pStyle w:val="TableBodyText"/>
            </w:pPr>
            <w:r>
              <w:t>..</w:t>
            </w:r>
          </w:p>
        </w:tc>
        <w:tc>
          <w:tcPr>
            <w:tcW w:w="394" w:type="pct"/>
          </w:tcPr>
          <w:p w:rsidR="00F93E84" w:rsidRPr="00121580" w:rsidRDefault="00075BF1" w:rsidP="00D663D8">
            <w:pPr>
              <w:pStyle w:val="TableBodyText"/>
            </w:pPr>
            <w:r>
              <w:t>1.5</w:t>
            </w:r>
          </w:p>
        </w:tc>
        <w:tc>
          <w:tcPr>
            <w:tcW w:w="394" w:type="pct"/>
          </w:tcPr>
          <w:p w:rsidR="00F93E84" w:rsidRPr="00121580" w:rsidRDefault="00075BF1" w:rsidP="00D663D8">
            <w:pPr>
              <w:pStyle w:val="TableBodyText"/>
            </w:pPr>
            <w:r>
              <w:t>3.0</w:t>
            </w:r>
          </w:p>
        </w:tc>
        <w:tc>
          <w:tcPr>
            <w:tcW w:w="394" w:type="pct"/>
          </w:tcPr>
          <w:p w:rsidR="00F93E84" w:rsidRPr="00121580" w:rsidRDefault="00075BF1" w:rsidP="00D663D8">
            <w:pPr>
              <w:pStyle w:val="TableBodyText"/>
            </w:pPr>
            <w:r>
              <w:t>1.2</w:t>
            </w:r>
          </w:p>
        </w:tc>
        <w:tc>
          <w:tcPr>
            <w:tcW w:w="394" w:type="pct"/>
          </w:tcPr>
          <w:p w:rsidR="00F93E84" w:rsidRPr="00121580" w:rsidRDefault="00075BF1" w:rsidP="00D663D8">
            <w:pPr>
              <w:pStyle w:val="TableBodyText"/>
            </w:pPr>
            <w:r>
              <w:t>0.4</w:t>
            </w:r>
          </w:p>
        </w:tc>
        <w:tc>
          <w:tcPr>
            <w:tcW w:w="394" w:type="pct"/>
          </w:tcPr>
          <w:p w:rsidR="00F93E84" w:rsidRPr="00121580" w:rsidRDefault="00075BF1" w:rsidP="00D663D8">
            <w:pPr>
              <w:pStyle w:val="TableBodyText"/>
            </w:pPr>
            <w:r>
              <w:t>..</w:t>
            </w:r>
          </w:p>
        </w:tc>
        <w:tc>
          <w:tcPr>
            <w:tcW w:w="394" w:type="pct"/>
          </w:tcPr>
          <w:p w:rsidR="00F93E84" w:rsidRPr="00121580" w:rsidRDefault="00075BF1" w:rsidP="00D663D8">
            <w:pPr>
              <w:pStyle w:val="TableBodyText"/>
            </w:pPr>
            <w:r>
              <w:t>29.1</w:t>
            </w:r>
          </w:p>
        </w:tc>
        <w:tc>
          <w:tcPr>
            <w:tcW w:w="394" w:type="pct"/>
          </w:tcPr>
          <w:p w:rsidR="00F93E84" w:rsidRPr="00121580" w:rsidRDefault="00075BF1" w:rsidP="00D663D8">
            <w:pPr>
              <w:pStyle w:val="TableBodyText"/>
              <w:ind w:right="28"/>
            </w:pPr>
            <w:r>
              <w:t>1.0</w:t>
            </w:r>
          </w:p>
        </w:tc>
      </w:tr>
      <w:tr w:rsidR="00121580" w:rsidRPr="00121580" w:rsidTr="00121580">
        <w:tc>
          <w:tcPr>
            <w:tcW w:w="1452" w:type="pct"/>
          </w:tcPr>
          <w:p w:rsidR="00F93E84" w:rsidRPr="00121580" w:rsidRDefault="00F93E84" w:rsidP="00121580">
            <w:pPr>
              <w:pStyle w:val="TableBodyText"/>
              <w:spacing w:before="80"/>
              <w:ind w:left="142"/>
              <w:jc w:val="left"/>
            </w:pPr>
            <w:r w:rsidRPr="00121580">
              <w:t>Non</w:t>
            </w:r>
            <w:r w:rsidR="00966FAA" w:rsidRPr="00121580">
              <w:noBreakHyphen/>
            </w:r>
            <w:r w:rsidRPr="00121580">
              <w:t>government schools</w:t>
            </w:r>
          </w:p>
        </w:tc>
        <w:tc>
          <w:tcPr>
            <w:tcW w:w="394" w:type="pct"/>
          </w:tcPr>
          <w:p w:rsidR="00F93E84" w:rsidRPr="00121580" w:rsidRDefault="00075BF1" w:rsidP="00D663D8">
            <w:pPr>
              <w:pStyle w:val="TableBodyText"/>
            </w:pPr>
            <w:r>
              <w:t>0.1</w:t>
            </w:r>
          </w:p>
        </w:tc>
        <w:tc>
          <w:tcPr>
            <w:tcW w:w="394" w:type="pct"/>
          </w:tcPr>
          <w:p w:rsidR="00F93E84" w:rsidRPr="00121580" w:rsidRDefault="00075BF1" w:rsidP="00D663D8">
            <w:pPr>
              <w:pStyle w:val="TableBodyText"/>
            </w:pPr>
            <w:r>
              <w:t>..</w:t>
            </w:r>
          </w:p>
        </w:tc>
        <w:tc>
          <w:tcPr>
            <w:tcW w:w="394" w:type="pct"/>
          </w:tcPr>
          <w:p w:rsidR="00F93E84" w:rsidRPr="00121580" w:rsidRDefault="00075BF1" w:rsidP="00D663D8">
            <w:pPr>
              <w:pStyle w:val="TableBodyText"/>
            </w:pPr>
            <w:r>
              <w:t>0.3</w:t>
            </w:r>
          </w:p>
        </w:tc>
        <w:tc>
          <w:tcPr>
            <w:tcW w:w="394" w:type="pct"/>
          </w:tcPr>
          <w:p w:rsidR="00F93E84" w:rsidRPr="00121580" w:rsidRDefault="00075BF1" w:rsidP="00D663D8">
            <w:pPr>
              <w:pStyle w:val="TableBodyText"/>
            </w:pPr>
            <w:r>
              <w:t>1.2</w:t>
            </w:r>
          </w:p>
        </w:tc>
        <w:tc>
          <w:tcPr>
            <w:tcW w:w="394" w:type="pct"/>
          </w:tcPr>
          <w:p w:rsidR="00F93E84" w:rsidRPr="00121580" w:rsidRDefault="00075BF1" w:rsidP="00D663D8">
            <w:pPr>
              <w:pStyle w:val="TableBodyText"/>
            </w:pPr>
            <w:r>
              <w:t>0.1</w:t>
            </w:r>
          </w:p>
        </w:tc>
        <w:tc>
          <w:tcPr>
            <w:tcW w:w="394" w:type="pct"/>
          </w:tcPr>
          <w:p w:rsidR="00F93E84" w:rsidRPr="00121580" w:rsidRDefault="00075BF1" w:rsidP="00D663D8">
            <w:pPr>
              <w:pStyle w:val="TableBodyText"/>
            </w:pPr>
            <w:r>
              <w:t>–</w:t>
            </w:r>
          </w:p>
        </w:tc>
        <w:tc>
          <w:tcPr>
            <w:tcW w:w="394" w:type="pct"/>
          </w:tcPr>
          <w:p w:rsidR="00075BF1" w:rsidRPr="00121580" w:rsidRDefault="00075BF1" w:rsidP="00D663D8">
            <w:pPr>
              <w:pStyle w:val="TableBodyText"/>
            </w:pPr>
            <w:r>
              <w:t>..</w:t>
            </w:r>
          </w:p>
        </w:tc>
        <w:tc>
          <w:tcPr>
            <w:tcW w:w="394" w:type="pct"/>
          </w:tcPr>
          <w:p w:rsidR="00F93E84" w:rsidRPr="00121580" w:rsidRDefault="00075BF1" w:rsidP="00D663D8">
            <w:pPr>
              <w:pStyle w:val="TableBodyText"/>
            </w:pPr>
            <w:r>
              <w:t>12.5</w:t>
            </w:r>
          </w:p>
        </w:tc>
        <w:tc>
          <w:tcPr>
            <w:tcW w:w="394" w:type="pct"/>
          </w:tcPr>
          <w:p w:rsidR="00F93E84" w:rsidRPr="00121580" w:rsidRDefault="00075BF1" w:rsidP="00D663D8">
            <w:pPr>
              <w:pStyle w:val="TableBodyText"/>
              <w:ind w:right="28"/>
            </w:pPr>
            <w:r>
              <w:t>0.3</w:t>
            </w:r>
          </w:p>
        </w:tc>
      </w:tr>
      <w:tr w:rsidR="00121580" w:rsidRPr="00121580" w:rsidTr="00121580">
        <w:tc>
          <w:tcPr>
            <w:tcW w:w="1452" w:type="pct"/>
            <w:tcBorders>
              <w:bottom w:val="single" w:sz="6" w:space="0" w:color="auto"/>
            </w:tcBorders>
            <w:shd w:val="clear" w:color="auto" w:fill="auto"/>
          </w:tcPr>
          <w:p w:rsidR="00F93E84" w:rsidRPr="00121580" w:rsidRDefault="00F93E84" w:rsidP="00121580">
            <w:pPr>
              <w:pStyle w:val="TableBodyText"/>
              <w:spacing w:before="80"/>
              <w:ind w:left="142"/>
              <w:jc w:val="left"/>
              <w:rPr>
                <w:b/>
              </w:rPr>
            </w:pPr>
            <w:r w:rsidRPr="00121580">
              <w:rPr>
                <w:b/>
              </w:rPr>
              <w:t>All schools</w:t>
            </w:r>
          </w:p>
        </w:tc>
        <w:tc>
          <w:tcPr>
            <w:tcW w:w="394" w:type="pct"/>
            <w:tcBorders>
              <w:bottom w:val="single" w:sz="6" w:space="0" w:color="auto"/>
            </w:tcBorders>
          </w:tcPr>
          <w:p w:rsidR="00F93E84" w:rsidRPr="006D3405" w:rsidRDefault="00075BF1" w:rsidP="00D663D8">
            <w:pPr>
              <w:pStyle w:val="TableBodyText"/>
              <w:rPr>
                <w:b/>
              </w:rPr>
            </w:pPr>
            <w:r w:rsidRPr="006D3405">
              <w:rPr>
                <w:b/>
              </w:rPr>
              <w:t>0.1</w:t>
            </w:r>
          </w:p>
        </w:tc>
        <w:tc>
          <w:tcPr>
            <w:tcW w:w="394" w:type="pct"/>
            <w:tcBorders>
              <w:bottom w:val="single" w:sz="6" w:space="0" w:color="auto"/>
            </w:tcBorders>
          </w:tcPr>
          <w:p w:rsidR="00F93E84" w:rsidRPr="006D3405" w:rsidRDefault="00075BF1" w:rsidP="00D663D8">
            <w:pPr>
              <w:pStyle w:val="TableBodyText"/>
              <w:rPr>
                <w:b/>
              </w:rPr>
            </w:pPr>
            <w:r w:rsidRPr="006D3405">
              <w:rPr>
                <w:b/>
              </w:rPr>
              <w:t>..</w:t>
            </w:r>
          </w:p>
        </w:tc>
        <w:tc>
          <w:tcPr>
            <w:tcW w:w="394" w:type="pct"/>
            <w:tcBorders>
              <w:bottom w:val="single" w:sz="6" w:space="0" w:color="auto"/>
            </w:tcBorders>
          </w:tcPr>
          <w:p w:rsidR="00F93E84" w:rsidRPr="006D3405" w:rsidRDefault="00075BF1" w:rsidP="00D663D8">
            <w:pPr>
              <w:pStyle w:val="TableBodyText"/>
              <w:rPr>
                <w:b/>
              </w:rPr>
            </w:pPr>
            <w:r w:rsidRPr="006D3405">
              <w:rPr>
                <w:b/>
              </w:rPr>
              <w:t>1.0</w:t>
            </w:r>
          </w:p>
        </w:tc>
        <w:tc>
          <w:tcPr>
            <w:tcW w:w="394" w:type="pct"/>
            <w:tcBorders>
              <w:bottom w:val="single" w:sz="6" w:space="0" w:color="auto"/>
            </w:tcBorders>
          </w:tcPr>
          <w:p w:rsidR="00F93E84" w:rsidRPr="006D3405" w:rsidRDefault="00075BF1" w:rsidP="00D663D8">
            <w:pPr>
              <w:pStyle w:val="TableBodyText"/>
              <w:rPr>
                <w:b/>
              </w:rPr>
            </w:pPr>
            <w:r w:rsidRPr="006D3405">
              <w:rPr>
                <w:b/>
              </w:rPr>
              <w:t>2.4</w:t>
            </w:r>
          </w:p>
        </w:tc>
        <w:tc>
          <w:tcPr>
            <w:tcW w:w="394" w:type="pct"/>
            <w:tcBorders>
              <w:bottom w:val="single" w:sz="6" w:space="0" w:color="auto"/>
            </w:tcBorders>
          </w:tcPr>
          <w:p w:rsidR="00F93E84" w:rsidRPr="006D3405" w:rsidRDefault="00075BF1" w:rsidP="00D663D8">
            <w:pPr>
              <w:pStyle w:val="TableBodyText"/>
              <w:rPr>
                <w:b/>
              </w:rPr>
            </w:pPr>
            <w:r w:rsidRPr="006D3405">
              <w:rPr>
                <w:b/>
              </w:rPr>
              <w:t>0.8</w:t>
            </w:r>
          </w:p>
        </w:tc>
        <w:tc>
          <w:tcPr>
            <w:tcW w:w="394" w:type="pct"/>
            <w:tcBorders>
              <w:bottom w:val="single" w:sz="6" w:space="0" w:color="auto"/>
            </w:tcBorders>
          </w:tcPr>
          <w:p w:rsidR="00F93E84" w:rsidRPr="006D3405" w:rsidRDefault="00075BF1" w:rsidP="00D663D8">
            <w:pPr>
              <w:pStyle w:val="TableBodyText"/>
              <w:rPr>
                <w:b/>
              </w:rPr>
            </w:pPr>
            <w:r w:rsidRPr="006D3405">
              <w:rPr>
                <w:b/>
              </w:rPr>
              <w:t>0.3</w:t>
            </w:r>
          </w:p>
        </w:tc>
        <w:tc>
          <w:tcPr>
            <w:tcW w:w="394" w:type="pct"/>
            <w:tcBorders>
              <w:bottom w:val="single" w:sz="6" w:space="0" w:color="auto"/>
            </w:tcBorders>
          </w:tcPr>
          <w:p w:rsidR="00F93E84" w:rsidRPr="006D3405" w:rsidRDefault="00075BF1" w:rsidP="00D663D8">
            <w:pPr>
              <w:pStyle w:val="TableBodyText"/>
              <w:rPr>
                <w:b/>
              </w:rPr>
            </w:pPr>
            <w:r w:rsidRPr="006D3405">
              <w:rPr>
                <w:b/>
              </w:rPr>
              <w:t>..</w:t>
            </w:r>
          </w:p>
        </w:tc>
        <w:tc>
          <w:tcPr>
            <w:tcW w:w="394" w:type="pct"/>
            <w:tcBorders>
              <w:bottom w:val="single" w:sz="6" w:space="0" w:color="auto"/>
            </w:tcBorders>
            <w:shd w:val="clear" w:color="auto" w:fill="auto"/>
          </w:tcPr>
          <w:p w:rsidR="00F93E84" w:rsidRPr="006D3405" w:rsidRDefault="00075BF1" w:rsidP="00D663D8">
            <w:pPr>
              <w:pStyle w:val="TableBodyText"/>
              <w:rPr>
                <w:b/>
              </w:rPr>
            </w:pPr>
            <w:r w:rsidRPr="006D3405">
              <w:rPr>
                <w:b/>
              </w:rPr>
              <w:t>24.7</w:t>
            </w:r>
          </w:p>
        </w:tc>
        <w:tc>
          <w:tcPr>
            <w:tcW w:w="394" w:type="pct"/>
            <w:tcBorders>
              <w:bottom w:val="single" w:sz="6" w:space="0" w:color="auto"/>
            </w:tcBorders>
            <w:shd w:val="clear" w:color="auto" w:fill="auto"/>
          </w:tcPr>
          <w:p w:rsidR="00F93E84" w:rsidRPr="006D3405" w:rsidRDefault="00075BF1" w:rsidP="00D663D8">
            <w:pPr>
              <w:pStyle w:val="TableBodyText"/>
              <w:ind w:right="28"/>
              <w:rPr>
                <w:b/>
              </w:rPr>
            </w:pPr>
            <w:r w:rsidRPr="006D3405">
              <w:rPr>
                <w:b/>
              </w:rPr>
              <w:t>0.9</w:t>
            </w:r>
          </w:p>
        </w:tc>
      </w:tr>
    </w:tbl>
    <w:p w:rsidR="00665574" w:rsidRPr="005B6C45" w:rsidRDefault="00054035" w:rsidP="00054035">
      <w:pPr>
        <w:pStyle w:val="Note"/>
      </w:pPr>
      <w:r w:rsidRPr="007B6B6D">
        <w:rPr>
          <w:rStyle w:val="NoteLabel"/>
        </w:rPr>
        <w:t>a</w:t>
      </w:r>
      <w:r w:rsidRPr="007B6B6D">
        <w:sym w:font="Symbol" w:char="F020"/>
      </w:r>
      <w:r w:rsidR="00665574" w:rsidRPr="00121580">
        <w:t xml:space="preserve">Geographic categorisation is based on the agreed MCEECDYA Geographic Location Classification. </w:t>
      </w:r>
      <w:r w:rsidR="00967269">
        <w:t xml:space="preserve"> </w:t>
      </w:r>
      <w:r>
        <w:br/>
      </w:r>
      <w:r>
        <w:rPr>
          <w:rStyle w:val="NoteLabel"/>
        </w:rPr>
        <w:t xml:space="preserve">b </w:t>
      </w:r>
      <w:r w:rsidR="00665574" w:rsidRPr="00121580">
        <w:t xml:space="preserve">Calculated as the number of students attending a particular type of school (such as government primary school) in a particular geographic classification (such as remote areas), divided by the total number of </w:t>
      </w:r>
      <w:r w:rsidR="00665574" w:rsidRPr="005B6C45">
        <w:t>students attending that type of school.</w:t>
      </w:r>
      <w:r w:rsidR="00967269">
        <w:t xml:space="preserve"> </w:t>
      </w:r>
      <w:r w:rsidR="00665574" w:rsidRPr="005B6C45">
        <w:t xml:space="preserve"> </w:t>
      </w:r>
      <w:r>
        <w:rPr>
          <w:rStyle w:val="NoteLabel"/>
        </w:rPr>
        <w:t>c</w:t>
      </w:r>
      <w:r w:rsidR="00665574" w:rsidRPr="005B6C45">
        <w:t xml:space="preserve"> Full Time Equivalent students. </w:t>
      </w:r>
      <w:r w:rsidR="00967269">
        <w:t xml:space="preserve"> </w:t>
      </w:r>
      <w:r w:rsidR="00665574" w:rsidRPr="005B6C45">
        <w:rPr>
          <w:rStyle w:val="NoteLabel"/>
        </w:rPr>
        <w:t>d</w:t>
      </w:r>
      <w:r w:rsidR="00665574" w:rsidRPr="00F6723D">
        <w:rPr>
          <w:rStyle w:val="NoteLabel"/>
        </w:rPr>
        <w:t xml:space="preserve"> </w:t>
      </w:r>
      <w:r w:rsidR="00665574" w:rsidRPr="005B6C45">
        <w:t>There are no remote or very remote areas in the ACT and no very remote areas in Victoria. .. Not applicable. – Nil or rounded to zero.</w:t>
      </w:r>
    </w:p>
    <w:p w:rsidR="00665574" w:rsidRPr="005B6C45" w:rsidRDefault="00665574" w:rsidP="00665574">
      <w:pPr>
        <w:pStyle w:val="Source"/>
      </w:pPr>
      <w:r w:rsidRPr="005B6C45">
        <w:rPr>
          <w:i/>
        </w:rPr>
        <w:t>Source</w:t>
      </w:r>
      <w:r w:rsidRPr="005B6C45">
        <w:t xml:space="preserve">: </w:t>
      </w:r>
      <w:r w:rsidR="00CD42CD">
        <w:t>Australian Government Department of Education</w:t>
      </w:r>
      <w:r w:rsidRPr="005B6C45">
        <w:t xml:space="preserve"> (unpublished).</w:t>
      </w:r>
    </w:p>
    <w:p w:rsidR="00FB62F5" w:rsidRPr="003575E1" w:rsidRDefault="00FB62F5">
      <w:pPr>
        <w:rPr>
          <w:szCs w:val="20"/>
        </w:rPr>
      </w:pPr>
      <w:r w:rsidRPr="003575E1">
        <w:br w:type="page"/>
      </w:r>
    </w:p>
    <w:p w:rsidR="00665574" w:rsidRPr="00117C12" w:rsidRDefault="00FB62F5" w:rsidP="00FB62F5">
      <w:pPr>
        <w:pStyle w:val="Heading2"/>
      </w:pPr>
      <w:r w:rsidRPr="00117C12">
        <w:t>Performance targets</w:t>
      </w:r>
    </w:p>
    <w:p w:rsidR="00FB62F5" w:rsidRPr="00117C12" w:rsidRDefault="00FB62F5" w:rsidP="00FB62F5">
      <w:pPr>
        <w:pStyle w:val="BodyText"/>
      </w:pPr>
      <w:r w:rsidRPr="00117C12">
        <w:t>The CRC has requested the Steering Committee to report against the performance targets identified in the NAs. The performance targets as stated in the NEA are:</w:t>
      </w:r>
    </w:p>
    <w:p w:rsidR="00FB62F5" w:rsidRPr="00117C12" w:rsidRDefault="00FB62F5" w:rsidP="00FB62F5">
      <w:pPr>
        <w:pStyle w:val="ListBullet"/>
      </w:pPr>
      <w:r w:rsidRPr="00117C12">
        <w:t>Lift the Year 12 or equivalent or Certificate II attainment rate to 90 per cent by 2015</w:t>
      </w:r>
    </w:p>
    <w:p w:rsidR="00FB62F5" w:rsidRPr="00117C12" w:rsidRDefault="00FB62F5" w:rsidP="00FB62F5">
      <w:pPr>
        <w:pStyle w:val="ListBullet"/>
      </w:pPr>
      <w:r w:rsidRPr="00117C12">
        <w:t>Lift the Year 12 or equivalent or Certificate III attainment rate to 90 per cent by 2020</w:t>
      </w:r>
    </w:p>
    <w:p w:rsidR="00FB62F5" w:rsidRPr="00117C12" w:rsidRDefault="00FB62F5" w:rsidP="00FB62F5">
      <w:pPr>
        <w:pStyle w:val="ListBullet"/>
      </w:pPr>
      <w:r w:rsidRPr="00117C12">
        <w:t>Halve the gap for Indigenous students in reading, writing and numeracy by 2018</w:t>
      </w:r>
    </w:p>
    <w:p w:rsidR="00FB62F5" w:rsidRPr="00117C12" w:rsidRDefault="00FB62F5" w:rsidP="00FB62F5">
      <w:pPr>
        <w:pStyle w:val="ListBullet"/>
      </w:pPr>
      <w:r w:rsidRPr="00117C12">
        <w:t>At least halve the gap for Indigenous students in Year 12 or equivalent attainment rates by 2020.</w:t>
      </w:r>
    </w:p>
    <w:p w:rsidR="00FB62F5" w:rsidRPr="003575E1" w:rsidRDefault="00FB62F5">
      <w:r w:rsidRPr="003575E1">
        <w:br w:type="page"/>
      </w:r>
    </w:p>
    <w:p w:rsidR="003A784E" w:rsidRDefault="003A784E" w:rsidP="003A784E">
      <w:pPr>
        <w:pStyle w:val="Heading3"/>
      </w:pPr>
      <w:bookmarkStart w:id="15" w:name="_Ref366577247"/>
      <w:r w:rsidRPr="00136727">
        <w:t xml:space="preserve">Performance </w:t>
      </w:r>
      <w:r>
        <w:t>target</w:t>
      </w:r>
      <w:r w:rsidR="006E3DEE">
        <w:t xml:space="preserve"> (a</w:t>
      </w:r>
      <w:r w:rsidRPr="00136727">
        <w:t xml:space="preserve">): </w:t>
      </w:r>
      <w:bookmarkEnd w:id="15"/>
      <w:r w:rsidR="006E3DEE" w:rsidRPr="006E3DEE">
        <w:t>Lift the Year 12 or equivalent or Certificate II attainment rate to 90 per cent by 2015</w:t>
      </w:r>
    </w:p>
    <w:p w:rsidR="003A784E" w:rsidRPr="003A784E" w:rsidRDefault="003A784E" w:rsidP="003A784E">
      <w:pPr>
        <w:pStyle w:val="Subtitle"/>
      </w:pPr>
    </w:p>
    <w:tbl>
      <w:tblPr>
        <w:tblW w:w="5000" w:type="pct"/>
        <w:tblCellMar>
          <w:left w:w="0" w:type="dxa"/>
          <w:right w:w="0" w:type="dxa"/>
        </w:tblCellMar>
        <w:tblLook w:val="0000" w:firstRow="0" w:lastRow="0" w:firstColumn="0" w:lastColumn="0" w:noHBand="0" w:noVBand="0"/>
      </w:tblPr>
      <w:tblGrid>
        <w:gridCol w:w="1985"/>
        <w:gridCol w:w="6804"/>
      </w:tblGrid>
      <w:tr w:rsidR="00CD7D7A" w:rsidTr="003A784E">
        <w:trPr>
          <w:trHeight w:val="823"/>
        </w:trPr>
        <w:tc>
          <w:tcPr>
            <w:tcW w:w="1129" w:type="pct"/>
            <w:shd w:val="clear" w:color="auto" w:fill="auto"/>
          </w:tcPr>
          <w:p w:rsidR="00CD7D7A" w:rsidRPr="008E7459" w:rsidRDefault="00CD7D7A" w:rsidP="008539DA">
            <w:pPr>
              <w:pStyle w:val="TableBodyText"/>
              <w:keepNext w:val="0"/>
              <w:keepLines w:val="0"/>
              <w:widowControl w:val="0"/>
              <w:ind w:left="34"/>
              <w:jc w:val="left"/>
            </w:pPr>
            <w:r w:rsidRPr="008E7459">
              <w:t>Key amendments from previous cycle of reporting:</w:t>
            </w:r>
          </w:p>
        </w:tc>
        <w:tc>
          <w:tcPr>
            <w:tcW w:w="3871" w:type="pct"/>
            <w:shd w:val="clear" w:color="auto" w:fill="auto"/>
          </w:tcPr>
          <w:p w:rsidR="00CD7D7A" w:rsidRPr="008E7459" w:rsidRDefault="00CD7D7A" w:rsidP="008539DA">
            <w:pPr>
              <w:pStyle w:val="TableBodyText"/>
              <w:keepNext w:val="0"/>
              <w:keepLines w:val="0"/>
              <w:widowControl w:val="0"/>
              <w:jc w:val="left"/>
            </w:pPr>
            <w:r w:rsidRPr="00FC264B">
              <w:t xml:space="preserve">This </w:t>
            </w:r>
            <w:r>
              <w:t>target</w:t>
            </w:r>
            <w:r w:rsidRPr="00FC264B">
              <w:t xml:space="preserve"> i</w:t>
            </w:r>
            <w:r>
              <w:t>s unchanged from the previous NEA performance report</w:t>
            </w:r>
          </w:p>
        </w:tc>
      </w:tr>
      <w:tr w:rsidR="00CD7D7A" w:rsidTr="006972FD">
        <w:trPr>
          <w:trHeight w:val="707"/>
        </w:trPr>
        <w:tc>
          <w:tcPr>
            <w:tcW w:w="1129" w:type="pct"/>
          </w:tcPr>
          <w:p w:rsidR="00CD7D7A" w:rsidRPr="008E7459" w:rsidRDefault="00CD7D7A" w:rsidP="008539DA">
            <w:pPr>
              <w:pStyle w:val="TableBodyText"/>
              <w:keepNext w:val="0"/>
              <w:keepLines w:val="0"/>
              <w:widowControl w:val="0"/>
              <w:ind w:left="-113" w:firstLine="113"/>
              <w:jc w:val="left"/>
            </w:pPr>
            <w:r w:rsidRPr="008E7459">
              <w:t>Outcome:</w:t>
            </w:r>
          </w:p>
        </w:tc>
        <w:tc>
          <w:tcPr>
            <w:tcW w:w="3871" w:type="pct"/>
          </w:tcPr>
          <w:p w:rsidR="007145C6" w:rsidRPr="008E7459" w:rsidRDefault="00CD7D7A" w:rsidP="006972FD">
            <w:pPr>
              <w:pStyle w:val="TableBodyText"/>
              <w:keepNext w:val="0"/>
              <w:keepLines w:val="0"/>
              <w:widowControl w:val="0"/>
              <w:jc w:val="left"/>
              <w:rPr>
                <w:sz w:val="24"/>
              </w:rPr>
            </w:pPr>
            <w:r w:rsidRPr="008E7459">
              <w:t>Young people make a successful transition from school to work and further study</w:t>
            </w:r>
          </w:p>
        </w:tc>
      </w:tr>
      <w:tr w:rsidR="00CD7D7A" w:rsidTr="003A784E">
        <w:tc>
          <w:tcPr>
            <w:tcW w:w="1129" w:type="pct"/>
          </w:tcPr>
          <w:p w:rsidR="00CD7D7A" w:rsidRPr="008E7459" w:rsidRDefault="00CD7D7A" w:rsidP="008539DA">
            <w:pPr>
              <w:pStyle w:val="TableBodyText"/>
              <w:keepNext w:val="0"/>
              <w:keepLines w:val="0"/>
              <w:widowControl w:val="0"/>
              <w:ind w:left="34"/>
              <w:jc w:val="left"/>
            </w:pPr>
            <w:r w:rsidRPr="008E7459">
              <w:t xml:space="preserve">Measure: </w:t>
            </w:r>
          </w:p>
        </w:tc>
        <w:tc>
          <w:tcPr>
            <w:tcW w:w="3871" w:type="pct"/>
          </w:tcPr>
          <w:p w:rsidR="00CD7D7A" w:rsidRPr="008E7459" w:rsidRDefault="00CD7D7A" w:rsidP="008539DA">
            <w:pPr>
              <w:pStyle w:val="TableBodyText"/>
              <w:keepNext w:val="0"/>
              <w:keepLines w:val="0"/>
              <w:widowControl w:val="0"/>
              <w:jc w:val="left"/>
            </w:pPr>
            <w:r w:rsidRPr="008E7459">
              <w:t>Proportion of the 20–24 year old population having attained at least a Year 12 or equivalent or AQF Certificate Level II or above</w:t>
            </w:r>
          </w:p>
          <w:p w:rsidR="00CD7D7A" w:rsidRPr="008E7459" w:rsidRDefault="00CD7D7A" w:rsidP="008539DA">
            <w:pPr>
              <w:pStyle w:val="TableBodyText"/>
              <w:keepNext w:val="0"/>
              <w:keepLines w:val="0"/>
              <w:widowControl w:val="0"/>
              <w:jc w:val="left"/>
            </w:pPr>
          </w:p>
          <w:p w:rsidR="00CD7D7A" w:rsidRPr="008E7459" w:rsidRDefault="00CD7D7A" w:rsidP="008539DA">
            <w:pPr>
              <w:pStyle w:val="TableBodyText"/>
              <w:keepNext w:val="0"/>
              <w:keepLines w:val="0"/>
              <w:widowControl w:val="0"/>
              <w:jc w:val="left"/>
            </w:pPr>
            <w:r w:rsidRPr="008E7459">
              <w:t>The measure is defined as:</w:t>
            </w:r>
          </w:p>
          <w:p w:rsidR="00CD7D7A" w:rsidRPr="008E7459" w:rsidRDefault="00CD7D7A" w:rsidP="00CD7D7A">
            <w:pPr>
              <w:pStyle w:val="TableBullet"/>
              <w:keepNext w:val="0"/>
              <w:keepLines w:val="0"/>
              <w:widowControl w:val="0"/>
            </w:pPr>
            <w:r w:rsidRPr="008E7459">
              <w:rPr>
                <w:i/>
              </w:rPr>
              <w:t xml:space="preserve">numerator — </w:t>
            </w:r>
            <w:r w:rsidRPr="008E7459">
              <w:t>number of 20–24 year olds who self</w:t>
            </w:r>
            <w:r w:rsidRPr="008E7459">
              <w:noBreakHyphen/>
              <w:t>identify as having attained a year 12 or AQF Certificate Level II or above (includes Certificate I/II nfd; excludes Certificate nfd)</w:t>
            </w:r>
          </w:p>
          <w:p w:rsidR="00CD7D7A" w:rsidRPr="008E7459" w:rsidRDefault="00CD7D7A" w:rsidP="00CD7D7A">
            <w:pPr>
              <w:pStyle w:val="TableBullet"/>
              <w:keepNext w:val="0"/>
              <w:keepLines w:val="0"/>
              <w:widowControl w:val="0"/>
            </w:pPr>
            <w:r w:rsidRPr="008E7459">
              <w:rPr>
                <w:i/>
              </w:rPr>
              <w:t xml:space="preserve">denominator — </w:t>
            </w:r>
            <w:r w:rsidRPr="008E7459">
              <w:t>number of 20–24 year olds in the population</w:t>
            </w:r>
          </w:p>
          <w:p w:rsidR="00CD7D7A" w:rsidRPr="008E7459" w:rsidRDefault="00CD7D7A" w:rsidP="008539DA">
            <w:pPr>
              <w:pStyle w:val="TableBodyText"/>
              <w:keepNext w:val="0"/>
              <w:keepLines w:val="0"/>
              <w:widowControl w:val="0"/>
              <w:jc w:val="left"/>
            </w:pPr>
            <w:r w:rsidRPr="008E7459">
              <w:t xml:space="preserve">and is expressed as a </w:t>
            </w:r>
            <w:r w:rsidRPr="008E7459">
              <w:rPr>
                <w:i/>
              </w:rPr>
              <w:t>percentage</w:t>
            </w:r>
          </w:p>
          <w:p w:rsidR="00CD7D7A" w:rsidRPr="008E7459" w:rsidRDefault="00CD7D7A" w:rsidP="008539DA">
            <w:pPr>
              <w:pStyle w:val="TableBodyText"/>
              <w:keepNext w:val="0"/>
              <w:keepLines w:val="0"/>
              <w:widowControl w:val="0"/>
              <w:jc w:val="left"/>
            </w:pPr>
          </w:p>
          <w:p w:rsidR="00CD7D7A" w:rsidRPr="008E7459" w:rsidRDefault="00CD7D7A" w:rsidP="008539DA">
            <w:pPr>
              <w:pStyle w:val="TableBodyText"/>
              <w:keepNext w:val="0"/>
              <w:keepLines w:val="0"/>
              <w:widowControl w:val="0"/>
              <w:jc w:val="left"/>
            </w:pPr>
            <w:r w:rsidRPr="008E7459">
              <w:t>Persons whose level of study is determined to be certificate level but is not able to be further defined (ie, Certificate nfd) are assumed to have attained below Certificate level II and are therefore excluded from the numerator</w:t>
            </w:r>
          </w:p>
          <w:p w:rsidR="00CD7D7A" w:rsidRPr="008E7459" w:rsidRDefault="00CD7D7A" w:rsidP="008539DA">
            <w:pPr>
              <w:pStyle w:val="TableBodyText"/>
              <w:keepNext w:val="0"/>
              <w:keepLines w:val="0"/>
              <w:widowControl w:val="0"/>
              <w:jc w:val="left"/>
            </w:pPr>
          </w:p>
          <w:p w:rsidR="00CD7D7A" w:rsidRPr="008E7459" w:rsidRDefault="00CD7D7A" w:rsidP="008539DA">
            <w:pPr>
              <w:pStyle w:val="TableBodyText"/>
              <w:keepNext w:val="0"/>
              <w:keepLines w:val="0"/>
              <w:widowControl w:val="0"/>
              <w:jc w:val="left"/>
            </w:pPr>
            <w:r w:rsidRPr="008E7459">
              <w:t>People whose level of study cannot be determined are assumed to have attained below Certificate II and are therefore excluded from the numerator</w:t>
            </w:r>
          </w:p>
          <w:p w:rsidR="00CD7D7A" w:rsidRPr="008E7459" w:rsidRDefault="00CD7D7A" w:rsidP="008539DA">
            <w:pPr>
              <w:pStyle w:val="TableBodyText"/>
              <w:keepNext w:val="0"/>
              <w:keepLines w:val="0"/>
              <w:widowControl w:val="0"/>
              <w:jc w:val="left"/>
            </w:pPr>
          </w:p>
          <w:p w:rsidR="00CD7D7A" w:rsidRPr="008E7459" w:rsidRDefault="00CD7D7A" w:rsidP="008539DA">
            <w:pPr>
              <w:pStyle w:val="TableBodyText"/>
              <w:keepNext w:val="0"/>
              <w:keepLines w:val="0"/>
              <w:widowControl w:val="0"/>
              <w:jc w:val="left"/>
            </w:pPr>
            <w:r w:rsidRPr="008E7459">
              <w:t>Excludes people whose educational attainment is not stated from the</w:t>
            </w:r>
          </w:p>
          <w:p w:rsidR="00CD7D7A" w:rsidRDefault="00CD7D7A" w:rsidP="008539DA">
            <w:pPr>
              <w:pStyle w:val="TableBodyText"/>
              <w:keepNext w:val="0"/>
              <w:keepLines w:val="0"/>
              <w:widowControl w:val="0"/>
              <w:jc w:val="left"/>
            </w:pPr>
            <w:r w:rsidRPr="008E7459">
              <w:t>numerator and denominator (applicable only to Census data)</w:t>
            </w:r>
          </w:p>
          <w:p w:rsidR="00B22EE0" w:rsidRDefault="00B22EE0" w:rsidP="008539DA">
            <w:pPr>
              <w:pStyle w:val="TableBodyText"/>
              <w:keepNext w:val="0"/>
              <w:keepLines w:val="0"/>
              <w:widowControl w:val="0"/>
              <w:jc w:val="left"/>
            </w:pPr>
          </w:p>
          <w:p w:rsidR="00B22EE0" w:rsidRPr="008E7459" w:rsidRDefault="00B22EE0" w:rsidP="008539DA">
            <w:pPr>
              <w:pStyle w:val="TableBodyText"/>
              <w:keepNext w:val="0"/>
              <w:keepLines w:val="0"/>
              <w:widowControl w:val="0"/>
              <w:jc w:val="left"/>
            </w:pPr>
            <w:r w:rsidRPr="00B22EE0">
              <w:t>SEW Data: Prior to the 2013 SEW, people who were permanently unable to work (PUW) were excluded from the in</w:t>
            </w:r>
            <w:r w:rsidR="00556489">
              <w:noBreakHyphen/>
            </w:r>
            <w:r w:rsidRPr="00B22EE0">
              <w:t>scope population. In 2013, the SEW scope was expanded to include the PUW population. However, to ensure that the indicator measure presented here is comparable over time, the PUW population has been excluded from these tables.</w:t>
            </w:r>
          </w:p>
          <w:p w:rsidR="00CD7D7A" w:rsidRPr="008E7459" w:rsidRDefault="00CD7D7A" w:rsidP="008539DA">
            <w:pPr>
              <w:pStyle w:val="TableBodyText"/>
              <w:keepNext w:val="0"/>
              <w:keepLines w:val="0"/>
              <w:widowControl w:val="0"/>
              <w:jc w:val="left"/>
            </w:pPr>
          </w:p>
        </w:tc>
      </w:tr>
      <w:tr w:rsidR="00CD7D7A" w:rsidTr="006972FD">
        <w:trPr>
          <w:trHeight w:val="784"/>
        </w:trPr>
        <w:tc>
          <w:tcPr>
            <w:tcW w:w="1129" w:type="pct"/>
          </w:tcPr>
          <w:p w:rsidR="00CD7D7A" w:rsidRPr="008E7459" w:rsidRDefault="00CD7D7A" w:rsidP="006972FD">
            <w:pPr>
              <w:pStyle w:val="TableBodyText"/>
              <w:keepNext w:val="0"/>
              <w:keepLines w:val="0"/>
              <w:widowControl w:val="0"/>
              <w:ind w:left="34"/>
              <w:jc w:val="left"/>
            </w:pPr>
            <w:r w:rsidRPr="008E7459">
              <w:t>Related performance indicator/s:</w:t>
            </w:r>
          </w:p>
        </w:tc>
        <w:tc>
          <w:tcPr>
            <w:tcW w:w="3871" w:type="pct"/>
          </w:tcPr>
          <w:p w:rsidR="00CD7D7A" w:rsidRPr="008E7459" w:rsidRDefault="00CD7D7A" w:rsidP="008539DA">
            <w:pPr>
              <w:pStyle w:val="TableBodyText"/>
              <w:keepNext w:val="0"/>
              <w:keepLines w:val="0"/>
              <w:widowControl w:val="0"/>
              <w:jc w:val="left"/>
            </w:pPr>
            <w:r w:rsidRPr="008E7459">
              <w:t xml:space="preserve">NEA PI 4: The proportion of young people who have attained at least a year 12 or equivalent or AQF Certificate Level II/III or above </w:t>
            </w:r>
          </w:p>
        </w:tc>
      </w:tr>
      <w:tr w:rsidR="00CD7D7A" w:rsidTr="003A784E">
        <w:tc>
          <w:tcPr>
            <w:tcW w:w="1129" w:type="pct"/>
          </w:tcPr>
          <w:p w:rsidR="00CD7D7A" w:rsidRPr="008E7459" w:rsidRDefault="00CD7D7A" w:rsidP="008539DA">
            <w:pPr>
              <w:pStyle w:val="TableBodyText"/>
              <w:keepNext w:val="0"/>
              <w:keepLines w:val="0"/>
              <w:widowControl w:val="0"/>
              <w:ind w:left="34"/>
              <w:jc w:val="left"/>
            </w:pPr>
            <w:r w:rsidRPr="008E7459">
              <w:t>Data source:</w:t>
            </w:r>
          </w:p>
        </w:tc>
        <w:tc>
          <w:tcPr>
            <w:tcW w:w="3871" w:type="pct"/>
          </w:tcPr>
          <w:p w:rsidR="00CD7D7A" w:rsidRPr="008E7459" w:rsidRDefault="00CD7D7A" w:rsidP="008539DA">
            <w:pPr>
              <w:pStyle w:val="TableBodyText"/>
              <w:keepNext w:val="0"/>
              <w:keepLines w:val="0"/>
              <w:widowControl w:val="0"/>
              <w:jc w:val="left"/>
            </w:pPr>
            <w:r w:rsidRPr="008E7459">
              <w:rPr>
                <w:i/>
              </w:rPr>
              <w:t xml:space="preserve">(Main) </w:t>
            </w:r>
            <w:r w:rsidRPr="008E7459">
              <w:rPr>
                <w:u w:val="single"/>
              </w:rPr>
              <w:t xml:space="preserve">Survey of Education and Work </w:t>
            </w:r>
            <w:r w:rsidRPr="008E7459">
              <w:t>(SEW). Data are available annually</w:t>
            </w:r>
          </w:p>
          <w:p w:rsidR="00CD7D7A" w:rsidRPr="008E7459" w:rsidRDefault="00CD7D7A" w:rsidP="008539DA">
            <w:pPr>
              <w:pStyle w:val="TableBodyText"/>
              <w:keepNext w:val="0"/>
              <w:keepLines w:val="0"/>
              <w:widowControl w:val="0"/>
              <w:jc w:val="left"/>
              <w:rPr>
                <w:i/>
              </w:rPr>
            </w:pPr>
          </w:p>
          <w:p w:rsidR="00CD7D7A" w:rsidRPr="008E7459" w:rsidRDefault="00CD7D7A" w:rsidP="008539DA">
            <w:pPr>
              <w:pStyle w:val="TableBodyText"/>
              <w:keepNext w:val="0"/>
              <w:keepLines w:val="0"/>
              <w:widowControl w:val="0"/>
              <w:jc w:val="left"/>
              <w:rPr>
                <w:i/>
              </w:rPr>
            </w:pPr>
            <w:r w:rsidRPr="008E7459">
              <w:rPr>
                <w:i/>
              </w:rPr>
              <w:t xml:space="preserve">(Supplementary) </w:t>
            </w:r>
            <w:r w:rsidRPr="008E7459">
              <w:rPr>
                <w:u w:val="single"/>
              </w:rPr>
              <w:t xml:space="preserve">Census of Population and Housing </w:t>
            </w:r>
            <w:r w:rsidRPr="008E7459">
              <w:t>(Census). Data are available every five years</w:t>
            </w:r>
          </w:p>
          <w:p w:rsidR="00CD7D7A" w:rsidRPr="008E7459" w:rsidRDefault="00CD7D7A" w:rsidP="008539DA">
            <w:pPr>
              <w:pStyle w:val="TableBodyText"/>
              <w:keepNext w:val="0"/>
              <w:keepLines w:val="0"/>
              <w:widowControl w:val="0"/>
              <w:jc w:val="left"/>
            </w:pPr>
          </w:p>
        </w:tc>
      </w:tr>
      <w:tr w:rsidR="00CD7D7A" w:rsidTr="003A784E">
        <w:tc>
          <w:tcPr>
            <w:tcW w:w="1129" w:type="pct"/>
          </w:tcPr>
          <w:p w:rsidR="00CD7D7A" w:rsidRPr="008E7459" w:rsidRDefault="00CD7D7A" w:rsidP="008539DA">
            <w:pPr>
              <w:pStyle w:val="TableBodyText"/>
              <w:keepNext w:val="0"/>
              <w:keepLines w:val="0"/>
              <w:widowControl w:val="0"/>
              <w:ind w:left="34"/>
              <w:jc w:val="left"/>
            </w:pPr>
            <w:r w:rsidRPr="008E7459">
              <w:t>Data provider:</w:t>
            </w:r>
          </w:p>
        </w:tc>
        <w:tc>
          <w:tcPr>
            <w:tcW w:w="3871" w:type="pct"/>
          </w:tcPr>
          <w:p w:rsidR="00CD7D7A" w:rsidRPr="008E7459" w:rsidRDefault="00CD7D7A" w:rsidP="008539DA">
            <w:pPr>
              <w:pStyle w:val="TableBodyText"/>
              <w:keepNext w:val="0"/>
              <w:keepLines w:val="0"/>
              <w:widowControl w:val="0"/>
              <w:jc w:val="left"/>
            </w:pPr>
            <w:r w:rsidRPr="008E7459">
              <w:t>ABS</w:t>
            </w:r>
          </w:p>
          <w:p w:rsidR="00CD7D7A" w:rsidRPr="008E7459" w:rsidRDefault="00CD7D7A" w:rsidP="008539DA">
            <w:pPr>
              <w:pStyle w:val="TableBodyText"/>
              <w:keepNext w:val="0"/>
              <w:keepLines w:val="0"/>
              <w:widowControl w:val="0"/>
              <w:jc w:val="left"/>
            </w:pPr>
          </w:p>
        </w:tc>
      </w:tr>
      <w:tr w:rsidR="00CD7D7A" w:rsidTr="003A784E">
        <w:tc>
          <w:tcPr>
            <w:tcW w:w="1129" w:type="pct"/>
          </w:tcPr>
          <w:p w:rsidR="00CD7D7A" w:rsidRPr="008E7459" w:rsidRDefault="00CD7D7A" w:rsidP="008539DA">
            <w:pPr>
              <w:pStyle w:val="TableBodyText"/>
              <w:keepNext w:val="0"/>
              <w:keepLines w:val="0"/>
              <w:widowControl w:val="0"/>
              <w:ind w:left="34"/>
              <w:jc w:val="left"/>
            </w:pPr>
            <w:r w:rsidRPr="008E7459">
              <w:t>Data availability:</w:t>
            </w:r>
          </w:p>
        </w:tc>
        <w:tc>
          <w:tcPr>
            <w:tcW w:w="3871" w:type="pct"/>
          </w:tcPr>
          <w:p w:rsidR="00CD7D7A" w:rsidRPr="008E7459" w:rsidRDefault="00CD7D7A" w:rsidP="008539DA">
            <w:pPr>
              <w:pStyle w:val="TableBodyText"/>
              <w:keepNext w:val="0"/>
              <w:keepLines w:val="0"/>
              <w:widowControl w:val="0"/>
              <w:jc w:val="left"/>
            </w:pPr>
            <w:r>
              <w:t>SEW — 2013</w:t>
            </w:r>
          </w:p>
          <w:p w:rsidR="00CD7D7A" w:rsidRPr="008E7459" w:rsidRDefault="00CD7D7A" w:rsidP="008539DA">
            <w:pPr>
              <w:pStyle w:val="TableBodyText"/>
              <w:keepNext w:val="0"/>
              <w:keepLines w:val="0"/>
              <w:widowControl w:val="0"/>
              <w:jc w:val="left"/>
            </w:pPr>
          </w:p>
        </w:tc>
      </w:tr>
      <w:tr w:rsidR="00CD7D7A" w:rsidTr="003A784E">
        <w:tc>
          <w:tcPr>
            <w:tcW w:w="1129" w:type="pct"/>
          </w:tcPr>
          <w:p w:rsidR="00CD7D7A" w:rsidRPr="008E7459" w:rsidRDefault="00CD7D7A" w:rsidP="008539DA">
            <w:pPr>
              <w:pStyle w:val="TableBodyText"/>
              <w:keepNext w:val="0"/>
              <w:keepLines w:val="0"/>
              <w:widowControl w:val="0"/>
              <w:ind w:left="34"/>
              <w:jc w:val="left"/>
            </w:pPr>
            <w:r w:rsidRPr="008E7459">
              <w:t>Baseline:</w:t>
            </w:r>
          </w:p>
        </w:tc>
        <w:tc>
          <w:tcPr>
            <w:tcW w:w="3871" w:type="pct"/>
          </w:tcPr>
          <w:p w:rsidR="00CD7D7A" w:rsidRPr="008E7459" w:rsidRDefault="00CD7D7A" w:rsidP="008539DA">
            <w:pPr>
              <w:pStyle w:val="TableBodyText"/>
              <w:keepNext w:val="0"/>
              <w:keepLines w:val="0"/>
              <w:widowControl w:val="0"/>
              <w:jc w:val="left"/>
            </w:pPr>
            <w:r w:rsidRPr="008E7459">
              <w:t>2007</w:t>
            </w:r>
          </w:p>
          <w:p w:rsidR="00CD7D7A" w:rsidRPr="008E7459" w:rsidRDefault="00CD7D7A" w:rsidP="008539DA">
            <w:pPr>
              <w:pStyle w:val="TableBodyText"/>
              <w:keepNext w:val="0"/>
              <w:keepLines w:val="0"/>
              <w:widowControl w:val="0"/>
              <w:jc w:val="left"/>
            </w:pPr>
          </w:p>
        </w:tc>
      </w:tr>
      <w:tr w:rsidR="00CD7D7A" w:rsidTr="003A784E">
        <w:tc>
          <w:tcPr>
            <w:tcW w:w="1129" w:type="pct"/>
          </w:tcPr>
          <w:p w:rsidR="00CD7D7A" w:rsidRPr="008E7459" w:rsidRDefault="00CD7D7A" w:rsidP="008539DA">
            <w:pPr>
              <w:pStyle w:val="TableBodyText"/>
              <w:keepNext w:val="0"/>
              <w:keepLines w:val="0"/>
              <w:widowControl w:val="0"/>
              <w:ind w:left="34"/>
              <w:jc w:val="left"/>
            </w:pPr>
            <w:r w:rsidRPr="008E7459">
              <w:t>Cross tabulations provided:</w:t>
            </w:r>
          </w:p>
        </w:tc>
        <w:tc>
          <w:tcPr>
            <w:tcW w:w="3871" w:type="pct"/>
          </w:tcPr>
          <w:p w:rsidR="00CD7D7A" w:rsidRPr="008E7459" w:rsidRDefault="00CD7D7A" w:rsidP="008539DA">
            <w:pPr>
              <w:pStyle w:val="TableBodyText"/>
              <w:keepNext w:val="0"/>
              <w:keepLines w:val="0"/>
              <w:widowControl w:val="0"/>
              <w:jc w:val="left"/>
            </w:pPr>
            <w:r w:rsidRPr="008E7459">
              <w:t xml:space="preserve">National </w:t>
            </w:r>
          </w:p>
          <w:p w:rsidR="00CD7D7A" w:rsidRPr="008E7459" w:rsidRDefault="00CD7D7A" w:rsidP="008539DA">
            <w:pPr>
              <w:pStyle w:val="TableBodyText"/>
              <w:keepNext w:val="0"/>
              <w:keepLines w:val="0"/>
              <w:widowControl w:val="0"/>
              <w:jc w:val="left"/>
            </w:pPr>
          </w:p>
        </w:tc>
      </w:tr>
    </w:tbl>
    <w:p w:rsidR="00162BCC" w:rsidRDefault="00162BCC">
      <w:pPr>
        <w:pStyle w:val="BoxSpaceAbove"/>
      </w:pPr>
    </w:p>
    <w:tbl>
      <w:tblPr>
        <w:tblW w:w="0" w:type="auto"/>
        <w:tblInd w:w="164" w:type="dxa"/>
        <w:tblBorders>
          <w:top w:val="single" w:sz="6" w:space="0" w:color="auto"/>
          <w:left w:val="single" w:sz="6" w:space="0" w:color="auto"/>
          <w:bottom w:val="single" w:sz="6" w:space="0" w:color="auto"/>
          <w:right w:val="single" w:sz="6" w:space="0" w:color="auto"/>
        </w:tblBorders>
        <w:tblLayout w:type="fixed"/>
        <w:tblCellMar>
          <w:left w:w="142" w:type="dxa"/>
          <w:right w:w="142" w:type="dxa"/>
        </w:tblCellMar>
        <w:tblLook w:val="0000" w:firstRow="0" w:lastRow="0" w:firstColumn="0" w:lastColumn="0" w:noHBand="0" w:noVBand="0"/>
      </w:tblPr>
      <w:tblGrid>
        <w:gridCol w:w="8771"/>
      </w:tblGrid>
      <w:tr w:rsidR="00162BCC">
        <w:tc>
          <w:tcPr>
            <w:tcW w:w="8771" w:type="dxa"/>
            <w:tcBorders>
              <w:top w:val="single" w:sz="6" w:space="0" w:color="auto"/>
              <w:bottom w:val="nil"/>
            </w:tcBorders>
          </w:tcPr>
          <w:p w:rsidR="00162BCC" w:rsidRDefault="00162BCC" w:rsidP="00162BCC">
            <w:pPr>
              <w:pStyle w:val="BoxTitle"/>
            </w:pPr>
            <w:r>
              <w:rPr>
                <w:b w:val="0"/>
              </w:rPr>
              <w:t xml:space="preserve">Box </w:t>
            </w:r>
            <w:r>
              <w:rPr>
                <w:b w:val="0"/>
              </w:rPr>
              <w:fldChar w:fldCharType="begin"/>
            </w:r>
            <w:r>
              <w:rPr>
                <w:b w:val="0"/>
              </w:rPr>
              <w:instrText xml:space="preserve"> SEQ Box \* ARABIC </w:instrText>
            </w:r>
            <w:r>
              <w:rPr>
                <w:b w:val="0"/>
              </w:rPr>
              <w:fldChar w:fldCharType="separate"/>
            </w:r>
            <w:r w:rsidR="005F5618">
              <w:rPr>
                <w:b w:val="0"/>
                <w:noProof/>
              </w:rPr>
              <w:t>2</w:t>
            </w:r>
            <w:r>
              <w:rPr>
                <w:b w:val="0"/>
              </w:rPr>
              <w:fldChar w:fldCharType="end"/>
            </w:r>
            <w:r>
              <w:tab/>
              <w:t>Results</w:t>
            </w:r>
          </w:p>
        </w:tc>
      </w:tr>
      <w:tr w:rsidR="00162BCC">
        <w:trPr>
          <w:cantSplit/>
        </w:trPr>
        <w:tc>
          <w:tcPr>
            <w:tcW w:w="8771" w:type="dxa"/>
            <w:tcBorders>
              <w:top w:val="nil"/>
              <w:left w:val="single" w:sz="6" w:space="0" w:color="auto"/>
              <w:bottom w:val="nil"/>
              <w:right w:val="single" w:sz="6" w:space="0" w:color="auto"/>
            </w:tcBorders>
          </w:tcPr>
          <w:p w:rsidR="00EF255E" w:rsidRDefault="00EF255E" w:rsidP="00EF255E">
            <w:pPr>
              <w:pStyle w:val="Box"/>
            </w:pPr>
            <w:r>
              <w:t>For this report, new data for this i</w:t>
            </w:r>
            <w:r w:rsidR="002333C4">
              <w:t>ndicator are available for 2013</w:t>
            </w:r>
            <w:r>
              <w:t>.</w:t>
            </w:r>
          </w:p>
          <w:p w:rsidR="00EF255E" w:rsidRDefault="00EF255E" w:rsidP="00EF255E">
            <w:pPr>
              <w:pStyle w:val="BoxListBullet"/>
            </w:pPr>
            <w:r>
              <w:t>National 2013 SEW data</w:t>
            </w:r>
            <w:r w:rsidR="008842BD">
              <w:t xml:space="preserve"> are presented in table NEA.4.1.</w:t>
            </w:r>
          </w:p>
          <w:p w:rsidR="00162BCC" w:rsidRDefault="00EF255E" w:rsidP="00EF255E">
            <w:pPr>
              <w:pStyle w:val="Box"/>
            </w:pPr>
            <w:r>
              <w:t>For SEW data, apparent differences in results between years may not be statistically significant. To assist in interpretation, 95 per cent confidence intervals and relative standard errors are provided in the attachment tables.</w:t>
            </w:r>
          </w:p>
          <w:p w:rsidR="00853405" w:rsidRDefault="00EF255E" w:rsidP="00853405">
            <w:pPr>
              <w:pStyle w:val="Box"/>
            </w:pPr>
            <w:r w:rsidRPr="00EF255E">
              <w:t xml:space="preserve">For historical SEW data, </w:t>
            </w:r>
            <w:r w:rsidR="006B29A1">
              <w:t xml:space="preserve">2012 results are available in the 2012 NEA performance report, </w:t>
            </w:r>
            <w:r w:rsidRPr="00EF255E">
              <w:t xml:space="preserve">results for 2011 are available in the 2011 NEA performance report, 2010 results are available in the 2010 NEA performance report, and 2009 and 2008 results are available in the 2009 NEA performance report. </w:t>
            </w:r>
          </w:p>
          <w:p w:rsidR="00EF255E" w:rsidRDefault="00853405" w:rsidP="00853405">
            <w:pPr>
              <w:pStyle w:val="Box"/>
            </w:pPr>
            <w:r>
              <w:t>For h</w:t>
            </w:r>
            <w:r w:rsidR="00C10BD4">
              <w:t>istorical Census data</w:t>
            </w:r>
            <w:r>
              <w:t xml:space="preserve">, </w:t>
            </w:r>
            <w:r w:rsidR="00C10BD4">
              <w:t xml:space="preserve">2011 </w:t>
            </w:r>
            <w:r>
              <w:t>results are available</w:t>
            </w:r>
            <w:r w:rsidR="00C10BD4">
              <w:t xml:space="preserve"> in the 2012 NEA performance report and 2006 </w:t>
            </w:r>
            <w:r>
              <w:t xml:space="preserve">results </w:t>
            </w:r>
            <w:r w:rsidR="00C10BD4">
              <w:t>in the 2009 NEA performance report.</w:t>
            </w:r>
          </w:p>
        </w:tc>
      </w:tr>
      <w:tr w:rsidR="00162BCC">
        <w:trPr>
          <w:cantSplit/>
        </w:trPr>
        <w:tc>
          <w:tcPr>
            <w:tcW w:w="8771" w:type="dxa"/>
            <w:tcBorders>
              <w:top w:val="nil"/>
              <w:left w:val="single" w:sz="6" w:space="0" w:color="auto"/>
              <w:bottom w:val="single" w:sz="6" w:space="0" w:color="auto"/>
              <w:right w:val="single" w:sz="6" w:space="0" w:color="auto"/>
            </w:tcBorders>
          </w:tcPr>
          <w:p w:rsidR="00162BCC" w:rsidRDefault="00162BCC">
            <w:pPr>
              <w:pStyle w:val="Box"/>
              <w:spacing w:before="0" w:line="120" w:lineRule="exact"/>
            </w:pPr>
          </w:p>
        </w:tc>
      </w:tr>
      <w:tr w:rsidR="00162BCC" w:rsidRPr="000863A5">
        <w:tc>
          <w:tcPr>
            <w:tcW w:w="8771" w:type="dxa"/>
            <w:tcBorders>
              <w:top w:val="nil"/>
              <w:left w:val="nil"/>
              <w:bottom w:val="nil"/>
              <w:right w:val="nil"/>
            </w:tcBorders>
          </w:tcPr>
          <w:p w:rsidR="00162BCC" w:rsidRPr="00626D32" w:rsidRDefault="00162BCC" w:rsidP="00EF255E">
            <w:pPr>
              <w:pStyle w:val="BoxSpaceBelow"/>
            </w:pPr>
          </w:p>
        </w:tc>
      </w:tr>
    </w:tbl>
    <w:p w:rsidR="00162BCC" w:rsidRDefault="00162BCC" w:rsidP="00162BCC">
      <w:pPr>
        <w:pStyle w:val="Heading4"/>
      </w:pPr>
      <w:r>
        <w:t>Attachment tables</w:t>
      </w:r>
    </w:p>
    <w:tbl>
      <w:tblPr>
        <w:tblW w:w="880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0"/>
        <w:gridCol w:w="6844"/>
      </w:tblGrid>
      <w:tr w:rsidR="00162BCC" w:rsidRPr="008E7459" w:rsidTr="00162BCC">
        <w:trPr>
          <w:trHeight w:val="612"/>
        </w:trPr>
        <w:tc>
          <w:tcPr>
            <w:tcW w:w="1960" w:type="dxa"/>
            <w:shd w:val="clear" w:color="auto" w:fill="auto"/>
            <w:noWrap/>
            <w:hideMark/>
          </w:tcPr>
          <w:p w:rsidR="00162BCC" w:rsidRPr="00596FB9" w:rsidRDefault="00596FB9" w:rsidP="00596FB9">
            <w:pPr>
              <w:pStyle w:val="TableBodyText"/>
              <w:jc w:val="left"/>
              <w:rPr>
                <w:b/>
              </w:rPr>
            </w:pPr>
            <w:r w:rsidRPr="00596FB9">
              <w:rPr>
                <w:b/>
              </w:rPr>
              <w:t>Table NEA.4.</w:t>
            </w:r>
            <w:r>
              <w:rPr>
                <w:b/>
              </w:rPr>
              <w:t>1</w:t>
            </w:r>
          </w:p>
        </w:tc>
        <w:tc>
          <w:tcPr>
            <w:tcW w:w="6844" w:type="dxa"/>
            <w:shd w:val="clear" w:color="auto" w:fill="auto"/>
          </w:tcPr>
          <w:p w:rsidR="00162BCC" w:rsidRPr="008E7459" w:rsidRDefault="00596FB9" w:rsidP="00596FB9">
            <w:pPr>
              <w:pStyle w:val="TableBodyText"/>
              <w:jc w:val="left"/>
            </w:pPr>
            <w:r w:rsidRPr="00596FB9">
              <w:t>Proportion, relative standard error, and confidence intervals of young people aged 20–24 years who have completed Year 12 (or equivalent) or gained a qualification at AQF Certificate II level or above, by SEIFA IRSD quintiles 201</w:t>
            </w:r>
            <w:r>
              <w:t>3</w:t>
            </w:r>
          </w:p>
        </w:tc>
      </w:tr>
    </w:tbl>
    <w:p w:rsidR="00162BCC" w:rsidRDefault="00162BCC"/>
    <w:p w:rsidR="00162BCC" w:rsidRDefault="00162BCC">
      <w:pPr>
        <w:pStyle w:val="BoxSpaceAbove"/>
      </w:pPr>
    </w:p>
    <w:tbl>
      <w:tblPr>
        <w:tblW w:w="0" w:type="auto"/>
        <w:tblInd w:w="164" w:type="dxa"/>
        <w:tblBorders>
          <w:top w:val="single" w:sz="6" w:space="0" w:color="auto"/>
          <w:left w:val="single" w:sz="6" w:space="0" w:color="auto"/>
          <w:bottom w:val="single" w:sz="6" w:space="0" w:color="auto"/>
          <w:right w:val="single" w:sz="6" w:space="0" w:color="auto"/>
        </w:tblBorders>
        <w:tblLayout w:type="fixed"/>
        <w:tblCellMar>
          <w:left w:w="142" w:type="dxa"/>
          <w:right w:w="142" w:type="dxa"/>
        </w:tblCellMar>
        <w:tblLook w:val="0000" w:firstRow="0" w:lastRow="0" w:firstColumn="0" w:lastColumn="0" w:noHBand="0" w:noVBand="0"/>
      </w:tblPr>
      <w:tblGrid>
        <w:gridCol w:w="8771"/>
      </w:tblGrid>
      <w:tr w:rsidR="00162BCC">
        <w:tc>
          <w:tcPr>
            <w:tcW w:w="8771" w:type="dxa"/>
            <w:tcBorders>
              <w:top w:val="single" w:sz="6" w:space="0" w:color="auto"/>
              <w:bottom w:val="nil"/>
            </w:tcBorders>
          </w:tcPr>
          <w:p w:rsidR="00162BCC" w:rsidRDefault="00162BCC" w:rsidP="00162BCC">
            <w:pPr>
              <w:pStyle w:val="BoxTitle"/>
            </w:pPr>
            <w:r>
              <w:rPr>
                <w:b w:val="0"/>
              </w:rPr>
              <w:t xml:space="preserve">Box </w:t>
            </w:r>
            <w:r>
              <w:rPr>
                <w:b w:val="0"/>
              </w:rPr>
              <w:fldChar w:fldCharType="begin"/>
            </w:r>
            <w:r>
              <w:rPr>
                <w:b w:val="0"/>
              </w:rPr>
              <w:instrText xml:space="preserve"> SEQ Box \* ARABIC </w:instrText>
            </w:r>
            <w:r>
              <w:rPr>
                <w:b w:val="0"/>
              </w:rPr>
              <w:fldChar w:fldCharType="separate"/>
            </w:r>
            <w:r w:rsidR="005F5618">
              <w:rPr>
                <w:b w:val="0"/>
                <w:noProof/>
              </w:rPr>
              <w:t>3</w:t>
            </w:r>
            <w:r>
              <w:rPr>
                <w:b w:val="0"/>
              </w:rPr>
              <w:fldChar w:fldCharType="end"/>
            </w:r>
            <w:r>
              <w:tab/>
              <w:t>Comment on data quality</w:t>
            </w:r>
          </w:p>
        </w:tc>
      </w:tr>
      <w:tr w:rsidR="00162BCC">
        <w:trPr>
          <w:cantSplit/>
        </w:trPr>
        <w:tc>
          <w:tcPr>
            <w:tcW w:w="8771" w:type="dxa"/>
            <w:tcBorders>
              <w:top w:val="nil"/>
              <w:left w:val="single" w:sz="6" w:space="0" w:color="auto"/>
              <w:bottom w:val="nil"/>
              <w:right w:val="single" w:sz="6" w:space="0" w:color="auto"/>
            </w:tcBorders>
          </w:tcPr>
          <w:p w:rsidR="002A1296" w:rsidRDefault="002A1296" w:rsidP="002A1296">
            <w:pPr>
              <w:pStyle w:val="Box"/>
            </w:pPr>
            <w:r>
              <w:t>The Steering Committee notes that this performance target relates to performance indicator 4 (year 12 or equivalent or AQF Certificate Level II/III or above).</w:t>
            </w:r>
            <w:r w:rsidR="00853405">
              <w:t xml:space="preserve"> </w:t>
            </w:r>
            <w:r w:rsidR="00853405" w:rsidRPr="00853405">
              <w:t>The target</w:t>
            </w:r>
            <w:r w:rsidR="00853405">
              <w:t xml:space="preserve"> i</w:t>
            </w:r>
            <w:r w:rsidR="00853405" w:rsidRPr="00853405">
              <w:t xml:space="preserve">s at the national level and the </w:t>
            </w:r>
            <w:r w:rsidR="00853405">
              <w:t>SEW is the main data source. F</w:t>
            </w:r>
            <w:r w:rsidR="00853405" w:rsidRPr="00853405">
              <w:t>ollowing the COAG review of the NEA performance framework, the Census (which allows disaggregation by State and Territory)</w:t>
            </w:r>
            <w:r w:rsidR="00853405">
              <w:t xml:space="preserve"> is the main data source for the related performance indicator</w:t>
            </w:r>
            <w:r w:rsidR="00853405" w:rsidRPr="00853405">
              <w:t>. (</w:t>
            </w:r>
            <w:r w:rsidR="00853405">
              <w:t xml:space="preserve">The </w:t>
            </w:r>
            <w:r w:rsidR="00853405" w:rsidRPr="00853405">
              <w:t>SEW is a supplementary data source for the performance indicator.)</w:t>
            </w:r>
          </w:p>
          <w:p w:rsidR="00162BCC" w:rsidRDefault="002A1296" w:rsidP="002A1296">
            <w:pPr>
              <w:pStyle w:val="Box"/>
            </w:pPr>
            <w:r>
              <w:t>Details are included in the comment on data quality for NEA Indicator 4.</w:t>
            </w:r>
          </w:p>
        </w:tc>
      </w:tr>
      <w:tr w:rsidR="00162BCC">
        <w:trPr>
          <w:cantSplit/>
        </w:trPr>
        <w:tc>
          <w:tcPr>
            <w:tcW w:w="8771" w:type="dxa"/>
            <w:tcBorders>
              <w:top w:val="nil"/>
              <w:left w:val="single" w:sz="6" w:space="0" w:color="auto"/>
              <w:bottom w:val="single" w:sz="6" w:space="0" w:color="auto"/>
              <w:right w:val="single" w:sz="6" w:space="0" w:color="auto"/>
            </w:tcBorders>
          </w:tcPr>
          <w:p w:rsidR="00162BCC" w:rsidRDefault="00162BCC">
            <w:pPr>
              <w:pStyle w:val="Box"/>
              <w:spacing w:before="0" w:line="120" w:lineRule="exact"/>
            </w:pPr>
          </w:p>
        </w:tc>
      </w:tr>
      <w:tr w:rsidR="00162BCC" w:rsidRPr="000863A5">
        <w:tc>
          <w:tcPr>
            <w:tcW w:w="8771" w:type="dxa"/>
            <w:tcBorders>
              <w:top w:val="nil"/>
              <w:left w:val="nil"/>
              <w:bottom w:val="nil"/>
              <w:right w:val="nil"/>
            </w:tcBorders>
          </w:tcPr>
          <w:p w:rsidR="00162BCC" w:rsidRPr="00626D32" w:rsidRDefault="00162BCC" w:rsidP="00EF255E">
            <w:pPr>
              <w:pStyle w:val="BoxSpaceBelow"/>
            </w:pPr>
          </w:p>
        </w:tc>
      </w:tr>
    </w:tbl>
    <w:p w:rsidR="00162BCC" w:rsidRPr="003575E1" w:rsidRDefault="00162BCC"/>
    <w:p w:rsidR="00117C12" w:rsidRPr="003575E1" w:rsidRDefault="00117C12">
      <w:r w:rsidRPr="003575E1">
        <w:br w:type="page"/>
      </w:r>
    </w:p>
    <w:p w:rsidR="006E3DEE" w:rsidRDefault="006E3DEE" w:rsidP="006E3DEE">
      <w:pPr>
        <w:pStyle w:val="Heading3"/>
      </w:pPr>
      <w:r w:rsidRPr="00136727">
        <w:t xml:space="preserve">Performance </w:t>
      </w:r>
      <w:r>
        <w:t>target (b</w:t>
      </w:r>
      <w:r w:rsidRPr="00136727">
        <w:t xml:space="preserve">): </w:t>
      </w:r>
      <w:r w:rsidRPr="006E3DEE">
        <w:t>Lift the Year 12 or equivalent or Certificate III attainment rate to 90 per cent by 2020</w:t>
      </w:r>
    </w:p>
    <w:p w:rsidR="006E3DEE" w:rsidRPr="003A784E" w:rsidRDefault="006E3DEE" w:rsidP="006E3DEE">
      <w:pPr>
        <w:pStyle w:val="Subtitle"/>
      </w:pPr>
    </w:p>
    <w:tbl>
      <w:tblPr>
        <w:tblW w:w="5002" w:type="pct"/>
        <w:tblCellMar>
          <w:left w:w="0" w:type="dxa"/>
          <w:right w:w="0" w:type="dxa"/>
        </w:tblCellMar>
        <w:tblLook w:val="0000" w:firstRow="0" w:lastRow="0" w:firstColumn="0" w:lastColumn="0" w:noHBand="0" w:noVBand="0"/>
      </w:tblPr>
      <w:tblGrid>
        <w:gridCol w:w="22"/>
        <w:gridCol w:w="1963"/>
        <w:gridCol w:w="6808"/>
      </w:tblGrid>
      <w:tr w:rsidR="00D26A7A" w:rsidTr="003808BA">
        <w:trPr>
          <w:trHeight w:val="823"/>
        </w:trPr>
        <w:tc>
          <w:tcPr>
            <w:tcW w:w="1129" w:type="pct"/>
            <w:gridSpan w:val="2"/>
            <w:shd w:val="clear" w:color="auto" w:fill="auto"/>
          </w:tcPr>
          <w:p w:rsidR="00D26A7A" w:rsidRDefault="00D26A7A" w:rsidP="00D26A7A">
            <w:pPr>
              <w:pStyle w:val="TableBodyText"/>
              <w:keepNext w:val="0"/>
              <w:keepLines w:val="0"/>
              <w:ind w:left="34"/>
              <w:jc w:val="left"/>
            </w:pPr>
            <w:r w:rsidRPr="008E7459">
              <w:t>Key amendments from previous cycle of reporting:</w:t>
            </w:r>
          </w:p>
          <w:p w:rsidR="00D26A7A" w:rsidRPr="008E7459" w:rsidRDefault="00D26A7A" w:rsidP="00D26A7A">
            <w:pPr>
              <w:pStyle w:val="TableBodyText"/>
              <w:keepNext w:val="0"/>
              <w:keepLines w:val="0"/>
              <w:ind w:left="34"/>
              <w:jc w:val="left"/>
            </w:pPr>
          </w:p>
        </w:tc>
        <w:tc>
          <w:tcPr>
            <w:tcW w:w="3869" w:type="pct"/>
            <w:shd w:val="clear" w:color="auto" w:fill="auto"/>
          </w:tcPr>
          <w:p w:rsidR="00D26A7A" w:rsidRPr="008E7459" w:rsidRDefault="00D26A7A" w:rsidP="00D26A7A">
            <w:pPr>
              <w:pStyle w:val="TableBodyText"/>
              <w:keepNext w:val="0"/>
              <w:keepLines w:val="0"/>
              <w:jc w:val="left"/>
              <w:rPr>
                <w:szCs w:val="24"/>
              </w:rPr>
            </w:pPr>
            <w:r w:rsidRPr="00FC264B">
              <w:t xml:space="preserve">This </w:t>
            </w:r>
            <w:r>
              <w:t>target</w:t>
            </w:r>
            <w:r w:rsidRPr="00FC264B">
              <w:t xml:space="preserve"> i</w:t>
            </w:r>
            <w:r>
              <w:t>s unchanged from the previous NEA performance report</w:t>
            </w:r>
          </w:p>
        </w:tc>
      </w:tr>
      <w:tr w:rsidR="00D26A7A" w:rsidTr="003808BA">
        <w:tc>
          <w:tcPr>
            <w:tcW w:w="1129" w:type="pct"/>
            <w:gridSpan w:val="2"/>
          </w:tcPr>
          <w:p w:rsidR="00D26A7A" w:rsidRPr="008E7459" w:rsidRDefault="00D26A7A" w:rsidP="00D26A7A">
            <w:pPr>
              <w:pStyle w:val="TableBodyText"/>
              <w:keepNext w:val="0"/>
              <w:keepLines w:val="0"/>
              <w:ind w:left="34"/>
              <w:jc w:val="left"/>
            </w:pPr>
            <w:r w:rsidRPr="008E7459">
              <w:t>Outcome:</w:t>
            </w:r>
          </w:p>
        </w:tc>
        <w:tc>
          <w:tcPr>
            <w:tcW w:w="3869" w:type="pct"/>
          </w:tcPr>
          <w:p w:rsidR="00D26A7A" w:rsidRPr="008E7459" w:rsidRDefault="00D26A7A" w:rsidP="00D26A7A">
            <w:pPr>
              <w:pStyle w:val="TableBodyText"/>
              <w:keepNext w:val="0"/>
              <w:keepLines w:val="0"/>
              <w:jc w:val="left"/>
            </w:pPr>
            <w:r w:rsidRPr="008E7459">
              <w:t>Young people make a successful transition from school to work and further study</w:t>
            </w:r>
          </w:p>
          <w:p w:rsidR="00D26A7A" w:rsidRPr="008E7459" w:rsidRDefault="00D26A7A" w:rsidP="00D26A7A">
            <w:pPr>
              <w:pStyle w:val="TableBodyText"/>
              <w:keepNext w:val="0"/>
              <w:keepLines w:val="0"/>
              <w:ind w:hanging="6"/>
              <w:jc w:val="left"/>
              <w:rPr>
                <w:sz w:val="24"/>
              </w:rPr>
            </w:pPr>
          </w:p>
        </w:tc>
      </w:tr>
      <w:tr w:rsidR="00D26A7A" w:rsidTr="003808BA">
        <w:tc>
          <w:tcPr>
            <w:tcW w:w="1129" w:type="pct"/>
            <w:gridSpan w:val="2"/>
          </w:tcPr>
          <w:p w:rsidR="00D26A7A" w:rsidRPr="008E7459" w:rsidRDefault="00D26A7A" w:rsidP="00D26A7A">
            <w:pPr>
              <w:pStyle w:val="TableBodyText"/>
              <w:keepNext w:val="0"/>
              <w:keepLines w:val="0"/>
              <w:ind w:left="34"/>
              <w:jc w:val="left"/>
            </w:pPr>
            <w:r w:rsidRPr="008E7459">
              <w:t xml:space="preserve">Measure: </w:t>
            </w:r>
          </w:p>
        </w:tc>
        <w:tc>
          <w:tcPr>
            <w:tcW w:w="3869" w:type="pct"/>
          </w:tcPr>
          <w:p w:rsidR="00D26A7A" w:rsidRPr="00D26A7A" w:rsidRDefault="00D26A7A" w:rsidP="00D26A7A">
            <w:pPr>
              <w:pStyle w:val="TableBodyText"/>
              <w:jc w:val="left"/>
            </w:pPr>
            <w:r w:rsidRPr="00D26A7A">
              <w:t>Proportion of the 20–24 year old population having attained at least a Year 12 or equivalent or AQF Certificate Level III or above.</w:t>
            </w:r>
          </w:p>
          <w:p w:rsidR="00D26A7A" w:rsidRPr="00D26A7A" w:rsidRDefault="00D26A7A" w:rsidP="00D26A7A">
            <w:pPr>
              <w:pStyle w:val="TableBodyText"/>
              <w:jc w:val="left"/>
            </w:pPr>
            <w:r w:rsidRPr="00D26A7A">
              <w:t>The measure is defined as:</w:t>
            </w:r>
          </w:p>
          <w:p w:rsidR="00D26A7A" w:rsidRPr="00D26A7A" w:rsidRDefault="00D26A7A" w:rsidP="008F527F">
            <w:pPr>
              <w:pStyle w:val="TableBullet"/>
            </w:pPr>
            <w:r w:rsidRPr="008F527F">
              <w:rPr>
                <w:i/>
              </w:rPr>
              <w:t>numerator</w:t>
            </w:r>
            <w:r w:rsidRPr="00D26A7A">
              <w:t xml:space="preserve"> — number of 20–24 year olds who self</w:t>
            </w:r>
            <w:r w:rsidRPr="00D26A7A">
              <w:noBreakHyphen/>
              <w:t>identify as having attained a year 12 or AQF Certificate Level III or above (excludes Certificate nfd)</w:t>
            </w:r>
          </w:p>
          <w:p w:rsidR="00D26A7A" w:rsidRPr="00D26A7A" w:rsidRDefault="00D26A7A" w:rsidP="008F527F">
            <w:pPr>
              <w:pStyle w:val="TableBullet"/>
            </w:pPr>
            <w:r w:rsidRPr="008F527F">
              <w:rPr>
                <w:i/>
              </w:rPr>
              <w:t>denominator</w:t>
            </w:r>
            <w:r w:rsidRPr="00D26A7A">
              <w:t xml:space="preserve"> — number of 20–24 year olds in the population</w:t>
            </w:r>
            <w:r w:rsidR="008F527F">
              <w:t xml:space="preserve"> </w:t>
            </w:r>
            <w:r w:rsidRPr="00D26A7A">
              <w:t xml:space="preserve">and is expressed as a </w:t>
            </w:r>
            <w:r w:rsidRPr="00595E6A">
              <w:rPr>
                <w:i/>
              </w:rPr>
              <w:t>percentage</w:t>
            </w:r>
          </w:p>
          <w:p w:rsidR="00D26A7A" w:rsidRPr="00D26A7A" w:rsidRDefault="00D26A7A" w:rsidP="00D26A7A">
            <w:pPr>
              <w:pStyle w:val="TableBodyText"/>
              <w:jc w:val="left"/>
            </w:pPr>
          </w:p>
          <w:p w:rsidR="00D26A7A" w:rsidRPr="00D26A7A" w:rsidRDefault="00D26A7A" w:rsidP="00D26A7A">
            <w:pPr>
              <w:pStyle w:val="TableBodyText"/>
              <w:jc w:val="left"/>
            </w:pPr>
            <w:r w:rsidRPr="00D26A7A">
              <w:t>Persons whose level of study is determined to be certificate level but is not able to be further defined (ie, Certificate nfd) are assumed to have attained below Certificate level III and are therefore excluded from the numerator</w:t>
            </w:r>
          </w:p>
          <w:p w:rsidR="00D26A7A" w:rsidRPr="00D26A7A" w:rsidRDefault="00D26A7A" w:rsidP="00D26A7A">
            <w:pPr>
              <w:pStyle w:val="TableBodyText"/>
              <w:jc w:val="left"/>
            </w:pPr>
          </w:p>
          <w:p w:rsidR="00D26A7A" w:rsidRPr="00D26A7A" w:rsidRDefault="00D26A7A" w:rsidP="00D26A7A">
            <w:pPr>
              <w:pStyle w:val="TableBodyText"/>
              <w:jc w:val="left"/>
            </w:pPr>
            <w:r w:rsidRPr="00D26A7A">
              <w:t>People whose level of study cannot be determined are assumed to have attained below Certificate III and are therefore excluded from the numerator</w:t>
            </w:r>
          </w:p>
          <w:p w:rsidR="00D26A7A" w:rsidRPr="008E7459" w:rsidRDefault="00D26A7A" w:rsidP="00D26A7A">
            <w:pPr>
              <w:pStyle w:val="TableBodyText"/>
              <w:jc w:val="left"/>
              <w:rPr>
                <w:rFonts w:ascii="ArialMT" w:hAnsi="ArialMT" w:cs="ArialMT"/>
              </w:rPr>
            </w:pPr>
          </w:p>
          <w:p w:rsidR="00D26A7A" w:rsidRPr="008E7459" w:rsidRDefault="00D26A7A" w:rsidP="00D26A7A">
            <w:pPr>
              <w:pStyle w:val="TableBodyText"/>
              <w:jc w:val="left"/>
              <w:rPr>
                <w:rFonts w:cs="Arial"/>
              </w:rPr>
            </w:pPr>
            <w:r w:rsidRPr="008E7459">
              <w:rPr>
                <w:rFonts w:cs="Arial"/>
              </w:rPr>
              <w:t>Excludes people whose educational attainment is not stated from the</w:t>
            </w:r>
          </w:p>
          <w:p w:rsidR="00D26A7A" w:rsidRDefault="00D26A7A" w:rsidP="00D26A7A">
            <w:pPr>
              <w:pStyle w:val="TableBodyText"/>
              <w:jc w:val="left"/>
              <w:rPr>
                <w:rFonts w:cs="Arial"/>
              </w:rPr>
            </w:pPr>
            <w:r w:rsidRPr="008E7459">
              <w:rPr>
                <w:rFonts w:cs="Arial"/>
              </w:rPr>
              <w:t>numerator and denominator (applicable only to Census data)</w:t>
            </w:r>
          </w:p>
          <w:p w:rsidR="00292218" w:rsidRDefault="00292218" w:rsidP="00D26A7A">
            <w:pPr>
              <w:pStyle w:val="TableBodyText"/>
              <w:jc w:val="left"/>
              <w:rPr>
                <w:rFonts w:cs="Arial"/>
              </w:rPr>
            </w:pPr>
          </w:p>
          <w:p w:rsidR="00292218" w:rsidRDefault="00292218" w:rsidP="00292218">
            <w:pPr>
              <w:pStyle w:val="TableBodyText"/>
              <w:keepNext w:val="0"/>
              <w:keepLines w:val="0"/>
              <w:widowControl w:val="0"/>
              <w:jc w:val="left"/>
            </w:pPr>
            <w:r>
              <w:t xml:space="preserve">SEW Data: </w:t>
            </w:r>
            <w:r w:rsidRPr="002E18C8">
              <w:t>Prior to the 2013 SEW, people who were permanently unable to work (PUW) were excluded from the in</w:t>
            </w:r>
            <w:r w:rsidR="00556489">
              <w:noBreakHyphen/>
            </w:r>
            <w:r w:rsidRPr="002E18C8">
              <w:t>scope population. In 2013, the SEW scope was expanded to include the PUW population. However, to ensure that the indicator measure presented here is comparable over time, the PUW population has been excluded from these tables.</w:t>
            </w:r>
          </w:p>
          <w:p w:rsidR="00D26A7A" w:rsidRPr="008E7459" w:rsidRDefault="00D26A7A" w:rsidP="00D26A7A">
            <w:pPr>
              <w:pStyle w:val="TableBodyText"/>
              <w:keepNext w:val="0"/>
              <w:keepLines w:val="0"/>
              <w:ind w:hanging="6"/>
              <w:jc w:val="left"/>
            </w:pPr>
          </w:p>
        </w:tc>
      </w:tr>
      <w:tr w:rsidR="00D26A7A" w:rsidTr="003808BA">
        <w:tc>
          <w:tcPr>
            <w:tcW w:w="1129" w:type="pct"/>
            <w:gridSpan w:val="2"/>
          </w:tcPr>
          <w:p w:rsidR="00D26A7A" w:rsidRPr="008E7459" w:rsidRDefault="00D26A7A" w:rsidP="00D26A7A">
            <w:pPr>
              <w:pStyle w:val="TableBodyText"/>
              <w:keepNext w:val="0"/>
              <w:keepLines w:val="0"/>
              <w:ind w:left="34"/>
              <w:jc w:val="left"/>
            </w:pPr>
            <w:r w:rsidRPr="008E7459">
              <w:t>Related performance indicator/s:</w:t>
            </w:r>
          </w:p>
        </w:tc>
        <w:tc>
          <w:tcPr>
            <w:tcW w:w="3869" w:type="pct"/>
          </w:tcPr>
          <w:p w:rsidR="00D26A7A" w:rsidRPr="008F527F" w:rsidRDefault="00D26A7A" w:rsidP="008F527F">
            <w:pPr>
              <w:pStyle w:val="TableBodyText"/>
              <w:jc w:val="left"/>
            </w:pPr>
            <w:r w:rsidRPr="008F527F">
              <w:t xml:space="preserve">NEA PI 4: The proportion of young people who have attained at least a year 12 or equivalent or AQF Certificate Level II/III or above </w:t>
            </w:r>
          </w:p>
          <w:p w:rsidR="00D26A7A" w:rsidRPr="008E7459" w:rsidRDefault="00D26A7A" w:rsidP="00D26A7A">
            <w:pPr>
              <w:pStyle w:val="TableBodyText"/>
              <w:keepNext w:val="0"/>
              <w:keepLines w:val="0"/>
              <w:ind w:hanging="6"/>
              <w:jc w:val="left"/>
            </w:pPr>
          </w:p>
        </w:tc>
      </w:tr>
      <w:tr w:rsidR="00D26A7A" w:rsidTr="003808BA">
        <w:tc>
          <w:tcPr>
            <w:tcW w:w="1129" w:type="pct"/>
            <w:gridSpan w:val="2"/>
          </w:tcPr>
          <w:p w:rsidR="00D26A7A" w:rsidRPr="008E7459" w:rsidRDefault="00D26A7A" w:rsidP="00D26A7A">
            <w:pPr>
              <w:pStyle w:val="TableBodyText"/>
              <w:keepNext w:val="0"/>
              <w:keepLines w:val="0"/>
              <w:ind w:left="34"/>
              <w:jc w:val="left"/>
            </w:pPr>
            <w:r w:rsidRPr="008E7459">
              <w:t>Data source:</w:t>
            </w:r>
          </w:p>
        </w:tc>
        <w:tc>
          <w:tcPr>
            <w:tcW w:w="3869" w:type="pct"/>
          </w:tcPr>
          <w:p w:rsidR="00D26A7A" w:rsidRPr="008E7459" w:rsidRDefault="00D26A7A" w:rsidP="00D26A7A">
            <w:pPr>
              <w:pStyle w:val="TableBodyText"/>
              <w:keepNext w:val="0"/>
              <w:keepLines w:val="0"/>
              <w:jc w:val="left"/>
            </w:pPr>
            <w:r w:rsidRPr="008E7459">
              <w:rPr>
                <w:i/>
              </w:rPr>
              <w:t xml:space="preserve">(Main) </w:t>
            </w:r>
            <w:r w:rsidRPr="008E7459">
              <w:rPr>
                <w:u w:val="single"/>
              </w:rPr>
              <w:t xml:space="preserve">Survey of Education and Work </w:t>
            </w:r>
            <w:r w:rsidRPr="008E7459">
              <w:t>(SEW). Data are available annually</w:t>
            </w:r>
          </w:p>
          <w:p w:rsidR="00D26A7A" w:rsidRPr="008E7459" w:rsidRDefault="00D26A7A" w:rsidP="00D26A7A">
            <w:pPr>
              <w:pStyle w:val="TableBodyText"/>
              <w:keepNext w:val="0"/>
              <w:keepLines w:val="0"/>
              <w:jc w:val="left"/>
              <w:rPr>
                <w:i/>
              </w:rPr>
            </w:pPr>
          </w:p>
          <w:p w:rsidR="00D26A7A" w:rsidRPr="008E7459" w:rsidRDefault="00D26A7A" w:rsidP="00D26A7A">
            <w:pPr>
              <w:pStyle w:val="TableBodyText"/>
              <w:keepNext w:val="0"/>
              <w:keepLines w:val="0"/>
              <w:jc w:val="left"/>
              <w:rPr>
                <w:i/>
              </w:rPr>
            </w:pPr>
            <w:r w:rsidRPr="008E7459">
              <w:rPr>
                <w:i/>
              </w:rPr>
              <w:t xml:space="preserve">(Supplementary) </w:t>
            </w:r>
            <w:r w:rsidRPr="008E7459">
              <w:rPr>
                <w:u w:val="single"/>
              </w:rPr>
              <w:t xml:space="preserve">Census of Population and Housing </w:t>
            </w:r>
            <w:r w:rsidRPr="008E7459">
              <w:t>(Census). Data are available every five years</w:t>
            </w:r>
          </w:p>
          <w:p w:rsidR="00D26A7A" w:rsidRPr="008E7459" w:rsidRDefault="00D26A7A" w:rsidP="00D26A7A">
            <w:pPr>
              <w:pStyle w:val="TableBodyText"/>
              <w:keepNext w:val="0"/>
              <w:keepLines w:val="0"/>
              <w:jc w:val="left"/>
            </w:pPr>
          </w:p>
        </w:tc>
      </w:tr>
      <w:tr w:rsidR="00D26A7A" w:rsidTr="003808BA">
        <w:tc>
          <w:tcPr>
            <w:tcW w:w="1129" w:type="pct"/>
            <w:gridSpan w:val="2"/>
          </w:tcPr>
          <w:p w:rsidR="00D26A7A" w:rsidRPr="008E7459" w:rsidRDefault="00D26A7A" w:rsidP="00D26A7A">
            <w:pPr>
              <w:pStyle w:val="TableBodyText"/>
              <w:keepNext w:val="0"/>
              <w:keepLines w:val="0"/>
              <w:ind w:left="34"/>
              <w:jc w:val="left"/>
            </w:pPr>
            <w:r w:rsidRPr="008E7459">
              <w:t>Data provider:</w:t>
            </w:r>
          </w:p>
        </w:tc>
        <w:tc>
          <w:tcPr>
            <w:tcW w:w="3869" w:type="pct"/>
          </w:tcPr>
          <w:p w:rsidR="00D26A7A" w:rsidRDefault="00D26A7A" w:rsidP="00D26A7A">
            <w:pPr>
              <w:pStyle w:val="TableBodyText"/>
              <w:keepNext w:val="0"/>
              <w:keepLines w:val="0"/>
              <w:ind w:hanging="6"/>
              <w:jc w:val="left"/>
            </w:pPr>
            <w:r w:rsidRPr="008E7459">
              <w:t>ABS</w:t>
            </w:r>
          </w:p>
          <w:p w:rsidR="00D26A7A" w:rsidRPr="008E7459" w:rsidRDefault="00D26A7A" w:rsidP="00D26A7A">
            <w:pPr>
              <w:pStyle w:val="TableBodyText"/>
              <w:keepNext w:val="0"/>
              <w:keepLines w:val="0"/>
              <w:ind w:hanging="6"/>
              <w:jc w:val="left"/>
            </w:pPr>
          </w:p>
        </w:tc>
      </w:tr>
      <w:tr w:rsidR="00D26A7A" w:rsidTr="003808BA">
        <w:tc>
          <w:tcPr>
            <w:tcW w:w="1129" w:type="pct"/>
            <w:gridSpan w:val="2"/>
          </w:tcPr>
          <w:p w:rsidR="00D26A7A" w:rsidRPr="008E7459" w:rsidRDefault="00D26A7A" w:rsidP="00D26A7A">
            <w:pPr>
              <w:pStyle w:val="TableBodyText"/>
              <w:keepNext w:val="0"/>
              <w:keepLines w:val="0"/>
              <w:ind w:left="34"/>
              <w:jc w:val="left"/>
            </w:pPr>
            <w:r w:rsidRPr="008E7459">
              <w:t>Data availability:</w:t>
            </w:r>
          </w:p>
        </w:tc>
        <w:tc>
          <w:tcPr>
            <w:tcW w:w="3869" w:type="pct"/>
          </w:tcPr>
          <w:p w:rsidR="00D26A7A" w:rsidRPr="008E7459" w:rsidRDefault="00D26A7A" w:rsidP="00D26A7A">
            <w:pPr>
              <w:pStyle w:val="TableBodyText"/>
              <w:keepNext w:val="0"/>
              <w:keepLines w:val="0"/>
              <w:jc w:val="left"/>
            </w:pPr>
            <w:r>
              <w:t>SEW — 2013</w:t>
            </w:r>
          </w:p>
          <w:p w:rsidR="00D26A7A" w:rsidRPr="008E7459" w:rsidRDefault="00D26A7A" w:rsidP="00D26A7A">
            <w:pPr>
              <w:pStyle w:val="TableBodyText"/>
              <w:keepNext w:val="0"/>
              <w:keepLines w:val="0"/>
              <w:jc w:val="left"/>
            </w:pPr>
          </w:p>
        </w:tc>
      </w:tr>
      <w:tr w:rsidR="00D26A7A" w:rsidTr="003808BA">
        <w:tc>
          <w:tcPr>
            <w:tcW w:w="1129" w:type="pct"/>
            <w:gridSpan w:val="2"/>
          </w:tcPr>
          <w:p w:rsidR="00D26A7A" w:rsidRPr="008E7459" w:rsidRDefault="00D26A7A" w:rsidP="00D26A7A">
            <w:pPr>
              <w:pStyle w:val="TableBodyText"/>
              <w:keepNext w:val="0"/>
              <w:keepLines w:val="0"/>
              <w:ind w:left="34"/>
              <w:jc w:val="left"/>
            </w:pPr>
            <w:r w:rsidRPr="008E7459">
              <w:t>Baseline:</w:t>
            </w:r>
          </w:p>
        </w:tc>
        <w:tc>
          <w:tcPr>
            <w:tcW w:w="3869" w:type="pct"/>
          </w:tcPr>
          <w:p w:rsidR="00D26A7A" w:rsidRDefault="00D26A7A" w:rsidP="00D26A7A">
            <w:pPr>
              <w:pStyle w:val="TableBodyText"/>
              <w:keepNext w:val="0"/>
              <w:keepLines w:val="0"/>
              <w:ind w:left="34"/>
              <w:jc w:val="left"/>
            </w:pPr>
            <w:r w:rsidRPr="008E7459">
              <w:t>2007</w:t>
            </w:r>
          </w:p>
          <w:p w:rsidR="00D26A7A" w:rsidRPr="008E7459" w:rsidRDefault="00D26A7A" w:rsidP="00D26A7A">
            <w:pPr>
              <w:pStyle w:val="TableBodyText"/>
              <w:keepNext w:val="0"/>
              <w:keepLines w:val="0"/>
              <w:ind w:left="34"/>
              <w:jc w:val="left"/>
            </w:pPr>
          </w:p>
        </w:tc>
      </w:tr>
      <w:tr w:rsidR="00D26A7A" w:rsidTr="003808BA">
        <w:tc>
          <w:tcPr>
            <w:tcW w:w="1129" w:type="pct"/>
            <w:gridSpan w:val="2"/>
          </w:tcPr>
          <w:p w:rsidR="00D26A7A" w:rsidRPr="008E7459" w:rsidRDefault="00D26A7A" w:rsidP="00D26A7A">
            <w:pPr>
              <w:pStyle w:val="TableBodyText"/>
              <w:keepNext w:val="0"/>
              <w:keepLines w:val="0"/>
              <w:ind w:left="34"/>
              <w:jc w:val="left"/>
            </w:pPr>
            <w:r w:rsidRPr="008E7459">
              <w:t>Cross tabulations provided:</w:t>
            </w:r>
          </w:p>
        </w:tc>
        <w:tc>
          <w:tcPr>
            <w:tcW w:w="3869" w:type="pct"/>
          </w:tcPr>
          <w:p w:rsidR="00D26A7A" w:rsidRPr="008F527F" w:rsidRDefault="00D26A7A" w:rsidP="008F527F">
            <w:pPr>
              <w:pStyle w:val="TableBodyText"/>
              <w:jc w:val="left"/>
              <w:rPr>
                <w:i/>
              </w:rPr>
            </w:pPr>
            <w:r w:rsidRPr="008F527F">
              <w:t>National</w:t>
            </w:r>
          </w:p>
        </w:tc>
      </w:tr>
      <w:tr w:rsidR="00162BCC" w:rsidTr="003808BA">
        <w:tblPrEx>
          <w:tblBorders>
            <w:top w:val="single" w:sz="6" w:space="0" w:color="auto"/>
            <w:left w:val="single" w:sz="6" w:space="0" w:color="auto"/>
            <w:bottom w:val="single" w:sz="6" w:space="0" w:color="auto"/>
            <w:right w:val="single" w:sz="6" w:space="0" w:color="auto"/>
          </w:tblBorders>
          <w:tblCellMar>
            <w:left w:w="142" w:type="dxa"/>
            <w:right w:w="142" w:type="dxa"/>
          </w:tblCellMar>
        </w:tblPrEx>
        <w:trPr>
          <w:gridBefore w:val="1"/>
          <w:wBefore w:w="13" w:type="pct"/>
        </w:trPr>
        <w:tc>
          <w:tcPr>
            <w:tcW w:w="4987" w:type="pct"/>
            <w:gridSpan w:val="2"/>
            <w:tcBorders>
              <w:top w:val="single" w:sz="6" w:space="0" w:color="auto"/>
              <w:bottom w:val="nil"/>
            </w:tcBorders>
          </w:tcPr>
          <w:p w:rsidR="00162BCC" w:rsidRDefault="00162BCC" w:rsidP="00EF255E">
            <w:pPr>
              <w:pStyle w:val="BoxTitle"/>
            </w:pPr>
            <w:r>
              <w:rPr>
                <w:b w:val="0"/>
              </w:rPr>
              <w:t xml:space="preserve">Box </w:t>
            </w:r>
            <w:r>
              <w:rPr>
                <w:b w:val="0"/>
              </w:rPr>
              <w:fldChar w:fldCharType="begin"/>
            </w:r>
            <w:r>
              <w:rPr>
                <w:b w:val="0"/>
              </w:rPr>
              <w:instrText xml:space="preserve"> SEQ Box \* ARABIC </w:instrText>
            </w:r>
            <w:r>
              <w:rPr>
                <w:b w:val="0"/>
              </w:rPr>
              <w:fldChar w:fldCharType="separate"/>
            </w:r>
            <w:r w:rsidR="005F5618">
              <w:rPr>
                <w:b w:val="0"/>
                <w:noProof/>
              </w:rPr>
              <w:t>4</w:t>
            </w:r>
            <w:r>
              <w:rPr>
                <w:b w:val="0"/>
              </w:rPr>
              <w:fldChar w:fldCharType="end"/>
            </w:r>
            <w:r>
              <w:tab/>
              <w:t>Results</w:t>
            </w:r>
          </w:p>
        </w:tc>
      </w:tr>
      <w:tr w:rsidR="00162BCC" w:rsidTr="003808BA">
        <w:tblPrEx>
          <w:tblBorders>
            <w:top w:val="single" w:sz="6" w:space="0" w:color="auto"/>
            <w:left w:val="single" w:sz="6" w:space="0" w:color="auto"/>
            <w:bottom w:val="single" w:sz="6" w:space="0" w:color="auto"/>
            <w:right w:val="single" w:sz="6" w:space="0" w:color="auto"/>
          </w:tblBorders>
          <w:tblCellMar>
            <w:left w:w="142" w:type="dxa"/>
            <w:right w:w="142" w:type="dxa"/>
          </w:tblCellMar>
        </w:tblPrEx>
        <w:trPr>
          <w:gridBefore w:val="1"/>
          <w:wBefore w:w="13" w:type="pct"/>
          <w:cantSplit/>
        </w:trPr>
        <w:tc>
          <w:tcPr>
            <w:tcW w:w="4987" w:type="pct"/>
            <w:gridSpan w:val="2"/>
            <w:tcBorders>
              <w:top w:val="nil"/>
              <w:left w:val="single" w:sz="6" w:space="0" w:color="auto"/>
              <w:bottom w:val="nil"/>
              <w:right w:val="single" w:sz="6" w:space="0" w:color="auto"/>
            </w:tcBorders>
          </w:tcPr>
          <w:p w:rsidR="00F25B46" w:rsidRDefault="00F25B46" w:rsidP="00F25B46">
            <w:pPr>
              <w:pStyle w:val="Box"/>
            </w:pPr>
            <w:r>
              <w:t>For this report, new data for this i</w:t>
            </w:r>
            <w:r w:rsidR="002333C4">
              <w:t>ndicator are available for 2013</w:t>
            </w:r>
            <w:r>
              <w:t>.</w:t>
            </w:r>
          </w:p>
          <w:p w:rsidR="00F25B46" w:rsidRDefault="00F25B46" w:rsidP="00F25B46">
            <w:pPr>
              <w:pStyle w:val="BoxListBullet"/>
            </w:pPr>
            <w:r>
              <w:t>National 2013 SEW data are presented in table NEA.4.3</w:t>
            </w:r>
            <w:r w:rsidR="008842BD">
              <w:t>.</w:t>
            </w:r>
          </w:p>
          <w:p w:rsidR="00F25B46" w:rsidRDefault="00F25B46" w:rsidP="00F25B46">
            <w:pPr>
              <w:pStyle w:val="Box"/>
            </w:pPr>
            <w:r>
              <w:t>For SEW data, apparent differences in results between years may not be statistically significant. To assist in interpretation, 95 per cent confidence intervals and relative standard errors are provided in the attachment tables for this indicator.</w:t>
            </w:r>
          </w:p>
          <w:p w:rsidR="00BC3CA5" w:rsidRDefault="00F25B46" w:rsidP="00BC3CA5">
            <w:pPr>
              <w:pStyle w:val="Box"/>
            </w:pPr>
            <w:r>
              <w:t xml:space="preserve">For historical SEW data, </w:t>
            </w:r>
            <w:r w:rsidR="006B29A1">
              <w:t xml:space="preserve">2012 results are available in the 2012 NEA performance report, </w:t>
            </w:r>
            <w:r>
              <w:t xml:space="preserve">2011 </w:t>
            </w:r>
            <w:r w:rsidR="00BC3CA5">
              <w:t xml:space="preserve">results </w:t>
            </w:r>
            <w:r>
              <w:t xml:space="preserve">are available in the 2011 NEA performance report, 2010 results are available in the 2010 NEA performance report, and 2009 and 2008 results are available in the 2009 NEA performance report. </w:t>
            </w:r>
          </w:p>
          <w:p w:rsidR="00162BCC" w:rsidRDefault="00BC3CA5" w:rsidP="00BC3CA5">
            <w:pPr>
              <w:pStyle w:val="Box"/>
            </w:pPr>
            <w:r>
              <w:t>For h</w:t>
            </w:r>
            <w:r w:rsidR="00F25B46">
              <w:t>istorical Census data</w:t>
            </w:r>
            <w:r>
              <w:t>, results</w:t>
            </w:r>
            <w:r w:rsidR="00F25B46">
              <w:t xml:space="preserve"> </w:t>
            </w:r>
            <w:r w:rsidR="00E141AA">
              <w:t xml:space="preserve">for 2011 </w:t>
            </w:r>
            <w:r>
              <w:t>are available</w:t>
            </w:r>
            <w:r w:rsidR="00F25B46">
              <w:t xml:space="preserve"> in the </w:t>
            </w:r>
            <w:r w:rsidR="00E141AA">
              <w:t xml:space="preserve">2012 NEA performance report and </w:t>
            </w:r>
            <w:r>
              <w:t xml:space="preserve">results for </w:t>
            </w:r>
            <w:r w:rsidR="00E141AA">
              <w:t xml:space="preserve">2006 </w:t>
            </w:r>
            <w:r>
              <w:t xml:space="preserve">are available </w:t>
            </w:r>
            <w:r w:rsidR="00E141AA">
              <w:t xml:space="preserve">in the </w:t>
            </w:r>
            <w:r w:rsidR="00F25B46">
              <w:t>2009 NEA performance report.</w:t>
            </w:r>
          </w:p>
        </w:tc>
      </w:tr>
      <w:tr w:rsidR="00162BCC" w:rsidTr="003808BA">
        <w:tblPrEx>
          <w:tblBorders>
            <w:top w:val="single" w:sz="6" w:space="0" w:color="auto"/>
            <w:left w:val="single" w:sz="6" w:space="0" w:color="auto"/>
            <w:bottom w:val="single" w:sz="6" w:space="0" w:color="auto"/>
            <w:right w:val="single" w:sz="6" w:space="0" w:color="auto"/>
          </w:tblBorders>
          <w:tblCellMar>
            <w:left w:w="142" w:type="dxa"/>
            <w:right w:w="142" w:type="dxa"/>
          </w:tblCellMar>
        </w:tblPrEx>
        <w:trPr>
          <w:gridBefore w:val="1"/>
          <w:wBefore w:w="13" w:type="pct"/>
          <w:cantSplit/>
        </w:trPr>
        <w:tc>
          <w:tcPr>
            <w:tcW w:w="4987" w:type="pct"/>
            <w:gridSpan w:val="2"/>
            <w:tcBorders>
              <w:top w:val="nil"/>
              <w:left w:val="single" w:sz="6" w:space="0" w:color="auto"/>
              <w:bottom w:val="single" w:sz="6" w:space="0" w:color="auto"/>
              <w:right w:val="single" w:sz="6" w:space="0" w:color="auto"/>
            </w:tcBorders>
          </w:tcPr>
          <w:p w:rsidR="00162BCC" w:rsidRDefault="00162BCC" w:rsidP="00EF255E">
            <w:pPr>
              <w:pStyle w:val="Box"/>
              <w:spacing w:before="0" w:line="120" w:lineRule="exact"/>
            </w:pPr>
          </w:p>
        </w:tc>
      </w:tr>
      <w:tr w:rsidR="00162BCC" w:rsidRPr="000863A5" w:rsidTr="003808BA">
        <w:tblPrEx>
          <w:tblBorders>
            <w:top w:val="single" w:sz="6" w:space="0" w:color="auto"/>
            <w:left w:val="single" w:sz="6" w:space="0" w:color="auto"/>
            <w:bottom w:val="single" w:sz="6" w:space="0" w:color="auto"/>
            <w:right w:val="single" w:sz="6" w:space="0" w:color="auto"/>
          </w:tblBorders>
          <w:tblCellMar>
            <w:left w:w="142" w:type="dxa"/>
            <w:right w:w="142" w:type="dxa"/>
          </w:tblCellMar>
        </w:tblPrEx>
        <w:trPr>
          <w:gridBefore w:val="1"/>
          <w:wBefore w:w="13" w:type="pct"/>
        </w:trPr>
        <w:tc>
          <w:tcPr>
            <w:tcW w:w="4987" w:type="pct"/>
            <w:gridSpan w:val="2"/>
            <w:tcBorders>
              <w:top w:val="nil"/>
              <w:left w:val="nil"/>
              <w:bottom w:val="nil"/>
              <w:right w:val="nil"/>
            </w:tcBorders>
          </w:tcPr>
          <w:p w:rsidR="00162BCC" w:rsidRPr="00626D32" w:rsidRDefault="00162BCC" w:rsidP="00EF255E">
            <w:pPr>
              <w:pStyle w:val="BoxSpaceBelow"/>
            </w:pPr>
          </w:p>
        </w:tc>
      </w:tr>
    </w:tbl>
    <w:p w:rsidR="00162BCC" w:rsidRDefault="00162BCC" w:rsidP="00162BCC">
      <w:pPr>
        <w:pStyle w:val="Heading4"/>
      </w:pPr>
      <w:r>
        <w:t>Attachment tables</w:t>
      </w:r>
    </w:p>
    <w:tbl>
      <w:tblPr>
        <w:tblW w:w="880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0"/>
        <w:gridCol w:w="6844"/>
      </w:tblGrid>
      <w:tr w:rsidR="00162BCC" w:rsidRPr="008E7459" w:rsidTr="00EF255E">
        <w:trPr>
          <w:trHeight w:val="612"/>
        </w:trPr>
        <w:tc>
          <w:tcPr>
            <w:tcW w:w="1960" w:type="dxa"/>
            <w:shd w:val="clear" w:color="auto" w:fill="auto"/>
            <w:noWrap/>
            <w:hideMark/>
          </w:tcPr>
          <w:p w:rsidR="00162BCC" w:rsidRPr="00F25B46" w:rsidRDefault="00F25B46" w:rsidP="00F25B46">
            <w:pPr>
              <w:pStyle w:val="TableBodyText"/>
              <w:jc w:val="left"/>
              <w:rPr>
                <w:b/>
              </w:rPr>
            </w:pPr>
            <w:r w:rsidRPr="00F25B46">
              <w:rPr>
                <w:b/>
              </w:rPr>
              <w:t>Table NEA.4.</w:t>
            </w:r>
            <w:r w:rsidR="006457EE">
              <w:rPr>
                <w:b/>
              </w:rPr>
              <w:t>3</w:t>
            </w:r>
          </w:p>
        </w:tc>
        <w:tc>
          <w:tcPr>
            <w:tcW w:w="6844" w:type="dxa"/>
            <w:shd w:val="clear" w:color="auto" w:fill="auto"/>
          </w:tcPr>
          <w:p w:rsidR="00162BCC" w:rsidRPr="008E7459" w:rsidRDefault="00F25B46" w:rsidP="00F25B46">
            <w:pPr>
              <w:pStyle w:val="TableBodyText"/>
              <w:jc w:val="left"/>
            </w:pPr>
            <w:r w:rsidRPr="00F25B46">
              <w:t>Proportion, relative standard error, and confidence intervals of young people aged 20–24 years who have completed year 12 (or equivalent) or gained a qualification at AQF Certificate III level or above, by SEIFA IRSD quintiles, 2013</w:t>
            </w:r>
          </w:p>
        </w:tc>
      </w:tr>
    </w:tbl>
    <w:p w:rsidR="00162BCC" w:rsidRDefault="00162BCC" w:rsidP="00162BCC"/>
    <w:p w:rsidR="00162BCC" w:rsidRDefault="00162BCC" w:rsidP="00162BCC">
      <w:pPr>
        <w:pStyle w:val="BoxSpaceAbove"/>
      </w:pPr>
    </w:p>
    <w:tbl>
      <w:tblPr>
        <w:tblW w:w="0" w:type="auto"/>
        <w:tblInd w:w="164" w:type="dxa"/>
        <w:tblBorders>
          <w:top w:val="single" w:sz="6" w:space="0" w:color="auto"/>
          <w:left w:val="single" w:sz="6" w:space="0" w:color="auto"/>
          <w:bottom w:val="single" w:sz="6" w:space="0" w:color="auto"/>
          <w:right w:val="single" w:sz="6" w:space="0" w:color="auto"/>
        </w:tblBorders>
        <w:tblLayout w:type="fixed"/>
        <w:tblCellMar>
          <w:left w:w="142" w:type="dxa"/>
          <w:right w:w="142" w:type="dxa"/>
        </w:tblCellMar>
        <w:tblLook w:val="0000" w:firstRow="0" w:lastRow="0" w:firstColumn="0" w:lastColumn="0" w:noHBand="0" w:noVBand="0"/>
      </w:tblPr>
      <w:tblGrid>
        <w:gridCol w:w="8771"/>
      </w:tblGrid>
      <w:tr w:rsidR="00162BCC" w:rsidTr="00EF255E">
        <w:tc>
          <w:tcPr>
            <w:tcW w:w="8771" w:type="dxa"/>
            <w:tcBorders>
              <w:top w:val="single" w:sz="6" w:space="0" w:color="auto"/>
              <w:bottom w:val="nil"/>
            </w:tcBorders>
          </w:tcPr>
          <w:p w:rsidR="00162BCC" w:rsidRDefault="00162BCC" w:rsidP="00EF255E">
            <w:pPr>
              <w:pStyle w:val="BoxTitle"/>
            </w:pPr>
            <w:r>
              <w:rPr>
                <w:b w:val="0"/>
              </w:rPr>
              <w:t xml:space="preserve">Box </w:t>
            </w:r>
            <w:r>
              <w:rPr>
                <w:b w:val="0"/>
              </w:rPr>
              <w:fldChar w:fldCharType="begin"/>
            </w:r>
            <w:r>
              <w:rPr>
                <w:b w:val="0"/>
              </w:rPr>
              <w:instrText xml:space="preserve"> SEQ Box \* ARABIC </w:instrText>
            </w:r>
            <w:r>
              <w:rPr>
                <w:b w:val="0"/>
              </w:rPr>
              <w:fldChar w:fldCharType="separate"/>
            </w:r>
            <w:r w:rsidR="005F5618">
              <w:rPr>
                <w:b w:val="0"/>
                <w:noProof/>
              </w:rPr>
              <w:t>5</w:t>
            </w:r>
            <w:r>
              <w:rPr>
                <w:b w:val="0"/>
              </w:rPr>
              <w:fldChar w:fldCharType="end"/>
            </w:r>
            <w:r>
              <w:tab/>
              <w:t>Comment on data quality</w:t>
            </w:r>
          </w:p>
        </w:tc>
      </w:tr>
      <w:tr w:rsidR="00162BCC" w:rsidTr="00EF255E">
        <w:trPr>
          <w:cantSplit/>
        </w:trPr>
        <w:tc>
          <w:tcPr>
            <w:tcW w:w="8771" w:type="dxa"/>
            <w:tcBorders>
              <w:top w:val="nil"/>
              <w:left w:val="single" w:sz="6" w:space="0" w:color="auto"/>
              <w:bottom w:val="nil"/>
              <w:right w:val="single" w:sz="6" w:space="0" w:color="auto"/>
            </w:tcBorders>
          </w:tcPr>
          <w:p w:rsidR="00162BCC" w:rsidRDefault="001052F1" w:rsidP="001052F1">
            <w:pPr>
              <w:pStyle w:val="Box"/>
            </w:pPr>
            <w:r>
              <w:t>The Steering Committee notes that this performance target relates to performance indicator 4 (year 12 or equivalent or AQF Certificate Level II/III or above).</w:t>
            </w:r>
            <w:r w:rsidR="001714E9">
              <w:t xml:space="preserve"> </w:t>
            </w:r>
            <w:r w:rsidR="00BC3CA5" w:rsidRPr="00BC3CA5">
              <w:t>The target is at the national level and the SEW is the main data source. Following the COAG review of the NEA performance framework, the Census (which allows disaggregation by State and Territory) is the main data source for the related performance indicator. (The SEW is a supplementary data source for the performance indicator.)</w:t>
            </w:r>
            <w:r w:rsidR="006F3AC6">
              <w:t xml:space="preserve"> </w:t>
            </w:r>
            <w:r>
              <w:t>Details are included in the comment on data quality for NEA Indicator 4.</w:t>
            </w:r>
          </w:p>
        </w:tc>
      </w:tr>
      <w:tr w:rsidR="00162BCC" w:rsidTr="00EF255E">
        <w:trPr>
          <w:cantSplit/>
        </w:trPr>
        <w:tc>
          <w:tcPr>
            <w:tcW w:w="8771" w:type="dxa"/>
            <w:tcBorders>
              <w:top w:val="nil"/>
              <w:left w:val="single" w:sz="6" w:space="0" w:color="auto"/>
              <w:bottom w:val="single" w:sz="6" w:space="0" w:color="auto"/>
              <w:right w:val="single" w:sz="6" w:space="0" w:color="auto"/>
            </w:tcBorders>
          </w:tcPr>
          <w:p w:rsidR="00162BCC" w:rsidRDefault="00162BCC" w:rsidP="00EF255E">
            <w:pPr>
              <w:pStyle w:val="Box"/>
              <w:spacing w:before="0" w:line="120" w:lineRule="exact"/>
            </w:pPr>
          </w:p>
        </w:tc>
      </w:tr>
      <w:tr w:rsidR="00162BCC" w:rsidRPr="000863A5" w:rsidTr="00EF255E">
        <w:tc>
          <w:tcPr>
            <w:tcW w:w="8771" w:type="dxa"/>
            <w:tcBorders>
              <w:top w:val="nil"/>
              <w:left w:val="nil"/>
              <w:bottom w:val="nil"/>
              <w:right w:val="nil"/>
            </w:tcBorders>
          </w:tcPr>
          <w:p w:rsidR="00162BCC" w:rsidRPr="00626D32" w:rsidRDefault="00162BCC" w:rsidP="00EF255E">
            <w:pPr>
              <w:pStyle w:val="BoxSpaceBelow"/>
            </w:pPr>
          </w:p>
        </w:tc>
      </w:tr>
    </w:tbl>
    <w:p w:rsidR="00162BCC" w:rsidRPr="003575E1" w:rsidRDefault="00162BCC" w:rsidP="00162BCC"/>
    <w:p w:rsidR="00117C12" w:rsidRPr="003575E1" w:rsidRDefault="00117C12">
      <w:r w:rsidRPr="003575E1">
        <w:br w:type="page"/>
      </w:r>
    </w:p>
    <w:p w:rsidR="006E3DEE" w:rsidRDefault="006E3DEE" w:rsidP="006E3DEE">
      <w:pPr>
        <w:pStyle w:val="Heading3"/>
      </w:pPr>
      <w:r w:rsidRPr="00136727">
        <w:t xml:space="preserve">Performance </w:t>
      </w:r>
      <w:r>
        <w:t>target (c</w:t>
      </w:r>
      <w:r w:rsidRPr="00136727">
        <w:t xml:space="preserve">): </w:t>
      </w:r>
      <w:r w:rsidRPr="00CA0ADA">
        <w:t>Halve the gap for Indigenous students in reading, writing and numeracy by 2018</w:t>
      </w:r>
    </w:p>
    <w:p w:rsidR="006E3DEE" w:rsidRPr="003A784E" w:rsidRDefault="006E3DEE" w:rsidP="006E3DEE">
      <w:pPr>
        <w:pStyle w:val="Subtitle"/>
      </w:pPr>
    </w:p>
    <w:tbl>
      <w:tblPr>
        <w:tblW w:w="5000" w:type="pct"/>
        <w:tblCellMar>
          <w:left w:w="0" w:type="dxa"/>
          <w:right w:w="0" w:type="dxa"/>
        </w:tblCellMar>
        <w:tblLook w:val="0000" w:firstRow="0" w:lastRow="0" w:firstColumn="0" w:lastColumn="0" w:noHBand="0" w:noVBand="0"/>
      </w:tblPr>
      <w:tblGrid>
        <w:gridCol w:w="1985"/>
        <w:gridCol w:w="6804"/>
      </w:tblGrid>
      <w:tr w:rsidR="004260BB" w:rsidTr="008539DA">
        <w:trPr>
          <w:trHeight w:val="823"/>
        </w:trPr>
        <w:tc>
          <w:tcPr>
            <w:tcW w:w="1129" w:type="pct"/>
            <w:shd w:val="clear" w:color="auto" w:fill="auto"/>
          </w:tcPr>
          <w:p w:rsidR="004260BB" w:rsidRPr="008E7459" w:rsidRDefault="004260BB" w:rsidP="00595E6A">
            <w:pPr>
              <w:pStyle w:val="TableBodyText"/>
              <w:ind w:left="34"/>
              <w:jc w:val="left"/>
            </w:pPr>
            <w:r w:rsidRPr="008E7459">
              <w:t>Key amendments from previous cycle of reporting:</w:t>
            </w:r>
          </w:p>
          <w:p w:rsidR="004260BB" w:rsidRPr="008E7459" w:rsidRDefault="004260BB" w:rsidP="00595E6A">
            <w:pPr>
              <w:pStyle w:val="TableBodyText"/>
              <w:ind w:left="34"/>
              <w:jc w:val="left"/>
            </w:pPr>
          </w:p>
        </w:tc>
        <w:tc>
          <w:tcPr>
            <w:tcW w:w="3871" w:type="pct"/>
            <w:shd w:val="clear" w:color="auto" w:fill="auto"/>
          </w:tcPr>
          <w:p w:rsidR="004260BB" w:rsidRPr="008E7459" w:rsidRDefault="004260BB" w:rsidP="00595E6A">
            <w:pPr>
              <w:pStyle w:val="TableBodyText"/>
              <w:ind w:left="34"/>
              <w:jc w:val="left"/>
            </w:pPr>
            <w:r w:rsidRPr="00FC264B">
              <w:t xml:space="preserve">This </w:t>
            </w:r>
            <w:r>
              <w:t>target</w:t>
            </w:r>
            <w:r w:rsidRPr="00FC264B">
              <w:t xml:space="preserve"> i</w:t>
            </w:r>
            <w:r>
              <w:t>s unchanged from the previous NEA performance report</w:t>
            </w:r>
          </w:p>
        </w:tc>
      </w:tr>
      <w:tr w:rsidR="004260BB" w:rsidTr="008539DA">
        <w:tc>
          <w:tcPr>
            <w:tcW w:w="1129" w:type="pct"/>
          </w:tcPr>
          <w:p w:rsidR="004260BB" w:rsidRPr="008E7459" w:rsidRDefault="004260BB" w:rsidP="00595E6A">
            <w:pPr>
              <w:pStyle w:val="TableBodyText"/>
              <w:ind w:left="34"/>
              <w:jc w:val="left"/>
            </w:pPr>
            <w:r w:rsidRPr="008E7459">
              <w:t>Outcome:</w:t>
            </w:r>
          </w:p>
        </w:tc>
        <w:tc>
          <w:tcPr>
            <w:tcW w:w="3871" w:type="pct"/>
          </w:tcPr>
          <w:p w:rsidR="004260BB" w:rsidRDefault="004260BB" w:rsidP="00595E6A">
            <w:pPr>
              <w:pStyle w:val="TableBodyText"/>
              <w:spacing w:after="0"/>
              <w:ind w:left="34"/>
              <w:jc w:val="left"/>
            </w:pPr>
            <w:r w:rsidRPr="008E7459">
              <w:t>Schooling promotes the social inclusion and reduces the educational disadvantage of children, especially Indigenous children</w:t>
            </w:r>
          </w:p>
          <w:p w:rsidR="004260BB" w:rsidRPr="008E7459" w:rsidRDefault="004260BB" w:rsidP="00595E6A">
            <w:pPr>
              <w:pStyle w:val="TableBodyText"/>
              <w:spacing w:after="0"/>
              <w:ind w:left="34"/>
              <w:jc w:val="left"/>
            </w:pPr>
          </w:p>
        </w:tc>
      </w:tr>
      <w:tr w:rsidR="004260BB" w:rsidTr="00595E6A">
        <w:tc>
          <w:tcPr>
            <w:tcW w:w="1129" w:type="pct"/>
          </w:tcPr>
          <w:p w:rsidR="004260BB" w:rsidRPr="008E7459" w:rsidRDefault="004260BB" w:rsidP="00595E6A">
            <w:pPr>
              <w:pStyle w:val="TableBodyText"/>
              <w:ind w:left="34"/>
              <w:jc w:val="left"/>
            </w:pPr>
            <w:r w:rsidRPr="008E7459">
              <w:t xml:space="preserve">Measure: </w:t>
            </w:r>
          </w:p>
        </w:tc>
        <w:tc>
          <w:tcPr>
            <w:tcW w:w="3871" w:type="pct"/>
            <w:vAlign w:val="center"/>
          </w:tcPr>
          <w:p w:rsidR="004260BB" w:rsidRPr="008E7459" w:rsidRDefault="004260BB" w:rsidP="00595E6A">
            <w:pPr>
              <w:pStyle w:val="TableBodyText"/>
              <w:jc w:val="left"/>
            </w:pPr>
            <w:r w:rsidRPr="008E7459">
              <w:t>The measure is defined as:</w:t>
            </w:r>
          </w:p>
          <w:p w:rsidR="004260BB" w:rsidRPr="008E7459" w:rsidRDefault="004260BB" w:rsidP="00595E6A">
            <w:pPr>
              <w:pStyle w:val="TableBullet"/>
            </w:pPr>
            <w:r w:rsidRPr="008E7459">
              <w:t>proportion of students at or above the national minimum standard in reading, writing and numeracy for years 3, 5, 7 and 9, by Indigenous status</w:t>
            </w:r>
          </w:p>
          <w:p w:rsidR="004260BB" w:rsidRPr="008E7459" w:rsidRDefault="004260BB" w:rsidP="00595E6A">
            <w:pPr>
              <w:pStyle w:val="TableBodyText"/>
              <w:ind w:left="34"/>
              <w:jc w:val="left"/>
            </w:pPr>
          </w:p>
          <w:p w:rsidR="004260BB" w:rsidRPr="008E7459" w:rsidRDefault="004260BB" w:rsidP="00595E6A">
            <w:pPr>
              <w:pStyle w:val="TableBodyText"/>
              <w:jc w:val="left"/>
            </w:pPr>
            <w:r w:rsidRPr="008E7459">
              <w:t>Note: NAPLAN reports the percentage of students who achieved at or above the national minimum standard. The complex process by which student scores are arrived at and distributed across the national achievement bands (using the Rasch model, a recognised analysis model for educational measurement) are agreed by states, territories and the Commonwealth and endorsed by the then NAPLAN Expert Advisory Group. Due to the complexities of the methodology, it is not possible (with the data currently provided) to give a simple computation of the precise number of students at or above the national minimum standard, which is best reported in the bands designed for that purpose</w:t>
            </w:r>
          </w:p>
          <w:p w:rsidR="004260BB" w:rsidRPr="008E7459" w:rsidRDefault="004260BB" w:rsidP="00595E6A">
            <w:pPr>
              <w:pStyle w:val="TableBodyText"/>
              <w:jc w:val="left"/>
            </w:pPr>
          </w:p>
        </w:tc>
      </w:tr>
      <w:tr w:rsidR="004260BB" w:rsidTr="008539DA">
        <w:tc>
          <w:tcPr>
            <w:tcW w:w="1129" w:type="pct"/>
          </w:tcPr>
          <w:p w:rsidR="004260BB" w:rsidRPr="008E7459" w:rsidRDefault="004260BB" w:rsidP="00595E6A">
            <w:pPr>
              <w:pStyle w:val="TableBodyText"/>
              <w:ind w:left="34"/>
              <w:jc w:val="left"/>
            </w:pPr>
            <w:r w:rsidRPr="008E7459">
              <w:t>Related performance indicator/s:</w:t>
            </w:r>
          </w:p>
        </w:tc>
        <w:tc>
          <w:tcPr>
            <w:tcW w:w="3871" w:type="pct"/>
          </w:tcPr>
          <w:p w:rsidR="004260BB" w:rsidRDefault="004260BB" w:rsidP="00595E6A">
            <w:pPr>
              <w:pStyle w:val="TableBodyText"/>
              <w:ind w:left="34"/>
              <w:jc w:val="left"/>
            </w:pPr>
            <w:r w:rsidRPr="008E7459">
              <w:t>NEA PI 2: Literacy and numeracy achievement of Year 3, 5, 7 and 9 students in national testing.</w:t>
            </w:r>
          </w:p>
          <w:p w:rsidR="004260BB" w:rsidRPr="008E7459" w:rsidRDefault="004260BB" w:rsidP="00595E6A">
            <w:pPr>
              <w:pStyle w:val="TableBodyText"/>
              <w:ind w:left="34"/>
              <w:jc w:val="left"/>
            </w:pPr>
          </w:p>
        </w:tc>
      </w:tr>
      <w:tr w:rsidR="004260BB" w:rsidTr="008539DA">
        <w:tc>
          <w:tcPr>
            <w:tcW w:w="1129" w:type="pct"/>
          </w:tcPr>
          <w:p w:rsidR="004260BB" w:rsidRPr="008E7459" w:rsidRDefault="004260BB" w:rsidP="00595E6A">
            <w:pPr>
              <w:pStyle w:val="TableBodyText"/>
              <w:ind w:left="34"/>
              <w:jc w:val="left"/>
            </w:pPr>
            <w:r w:rsidRPr="008E7459">
              <w:t>Data source:</w:t>
            </w:r>
          </w:p>
        </w:tc>
        <w:tc>
          <w:tcPr>
            <w:tcW w:w="3871" w:type="pct"/>
          </w:tcPr>
          <w:p w:rsidR="004260BB" w:rsidRPr="008E7459" w:rsidRDefault="004260BB" w:rsidP="00595E6A">
            <w:pPr>
              <w:pStyle w:val="TableBodyText"/>
              <w:jc w:val="left"/>
            </w:pPr>
            <w:r w:rsidRPr="008E7459">
              <w:rPr>
                <w:u w:val="single"/>
              </w:rPr>
              <w:t>National Assessment Program — Literacy and Numeracy</w:t>
            </w:r>
            <w:r w:rsidRPr="008E7459">
              <w:t xml:space="preserve"> (NAPLAN).</w:t>
            </w:r>
          </w:p>
          <w:p w:rsidR="004260BB" w:rsidRPr="008E7459" w:rsidRDefault="004260BB" w:rsidP="00595E6A">
            <w:pPr>
              <w:pStyle w:val="TableBodyText"/>
              <w:jc w:val="left"/>
            </w:pPr>
            <w:r w:rsidRPr="008E7459">
              <w:t>Data are available annually</w:t>
            </w:r>
          </w:p>
          <w:p w:rsidR="004260BB" w:rsidRPr="008E7459" w:rsidRDefault="004260BB" w:rsidP="00595E6A">
            <w:pPr>
              <w:pStyle w:val="TableBodyText"/>
              <w:jc w:val="left"/>
            </w:pPr>
          </w:p>
        </w:tc>
      </w:tr>
      <w:tr w:rsidR="004260BB" w:rsidTr="008539DA">
        <w:tc>
          <w:tcPr>
            <w:tcW w:w="1129" w:type="pct"/>
          </w:tcPr>
          <w:p w:rsidR="004260BB" w:rsidRPr="008E7459" w:rsidRDefault="004260BB" w:rsidP="00595E6A">
            <w:pPr>
              <w:pStyle w:val="TableBodyText"/>
              <w:ind w:left="34"/>
              <w:jc w:val="left"/>
            </w:pPr>
            <w:r w:rsidRPr="008E7459">
              <w:t>Data provider:</w:t>
            </w:r>
          </w:p>
        </w:tc>
        <w:tc>
          <w:tcPr>
            <w:tcW w:w="3871" w:type="pct"/>
          </w:tcPr>
          <w:p w:rsidR="004260BB" w:rsidRDefault="004260BB" w:rsidP="00595E6A">
            <w:pPr>
              <w:pStyle w:val="TableBodyText"/>
              <w:ind w:left="34"/>
              <w:jc w:val="left"/>
            </w:pPr>
            <w:r w:rsidRPr="008E7459">
              <w:t>ACARA</w:t>
            </w:r>
          </w:p>
          <w:p w:rsidR="004260BB" w:rsidRPr="008E7459" w:rsidRDefault="004260BB" w:rsidP="00595E6A">
            <w:pPr>
              <w:pStyle w:val="TableBodyText"/>
              <w:ind w:left="34"/>
              <w:jc w:val="left"/>
            </w:pPr>
          </w:p>
        </w:tc>
      </w:tr>
      <w:tr w:rsidR="004260BB" w:rsidTr="008539DA">
        <w:tc>
          <w:tcPr>
            <w:tcW w:w="1129" w:type="pct"/>
          </w:tcPr>
          <w:p w:rsidR="004260BB" w:rsidRPr="008E7459" w:rsidRDefault="004260BB" w:rsidP="00595E6A">
            <w:pPr>
              <w:pStyle w:val="TableBodyText"/>
              <w:ind w:left="34"/>
              <w:jc w:val="left"/>
            </w:pPr>
            <w:r w:rsidRPr="008E7459">
              <w:t>Data availability:</w:t>
            </w:r>
          </w:p>
        </w:tc>
        <w:tc>
          <w:tcPr>
            <w:tcW w:w="3871" w:type="pct"/>
          </w:tcPr>
          <w:p w:rsidR="004260BB" w:rsidRDefault="004260BB" w:rsidP="00595E6A">
            <w:pPr>
              <w:pStyle w:val="TableBodyText"/>
              <w:jc w:val="left"/>
            </w:pPr>
            <w:r w:rsidRPr="008E7459">
              <w:t>201</w:t>
            </w:r>
            <w:r>
              <w:t>3</w:t>
            </w:r>
          </w:p>
          <w:p w:rsidR="004260BB" w:rsidRPr="008E7459" w:rsidRDefault="004260BB" w:rsidP="00595E6A">
            <w:pPr>
              <w:pStyle w:val="TableBodyText"/>
              <w:jc w:val="left"/>
            </w:pPr>
          </w:p>
        </w:tc>
      </w:tr>
      <w:tr w:rsidR="004260BB" w:rsidTr="008539DA">
        <w:tc>
          <w:tcPr>
            <w:tcW w:w="1129" w:type="pct"/>
          </w:tcPr>
          <w:p w:rsidR="004260BB" w:rsidRPr="008E7459" w:rsidRDefault="004260BB" w:rsidP="00595E6A">
            <w:pPr>
              <w:pStyle w:val="TableBodyText"/>
              <w:ind w:left="34"/>
              <w:jc w:val="left"/>
            </w:pPr>
            <w:r w:rsidRPr="008E7459">
              <w:t>Baseline:</w:t>
            </w:r>
          </w:p>
        </w:tc>
        <w:tc>
          <w:tcPr>
            <w:tcW w:w="3871" w:type="pct"/>
          </w:tcPr>
          <w:p w:rsidR="004260BB" w:rsidRDefault="004260BB" w:rsidP="00595E6A">
            <w:pPr>
              <w:pStyle w:val="TableBodyText"/>
              <w:ind w:left="34"/>
              <w:jc w:val="left"/>
            </w:pPr>
            <w:r w:rsidRPr="008E7459">
              <w:t>2008</w:t>
            </w:r>
          </w:p>
          <w:p w:rsidR="004260BB" w:rsidRPr="008E7459" w:rsidRDefault="004260BB" w:rsidP="00595E6A">
            <w:pPr>
              <w:pStyle w:val="TableBodyText"/>
              <w:ind w:left="34"/>
              <w:jc w:val="left"/>
            </w:pPr>
          </w:p>
        </w:tc>
      </w:tr>
      <w:tr w:rsidR="004260BB" w:rsidTr="008539DA">
        <w:tc>
          <w:tcPr>
            <w:tcW w:w="1129" w:type="pct"/>
          </w:tcPr>
          <w:p w:rsidR="004260BB" w:rsidRPr="008E7459" w:rsidRDefault="004260BB" w:rsidP="00595E6A">
            <w:pPr>
              <w:pStyle w:val="TableBodyText"/>
              <w:ind w:left="34"/>
              <w:jc w:val="left"/>
            </w:pPr>
            <w:r w:rsidRPr="008E7459">
              <w:t>Cross tabulations provided:</w:t>
            </w:r>
          </w:p>
        </w:tc>
        <w:tc>
          <w:tcPr>
            <w:tcW w:w="3871" w:type="pct"/>
          </w:tcPr>
          <w:p w:rsidR="004260BB" w:rsidRPr="008E7459" w:rsidRDefault="004260BB" w:rsidP="00595E6A">
            <w:pPr>
              <w:pStyle w:val="TableBodyText"/>
              <w:jc w:val="left"/>
            </w:pPr>
            <w:r w:rsidRPr="008E7459">
              <w:t>For each year level (3, 5, 7 and 9 — reported individually) by learning domain (reading, writing and numeracy — reported individually), State and Territory by:</w:t>
            </w:r>
          </w:p>
          <w:p w:rsidR="004260BB" w:rsidRDefault="004260BB" w:rsidP="004260BB">
            <w:pPr>
              <w:pStyle w:val="TableBullet"/>
            </w:pPr>
            <w:r w:rsidRPr="008E7459">
              <w:t>Indigenous status</w:t>
            </w:r>
          </w:p>
          <w:p w:rsidR="004260BB" w:rsidRPr="008E7459" w:rsidRDefault="004260BB" w:rsidP="00595E6A">
            <w:pPr>
              <w:pStyle w:val="TableBodyText"/>
              <w:jc w:val="left"/>
            </w:pPr>
          </w:p>
        </w:tc>
      </w:tr>
    </w:tbl>
    <w:p w:rsidR="006E3DEE" w:rsidRDefault="006E3DEE" w:rsidP="006E3DEE"/>
    <w:tbl>
      <w:tblPr>
        <w:tblW w:w="0" w:type="auto"/>
        <w:tblInd w:w="164" w:type="dxa"/>
        <w:tblBorders>
          <w:top w:val="single" w:sz="6" w:space="0" w:color="auto"/>
          <w:left w:val="single" w:sz="6" w:space="0" w:color="auto"/>
          <w:bottom w:val="single" w:sz="6" w:space="0" w:color="auto"/>
          <w:right w:val="single" w:sz="6" w:space="0" w:color="auto"/>
        </w:tblBorders>
        <w:tblLayout w:type="fixed"/>
        <w:tblCellMar>
          <w:left w:w="142" w:type="dxa"/>
          <w:right w:w="142" w:type="dxa"/>
        </w:tblCellMar>
        <w:tblLook w:val="0000" w:firstRow="0" w:lastRow="0" w:firstColumn="0" w:lastColumn="0" w:noHBand="0" w:noVBand="0"/>
      </w:tblPr>
      <w:tblGrid>
        <w:gridCol w:w="8771"/>
      </w:tblGrid>
      <w:tr w:rsidR="00162BCC" w:rsidTr="00EF255E">
        <w:tc>
          <w:tcPr>
            <w:tcW w:w="8771" w:type="dxa"/>
            <w:tcBorders>
              <w:top w:val="single" w:sz="6" w:space="0" w:color="auto"/>
              <w:bottom w:val="nil"/>
            </w:tcBorders>
          </w:tcPr>
          <w:p w:rsidR="00162BCC" w:rsidRDefault="00162BCC" w:rsidP="00EF255E">
            <w:pPr>
              <w:pStyle w:val="BoxTitle"/>
            </w:pPr>
            <w:r>
              <w:rPr>
                <w:b w:val="0"/>
              </w:rPr>
              <w:t xml:space="preserve">Box </w:t>
            </w:r>
            <w:r>
              <w:rPr>
                <w:b w:val="0"/>
              </w:rPr>
              <w:fldChar w:fldCharType="begin"/>
            </w:r>
            <w:r>
              <w:rPr>
                <w:b w:val="0"/>
              </w:rPr>
              <w:instrText xml:space="preserve"> SEQ Box \* ARABIC </w:instrText>
            </w:r>
            <w:r>
              <w:rPr>
                <w:b w:val="0"/>
              </w:rPr>
              <w:fldChar w:fldCharType="separate"/>
            </w:r>
            <w:r w:rsidR="005F5618">
              <w:rPr>
                <w:b w:val="0"/>
                <w:noProof/>
              </w:rPr>
              <w:t>6</w:t>
            </w:r>
            <w:r>
              <w:rPr>
                <w:b w:val="0"/>
              </w:rPr>
              <w:fldChar w:fldCharType="end"/>
            </w:r>
            <w:r>
              <w:tab/>
              <w:t>Results</w:t>
            </w:r>
          </w:p>
        </w:tc>
      </w:tr>
      <w:tr w:rsidR="00162BCC" w:rsidTr="00EF255E">
        <w:trPr>
          <w:cantSplit/>
        </w:trPr>
        <w:tc>
          <w:tcPr>
            <w:tcW w:w="8771" w:type="dxa"/>
            <w:tcBorders>
              <w:top w:val="nil"/>
              <w:left w:val="single" w:sz="6" w:space="0" w:color="auto"/>
              <w:bottom w:val="nil"/>
              <w:right w:val="single" w:sz="6" w:space="0" w:color="auto"/>
            </w:tcBorders>
          </w:tcPr>
          <w:p w:rsidR="002333C4" w:rsidRDefault="002333C4" w:rsidP="005B108C">
            <w:pPr>
              <w:pStyle w:val="Box"/>
            </w:pPr>
            <w:r>
              <w:t xml:space="preserve">For this report, new data for this indicator are available for 2013. </w:t>
            </w:r>
          </w:p>
          <w:p w:rsidR="002333C4" w:rsidRDefault="002333C4" w:rsidP="005B108C">
            <w:pPr>
              <w:pStyle w:val="BoxListBullet"/>
            </w:pPr>
            <w:r>
              <w:t>Data for students who achieved at or above the national minimum standard are presented by State and Territory by Indigeno</w:t>
            </w:r>
            <w:r w:rsidR="00730A31">
              <w:t>us status in tables NEA.2.1–12.</w:t>
            </w:r>
          </w:p>
          <w:p w:rsidR="002333C4" w:rsidRDefault="002333C4" w:rsidP="005B108C">
            <w:pPr>
              <w:pStyle w:val="Box"/>
            </w:pPr>
            <w:r>
              <w:t>Data for 2012 are available in the 2012 NEA performance report</w:t>
            </w:r>
            <w:r w:rsidR="00BC3CA5">
              <w:t xml:space="preserve">. Data for </w:t>
            </w:r>
            <w:r>
              <w:t>2011 are available in the 2011 NEA performance report. Data for 2010 are available in the 2010 NEA performance report. Data for 2009 and 2008 are available in the 2009 NEA performance report.</w:t>
            </w:r>
          </w:p>
          <w:p w:rsidR="00162BCC" w:rsidRDefault="002333C4" w:rsidP="005B108C">
            <w:pPr>
              <w:pStyle w:val="Box"/>
            </w:pPr>
            <w:r>
              <w:t>Apparent differences may not be statistically significant and relevant confidence intervals may be requested directly from the data provider. Different confidence intervals are required depending on the type of analysis. Confidence intervals for comparing data within years and across jurisdictions are different from confidence intervals for comparing data across years within and across jurisdictions.</w:t>
            </w:r>
          </w:p>
        </w:tc>
      </w:tr>
      <w:tr w:rsidR="00162BCC" w:rsidTr="00EF255E">
        <w:trPr>
          <w:cantSplit/>
        </w:trPr>
        <w:tc>
          <w:tcPr>
            <w:tcW w:w="8771" w:type="dxa"/>
            <w:tcBorders>
              <w:top w:val="nil"/>
              <w:left w:val="single" w:sz="6" w:space="0" w:color="auto"/>
              <w:bottom w:val="single" w:sz="6" w:space="0" w:color="auto"/>
              <w:right w:val="single" w:sz="6" w:space="0" w:color="auto"/>
            </w:tcBorders>
          </w:tcPr>
          <w:p w:rsidR="00162BCC" w:rsidRDefault="00162BCC" w:rsidP="005B108C">
            <w:pPr>
              <w:pStyle w:val="Box"/>
              <w:spacing w:before="0" w:line="120" w:lineRule="exact"/>
            </w:pPr>
          </w:p>
        </w:tc>
      </w:tr>
      <w:tr w:rsidR="00162BCC" w:rsidRPr="000863A5" w:rsidTr="00EF255E">
        <w:tc>
          <w:tcPr>
            <w:tcW w:w="8771" w:type="dxa"/>
            <w:tcBorders>
              <w:top w:val="nil"/>
              <w:left w:val="nil"/>
              <w:bottom w:val="nil"/>
              <w:right w:val="nil"/>
            </w:tcBorders>
          </w:tcPr>
          <w:p w:rsidR="00162BCC" w:rsidRPr="00626D32" w:rsidRDefault="00162BCC" w:rsidP="005B108C">
            <w:pPr>
              <w:pStyle w:val="BoxSpaceBelow"/>
              <w:keepNext/>
            </w:pPr>
          </w:p>
        </w:tc>
      </w:tr>
    </w:tbl>
    <w:p w:rsidR="00162BCC" w:rsidRDefault="00162BCC" w:rsidP="005B108C">
      <w:pPr>
        <w:pStyle w:val="Heading4"/>
      </w:pPr>
      <w:r>
        <w:t>Attachment tables</w:t>
      </w:r>
    </w:p>
    <w:tbl>
      <w:tblPr>
        <w:tblW w:w="880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0"/>
        <w:gridCol w:w="6844"/>
      </w:tblGrid>
      <w:tr w:rsidR="005B108C" w:rsidRPr="008E7459" w:rsidTr="005B108C">
        <w:trPr>
          <w:trHeight w:val="612"/>
        </w:trPr>
        <w:tc>
          <w:tcPr>
            <w:tcW w:w="1960" w:type="dxa"/>
            <w:shd w:val="clear" w:color="auto" w:fill="auto"/>
            <w:noWrap/>
            <w:hideMark/>
          </w:tcPr>
          <w:p w:rsidR="005B108C" w:rsidRPr="005B108C" w:rsidRDefault="005B108C" w:rsidP="005B108C">
            <w:pPr>
              <w:pStyle w:val="TableBodyText"/>
              <w:jc w:val="left"/>
              <w:rPr>
                <w:b/>
              </w:rPr>
            </w:pPr>
            <w:r w:rsidRPr="005B108C">
              <w:rPr>
                <w:b/>
              </w:rPr>
              <w:t>Table NEA.2.1</w:t>
            </w:r>
          </w:p>
        </w:tc>
        <w:tc>
          <w:tcPr>
            <w:tcW w:w="6844" w:type="dxa"/>
            <w:shd w:val="clear" w:color="auto" w:fill="auto"/>
          </w:tcPr>
          <w:p w:rsidR="005B108C" w:rsidRPr="001A5457" w:rsidRDefault="005B108C" w:rsidP="005B108C">
            <w:pPr>
              <w:pStyle w:val="TableBodyText"/>
              <w:jc w:val="left"/>
            </w:pPr>
            <w:r w:rsidRPr="001A5457">
              <w:t>Proportion of year 3 students who achieved at or above the national minimum standard for reading, by State and Territory, by Indigenous status, by geolocation, 2013 (per cent)</w:t>
            </w:r>
            <w:r w:rsidR="009F5EB6">
              <w:t xml:space="preserve"> </w:t>
            </w:r>
          </w:p>
        </w:tc>
      </w:tr>
      <w:tr w:rsidR="005B108C" w:rsidRPr="008E7459" w:rsidTr="005B108C">
        <w:trPr>
          <w:trHeight w:val="612"/>
        </w:trPr>
        <w:tc>
          <w:tcPr>
            <w:tcW w:w="1960" w:type="dxa"/>
            <w:shd w:val="clear" w:color="auto" w:fill="auto"/>
            <w:noWrap/>
            <w:hideMark/>
          </w:tcPr>
          <w:p w:rsidR="005B108C" w:rsidRPr="005B108C" w:rsidRDefault="005B108C" w:rsidP="005B108C">
            <w:pPr>
              <w:pStyle w:val="TableBodyText"/>
              <w:jc w:val="left"/>
              <w:rPr>
                <w:b/>
              </w:rPr>
            </w:pPr>
            <w:r w:rsidRPr="005B108C">
              <w:rPr>
                <w:b/>
              </w:rPr>
              <w:t>Table NEA.2.2</w:t>
            </w:r>
          </w:p>
        </w:tc>
        <w:tc>
          <w:tcPr>
            <w:tcW w:w="6844" w:type="dxa"/>
            <w:shd w:val="clear" w:color="auto" w:fill="auto"/>
          </w:tcPr>
          <w:p w:rsidR="005B108C" w:rsidRPr="001A5457" w:rsidRDefault="005B108C" w:rsidP="005B108C">
            <w:pPr>
              <w:pStyle w:val="TableBodyText"/>
              <w:jc w:val="left"/>
            </w:pPr>
            <w:r w:rsidRPr="001A5457">
              <w:t>Proportion of year 3 students who achieved at or above the national minimum standard for writing, by State and Territory, by Indigenous status, by geolocation, 2013 (per cent)</w:t>
            </w:r>
            <w:r w:rsidR="009F5EB6">
              <w:t xml:space="preserve"> </w:t>
            </w:r>
          </w:p>
        </w:tc>
      </w:tr>
      <w:tr w:rsidR="005B108C" w:rsidRPr="008E7459" w:rsidTr="005B108C">
        <w:trPr>
          <w:trHeight w:val="612"/>
        </w:trPr>
        <w:tc>
          <w:tcPr>
            <w:tcW w:w="1960" w:type="dxa"/>
            <w:shd w:val="clear" w:color="auto" w:fill="auto"/>
            <w:noWrap/>
          </w:tcPr>
          <w:p w:rsidR="005B108C" w:rsidRPr="005B108C" w:rsidRDefault="005B108C" w:rsidP="005B108C">
            <w:pPr>
              <w:pStyle w:val="TableBodyText"/>
              <w:jc w:val="left"/>
              <w:rPr>
                <w:b/>
              </w:rPr>
            </w:pPr>
            <w:r w:rsidRPr="005B108C">
              <w:rPr>
                <w:b/>
              </w:rPr>
              <w:t>Table NEA.2.3</w:t>
            </w:r>
          </w:p>
        </w:tc>
        <w:tc>
          <w:tcPr>
            <w:tcW w:w="6844" w:type="dxa"/>
            <w:shd w:val="clear" w:color="auto" w:fill="auto"/>
          </w:tcPr>
          <w:p w:rsidR="005B108C" w:rsidRPr="001A5457" w:rsidRDefault="005B108C" w:rsidP="005B108C">
            <w:pPr>
              <w:pStyle w:val="TableBodyText"/>
              <w:jc w:val="left"/>
            </w:pPr>
            <w:r w:rsidRPr="001A5457">
              <w:t>Proportion of year 3 students who achieved at or above the national minimum standard for numeracy, by State and Territory, by Indigenous status, by geolocation, 2013 (per cent)</w:t>
            </w:r>
            <w:r w:rsidR="00760542">
              <w:t xml:space="preserve"> </w:t>
            </w:r>
          </w:p>
        </w:tc>
      </w:tr>
      <w:tr w:rsidR="005B108C" w:rsidRPr="008E7459" w:rsidTr="005B108C">
        <w:trPr>
          <w:trHeight w:val="612"/>
        </w:trPr>
        <w:tc>
          <w:tcPr>
            <w:tcW w:w="1960" w:type="dxa"/>
            <w:shd w:val="clear" w:color="auto" w:fill="auto"/>
            <w:noWrap/>
          </w:tcPr>
          <w:p w:rsidR="005B108C" w:rsidRPr="005B108C" w:rsidRDefault="005B108C" w:rsidP="005B108C">
            <w:pPr>
              <w:pStyle w:val="TableBodyText"/>
              <w:jc w:val="left"/>
              <w:rPr>
                <w:b/>
              </w:rPr>
            </w:pPr>
            <w:r w:rsidRPr="005B108C">
              <w:rPr>
                <w:b/>
              </w:rPr>
              <w:t>Table NEA.2.4</w:t>
            </w:r>
          </w:p>
        </w:tc>
        <w:tc>
          <w:tcPr>
            <w:tcW w:w="6844" w:type="dxa"/>
            <w:shd w:val="clear" w:color="auto" w:fill="auto"/>
          </w:tcPr>
          <w:p w:rsidR="005B108C" w:rsidRPr="001A5457" w:rsidRDefault="005B108C" w:rsidP="005B108C">
            <w:pPr>
              <w:pStyle w:val="TableBodyText"/>
              <w:jc w:val="left"/>
            </w:pPr>
            <w:r w:rsidRPr="001A5457">
              <w:t>Proportion of year 5 students who achieved at or above the national minimum standard for reading, by State and Territory, by Indigenous status, by geolocation, 2013 (per cent)</w:t>
            </w:r>
            <w:r w:rsidR="00760542">
              <w:t xml:space="preserve"> </w:t>
            </w:r>
          </w:p>
        </w:tc>
      </w:tr>
      <w:tr w:rsidR="005B108C" w:rsidRPr="008E7459" w:rsidTr="005B108C">
        <w:trPr>
          <w:trHeight w:val="612"/>
        </w:trPr>
        <w:tc>
          <w:tcPr>
            <w:tcW w:w="1960" w:type="dxa"/>
            <w:shd w:val="clear" w:color="auto" w:fill="auto"/>
            <w:noWrap/>
          </w:tcPr>
          <w:p w:rsidR="005B108C" w:rsidRPr="005B108C" w:rsidRDefault="005B108C" w:rsidP="005B108C">
            <w:pPr>
              <w:pStyle w:val="TableBodyText"/>
              <w:jc w:val="left"/>
              <w:rPr>
                <w:b/>
              </w:rPr>
            </w:pPr>
            <w:r w:rsidRPr="005B108C">
              <w:rPr>
                <w:b/>
              </w:rPr>
              <w:t>Table NEA.2.5</w:t>
            </w:r>
          </w:p>
        </w:tc>
        <w:tc>
          <w:tcPr>
            <w:tcW w:w="6844" w:type="dxa"/>
            <w:shd w:val="clear" w:color="auto" w:fill="auto"/>
          </w:tcPr>
          <w:p w:rsidR="005B108C" w:rsidRPr="001A5457" w:rsidRDefault="005B108C" w:rsidP="005B108C">
            <w:pPr>
              <w:pStyle w:val="TableBodyText"/>
              <w:jc w:val="left"/>
            </w:pPr>
            <w:r w:rsidRPr="001A5457">
              <w:t>Proportion of year 5 students who achieved at or above the national minimum standard for writing, by State and Territory, by Indigenous status, by geolocation, 2013 (per cent)</w:t>
            </w:r>
            <w:r w:rsidR="001714E9">
              <w:t xml:space="preserve"> </w:t>
            </w:r>
          </w:p>
        </w:tc>
      </w:tr>
      <w:tr w:rsidR="005B108C" w:rsidRPr="008E7459" w:rsidTr="005B108C">
        <w:trPr>
          <w:trHeight w:val="612"/>
        </w:trPr>
        <w:tc>
          <w:tcPr>
            <w:tcW w:w="1960" w:type="dxa"/>
            <w:shd w:val="clear" w:color="auto" w:fill="auto"/>
            <w:noWrap/>
          </w:tcPr>
          <w:p w:rsidR="005B108C" w:rsidRPr="005B108C" w:rsidRDefault="005B108C" w:rsidP="005B108C">
            <w:pPr>
              <w:pStyle w:val="TableBodyText"/>
              <w:jc w:val="left"/>
              <w:rPr>
                <w:b/>
              </w:rPr>
            </w:pPr>
            <w:r w:rsidRPr="005B108C">
              <w:rPr>
                <w:b/>
              </w:rPr>
              <w:t>Table NEA.2.6</w:t>
            </w:r>
          </w:p>
        </w:tc>
        <w:tc>
          <w:tcPr>
            <w:tcW w:w="6844" w:type="dxa"/>
            <w:shd w:val="clear" w:color="auto" w:fill="auto"/>
          </w:tcPr>
          <w:p w:rsidR="005B108C" w:rsidRPr="001A5457" w:rsidRDefault="005B108C" w:rsidP="005B108C">
            <w:pPr>
              <w:pStyle w:val="TableBodyText"/>
              <w:jc w:val="left"/>
            </w:pPr>
            <w:r w:rsidRPr="001A5457">
              <w:t>Proportion of year 5 students who achieved at or above the national minimum standard for numeracy, by State and Territory, by Indigenous status, by geolocation, 2013 (per cent)</w:t>
            </w:r>
            <w:r w:rsidR="001714E9">
              <w:t xml:space="preserve"> </w:t>
            </w:r>
          </w:p>
        </w:tc>
      </w:tr>
      <w:tr w:rsidR="005B108C" w:rsidRPr="008E7459" w:rsidTr="005B108C">
        <w:trPr>
          <w:trHeight w:val="612"/>
        </w:trPr>
        <w:tc>
          <w:tcPr>
            <w:tcW w:w="1960" w:type="dxa"/>
            <w:shd w:val="clear" w:color="auto" w:fill="auto"/>
            <w:noWrap/>
          </w:tcPr>
          <w:p w:rsidR="005B108C" w:rsidRPr="005B108C" w:rsidRDefault="005B108C" w:rsidP="005B108C">
            <w:pPr>
              <w:pStyle w:val="TableBodyText"/>
              <w:jc w:val="left"/>
              <w:rPr>
                <w:b/>
              </w:rPr>
            </w:pPr>
            <w:r w:rsidRPr="005B108C">
              <w:rPr>
                <w:b/>
              </w:rPr>
              <w:t>Table NEA.2.7</w:t>
            </w:r>
          </w:p>
        </w:tc>
        <w:tc>
          <w:tcPr>
            <w:tcW w:w="6844" w:type="dxa"/>
            <w:shd w:val="clear" w:color="auto" w:fill="auto"/>
          </w:tcPr>
          <w:p w:rsidR="005B108C" w:rsidRPr="001A5457" w:rsidRDefault="005B108C" w:rsidP="005B108C">
            <w:pPr>
              <w:pStyle w:val="TableBodyText"/>
              <w:jc w:val="left"/>
            </w:pPr>
            <w:r w:rsidRPr="001A5457">
              <w:t>Proportion of year 7 students who achieved at or above the national minimum standard for reading, by State and Territory, by Indigenous status, by geolocation, 2013 (per cent)</w:t>
            </w:r>
            <w:r w:rsidR="001714E9">
              <w:t xml:space="preserve"> </w:t>
            </w:r>
          </w:p>
        </w:tc>
      </w:tr>
      <w:tr w:rsidR="005B108C" w:rsidRPr="008E7459" w:rsidTr="005B108C">
        <w:trPr>
          <w:trHeight w:val="612"/>
        </w:trPr>
        <w:tc>
          <w:tcPr>
            <w:tcW w:w="1960" w:type="dxa"/>
            <w:shd w:val="clear" w:color="auto" w:fill="auto"/>
            <w:noWrap/>
          </w:tcPr>
          <w:p w:rsidR="005B108C" w:rsidRPr="005B108C" w:rsidRDefault="005B108C" w:rsidP="005B108C">
            <w:pPr>
              <w:pStyle w:val="TableBodyText"/>
              <w:jc w:val="left"/>
              <w:rPr>
                <w:b/>
              </w:rPr>
            </w:pPr>
            <w:r w:rsidRPr="005B108C">
              <w:rPr>
                <w:b/>
              </w:rPr>
              <w:t>Table NEA.2.8</w:t>
            </w:r>
          </w:p>
        </w:tc>
        <w:tc>
          <w:tcPr>
            <w:tcW w:w="6844" w:type="dxa"/>
            <w:shd w:val="clear" w:color="auto" w:fill="auto"/>
          </w:tcPr>
          <w:p w:rsidR="005B108C" w:rsidRPr="001A5457" w:rsidRDefault="005B108C" w:rsidP="005B108C">
            <w:pPr>
              <w:pStyle w:val="TableBodyText"/>
              <w:jc w:val="left"/>
            </w:pPr>
            <w:r w:rsidRPr="001A5457">
              <w:t>Proportion of year 7 students who achieved at or above the national minimum standard for writing, by State and Territory, by Indigenous status, by geolocation, 2013 (per cent)</w:t>
            </w:r>
            <w:r w:rsidR="001714E9">
              <w:t xml:space="preserve"> </w:t>
            </w:r>
          </w:p>
        </w:tc>
      </w:tr>
      <w:tr w:rsidR="005B108C" w:rsidRPr="008E7459" w:rsidTr="005B108C">
        <w:trPr>
          <w:trHeight w:val="612"/>
        </w:trPr>
        <w:tc>
          <w:tcPr>
            <w:tcW w:w="1960" w:type="dxa"/>
            <w:shd w:val="clear" w:color="auto" w:fill="auto"/>
            <w:noWrap/>
          </w:tcPr>
          <w:p w:rsidR="005B108C" w:rsidRPr="005B108C" w:rsidRDefault="005B108C" w:rsidP="005B108C">
            <w:pPr>
              <w:pStyle w:val="TableBodyText"/>
              <w:jc w:val="left"/>
              <w:rPr>
                <w:b/>
              </w:rPr>
            </w:pPr>
            <w:r w:rsidRPr="005B108C">
              <w:rPr>
                <w:b/>
              </w:rPr>
              <w:t>Table NEA.2.9</w:t>
            </w:r>
          </w:p>
        </w:tc>
        <w:tc>
          <w:tcPr>
            <w:tcW w:w="6844" w:type="dxa"/>
            <w:shd w:val="clear" w:color="auto" w:fill="auto"/>
          </w:tcPr>
          <w:p w:rsidR="005B108C" w:rsidRPr="001A5457" w:rsidRDefault="005B108C" w:rsidP="005B108C">
            <w:pPr>
              <w:pStyle w:val="TableBodyText"/>
              <w:jc w:val="left"/>
            </w:pPr>
            <w:r w:rsidRPr="001A5457">
              <w:t>Proportion of year 7 students who achieved at or above the national minimum standard for numeracy, by State and Territory, by Indigenous status, by geolocation, 2013 (per cent)</w:t>
            </w:r>
            <w:r w:rsidR="001714E9">
              <w:t xml:space="preserve"> </w:t>
            </w:r>
          </w:p>
        </w:tc>
      </w:tr>
      <w:tr w:rsidR="005B108C" w:rsidRPr="008E7459" w:rsidTr="005B108C">
        <w:trPr>
          <w:trHeight w:val="612"/>
        </w:trPr>
        <w:tc>
          <w:tcPr>
            <w:tcW w:w="1960" w:type="dxa"/>
            <w:shd w:val="clear" w:color="auto" w:fill="auto"/>
            <w:noWrap/>
          </w:tcPr>
          <w:p w:rsidR="005B108C" w:rsidRPr="005B108C" w:rsidRDefault="005B108C" w:rsidP="005B108C">
            <w:pPr>
              <w:pStyle w:val="TableBodyText"/>
              <w:jc w:val="left"/>
              <w:rPr>
                <w:b/>
              </w:rPr>
            </w:pPr>
            <w:r w:rsidRPr="005B108C">
              <w:rPr>
                <w:b/>
              </w:rPr>
              <w:t>Table NEA.2.10</w:t>
            </w:r>
          </w:p>
        </w:tc>
        <w:tc>
          <w:tcPr>
            <w:tcW w:w="6844" w:type="dxa"/>
            <w:shd w:val="clear" w:color="auto" w:fill="auto"/>
          </w:tcPr>
          <w:p w:rsidR="005B108C" w:rsidRPr="001A5457" w:rsidRDefault="005B108C" w:rsidP="005B108C">
            <w:pPr>
              <w:pStyle w:val="TableBodyText"/>
              <w:jc w:val="left"/>
            </w:pPr>
            <w:r w:rsidRPr="001A5457">
              <w:t>Proportion of year 9 students who achieved at or above the national minimum standard for reading, by State and Territory, by Indigenous status, by geolocation, 2013 (per cent)</w:t>
            </w:r>
            <w:r w:rsidR="001714E9">
              <w:t xml:space="preserve"> </w:t>
            </w:r>
          </w:p>
        </w:tc>
      </w:tr>
      <w:tr w:rsidR="005B108C" w:rsidRPr="008E7459" w:rsidTr="005B108C">
        <w:trPr>
          <w:trHeight w:val="612"/>
        </w:trPr>
        <w:tc>
          <w:tcPr>
            <w:tcW w:w="1960" w:type="dxa"/>
            <w:shd w:val="clear" w:color="auto" w:fill="auto"/>
            <w:noWrap/>
          </w:tcPr>
          <w:p w:rsidR="005B108C" w:rsidRPr="005B108C" w:rsidRDefault="005B108C" w:rsidP="005B108C">
            <w:pPr>
              <w:pStyle w:val="TableBodyText"/>
              <w:jc w:val="left"/>
              <w:rPr>
                <w:b/>
              </w:rPr>
            </w:pPr>
            <w:r w:rsidRPr="005B108C">
              <w:rPr>
                <w:b/>
              </w:rPr>
              <w:t>Table NEA.2.11</w:t>
            </w:r>
          </w:p>
        </w:tc>
        <w:tc>
          <w:tcPr>
            <w:tcW w:w="6844" w:type="dxa"/>
            <w:shd w:val="clear" w:color="auto" w:fill="auto"/>
          </w:tcPr>
          <w:p w:rsidR="005B108C" w:rsidRPr="001A5457" w:rsidRDefault="005B108C" w:rsidP="005B108C">
            <w:pPr>
              <w:pStyle w:val="TableBodyText"/>
              <w:jc w:val="left"/>
            </w:pPr>
            <w:r w:rsidRPr="001A5457">
              <w:t>Proportion of year 9 students who achieved at or above the national minimum standard for writing, by State and Territory, by Indigenous status, by geolocation, 2013 (per cent)</w:t>
            </w:r>
            <w:r w:rsidR="001714E9">
              <w:t xml:space="preserve"> </w:t>
            </w:r>
          </w:p>
        </w:tc>
      </w:tr>
      <w:tr w:rsidR="005B108C" w:rsidRPr="008E7459" w:rsidTr="005B108C">
        <w:trPr>
          <w:trHeight w:val="612"/>
        </w:trPr>
        <w:tc>
          <w:tcPr>
            <w:tcW w:w="1960" w:type="dxa"/>
            <w:shd w:val="clear" w:color="auto" w:fill="auto"/>
            <w:noWrap/>
          </w:tcPr>
          <w:p w:rsidR="005B108C" w:rsidRPr="005B108C" w:rsidRDefault="005B108C" w:rsidP="005B108C">
            <w:pPr>
              <w:pStyle w:val="TableBodyText"/>
              <w:jc w:val="left"/>
              <w:rPr>
                <w:b/>
              </w:rPr>
            </w:pPr>
            <w:r w:rsidRPr="005B108C">
              <w:rPr>
                <w:b/>
              </w:rPr>
              <w:t>Table NEA.2.12</w:t>
            </w:r>
          </w:p>
        </w:tc>
        <w:tc>
          <w:tcPr>
            <w:tcW w:w="6844" w:type="dxa"/>
            <w:shd w:val="clear" w:color="auto" w:fill="auto"/>
          </w:tcPr>
          <w:p w:rsidR="005B108C" w:rsidRDefault="005B108C" w:rsidP="005B108C">
            <w:pPr>
              <w:pStyle w:val="TableBodyText"/>
              <w:jc w:val="left"/>
            </w:pPr>
            <w:r w:rsidRPr="001A5457">
              <w:t>Proportion of year 9 students who achieved at or above the national minimum standard for numeracy, by State and Territory, by Indigenous status, by geolocation, 2013 (per cent)</w:t>
            </w:r>
            <w:r w:rsidR="001714E9">
              <w:t xml:space="preserve"> </w:t>
            </w:r>
          </w:p>
        </w:tc>
      </w:tr>
    </w:tbl>
    <w:p w:rsidR="00162BCC" w:rsidRDefault="00162BCC" w:rsidP="00162BCC"/>
    <w:p w:rsidR="00162BCC" w:rsidRDefault="00162BCC" w:rsidP="00162BCC">
      <w:pPr>
        <w:pStyle w:val="BoxSpaceAbove"/>
      </w:pPr>
    </w:p>
    <w:tbl>
      <w:tblPr>
        <w:tblW w:w="0" w:type="auto"/>
        <w:tblInd w:w="164" w:type="dxa"/>
        <w:tblBorders>
          <w:top w:val="single" w:sz="6" w:space="0" w:color="auto"/>
          <w:left w:val="single" w:sz="6" w:space="0" w:color="auto"/>
          <w:bottom w:val="single" w:sz="6" w:space="0" w:color="auto"/>
          <w:right w:val="single" w:sz="6" w:space="0" w:color="auto"/>
        </w:tblBorders>
        <w:tblLayout w:type="fixed"/>
        <w:tblCellMar>
          <w:left w:w="142" w:type="dxa"/>
          <w:right w:w="142" w:type="dxa"/>
        </w:tblCellMar>
        <w:tblLook w:val="0000" w:firstRow="0" w:lastRow="0" w:firstColumn="0" w:lastColumn="0" w:noHBand="0" w:noVBand="0"/>
      </w:tblPr>
      <w:tblGrid>
        <w:gridCol w:w="8771"/>
      </w:tblGrid>
      <w:tr w:rsidR="00162BCC" w:rsidTr="00EF255E">
        <w:tc>
          <w:tcPr>
            <w:tcW w:w="8771" w:type="dxa"/>
            <w:tcBorders>
              <w:top w:val="single" w:sz="6" w:space="0" w:color="auto"/>
              <w:bottom w:val="nil"/>
            </w:tcBorders>
          </w:tcPr>
          <w:p w:rsidR="00162BCC" w:rsidRDefault="00162BCC" w:rsidP="00EF255E">
            <w:pPr>
              <w:pStyle w:val="BoxTitle"/>
            </w:pPr>
            <w:r>
              <w:rPr>
                <w:b w:val="0"/>
              </w:rPr>
              <w:t xml:space="preserve">Box </w:t>
            </w:r>
            <w:r>
              <w:rPr>
                <w:b w:val="0"/>
              </w:rPr>
              <w:fldChar w:fldCharType="begin"/>
            </w:r>
            <w:r>
              <w:rPr>
                <w:b w:val="0"/>
              </w:rPr>
              <w:instrText xml:space="preserve"> SEQ Box \* ARABIC </w:instrText>
            </w:r>
            <w:r>
              <w:rPr>
                <w:b w:val="0"/>
              </w:rPr>
              <w:fldChar w:fldCharType="separate"/>
            </w:r>
            <w:r w:rsidR="005F5618">
              <w:rPr>
                <w:b w:val="0"/>
                <w:noProof/>
              </w:rPr>
              <w:t>7</w:t>
            </w:r>
            <w:r>
              <w:rPr>
                <w:b w:val="0"/>
              </w:rPr>
              <w:fldChar w:fldCharType="end"/>
            </w:r>
            <w:r>
              <w:tab/>
              <w:t>Comment on data quality</w:t>
            </w:r>
          </w:p>
        </w:tc>
      </w:tr>
      <w:tr w:rsidR="00162BCC" w:rsidTr="00EF255E">
        <w:trPr>
          <w:cantSplit/>
        </w:trPr>
        <w:tc>
          <w:tcPr>
            <w:tcW w:w="8771" w:type="dxa"/>
            <w:tcBorders>
              <w:top w:val="nil"/>
              <w:left w:val="single" w:sz="6" w:space="0" w:color="auto"/>
              <w:bottom w:val="nil"/>
              <w:right w:val="single" w:sz="6" w:space="0" w:color="auto"/>
            </w:tcBorders>
          </w:tcPr>
          <w:p w:rsidR="00162BCC" w:rsidRDefault="005B108C" w:rsidP="00EF255E">
            <w:pPr>
              <w:pStyle w:val="Box"/>
            </w:pPr>
            <w:r w:rsidRPr="008E7459">
              <w:t>Details are included in the comment on data quality for NEA Indicator 2.</w:t>
            </w:r>
          </w:p>
        </w:tc>
      </w:tr>
      <w:tr w:rsidR="00162BCC" w:rsidTr="00EF255E">
        <w:trPr>
          <w:cantSplit/>
        </w:trPr>
        <w:tc>
          <w:tcPr>
            <w:tcW w:w="8771" w:type="dxa"/>
            <w:tcBorders>
              <w:top w:val="nil"/>
              <w:left w:val="single" w:sz="6" w:space="0" w:color="auto"/>
              <w:bottom w:val="single" w:sz="6" w:space="0" w:color="auto"/>
              <w:right w:val="single" w:sz="6" w:space="0" w:color="auto"/>
            </w:tcBorders>
          </w:tcPr>
          <w:p w:rsidR="00162BCC" w:rsidRDefault="00162BCC" w:rsidP="00EF255E">
            <w:pPr>
              <w:pStyle w:val="Box"/>
              <w:spacing w:before="0" w:line="120" w:lineRule="exact"/>
            </w:pPr>
          </w:p>
        </w:tc>
      </w:tr>
      <w:tr w:rsidR="00162BCC" w:rsidRPr="000863A5" w:rsidTr="00EF255E">
        <w:tc>
          <w:tcPr>
            <w:tcW w:w="8771" w:type="dxa"/>
            <w:tcBorders>
              <w:top w:val="nil"/>
              <w:left w:val="nil"/>
              <w:bottom w:val="nil"/>
              <w:right w:val="nil"/>
            </w:tcBorders>
          </w:tcPr>
          <w:p w:rsidR="00162BCC" w:rsidRPr="00626D32" w:rsidRDefault="00162BCC" w:rsidP="00EF255E">
            <w:pPr>
              <w:pStyle w:val="BoxSpaceBelow"/>
            </w:pPr>
          </w:p>
        </w:tc>
      </w:tr>
    </w:tbl>
    <w:p w:rsidR="00162BCC" w:rsidRPr="003575E1" w:rsidRDefault="00162BCC" w:rsidP="006E3DEE"/>
    <w:p w:rsidR="00117C12" w:rsidRDefault="00117C12" w:rsidP="0042643C">
      <w:pPr>
        <w:pStyle w:val="BodyText"/>
      </w:pPr>
      <w:r>
        <w:br w:type="page"/>
      </w:r>
    </w:p>
    <w:p w:rsidR="006E3DEE" w:rsidRDefault="006E3DEE" w:rsidP="006E3DEE">
      <w:pPr>
        <w:pStyle w:val="Heading3"/>
      </w:pPr>
      <w:r w:rsidRPr="00136727">
        <w:t xml:space="preserve">Performance </w:t>
      </w:r>
      <w:r>
        <w:t>target (d</w:t>
      </w:r>
      <w:r w:rsidRPr="00136727">
        <w:t xml:space="preserve">): </w:t>
      </w:r>
      <w:r>
        <w:t>A</w:t>
      </w:r>
      <w:r w:rsidRPr="00587461">
        <w:t>t least halve the gap for Indigenous students in Year 12 or equivalent attainment rates by 2020</w:t>
      </w:r>
    </w:p>
    <w:p w:rsidR="006E3DEE" w:rsidRPr="003A784E" w:rsidRDefault="006E3DEE" w:rsidP="006E3DEE">
      <w:pPr>
        <w:pStyle w:val="Subtitle"/>
      </w:pPr>
    </w:p>
    <w:tbl>
      <w:tblPr>
        <w:tblW w:w="5002" w:type="pct"/>
        <w:tblCellMar>
          <w:left w:w="0" w:type="dxa"/>
          <w:right w:w="0" w:type="dxa"/>
        </w:tblCellMar>
        <w:tblLook w:val="0000" w:firstRow="0" w:lastRow="0" w:firstColumn="0" w:lastColumn="0" w:noHBand="0" w:noVBand="0"/>
      </w:tblPr>
      <w:tblGrid>
        <w:gridCol w:w="22"/>
        <w:gridCol w:w="1963"/>
        <w:gridCol w:w="6808"/>
      </w:tblGrid>
      <w:tr w:rsidR="00595E6A" w:rsidTr="00162BCC">
        <w:trPr>
          <w:trHeight w:val="823"/>
        </w:trPr>
        <w:tc>
          <w:tcPr>
            <w:tcW w:w="1129" w:type="pct"/>
            <w:gridSpan w:val="2"/>
            <w:shd w:val="clear" w:color="auto" w:fill="auto"/>
          </w:tcPr>
          <w:p w:rsidR="00595E6A" w:rsidRPr="008E7459" w:rsidRDefault="00595E6A" w:rsidP="00595E6A">
            <w:pPr>
              <w:pStyle w:val="TableBodyText"/>
              <w:keepNext w:val="0"/>
              <w:keepLines w:val="0"/>
              <w:ind w:left="34"/>
              <w:jc w:val="left"/>
            </w:pPr>
            <w:r w:rsidRPr="008E7459">
              <w:t>Key amendments from previous cycle of reporting:</w:t>
            </w:r>
          </w:p>
        </w:tc>
        <w:tc>
          <w:tcPr>
            <w:tcW w:w="3869" w:type="pct"/>
            <w:shd w:val="clear" w:color="auto" w:fill="auto"/>
          </w:tcPr>
          <w:p w:rsidR="00595E6A" w:rsidRDefault="00595E6A" w:rsidP="00595E6A">
            <w:pPr>
              <w:pStyle w:val="TableBodyText"/>
              <w:keepNext w:val="0"/>
              <w:keepLines w:val="0"/>
              <w:ind w:left="34"/>
              <w:jc w:val="left"/>
            </w:pPr>
            <w:r w:rsidRPr="00FC264B">
              <w:t xml:space="preserve">This </w:t>
            </w:r>
            <w:r>
              <w:t>target</w:t>
            </w:r>
            <w:r w:rsidRPr="00FC264B">
              <w:t xml:space="preserve"> i</w:t>
            </w:r>
            <w:r>
              <w:t>s unchanged from the previous NEA performance report</w:t>
            </w:r>
          </w:p>
          <w:p w:rsidR="00595E6A" w:rsidRPr="008E7459" w:rsidRDefault="00595E6A" w:rsidP="00595E6A">
            <w:pPr>
              <w:pStyle w:val="TableBodyText"/>
              <w:keepNext w:val="0"/>
              <w:keepLines w:val="0"/>
              <w:ind w:left="34"/>
              <w:jc w:val="left"/>
            </w:pPr>
          </w:p>
        </w:tc>
      </w:tr>
      <w:tr w:rsidR="00595E6A" w:rsidTr="00162BCC">
        <w:trPr>
          <w:trHeight w:val="1361"/>
        </w:trPr>
        <w:tc>
          <w:tcPr>
            <w:tcW w:w="1129" w:type="pct"/>
            <w:gridSpan w:val="2"/>
          </w:tcPr>
          <w:p w:rsidR="00595E6A" w:rsidRPr="008E7459" w:rsidRDefault="00595E6A" w:rsidP="00595E6A">
            <w:pPr>
              <w:pStyle w:val="TableBodyText"/>
              <w:keepNext w:val="0"/>
              <w:keepLines w:val="0"/>
              <w:ind w:left="34"/>
              <w:jc w:val="left"/>
            </w:pPr>
            <w:r w:rsidRPr="008E7459">
              <w:t>Outcomes:</w:t>
            </w:r>
          </w:p>
        </w:tc>
        <w:tc>
          <w:tcPr>
            <w:tcW w:w="3869" w:type="pct"/>
          </w:tcPr>
          <w:p w:rsidR="00595E6A" w:rsidRPr="008E7459" w:rsidRDefault="00595E6A" w:rsidP="00595E6A">
            <w:pPr>
              <w:pStyle w:val="TableBodyText"/>
              <w:keepNext w:val="0"/>
              <w:keepLines w:val="0"/>
              <w:ind w:hanging="6"/>
              <w:jc w:val="left"/>
            </w:pPr>
            <w:r w:rsidRPr="008E7459">
              <w:t>Young people make a successful transition from school to work and further study</w:t>
            </w:r>
          </w:p>
          <w:p w:rsidR="00595E6A" w:rsidRPr="008E7459" w:rsidRDefault="00595E6A" w:rsidP="00595E6A">
            <w:pPr>
              <w:pStyle w:val="TableBodyText"/>
              <w:keepNext w:val="0"/>
              <w:keepLines w:val="0"/>
              <w:ind w:hanging="6"/>
              <w:jc w:val="left"/>
            </w:pPr>
          </w:p>
          <w:p w:rsidR="00595E6A" w:rsidRDefault="00595E6A" w:rsidP="00595E6A">
            <w:pPr>
              <w:pStyle w:val="TableBodyText"/>
              <w:keepNext w:val="0"/>
              <w:keepLines w:val="0"/>
              <w:ind w:hanging="6"/>
              <w:jc w:val="left"/>
            </w:pPr>
            <w:r w:rsidRPr="008E7459">
              <w:t>Schooling promotes the social inclusion and reduces the educational disadvantage of children</w:t>
            </w:r>
            <w:r>
              <w:t>, especially Indigenous childre</w:t>
            </w:r>
            <w:r w:rsidR="00073FF3">
              <w:t>n</w:t>
            </w:r>
          </w:p>
          <w:p w:rsidR="00595E6A" w:rsidRPr="008E7459" w:rsidRDefault="00595E6A" w:rsidP="00595E6A">
            <w:pPr>
              <w:pStyle w:val="TableBodyText"/>
              <w:keepNext w:val="0"/>
              <w:keepLines w:val="0"/>
              <w:ind w:hanging="6"/>
              <w:jc w:val="left"/>
              <w:rPr>
                <w:sz w:val="24"/>
              </w:rPr>
            </w:pPr>
          </w:p>
        </w:tc>
      </w:tr>
      <w:tr w:rsidR="00595E6A" w:rsidTr="00162BCC">
        <w:tc>
          <w:tcPr>
            <w:tcW w:w="1129" w:type="pct"/>
            <w:gridSpan w:val="2"/>
          </w:tcPr>
          <w:p w:rsidR="00595E6A" w:rsidRPr="008E7459" w:rsidRDefault="00595E6A" w:rsidP="00595E6A">
            <w:pPr>
              <w:pStyle w:val="TableBodyText"/>
              <w:keepNext w:val="0"/>
              <w:keepLines w:val="0"/>
              <w:ind w:left="34"/>
              <w:jc w:val="left"/>
            </w:pPr>
            <w:r w:rsidRPr="008E7459">
              <w:t xml:space="preserve">Measure: </w:t>
            </w:r>
          </w:p>
        </w:tc>
        <w:tc>
          <w:tcPr>
            <w:tcW w:w="3869" w:type="pct"/>
          </w:tcPr>
          <w:p w:rsidR="00595E6A" w:rsidRPr="008E7459" w:rsidRDefault="00595E6A" w:rsidP="00595E6A">
            <w:pPr>
              <w:pStyle w:val="TableBodyText"/>
              <w:keepNext w:val="0"/>
              <w:keepLines w:val="0"/>
              <w:ind w:hanging="6"/>
              <w:jc w:val="left"/>
            </w:pPr>
            <w:r w:rsidRPr="008E7459">
              <w:t xml:space="preserve">Proportion of 20–24 year olds having attained at least a year 12 or </w:t>
            </w:r>
          </w:p>
          <w:p w:rsidR="00595E6A" w:rsidRPr="008E7459" w:rsidRDefault="00595E6A" w:rsidP="00595E6A">
            <w:pPr>
              <w:pStyle w:val="TableBodyText"/>
              <w:keepNext w:val="0"/>
              <w:keepLines w:val="0"/>
              <w:ind w:hanging="6"/>
              <w:jc w:val="left"/>
            </w:pPr>
            <w:r w:rsidRPr="008E7459">
              <w:t>equivalent or AQF Certificate Level II, by Indigenous status</w:t>
            </w:r>
          </w:p>
          <w:p w:rsidR="00595E6A" w:rsidRPr="008E7459" w:rsidRDefault="00595E6A" w:rsidP="00595E6A">
            <w:pPr>
              <w:pStyle w:val="TableBodyText"/>
              <w:keepNext w:val="0"/>
              <w:keepLines w:val="0"/>
              <w:ind w:hanging="6"/>
              <w:jc w:val="left"/>
            </w:pPr>
          </w:p>
          <w:p w:rsidR="00595E6A" w:rsidRPr="008E7459" w:rsidRDefault="00595E6A" w:rsidP="00595E6A">
            <w:pPr>
              <w:pStyle w:val="TableBodyText"/>
              <w:keepNext w:val="0"/>
              <w:keepLines w:val="0"/>
              <w:ind w:hanging="6"/>
              <w:jc w:val="left"/>
            </w:pPr>
            <w:r w:rsidRPr="008E7459">
              <w:t>The measure is defined as:</w:t>
            </w:r>
          </w:p>
          <w:p w:rsidR="00595E6A" w:rsidRPr="008E7459" w:rsidRDefault="00595E6A" w:rsidP="00595E6A">
            <w:pPr>
              <w:pStyle w:val="TableBullet"/>
              <w:keepNext w:val="0"/>
              <w:keepLines w:val="0"/>
            </w:pPr>
            <w:r w:rsidRPr="008E7459">
              <w:rPr>
                <w:i/>
              </w:rPr>
              <w:t xml:space="preserve">numerator — </w:t>
            </w:r>
            <w:r w:rsidRPr="008E7459">
              <w:t>number of 20–24 year olds who self</w:t>
            </w:r>
            <w:r w:rsidRPr="008E7459">
              <w:noBreakHyphen/>
              <w:t>identify as having attained a year 12 or AQF Certificate Level II or above (includes Certificate I/II nfd, excludes Certificate nfd), by Indigenous status</w:t>
            </w:r>
          </w:p>
          <w:p w:rsidR="00595E6A" w:rsidRPr="008E7459" w:rsidRDefault="00595E6A" w:rsidP="00595E6A">
            <w:pPr>
              <w:pStyle w:val="TableBullet"/>
              <w:keepNext w:val="0"/>
              <w:keepLines w:val="0"/>
            </w:pPr>
            <w:r w:rsidRPr="008E7459">
              <w:rPr>
                <w:i/>
              </w:rPr>
              <w:t xml:space="preserve">denominator — </w:t>
            </w:r>
            <w:r w:rsidRPr="008E7459">
              <w:t>number of 20–24 year olds in the population, by Indigenous status</w:t>
            </w:r>
          </w:p>
          <w:p w:rsidR="00595E6A" w:rsidRPr="008E7459" w:rsidRDefault="00595E6A" w:rsidP="00595E6A">
            <w:pPr>
              <w:pStyle w:val="TableBodyText"/>
              <w:keepNext w:val="0"/>
              <w:keepLines w:val="0"/>
              <w:ind w:hanging="6"/>
              <w:jc w:val="left"/>
            </w:pPr>
            <w:r w:rsidRPr="008E7459">
              <w:t xml:space="preserve">and is expressed as a </w:t>
            </w:r>
            <w:r w:rsidRPr="008E7459">
              <w:rPr>
                <w:i/>
              </w:rPr>
              <w:t>percentage</w:t>
            </w:r>
          </w:p>
          <w:p w:rsidR="00595E6A" w:rsidRPr="008E7459" w:rsidRDefault="00595E6A" w:rsidP="00595E6A">
            <w:pPr>
              <w:pStyle w:val="TableBodyText"/>
              <w:keepNext w:val="0"/>
              <w:keepLines w:val="0"/>
              <w:ind w:hanging="6"/>
              <w:jc w:val="left"/>
            </w:pPr>
          </w:p>
          <w:p w:rsidR="00595E6A" w:rsidRPr="008E7459" w:rsidRDefault="00595E6A" w:rsidP="00595E6A">
            <w:pPr>
              <w:pStyle w:val="TableBodyText"/>
              <w:keepNext w:val="0"/>
              <w:keepLines w:val="0"/>
              <w:ind w:hanging="6"/>
              <w:jc w:val="left"/>
            </w:pPr>
            <w:r w:rsidRPr="008E7459">
              <w:t>Persons whose level of study is determined to be certificate level but is not able to be further defined (ie, Certificate nfd) are assumed to have attained below Certificate level II and are therefore excluded from the numerator</w:t>
            </w:r>
          </w:p>
          <w:p w:rsidR="00595E6A" w:rsidRPr="008E7459" w:rsidRDefault="00595E6A" w:rsidP="00595E6A">
            <w:pPr>
              <w:pStyle w:val="TableBodyText"/>
              <w:keepNext w:val="0"/>
              <w:keepLines w:val="0"/>
              <w:ind w:hanging="6"/>
              <w:jc w:val="left"/>
            </w:pPr>
          </w:p>
          <w:p w:rsidR="00595E6A" w:rsidRPr="008E7459" w:rsidRDefault="00595E6A" w:rsidP="00595E6A">
            <w:pPr>
              <w:pStyle w:val="TableBodyText"/>
              <w:keepNext w:val="0"/>
              <w:keepLines w:val="0"/>
              <w:ind w:hanging="6"/>
              <w:jc w:val="left"/>
            </w:pPr>
            <w:r w:rsidRPr="008E7459">
              <w:t>People whose level of study cannot be determined are assumed to have attained below Certificate II and are theref</w:t>
            </w:r>
            <w:r>
              <w:t>ore excluded from the numerator</w:t>
            </w:r>
          </w:p>
          <w:p w:rsidR="00595E6A" w:rsidRPr="008E7459" w:rsidRDefault="00595E6A" w:rsidP="00595E6A">
            <w:pPr>
              <w:pStyle w:val="TableBodyText"/>
              <w:keepNext w:val="0"/>
              <w:keepLines w:val="0"/>
              <w:ind w:hanging="6"/>
              <w:jc w:val="left"/>
            </w:pPr>
          </w:p>
          <w:p w:rsidR="00595E6A" w:rsidRDefault="00595E6A" w:rsidP="00595E6A">
            <w:pPr>
              <w:pStyle w:val="TableBodyText"/>
              <w:keepNext w:val="0"/>
              <w:keepLines w:val="0"/>
              <w:ind w:hanging="6"/>
              <w:jc w:val="left"/>
            </w:pPr>
            <w:r w:rsidRPr="008E7459">
              <w:t>Excludes people whose educational attainment is not stated (only applicable to Census data)</w:t>
            </w:r>
          </w:p>
          <w:p w:rsidR="00595E6A" w:rsidRPr="008E7459" w:rsidRDefault="00595E6A" w:rsidP="00595E6A">
            <w:pPr>
              <w:pStyle w:val="TableBodyText"/>
              <w:keepNext w:val="0"/>
              <w:keepLines w:val="0"/>
              <w:ind w:hanging="6"/>
              <w:jc w:val="left"/>
            </w:pPr>
          </w:p>
        </w:tc>
      </w:tr>
      <w:tr w:rsidR="00595E6A" w:rsidTr="00162BCC">
        <w:tc>
          <w:tcPr>
            <w:tcW w:w="1129" w:type="pct"/>
            <w:gridSpan w:val="2"/>
          </w:tcPr>
          <w:p w:rsidR="00595E6A" w:rsidRPr="008E7459" w:rsidRDefault="00595E6A" w:rsidP="00595E6A">
            <w:pPr>
              <w:pStyle w:val="TableBodyText"/>
              <w:keepNext w:val="0"/>
              <w:keepLines w:val="0"/>
              <w:ind w:left="34"/>
              <w:jc w:val="left"/>
            </w:pPr>
            <w:r w:rsidRPr="008E7459">
              <w:t>Related performance indicator/s:</w:t>
            </w:r>
          </w:p>
        </w:tc>
        <w:tc>
          <w:tcPr>
            <w:tcW w:w="3869" w:type="pct"/>
          </w:tcPr>
          <w:p w:rsidR="00595E6A" w:rsidRDefault="00595E6A" w:rsidP="00595E6A">
            <w:pPr>
              <w:pStyle w:val="TableBodyText"/>
              <w:keepNext w:val="0"/>
              <w:keepLines w:val="0"/>
              <w:ind w:hanging="6"/>
              <w:jc w:val="left"/>
            </w:pPr>
            <w:r w:rsidRPr="008E7459">
              <w:t>NEA PI 4: The proportion of young people who have attained at least a year 12 or equivalent or AQF Certificate Level II/III or above</w:t>
            </w:r>
          </w:p>
          <w:p w:rsidR="00595E6A" w:rsidRPr="008E7459" w:rsidRDefault="00595E6A" w:rsidP="00595E6A">
            <w:pPr>
              <w:pStyle w:val="TableBodyText"/>
              <w:keepNext w:val="0"/>
              <w:keepLines w:val="0"/>
              <w:ind w:hanging="6"/>
              <w:jc w:val="left"/>
            </w:pPr>
          </w:p>
        </w:tc>
      </w:tr>
      <w:tr w:rsidR="00595E6A" w:rsidTr="00162BCC">
        <w:trPr>
          <w:trHeight w:val="2577"/>
        </w:trPr>
        <w:tc>
          <w:tcPr>
            <w:tcW w:w="1129" w:type="pct"/>
            <w:gridSpan w:val="2"/>
          </w:tcPr>
          <w:p w:rsidR="00595E6A" w:rsidRPr="008E7459" w:rsidRDefault="00595E6A" w:rsidP="00595E6A">
            <w:pPr>
              <w:pStyle w:val="TableBodyText"/>
              <w:keepNext w:val="0"/>
              <w:keepLines w:val="0"/>
              <w:ind w:left="34"/>
              <w:jc w:val="left"/>
            </w:pPr>
            <w:r w:rsidRPr="008E7459">
              <w:t>Data source:</w:t>
            </w:r>
          </w:p>
        </w:tc>
        <w:tc>
          <w:tcPr>
            <w:tcW w:w="3869" w:type="pct"/>
          </w:tcPr>
          <w:p w:rsidR="00595E6A" w:rsidRPr="008E7459" w:rsidRDefault="00595E6A" w:rsidP="00595E6A">
            <w:pPr>
              <w:pStyle w:val="TableBodyText"/>
              <w:keepNext w:val="0"/>
              <w:keepLines w:val="0"/>
              <w:ind w:hanging="6"/>
              <w:jc w:val="left"/>
            </w:pPr>
            <w:r w:rsidRPr="008E7459">
              <w:rPr>
                <w:i/>
              </w:rPr>
              <w:t>(Main)</w:t>
            </w:r>
            <w:r w:rsidRPr="008E7459">
              <w:t xml:space="preserve"> </w:t>
            </w:r>
            <w:r w:rsidRPr="008E7459">
              <w:rPr>
                <w:u w:val="single"/>
              </w:rPr>
              <w:t>Census of Population and Housing</w:t>
            </w:r>
            <w:r w:rsidRPr="008E7459">
              <w:t xml:space="preserve"> (Census). Data are available every 5 years</w:t>
            </w:r>
          </w:p>
          <w:p w:rsidR="00595E6A" w:rsidRPr="008E7459" w:rsidRDefault="00595E6A" w:rsidP="00595E6A">
            <w:pPr>
              <w:pStyle w:val="TableBodyText"/>
              <w:keepNext w:val="0"/>
              <w:keepLines w:val="0"/>
              <w:ind w:hanging="6"/>
              <w:jc w:val="left"/>
            </w:pPr>
          </w:p>
          <w:p w:rsidR="00595E6A" w:rsidRPr="008E7459" w:rsidRDefault="00595E6A" w:rsidP="00595E6A">
            <w:pPr>
              <w:pStyle w:val="TableBodyText"/>
              <w:keepNext w:val="0"/>
              <w:keepLines w:val="0"/>
              <w:ind w:hanging="6"/>
              <w:jc w:val="left"/>
            </w:pPr>
            <w:r w:rsidRPr="008E7459">
              <w:rPr>
                <w:i/>
              </w:rPr>
              <w:t>(Supplementary Indigenous)</w:t>
            </w:r>
            <w:r w:rsidRPr="008E7459">
              <w:t xml:space="preserve"> </w:t>
            </w:r>
            <w:r w:rsidRPr="008E7459">
              <w:rPr>
                <w:u w:val="single"/>
              </w:rPr>
              <w:t>National Aboriginal and Torres Strait Islander Social Survey</w:t>
            </w:r>
            <w:r w:rsidRPr="008E7459">
              <w:t xml:space="preserve"> (NATSISS) and </w:t>
            </w:r>
            <w:r w:rsidRPr="00C866A5">
              <w:rPr>
                <w:u w:val="single"/>
              </w:rPr>
              <w:t xml:space="preserve">National Aboriginal and Torres Strait Islander Health Survey </w:t>
            </w:r>
            <w:r w:rsidRPr="00C866A5">
              <w:t xml:space="preserve">(NATSIHS) component of the </w:t>
            </w:r>
            <w:r w:rsidRPr="00DD75F8">
              <w:rPr>
                <w:u w:val="single"/>
              </w:rPr>
              <w:t>Australian Aboriginal and Torres Strait Islander Health Survey</w:t>
            </w:r>
            <w:r>
              <w:t xml:space="preserve"> (AATSIHS)</w:t>
            </w:r>
            <w:r w:rsidRPr="008E7459">
              <w:t>. Data are available on</w:t>
            </w:r>
            <w:r w:rsidR="00694EF7">
              <w:t xml:space="preserve"> an alternating 3</w:t>
            </w:r>
            <w:r w:rsidR="00694EF7">
              <w:noBreakHyphen/>
              <w:t>yearly cycle</w:t>
            </w:r>
          </w:p>
          <w:p w:rsidR="00595E6A" w:rsidRPr="008E7459" w:rsidRDefault="00595E6A" w:rsidP="00595E6A">
            <w:pPr>
              <w:pStyle w:val="TableBodyText"/>
              <w:keepNext w:val="0"/>
              <w:keepLines w:val="0"/>
              <w:ind w:hanging="6"/>
              <w:jc w:val="left"/>
            </w:pPr>
          </w:p>
          <w:p w:rsidR="00595E6A" w:rsidRDefault="00595E6A" w:rsidP="00595E6A">
            <w:pPr>
              <w:pStyle w:val="TableBodyText"/>
              <w:keepNext w:val="0"/>
              <w:keepLines w:val="0"/>
              <w:ind w:hanging="6"/>
              <w:jc w:val="left"/>
            </w:pPr>
            <w:r w:rsidRPr="008E7459">
              <w:rPr>
                <w:i/>
              </w:rPr>
              <w:t>(Supplementary non</w:t>
            </w:r>
            <w:r w:rsidRPr="008E7459">
              <w:rPr>
                <w:i/>
              </w:rPr>
              <w:noBreakHyphen/>
              <w:t>Indigenous)</w:t>
            </w:r>
            <w:r w:rsidRPr="008E7459">
              <w:t xml:space="preserve"> </w:t>
            </w:r>
            <w:r w:rsidRPr="008E7459">
              <w:rPr>
                <w:u w:val="single"/>
              </w:rPr>
              <w:t>Survey of Education and Work</w:t>
            </w:r>
            <w:r w:rsidR="00694EF7">
              <w:t xml:space="preserve"> (SEW)</w:t>
            </w:r>
          </w:p>
          <w:p w:rsidR="00595E6A" w:rsidRPr="008E7459" w:rsidRDefault="00595E6A" w:rsidP="00595E6A">
            <w:pPr>
              <w:pStyle w:val="TableBodyText"/>
              <w:keepNext w:val="0"/>
              <w:keepLines w:val="0"/>
              <w:ind w:hanging="6"/>
              <w:jc w:val="left"/>
            </w:pPr>
          </w:p>
        </w:tc>
      </w:tr>
      <w:tr w:rsidR="00595E6A" w:rsidTr="00162BCC">
        <w:trPr>
          <w:trHeight w:val="340"/>
        </w:trPr>
        <w:tc>
          <w:tcPr>
            <w:tcW w:w="1129" w:type="pct"/>
            <w:gridSpan w:val="2"/>
          </w:tcPr>
          <w:p w:rsidR="00595E6A" w:rsidRPr="008E7459" w:rsidRDefault="00595E6A" w:rsidP="00595E6A">
            <w:pPr>
              <w:pStyle w:val="TableBodyText"/>
              <w:keepNext w:val="0"/>
              <w:keepLines w:val="0"/>
              <w:ind w:left="34"/>
              <w:jc w:val="left"/>
            </w:pPr>
            <w:r w:rsidRPr="008E7459">
              <w:t>Data provider:</w:t>
            </w:r>
          </w:p>
        </w:tc>
        <w:tc>
          <w:tcPr>
            <w:tcW w:w="3869" w:type="pct"/>
          </w:tcPr>
          <w:p w:rsidR="00595E6A" w:rsidRDefault="00595E6A" w:rsidP="00595E6A">
            <w:pPr>
              <w:pStyle w:val="TableBodyText"/>
              <w:keepNext w:val="0"/>
              <w:keepLines w:val="0"/>
              <w:ind w:hanging="6"/>
              <w:jc w:val="left"/>
            </w:pPr>
            <w:r w:rsidRPr="008E7459">
              <w:t>ABS</w:t>
            </w:r>
          </w:p>
          <w:p w:rsidR="00595E6A" w:rsidRPr="008E7459" w:rsidRDefault="00595E6A" w:rsidP="00595E6A">
            <w:pPr>
              <w:pStyle w:val="TableBodyText"/>
              <w:keepNext w:val="0"/>
              <w:keepLines w:val="0"/>
              <w:ind w:hanging="6"/>
              <w:jc w:val="left"/>
            </w:pPr>
          </w:p>
        </w:tc>
      </w:tr>
      <w:tr w:rsidR="00595E6A" w:rsidTr="00162BCC">
        <w:tc>
          <w:tcPr>
            <w:tcW w:w="1129" w:type="pct"/>
            <w:gridSpan w:val="2"/>
          </w:tcPr>
          <w:p w:rsidR="00595E6A" w:rsidRPr="008E7459" w:rsidRDefault="00595E6A" w:rsidP="00595E6A">
            <w:pPr>
              <w:pStyle w:val="TableBodyText"/>
              <w:keepNext w:val="0"/>
              <w:keepLines w:val="0"/>
              <w:ind w:left="34"/>
              <w:jc w:val="left"/>
            </w:pPr>
            <w:r w:rsidRPr="008E7459">
              <w:t>Data availability:</w:t>
            </w:r>
          </w:p>
        </w:tc>
        <w:tc>
          <w:tcPr>
            <w:tcW w:w="3869" w:type="pct"/>
          </w:tcPr>
          <w:p w:rsidR="00595E6A" w:rsidRDefault="00595E6A" w:rsidP="00595E6A">
            <w:pPr>
              <w:pStyle w:val="TableBodyText"/>
              <w:ind w:hanging="6"/>
              <w:jc w:val="left"/>
            </w:pPr>
            <w:r>
              <w:t>2012</w:t>
            </w:r>
            <w:r w:rsidR="006F3AC6">
              <w:noBreakHyphen/>
            </w:r>
            <w:r>
              <w:t xml:space="preserve">13 (Indigenous) — NATSIHS component of the AATSIHS </w:t>
            </w:r>
          </w:p>
          <w:p w:rsidR="00595E6A" w:rsidRPr="008E7459" w:rsidRDefault="00595E6A" w:rsidP="00595E6A">
            <w:pPr>
              <w:pStyle w:val="TableBodyText"/>
              <w:keepNext w:val="0"/>
              <w:keepLines w:val="0"/>
              <w:ind w:hanging="6"/>
              <w:jc w:val="left"/>
            </w:pPr>
            <w:r>
              <w:t>2012 (non</w:t>
            </w:r>
            <w:r w:rsidR="00D119D7">
              <w:noBreakHyphen/>
            </w:r>
            <w:r>
              <w:t>Indigenous) — SEW</w:t>
            </w:r>
          </w:p>
        </w:tc>
      </w:tr>
      <w:tr w:rsidR="00162BCC" w:rsidTr="00162BCC">
        <w:tblPrEx>
          <w:tblBorders>
            <w:top w:val="single" w:sz="6" w:space="0" w:color="auto"/>
            <w:left w:val="single" w:sz="6" w:space="0" w:color="auto"/>
            <w:bottom w:val="single" w:sz="6" w:space="0" w:color="auto"/>
            <w:right w:val="single" w:sz="6" w:space="0" w:color="auto"/>
          </w:tblBorders>
          <w:tblCellMar>
            <w:left w:w="142" w:type="dxa"/>
            <w:right w:w="142" w:type="dxa"/>
          </w:tblCellMar>
        </w:tblPrEx>
        <w:trPr>
          <w:gridBefore w:val="1"/>
          <w:wBefore w:w="13" w:type="pct"/>
        </w:trPr>
        <w:tc>
          <w:tcPr>
            <w:tcW w:w="4987" w:type="pct"/>
            <w:gridSpan w:val="2"/>
            <w:tcBorders>
              <w:top w:val="single" w:sz="6" w:space="0" w:color="auto"/>
              <w:bottom w:val="nil"/>
            </w:tcBorders>
          </w:tcPr>
          <w:p w:rsidR="00162BCC" w:rsidRDefault="00162BCC" w:rsidP="00EF255E">
            <w:pPr>
              <w:pStyle w:val="BoxTitle"/>
            </w:pPr>
            <w:r>
              <w:rPr>
                <w:b w:val="0"/>
              </w:rPr>
              <w:t xml:space="preserve">Box </w:t>
            </w:r>
            <w:r>
              <w:rPr>
                <w:b w:val="0"/>
              </w:rPr>
              <w:fldChar w:fldCharType="begin"/>
            </w:r>
            <w:r>
              <w:rPr>
                <w:b w:val="0"/>
              </w:rPr>
              <w:instrText xml:space="preserve"> SEQ Box \* ARABIC </w:instrText>
            </w:r>
            <w:r>
              <w:rPr>
                <w:b w:val="0"/>
              </w:rPr>
              <w:fldChar w:fldCharType="separate"/>
            </w:r>
            <w:r w:rsidR="005F5618">
              <w:rPr>
                <w:b w:val="0"/>
                <w:noProof/>
              </w:rPr>
              <w:t>8</w:t>
            </w:r>
            <w:r>
              <w:rPr>
                <w:b w:val="0"/>
              </w:rPr>
              <w:fldChar w:fldCharType="end"/>
            </w:r>
            <w:r>
              <w:tab/>
              <w:t>Results</w:t>
            </w:r>
          </w:p>
        </w:tc>
      </w:tr>
      <w:tr w:rsidR="00162BCC" w:rsidTr="00162BCC">
        <w:tblPrEx>
          <w:tblBorders>
            <w:top w:val="single" w:sz="6" w:space="0" w:color="auto"/>
            <w:left w:val="single" w:sz="6" w:space="0" w:color="auto"/>
            <w:bottom w:val="single" w:sz="6" w:space="0" w:color="auto"/>
            <w:right w:val="single" w:sz="6" w:space="0" w:color="auto"/>
          </w:tblBorders>
          <w:tblCellMar>
            <w:left w:w="142" w:type="dxa"/>
            <w:right w:w="142" w:type="dxa"/>
          </w:tblCellMar>
        </w:tblPrEx>
        <w:trPr>
          <w:gridBefore w:val="1"/>
          <w:wBefore w:w="13" w:type="pct"/>
          <w:cantSplit/>
        </w:trPr>
        <w:tc>
          <w:tcPr>
            <w:tcW w:w="4987" w:type="pct"/>
            <w:gridSpan w:val="2"/>
            <w:tcBorders>
              <w:top w:val="nil"/>
              <w:left w:val="single" w:sz="6" w:space="0" w:color="auto"/>
              <w:bottom w:val="nil"/>
              <w:right w:val="single" w:sz="6" w:space="0" w:color="auto"/>
            </w:tcBorders>
          </w:tcPr>
          <w:p w:rsidR="00787892" w:rsidRDefault="00787892" w:rsidP="00787892">
            <w:pPr>
              <w:pStyle w:val="Box"/>
            </w:pPr>
            <w:r>
              <w:t>For this report, new data for this indicator are available for 2012</w:t>
            </w:r>
            <w:r>
              <w:noBreakHyphen/>
              <w:t xml:space="preserve">13 (NATSIHS) and 2012 </w:t>
            </w:r>
            <w:r w:rsidR="00C77478">
              <w:t>(SEW)</w:t>
            </w:r>
            <w:r>
              <w:t>.</w:t>
            </w:r>
          </w:p>
          <w:p w:rsidR="00787892" w:rsidRDefault="00787892" w:rsidP="00787892">
            <w:pPr>
              <w:pStyle w:val="BoxListBullet"/>
            </w:pPr>
            <w:r>
              <w:t xml:space="preserve">Data are presented </w:t>
            </w:r>
            <w:r w:rsidR="00C77478">
              <w:t>nationally by</w:t>
            </w:r>
            <w:r>
              <w:t xml:space="preserve"> Indigenous status in table NEA.4.2</w:t>
            </w:r>
            <w:r w:rsidR="008842BD">
              <w:t>.</w:t>
            </w:r>
          </w:p>
          <w:p w:rsidR="00162BCC" w:rsidRDefault="00C77478" w:rsidP="00C77478">
            <w:pPr>
              <w:pStyle w:val="Box"/>
            </w:pPr>
            <w:r>
              <w:t xml:space="preserve">2011 Census data are available in the 2012 NEA performance report. </w:t>
            </w:r>
            <w:r w:rsidR="00787892">
              <w:t>Baseline data from the 2006 Census are available in the 2008 NEA performance report.</w:t>
            </w:r>
          </w:p>
        </w:tc>
      </w:tr>
      <w:tr w:rsidR="00162BCC" w:rsidTr="00162BCC">
        <w:tblPrEx>
          <w:tblBorders>
            <w:top w:val="single" w:sz="6" w:space="0" w:color="auto"/>
            <w:left w:val="single" w:sz="6" w:space="0" w:color="auto"/>
            <w:bottom w:val="single" w:sz="6" w:space="0" w:color="auto"/>
            <w:right w:val="single" w:sz="6" w:space="0" w:color="auto"/>
          </w:tblBorders>
          <w:tblCellMar>
            <w:left w:w="142" w:type="dxa"/>
            <w:right w:w="142" w:type="dxa"/>
          </w:tblCellMar>
        </w:tblPrEx>
        <w:trPr>
          <w:gridBefore w:val="1"/>
          <w:wBefore w:w="13" w:type="pct"/>
          <w:cantSplit/>
        </w:trPr>
        <w:tc>
          <w:tcPr>
            <w:tcW w:w="4987" w:type="pct"/>
            <w:gridSpan w:val="2"/>
            <w:tcBorders>
              <w:top w:val="nil"/>
              <w:left w:val="single" w:sz="6" w:space="0" w:color="auto"/>
              <w:bottom w:val="single" w:sz="6" w:space="0" w:color="auto"/>
              <w:right w:val="single" w:sz="6" w:space="0" w:color="auto"/>
            </w:tcBorders>
          </w:tcPr>
          <w:p w:rsidR="00162BCC" w:rsidRDefault="00162BCC" w:rsidP="00EF255E">
            <w:pPr>
              <w:pStyle w:val="Box"/>
              <w:spacing w:before="0" w:line="120" w:lineRule="exact"/>
            </w:pPr>
          </w:p>
        </w:tc>
      </w:tr>
      <w:tr w:rsidR="00162BCC" w:rsidRPr="000863A5" w:rsidTr="00162BCC">
        <w:tblPrEx>
          <w:tblBorders>
            <w:top w:val="single" w:sz="6" w:space="0" w:color="auto"/>
            <w:left w:val="single" w:sz="6" w:space="0" w:color="auto"/>
            <w:bottom w:val="single" w:sz="6" w:space="0" w:color="auto"/>
            <w:right w:val="single" w:sz="6" w:space="0" w:color="auto"/>
          </w:tblBorders>
          <w:tblCellMar>
            <w:left w:w="142" w:type="dxa"/>
            <w:right w:w="142" w:type="dxa"/>
          </w:tblCellMar>
        </w:tblPrEx>
        <w:trPr>
          <w:gridBefore w:val="1"/>
          <w:wBefore w:w="13" w:type="pct"/>
        </w:trPr>
        <w:tc>
          <w:tcPr>
            <w:tcW w:w="4987" w:type="pct"/>
            <w:gridSpan w:val="2"/>
            <w:tcBorders>
              <w:top w:val="nil"/>
              <w:left w:val="nil"/>
              <w:bottom w:val="nil"/>
              <w:right w:val="nil"/>
            </w:tcBorders>
          </w:tcPr>
          <w:p w:rsidR="00162BCC" w:rsidRPr="00626D32" w:rsidRDefault="00162BCC" w:rsidP="00EF255E">
            <w:pPr>
              <w:pStyle w:val="BoxSpaceBelow"/>
            </w:pPr>
          </w:p>
        </w:tc>
      </w:tr>
    </w:tbl>
    <w:p w:rsidR="00162BCC" w:rsidRDefault="00162BCC" w:rsidP="00162BCC">
      <w:pPr>
        <w:pStyle w:val="Heading4"/>
      </w:pPr>
      <w:r>
        <w:t>Attachment tables</w:t>
      </w:r>
    </w:p>
    <w:tbl>
      <w:tblPr>
        <w:tblW w:w="880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0"/>
        <w:gridCol w:w="6844"/>
      </w:tblGrid>
      <w:tr w:rsidR="00162BCC" w:rsidRPr="008E7459" w:rsidTr="00EF255E">
        <w:trPr>
          <w:trHeight w:val="612"/>
        </w:trPr>
        <w:tc>
          <w:tcPr>
            <w:tcW w:w="1960" w:type="dxa"/>
            <w:shd w:val="clear" w:color="auto" w:fill="auto"/>
            <w:noWrap/>
            <w:hideMark/>
          </w:tcPr>
          <w:p w:rsidR="00162BCC" w:rsidRPr="00C77478" w:rsidRDefault="00C77478" w:rsidP="00C77478">
            <w:pPr>
              <w:pStyle w:val="TableBodyText"/>
              <w:jc w:val="left"/>
              <w:rPr>
                <w:b/>
              </w:rPr>
            </w:pPr>
            <w:r w:rsidRPr="00C77478">
              <w:rPr>
                <w:b/>
              </w:rPr>
              <w:t>Table NEA.4.2</w:t>
            </w:r>
          </w:p>
        </w:tc>
        <w:tc>
          <w:tcPr>
            <w:tcW w:w="6844" w:type="dxa"/>
            <w:shd w:val="clear" w:color="auto" w:fill="auto"/>
          </w:tcPr>
          <w:p w:rsidR="00162BCC" w:rsidRPr="008E7459" w:rsidRDefault="00C77478" w:rsidP="00C77478">
            <w:pPr>
              <w:pStyle w:val="TableBodyText"/>
              <w:jc w:val="left"/>
            </w:pPr>
            <w:r w:rsidRPr="00C77478">
              <w:t>Proportion, relative standard error, and confidence intervals of young people aged 20–24 years who have completed year 12 (or equivalent) or gained a qualification at AQF Certificate II level or above,</w:t>
            </w:r>
            <w:r w:rsidR="00B07125">
              <w:t xml:space="preserve"> by Indigenous status, 2012</w:t>
            </w:r>
            <w:r w:rsidR="009F5EB6">
              <w:noBreakHyphen/>
            </w:r>
            <w:r w:rsidR="00B07125">
              <w:t>13</w:t>
            </w:r>
          </w:p>
        </w:tc>
      </w:tr>
    </w:tbl>
    <w:p w:rsidR="00162BCC" w:rsidRDefault="00162BCC" w:rsidP="00162BCC"/>
    <w:p w:rsidR="00162BCC" w:rsidRDefault="00162BCC" w:rsidP="00162BCC">
      <w:pPr>
        <w:pStyle w:val="BoxSpaceAbove"/>
      </w:pPr>
    </w:p>
    <w:tbl>
      <w:tblPr>
        <w:tblW w:w="0" w:type="auto"/>
        <w:tblInd w:w="164" w:type="dxa"/>
        <w:tblBorders>
          <w:top w:val="single" w:sz="6" w:space="0" w:color="auto"/>
          <w:left w:val="single" w:sz="6" w:space="0" w:color="auto"/>
          <w:bottom w:val="single" w:sz="6" w:space="0" w:color="auto"/>
          <w:right w:val="single" w:sz="6" w:space="0" w:color="auto"/>
        </w:tblBorders>
        <w:tblLayout w:type="fixed"/>
        <w:tblCellMar>
          <w:left w:w="142" w:type="dxa"/>
          <w:right w:w="142" w:type="dxa"/>
        </w:tblCellMar>
        <w:tblLook w:val="0000" w:firstRow="0" w:lastRow="0" w:firstColumn="0" w:lastColumn="0" w:noHBand="0" w:noVBand="0"/>
      </w:tblPr>
      <w:tblGrid>
        <w:gridCol w:w="8771"/>
      </w:tblGrid>
      <w:tr w:rsidR="00162BCC" w:rsidTr="00EF255E">
        <w:tc>
          <w:tcPr>
            <w:tcW w:w="8771" w:type="dxa"/>
            <w:tcBorders>
              <w:top w:val="single" w:sz="6" w:space="0" w:color="auto"/>
              <w:bottom w:val="nil"/>
            </w:tcBorders>
          </w:tcPr>
          <w:p w:rsidR="00162BCC" w:rsidRDefault="00162BCC" w:rsidP="00EF255E">
            <w:pPr>
              <w:pStyle w:val="BoxTitle"/>
            </w:pPr>
            <w:r>
              <w:rPr>
                <w:b w:val="0"/>
              </w:rPr>
              <w:t xml:space="preserve">Box </w:t>
            </w:r>
            <w:r>
              <w:rPr>
                <w:b w:val="0"/>
              </w:rPr>
              <w:fldChar w:fldCharType="begin"/>
            </w:r>
            <w:r>
              <w:rPr>
                <w:b w:val="0"/>
              </w:rPr>
              <w:instrText xml:space="preserve"> SEQ Box \* ARABIC </w:instrText>
            </w:r>
            <w:r>
              <w:rPr>
                <w:b w:val="0"/>
              </w:rPr>
              <w:fldChar w:fldCharType="separate"/>
            </w:r>
            <w:r w:rsidR="005F5618">
              <w:rPr>
                <w:b w:val="0"/>
                <w:noProof/>
              </w:rPr>
              <w:t>9</w:t>
            </w:r>
            <w:r>
              <w:rPr>
                <w:b w:val="0"/>
              </w:rPr>
              <w:fldChar w:fldCharType="end"/>
            </w:r>
            <w:r>
              <w:tab/>
              <w:t>Comment on data quality</w:t>
            </w:r>
          </w:p>
        </w:tc>
      </w:tr>
      <w:tr w:rsidR="00162BCC" w:rsidTr="00EF255E">
        <w:trPr>
          <w:cantSplit/>
        </w:trPr>
        <w:tc>
          <w:tcPr>
            <w:tcW w:w="8771" w:type="dxa"/>
            <w:tcBorders>
              <w:top w:val="nil"/>
              <w:left w:val="single" w:sz="6" w:space="0" w:color="auto"/>
              <w:bottom w:val="nil"/>
              <w:right w:val="single" w:sz="6" w:space="0" w:color="auto"/>
            </w:tcBorders>
          </w:tcPr>
          <w:p w:rsidR="00162BCC" w:rsidRDefault="00787892" w:rsidP="00EF255E">
            <w:pPr>
              <w:pStyle w:val="Box"/>
            </w:pPr>
            <w:r w:rsidRPr="00787892">
              <w:t>Details are included in the comment on data quality for NEA Indicator 4.</w:t>
            </w:r>
          </w:p>
        </w:tc>
      </w:tr>
      <w:tr w:rsidR="00162BCC" w:rsidTr="00EF255E">
        <w:trPr>
          <w:cantSplit/>
        </w:trPr>
        <w:tc>
          <w:tcPr>
            <w:tcW w:w="8771" w:type="dxa"/>
            <w:tcBorders>
              <w:top w:val="nil"/>
              <w:left w:val="single" w:sz="6" w:space="0" w:color="auto"/>
              <w:bottom w:val="single" w:sz="6" w:space="0" w:color="auto"/>
              <w:right w:val="single" w:sz="6" w:space="0" w:color="auto"/>
            </w:tcBorders>
          </w:tcPr>
          <w:p w:rsidR="00162BCC" w:rsidRDefault="00162BCC" w:rsidP="00EF255E">
            <w:pPr>
              <w:pStyle w:val="Box"/>
              <w:spacing w:before="0" w:line="120" w:lineRule="exact"/>
            </w:pPr>
          </w:p>
        </w:tc>
      </w:tr>
      <w:tr w:rsidR="00162BCC" w:rsidRPr="000863A5" w:rsidTr="00EF255E">
        <w:tc>
          <w:tcPr>
            <w:tcW w:w="8771" w:type="dxa"/>
            <w:tcBorders>
              <w:top w:val="nil"/>
              <w:left w:val="nil"/>
              <w:bottom w:val="nil"/>
              <w:right w:val="nil"/>
            </w:tcBorders>
          </w:tcPr>
          <w:p w:rsidR="00162BCC" w:rsidRPr="00626D32" w:rsidRDefault="00162BCC" w:rsidP="00EF255E">
            <w:pPr>
              <w:pStyle w:val="BoxSpaceBelow"/>
            </w:pPr>
          </w:p>
        </w:tc>
      </w:tr>
    </w:tbl>
    <w:p w:rsidR="00162BCC" w:rsidRDefault="00162BCC" w:rsidP="00162BCC">
      <w:pPr>
        <w:pStyle w:val="BodyText"/>
      </w:pPr>
    </w:p>
    <w:p w:rsidR="00162BCC" w:rsidRDefault="00162BCC">
      <w:pPr>
        <w:rPr>
          <w:rFonts w:ascii="Arial" w:hAnsi="Arial"/>
          <w:b/>
          <w:sz w:val="32"/>
          <w:szCs w:val="20"/>
        </w:rPr>
      </w:pPr>
      <w:r>
        <w:br w:type="page"/>
      </w:r>
    </w:p>
    <w:p w:rsidR="00FB62F5" w:rsidRPr="00117C12" w:rsidRDefault="00FB62F5" w:rsidP="00FB62F5">
      <w:pPr>
        <w:pStyle w:val="Heading2"/>
      </w:pPr>
      <w:r w:rsidRPr="00117C12">
        <w:t>Performance indicators</w:t>
      </w:r>
    </w:p>
    <w:p w:rsidR="00FB62F5" w:rsidRPr="00117C12" w:rsidRDefault="00FB62F5" w:rsidP="00FB62F5">
      <w:pPr>
        <w:pStyle w:val="BodyText"/>
      </w:pPr>
      <w:r w:rsidRPr="00117C12">
        <w:t>This report includes all ‘performance indicators’ from the NEA (table</w:t>
      </w:r>
      <w:r w:rsidR="00966FAA" w:rsidRPr="00117C12">
        <w:t> </w:t>
      </w:r>
      <w:r w:rsidR="00162BCC">
        <w:fldChar w:fldCharType="begin"/>
      </w:r>
      <w:r w:rsidR="00162BCC">
        <w:instrText xml:space="preserve"> LINK Word.Document.12 "\\\\mel_1\\groups\\Monitor\\09 National Agreement Report\\02 NAR Report WIP\\2013 NAR Report - Ed and training\\2013 NAR second draft\\NEA\\NEA 2013 second draft for CA.docx" "OLE_LINK12" \a \t </w:instrText>
      </w:r>
      <w:r w:rsidR="00162BCC">
        <w:fldChar w:fldCharType="separate"/>
      </w:r>
      <w:r w:rsidR="002030DC">
        <w:t>9</w:t>
      </w:r>
      <w:r w:rsidR="00162BCC">
        <w:fldChar w:fldCharType="end"/>
      </w:r>
      <w:r w:rsidR="00162BCC">
        <w:t>)</w:t>
      </w:r>
      <w:r w:rsidRPr="00117C12">
        <w:t>. The NEA states that, reflecting all Australian Governments’ shared commitment to tackling social exclusion, wherever possible, performance indicators should be disaggregated by Indigenous status and SES [NEA para. 27]. In this report, indicators are disaggregated by Indigenous status and SES where possible.</w:t>
      </w:r>
    </w:p>
    <w:p w:rsidR="00FB62F5" w:rsidRPr="00117C12" w:rsidRDefault="00FB62F5" w:rsidP="00FB62F5">
      <w:pPr>
        <w:pStyle w:val="BodyText"/>
      </w:pPr>
      <w:r w:rsidRPr="00117C12">
        <w:t>This report also includes performance indicators from the NIRA where they are either: 1) directly related to an indicator in the NEA; or 2) are sourced from the same topic area and data collection as an indicator in the NEA (table</w:t>
      </w:r>
      <w:r w:rsidR="00966FAA" w:rsidRPr="00117C12">
        <w:t> </w:t>
      </w:r>
      <w:r w:rsidR="00162BCC">
        <w:fldChar w:fldCharType="begin"/>
      </w:r>
      <w:r w:rsidR="00162BCC">
        <w:instrText xml:space="preserve"> LINK Word.Document.12 "\\\\mel_1\\groups\\Monitor\\09 National Agreement Report\\02 NAR Report WIP\\2013 NAR Report - Ed and training\\2013 NAR second draft\\NEA\\NEA 2013 second draft for CA.docx" "OLE_LINK13" \a \t </w:instrText>
      </w:r>
      <w:r w:rsidR="00162BCC">
        <w:fldChar w:fldCharType="separate"/>
      </w:r>
      <w:r w:rsidR="002030DC">
        <w:t>10</w:t>
      </w:r>
      <w:r w:rsidR="00162BCC">
        <w:fldChar w:fldCharType="end"/>
      </w:r>
      <w:r w:rsidRPr="00117C12">
        <w:t>).</w:t>
      </w:r>
    </w:p>
    <w:p w:rsidR="00FB62F5" w:rsidRPr="00117C12" w:rsidRDefault="00FB62F5" w:rsidP="00FB62F5">
      <w:pPr>
        <w:pStyle w:val="BodyText"/>
      </w:pPr>
      <w:r w:rsidRPr="00117C12">
        <w:t>Data for the performance indicators in this report are presented in attachments labelled ‘NEA’ (for NEA indicators) and ‘NIRA’ (for NIRA indicators).</w:t>
      </w:r>
    </w:p>
    <w:p w:rsidR="00FB62F5" w:rsidRPr="00117C12" w:rsidRDefault="00FB62F5" w:rsidP="00FB62F5">
      <w:pPr>
        <w:pStyle w:val="TableTitle"/>
      </w:pPr>
      <w:r w:rsidRPr="00117C12">
        <w:rPr>
          <w:b w:val="0"/>
        </w:rPr>
        <w:t xml:space="preserve">Table </w:t>
      </w:r>
      <w:bookmarkStart w:id="16" w:name="OLE_LINK12"/>
      <w:r w:rsidRPr="00117C12">
        <w:rPr>
          <w:b w:val="0"/>
        </w:rPr>
        <w:fldChar w:fldCharType="begin"/>
      </w:r>
      <w:r w:rsidRPr="00117C12">
        <w:rPr>
          <w:b w:val="0"/>
        </w:rPr>
        <w:instrText xml:space="preserve"> SEQ Table \* ARABIC </w:instrText>
      </w:r>
      <w:r w:rsidRPr="00117C12">
        <w:rPr>
          <w:b w:val="0"/>
        </w:rPr>
        <w:fldChar w:fldCharType="separate"/>
      </w:r>
      <w:r w:rsidR="005F5618">
        <w:rPr>
          <w:b w:val="0"/>
          <w:noProof/>
        </w:rPr>
        <w:t>9</w:t>
      </w:r>
      <w:r w:rsidRPr="00117C12">
        <w:rPr>
          <w:b w:val="0"/>
        </w:rPr>
        <w:fldChar w:fldCharType="end"/>
      </w:r>
      <w:bookmarkEnd w:id="16"/>
      <w:r w:rsidRPr="00117C12">
        <w:tab/>
        <w:t>Performance indicators in the National Education Agreement</w:t>
      </w:r>
      <w:r w:rsidRPr="00117C12">
        <w:rPr>
          <w:rStyle w:val="NoteLabel"/>
          <w:b/>
        </w:rPr>
        <w:t>a</w:t>
      </w:r>
    </w:p>
    <w:tbl>
      <w:tblPr>
        <w:tblW w:w="5000" w:type="pct"/>
        <w:tblCellMar>
          <w:left w:w="0" w:type="dxa"/>
          <w:right w:w="0" w:type="dxa"/>
        </w:tblCellMar>
        <w:tblLook w:val="0000" w:firstRow="0" w:lastRow="0" w:firstColumn="0" w:lastColumn="0" w:noHBand="0" w:noVBand="0"/>
      </w:tblPr>
      <w:tblGrid>
        <w:gridCol w:w="6267"/>
        <w:gridCol w:w="2522"/>
      </w:tblGrid>
      <w:tr w:rsidR="001A5777" w:rsidRPr="00117C12" w:rsidTr="00FB62F5">
        <w:tc>
          <w:tcPr>
            <w:tcW w:w="3565" w:type="pct"/>
            <w:tcBorders>
              <w:top w:val="single" w:sz="6" w:space="0" w:color="auto"/>
              <w:bottom w:val="single" w:sz="6" w:space="0" w:color="auto"/>
            </w:tcBorders>
            <w:shd w:val="clear" w:color="auto" w:fill="auto"/>
          </w:tcPr>
          <w:p w:rsidR="00FB62F5" w:rsidRPr="00117C12" w:rsidRDefault="00FB62F5" w:rsidP="00FE60BF">
            <w:pPr>
              <w:pStyle w:val="TableColumnHeading"/>
              <w:jc w:val="left"/>
            </w:pPr>
            <w:r w:rsidRPr="00117C12">
              <w:t>Performance indicator</w:t>
            </w:r>
          </w:p>
        </w:tc>
        <w:tc>
          <w:tcPr>
            <w:tcW w:w="1435" w:type="pct"/>
            <w:tcBorders>
              <w:top w:val="single" w:sz="6" w:space="0" w:color="auto"/>
              <w:bottom w:val="single" w:sz="6" w:space="0" w:color="auto"/>
            </w:tcBorders>
            <w:shd w:val="clear" w:color="auto" w:fill="auto"/>
          </w:tcPr>
          <w:p w:rsidR="00FB62F5" w:rsidRPr="00117C12" w:rsidRDefault="00FB62F5" w:rsidP="00FE60BF">
            <w:pPr>
              <w:pStyle w:val="TableColumnHeading"/>
              <w:ind w:right="28"/>
            </w:pPr>
            <w:r w:rsidRPr="00FC59D6">
              <w:t>Page number in this report</w:t>
            </w:r>
          </w:p>
        </w:tc>
      </w:tr>
      <w:tr w:rsidR="001A5777" w:rsidRPr="00117C12" w:rsidTr="00FB62F5">
        <w:tc>
          <w:tcPr>
            <w:tcW w:w="3565" w:type="pct"/>
            <w:tcBorders>
              <w:top w:val="single" w:sz="6" w:space="0" w:color="auto"/>
            </w:tcBorders>
          </w:tcPr>
          <w:p w:rsidR="00FB62F5" w:rsidRPr="00117C12" w:rsidRDefault="00FB62F5" w:rsidP="00FE60BF">
            <w:pPr>
              <w:pStyle w:val="TableBodyText"/>
              <w:spacing w:before="80"/>
              <w:ind w:left="340" w:hanging="340"/>
              <w:jc w:val="left"/>
            </w:pPr>
            <w:r w:rsidRPr="00117C12">
              <w:t xml:space="preserve">1. </w:t>
            </w:r>
            <w:r w:rsidRPr="00117C12">
              <w:tab/>
              <w:t xml:space="preserve">The rate of student attendance at school. </w:t>
            </w:r>
          </w:p>
          <w:p w:rsidR="00FB62F5" w:rsidRPr="00117C12" w:rsidRDefault="00FB62F5" w:rsidP="00FE60BF">
            <w:pPr>
              <w:pStyle w:val="TableBodyText"/>
              <w:spacing w:before="80"/>
              <w:jc w:val="left"/>
            </w:pPr>
          </w:p>
        </w:tc>
        <w:tc>
          <w:tcPr>
            <w:tcW w:w="1435" w:type="pct"/>
            <w:tcBorders>
              <w:top w:val="single" w:sz="6" w:space="0" w:color="auto"/>
            </w:tcBorders>
          </w:tcPr>
          <w:p w:rsidR="00FB62F5" w:rsidRPr="00117C12" w:rsidRDefault="0012054D" w:rsidP="00FE60BF">
            <w:pPr>
              <w:pStyle w:val="TableUnitsRow"/>
              <w:ind w:right="28"/>
            </w:pPr>
            <w:r>
              <w:fldChar w:fldCharType="begin"/>
            </w:r>
            <w:r>
              <w:instrText xml:space="preserve"> PAGEREF _Ref377566465 \h </w:instrText>
            </w:r>
            <w:r>
              <w:fldChar w:fldCharType="separate"/>
            </w:r>
            <w:r w:rsidR="005F5618">
              <w:rPr>
                <w:noProof/>
              </w:rPr>
              <w:t>30</w:t>
            </w:r>
            <w:r>
              <w:fldChar w:fldCharType="end"/>
            </w:r>
          </w:p>
        </w:tc>
      </w:tr>
      <w:tr w:rsidR="001A5777" w:rsidRPr="00117C12" w:rsidTr="00FB62F5">
        <w:tc>
          <w:tcPr>
            <w:tcW w:w="3565" w:type="pct"/>
          </w:tcPr>
          <w:p w:rsidR="00FB62F5" w:rsidRPr="00117C12" w:rsidRDefault="00FB62F5" w:rsidP="00FE60BF">
            <w:pPr>
              <w:pStyle w:val="TableBodyText"/>
              <w:ind w:left="340" w:hanging="340"/>
              <w:jc w:val="left"/>
            </w:pPr>
            <w:r w:rsidRPr="00117C12">
              <w:t xml:space="preserve">2. </w:t>
            </w:r>
            <w:r w:rsidRPr="00117C12">
              <w:tab/>
              <w:t xml:space="preserve">Literacy and numeracy achievement of Year 3, 5, 7 and 9 students in national testing. </w:t>
            </w:r>
          </w:p>
          <w:p w:rsidR="00FB62F5" w:rsidRPr="00117C12" w:rsidRDefault="00FB62F5" w:rsidP="00FE60BF">
            <w:pPr>
              <w:pStyle w:val="TableBodyText"/>
              <w:jc w:val="left"/>
            </w:pPr>
          </w:p>
        </w:tc>
        <w:tc>
          <w:tcPr>
            <w:tcW w:w="1435" w:type="pct"/>
          </w:tcPr>
          <w:p w:rsidR="00FB62F5" w:rsidRPr="00117C12" w:rsidRDefault="0012054D" w:rsidP="00FE60BF">
            <w:pPr>
              <w:pStyle w:val="TableBodyText"/>
              <w:ind w:right="28"/>
            </w:pPr>
            <w:r>
              <w:fldChar w:fldCharType="begin"/>
            </w:r>
            <w:r>
              <w:instrText xml:space="preserve"> PAGEREF _Ref377566470 \h </w:instrText>
            </w:r>
            <w:r>
              <w:fldChar w:fldCharType="separate"/>
            </w:r>
            <w:r w:rsidR="005F5618">
              <w:rPr>
                <w:noProof/>
              </w:rPr>
              <w:t>33</w:t>
            </w:r>
            <w:r>
              <w:fldChar w:fldCharType="end"/>
            </w:r>
          </w:p>
        </w:tc>
      </w:tr>
      <w:tr w:rsidR="001A5777" w:rsidRPr="00117C12" w:rsidTr="00FB62F5">
        <w:tc>
          <w:tcPr>
            <w:tcW w:w="3565" w:type="pct"/>
          </w:tcPr>
          <w:p w:rsidR="00FB62F5" w:rsidRPr="00117C12" w:rsidRDefault="00FB62F5" w:rsidP="00FE60BF">
            <w:pPr>
              <w:pStyle w:val="TableBodyText"/>
              <w:ind w:left="340" w:hanging="340"/>
              <w:jc w:val="left"/>
            </w:pPr>
            <w:r w:rsidRPr="00117C12">
              <w:t xml:space="preserve">3. </w:t>
            </w:r>
            <w:r w:rsidRPr="00117C12">
              <w:tab/>
              <w:t xml:space="preserve">The proportion of students in the bottom and top levels of performance in international testing. </w:t>
            </w:r>
          </w:p>
          <w:p w:rsidR="00FB62F5" w:rsidRPr="00117C12" w:rsidRDefault="00FB62F5" w:rsidP="00FE60BF">
            <w:pPr>
              <w:pStyle w:val="TableBodyText"/>
              <w:ind w:left="340" w:hanging="340"/>
              <w:jc w:val="left"/>
            </w:pPr>
          </w:p>
        </w:tc>
        <w:tc>
          <w:tcPr>
            <w:tcW w:w="1435" w:type="pct"/>
          </w:tcPr>
          <w:p w:rsidR="00FB62F5" w:rsidRPr="00117C12" w:rsidRDefault="0012054D" w:rsidP="00FE60BF">
            <w:pPr>
              <w:pStyle w:val="TableBodyText"/>
              <w:ind w:right="28"/>
            </w:pPr>
            <w:r>
              <w:fldChar w:fldCharType="begin"/>
            </w:r>
            <w:r>
              <w:instrText xml:space="preserve"> PAGEREF _Ref377566474 \h </w:instrText>
            </w:r>
            <w:r>
              <w:fldChar w:fldCharType="separate"/>
            </w:r>
            <w:r w:rsidR="005F5618">
              <w:rPr>
                <w:noProof/>
              </w:rPr>
              <w:t>39</w:t>
            </w:r>
            <w:r>
              <w:fldChar w:fldCharType="end"/>
            </w:r>
          </w:p>
        </w:tc>
      </w:tr>
      <w:tr w:rsidR="001A5777" w:rsidRPr="00117C12" w:rsidTr="00FB62F5">
        <w:tc>
          <w:tcPr>
            <w:tcW w:w="3565" w:type="pct"/>
          </w:tcPr>
          <w:p w:rsidR="00FB62F5" w:rsidRPr="00117C12" w:rsidRDefault="00FB62F5" w:rsidP="00FE60BF">
            <w:pPr>
              <w:pStyle w:val="TableBodyText"/>
              <w:ind w:left="346" w:hanging="340"/>
              <w:jc w:val="left"/>
            </w:pPr>
            <w:r w:rsidRPr="00117C12">
              <w:t>4.</w:t>
            </w:r>
            <w:r w:rsidRPr="00117C12">
              <w:tab/>
              <w:t>The proportion of young people who have attained at least a year 12 or equivalent or AQF Certificate Level II/III or above.</w:t>
            </w:r>
          </w:p>
          <w:p w:rsidR="00FB62F5" w:rsidRPr="00117C12" w:rsidRDefault="00FB62F5" w:rsidP="00FE60BF">
            <w:pPr>
              <w:pStyle w:val="TableBodyText"/>
              <w:jc w:val="left"/>
            </w:pPr>
          </w:p>
        </w:tc>
        <w:tc>
          <w:tcPr>
            <w:tcW w:w="1435" w:type="pct"/>
          </w:tcPr>
          <w:p w:rsidR="00FB62F5" w:rsidRPr="00117C12" w:rsidRDefault="0012054D" w:rsidP="00FE60BF">
            <w:pPr>
              <w:pStyle w:val="TableBodyText"/>
              <w:ind w:right="28"/>
            </w:pPr>
            <w:r>
              <w:fldChar w:fldCharType="begin"/>
            </w:r>
            <w:r>
              <w:instrText xml:space="preserve"> PAGEREF _Ref377566482 \h </w:instrText>
            </w:r>
            <w:r>
              <w:fldChar w:fldCharType="separate"/>
            </w:r>
            <w:r w:rsidR="005F5618">
              <w:rPr>
                <w:noProof/>
              </w:rPr>
              <w:t>43</w:t>
            </w:r>
            <w:r>
              <w:fldChar w:fldCharType="end"/>
            </w:r>
          </w:p>
        </w:tc>
      </w:tr>
      <w:tr w:rsidR="001A5777" w:rsidRPr="00117C12" w:rsidTr="00FB62F5">
        <w:tc>
          <w:tcPr>
            <w:tcW w:w="3565" w:type="pct"/>
            <w:tcBorders>
              <w:bottom w:val="single" w:sz="6" w:space="0" w:color="auto"/>
            </w:tcBorders>
            <w:shd w:val="clear" w:color="auto" w:fill="auto"/>
          </w:tcPr>
          <w:p w:rsidR="00FB62F5" w:rsidRPr="00117C12" w:rsidRDefault="00FB62F5" w:rsidP="00FE60BF">
            <w:pPr>
              <w:pStyle w:val="TableBodyText"/>
              <w:ind w:left="346" w:hanging="340"/>
              <w:jc w:val="left"/>
            </w:pPr>
            <w:r w:rsidRPr="00117C12">
              <w:t xml:space="preserve">5. </w:t>
            </w:r>
            <w:r w:rsidRPr="00117C12">
              <w:tab/>
              <w:t>The proportion of young people participating in post</w:t>
            </w:r>
            <w:r w:rsidRPr="00117C12">
              <w:noBreakHyphen/>
              <w:t>school education, training or employment.</w:t>
            </w:r>
          </w:p>
          <w:p w:rsidR="00FB62F5" w:rsidRPr="00117C12" w:rsidRDefault="00FB62F5" w:rsidP="00FE60BF">
            <w:pPr>
              <w:pStyle w:val="TableBodyText"/>
              <w:jc w:val="left"/>
            </w:pPr>
          </w:p>
        </w:tc>
        <w:tc>
          <w:tcPr>
            <w:tcW w:w="1435" w:type="pct"/>
            <w:tcBorders>
              <w:bottom w:val="single" w:sz="6" w:space="0" w:color="auto"/>
            </w:tcBorders>
            <w:shd w:val="clear" w:color="auto" w:fill="auto"/>
          </w:tcPr>
          <w:p w:rsidR="00FB62F5" w:rsidRPr="00117C12" w:rsidRDefault="0012054D" w:rsidP="00FE60BF">
            <w:pPr>
              <w:pStyle w:val="TableBodyText"/>
              <w:ind w:right="28"/>
            </w:pPr>
            <w:r>
              <w:fldChar w:fldCharType="begin"/>
            </w:r>
            <w:r>
              <w:instrText xml:space="preserve"> PAGEREF _Ref377566487 \h </w:instrText>
            </w:r>
            <w:r>
              <w:fldChar w:fldCharType="separate"/>
            </w:r>
            <w:r w:rsidR="005F5618">
              <w:rPr>
                <w:noProof/>
              </w:rPr>
              <w:t>48</w:t>
            </w:r>
            <w:r>
              <w:fldChar w:fldCharType="end"/>
            </w:r>
          </w:p>
        </w:tc>
      </w:tr>
    </w:tbl>
    <w:p w:rsidR="00FB62F5" w:rsidRPr="00117C12" w:rsidRDefault="00FB62F5" w:rsidP="00FE60BF">
      <w:pPr>
        <w:pStyle w:val="Note"/>
      </w:pPr>
      <w:r w:rsidRPr="00117C12">
        <w:rPr>
          <w:rStyle w:val="NoteLabel"/>
        </w:rPr>
        <w:t>a</w:t>
      </w:r>
      <w:r w:rsidRPr="00117C12">
        <w:t xml:space="preserve"> The performance indicators are presented in this table using the direct wording from pp.</w:t>
      </w:r>
      <w:r w:rsidR="00966FAA" w:rsidRPr="00117C12">
        <w:t> </w:t>
      </w:r>
      <w:r w:rsidRPr="00117C12">
        <w:t>9–10 of the NEA (COAG 2012a). This does not necessarily reflect the measures used to report against the indicators in this report.</w:t>
      </w:r>
    </w:p>
    <w:p w:rsidR="00FE60BF" w:rsidRPr="00A96098" w:rsidRDefault="00FE60BF">
      <w:pPr>
        <w:pStyle w:val="TableTitle"/>
      </w:pPr>
      <w:r w:rsidRPr="00A96098">
        <w:rPr>
          <w:b w:val="0"/>
        </w:rPr>
        <w:t xml:space="preserve">Table </w:t>
      </w:r>
      <w:bookmarkStart w:id="17" w:name="OLE_LINK13"/>
      <w:r w:rsidRPr="00A96098">
        <w:rPr>
          <w:b w:val="0"/>
        </w:rPr>
        <w:fldChar w:fldCharType="begin"/>
      </w:r>
      <w:r w:rsidRPr="00A96098">
        <w:rPr>
          <w:b w:val="0"/>
        </w:rPr>
        <w:instrText xml:space="preserve"> SEQ Table \* ARABIC </w:instrText>
      </w:r>
      <w:r w:rsidRPr="00A96098">
        <w:rPr>
          <w:b w:val="0"/>
        </w:rPr>
        <w:fldChar w:fldCharType="separate"/>
      </w:r>
      <w:r w:rsidR="005F5618">
        <w:rPr>
          <w:b w:val="0"/>
          <w:noProof/>
        </w:rPr>
        <w:t>10</w:t>
      </w:r>
      <w:r w:rsidRPr="00A96098">
        <w:rPr>
          <w:b w:val="0"/>
        </w:rPr>
        <w:fldChar w:fldCharType="end"/>
      </w:r>
      <w:bookmarkEnd w:id="17"/>
      <w:r w:rsidRPr="00A96098">
        <w:tab/>
      </w:r>
      <w:r w:rsidR="001368EC" w:rsidRPr="00A96098">
        <w:t>Related performance indicators in the National Indigenous Reform Agreement</w:t>
      </w:r>
      <w:r w:rsidR="001368EC" w:rsidRPr="00A96098">
        <w:rPr>
          <w:rStyle w:val="NoteLabel"/>
          <w:b/>
        </w:rPr>
        <w:t>a</w:t>
      </w:r>
    </w:p>
    <w:p w:rsidR="00FE60BF" w:rsidRPr="00A96098" w:rsidRDefault="00FE60BF">
      <w:pPr>
        <w:pStyle w:val="Subtitle"/>
      </w:pPr>
    </w:p>
    <w:tbl>
      <w:tblPr>
        <w:tblW w:w="5000" w:type="pct"/>
        <w:tblCellMar>
          <w:left w:w="0" w:type="dxa"/>
          <w:right w:w="0" w:type="dxa"/>
        </w:tblCellMar>
        <w:tblLook w:val="0000" w:firstRow="0" w:lastRow="0" w:firstColumn="0" w:lastColumn="0" w:noHBand="0" w:noVBand="0"/>
      </w:tblPr>
      <w:tblGrid>
        <w:gridCol w:w="6267"/>
        <w:gridCol w:w="2522"/>
      </w:tblGrid>
      <w:tr w:rsidR="001A5777" w:rsidRPr="00A96098" w:rsidTr="001368EC">
        <w:tc>
          <w:tcPr>
            <w:tcW w:w="3565" w:type="pct"/>
            <w:tcBorders>
              <w:top w:val="single" w:sz="6" w:space="0" w:color="auto"/>
              <w:bottom w:val="single" w:sz="6" w:space="0" w:color="auto"/>
            </w:tcBorders>
            <w:shd w:val="clear" w:color="auto" w:fill="auto"/>
          </w:tcPr>
          <w:p w:rsidR="001368EC" w:rsidRPr="00A96098" w:rsidRDefault="001368EC" w:rsidP="009E6DDD">
            <w:pPr>
              <w:pStyle w:val="TableColumnHeading"/>
              <w:jc w:val="left"/>
            </w:pPr>
            <w:r w:rsidRPr="00A96098">
              <w:t>Performance indicator</w:t>
            </w:r>
          </w:p>
        </w:tc>
        <w:tc>
          <w:tcPr>
            <w:tcW w:w="1435" w:type="pct"/>
            <w:tcBorders>
              <w:top w:val="single" w:sz="6" w:space="0" w:color="auto"/>
              <w:bottom w:val="single" w:sz="6" w:space="0" w:color="auto"/>
            </w:tcBorders>
            <w:shd w:val="clear" w:color="auto" w:fill="auto"/>
          </w:tcPr>
          <w:p w:rsidR="001368EC" w:rsidRPr="00A96098" w:rsidRDefault="001368EC" w:rsidP="009E6DDD">
            <w:pPr>
              <w:pStyle w:val="TableColumnHeading"/>
              <w:ind w:right="28"/>
            </w:pPr>
            <w:r w:rsidRPr="00FC59D6">
              <w:t>Page number in this report</w:t>
            </w:r>
          </w:p>
        </w:tc>
      </w:tr>
      <w:tr w:rsidR="001A5777" w:rsidRPr="00A96098" w:rsidTr="001368EC">
        <w:tc>
          <w:tcPr>
            <w:tcW w:w="3565" w:type="pct"/>
            <w:tcBorders>
              <w:top w:val="single" w:sz="6" w:space="0" w:color="auto"/>
            </w:tcBorders>
          </w:tcPr>
          <w:p w:rsidR="001368EC" w:rsidRPr="00A96098" w:rsidRDefault="001368EC" w:rsidP="009E6DDD">
            <w:pPr>
              <w:pStyle w:val="TableBodyText"/>
              <w:spacing w:before="80"/>
              <w:ind w:left="340" w:hanging="340"/>
              <w:jc w:val="left"/>
            </w:pPr>
            <w:r w:rsidRPr="00A96098">
              <w:t>6. Percentage of students at or above the national minimum standard in reading, writing and numeracy for years 3, 5, 7, 9.</w:t>
            </w:r>
          </w:p>
          <w:p w:rsidR="001368EC" w:rsidRPr="00A96098" w:rsidRDefault="001368EC" w:rsidP="009E6DDD">
            <w:pPr>
              <w:pStyle w:val="TableBodyText"/>
              <w:spacing w:before="80"/>
              <w:ind w:left="284" w:hanging="284"/>
              <w:jc w:val="left"/>
            </w:pPr>
          </w:p>
        </w:tc>
        <w:tc>
          <w:tcPr>
            <w:tcW w:w="1435" w:type="pct"/>
            <w:tcBorders>
              <w:top w:val="single" w:sz="6" w:space="0" w:color="auto"/>
            </w:tcBorders>
          </w:tcPr>
          <w:p w:rsidR="001368EC" w:rsidRPr="00A96098" w:rsidRDefault="0012054D" w:rsidP="00FE60BF">
            <w:pPr>
              <w:pStyle w:val="TableUnitsRow"/>
              <w:ind w:right="28"/>
            </w:pPr>
            <w:r>
              <w:fldChar w:fldCharType="begin"/>
            </w:r>
            <w:r>
              <w:instrText xml:space="preserve"> PAGEREF _Ref377566521 \h </w:instrText>
            </w:r>
            <w:r>
              <w:fldChar w:fldCharType="separate"/>
            </w:r>
            <w:r w:rsidR="005F5618">
              <w:rPr>
                <w:noProof/>
              </w:rPr>
              <w:t>51</w:t>
            </w:r>
            <w:r>
              <w:fldChar w:fldCharType="end"/>
            </w:r>
          </w:p>
        </w:tc>
      </w:tr>
      <w:tr w:rsidR="001A5777" w:rsidRPr="00A96098" w:rsidTr="001368EC">
        <w:tc>
          <w:tcPr>
            <w:tcW w:w="3565" w:type="pct"/>
          </w:tcPr>
          <w:p w:rsidR="001368EC" w:rsidRPr="00A96098" w:rsidRDefault="001368EC" w:rsidP="009E6DDD">
            <w:pPr>
              <w:pStyle w:val="TableBodyText"/>
              <w:ind w:left="284" w:hanging="278"/>
              <w:jc w:val="left"/>
            </w:pPr>
            <w:r w:rsidRPr="00A96098">
              <w:t>7. Attendance rates, Year 1 to Year 10.</w:t>
            </w:r>
          </w:p>
          <w:p w:rsidR="001368EC" w:rsidRPr="00A96098" w:rsidRDefault="001368EC" w:rsidP="009E6DDD">
            <w:pPr>
              <w:pStyle w:val="TableBodyText"/>
              <w:ind w:left="284" w:hanging="278"/>
              <w:jc w:val="left"/>
            </w:pPr>
          </w:p>
        </w:tc>
        <w:tc>
          <w:tcPr>
            <w:tcW w:w="1435" w:type="pct"/>
          </w:tcPr>
          <w:p w:rsidR="001368EC" w:rsidRPr="00A96098" w:rsidRDefault="0012054D" w:rsidP="00FE60BF">
            <w:pPr>
              <w:pStyle w:val="TableBodyText"/>
              <w:ind w:right="28"/>
            </w:pPr>
            <w:r>
              <w:fldChar w:fldCharType="begin"/>
            </w:r>
            <w:r>
              <w:instrText xml:space="preserve"> PAGEREF _Ref377566529 \h </w:instrText>
            </w:r>
            <w:r>
              <w:fldChar w:fldCharType="separate"/>
            </w:r>
            <w:r w:rsidR="005F5618">
              <w:rPr>
                <w:noProof/>
              </w:rPr>
              <w:t>56</w:t>
            </w:r>
            <w:r>
              <w:fldChar w:fldCharType="end"/>
            </w:r>
          </w:p>
        </w:tc>
      </w:tr>
      <w:tr w:rsidR="001A5777" w:rsidRPr="00A96098" w:rsidTr="001368EC">
        <w:tc>
          <w:tcPr>
            <w:tcW w:w="3565" w:type="pct"/>
            <w:tcBorders>
              <w:bottom w:val="single" w:sz="6" w:space="0" w:color="auto"/>
            </w:tcBorders>
            <w:shd w:val="clear" w:color="auto" w:fill="auto"/>
          </w:tcPr>
          <w:p w:rsidR="001368EC" w:rsidRPr="00A96098" w:rsidRDefault="001368EC" w:rsidP="009E6DDD">
            <w:pPr>
              <w:pStyle w:val="TableBodyText"/>
              <w:jc w:val="left"/>
            </w:pPr>
            <w:r w:rsidRPr="00A96098">
              <w:t>8. Attainment of year 12 or equivalent.</w:t>
            </w:r>
          </w:p>
          <w:p w:rsidR="001368EC" w:rsidRPr="00A96098" w:rsidRDefault="001368EC" w:rsidP="009E6DDD">
            <w:pPr>
              <w:pStyle w:val="TableBodyText"/>
              <w:ind w:left="284" w:hanging="278"/>
              <w:jc w:val="left"/>
            </w:pPr>
          </w:p>
        </w:tc>
        <w:tc>
          <w:tcPr>
            <w:tcW w:w="1435" w:type="pct"/>
            <w:tcBorders>
              <w:bottom w:val="single" w:sz="6" w:space="0" w:color="auto"/>
            </w:tcBorders>
            <w:shd w:val="clear" w:color="auto" w:fill="auto"/>
          </w:tcPr>
          <w:p w:rsidR="001368EC" w:rsidRPr="00A96098" w:rsidRDefault="0012054D" w:rsidP="00FE60BF">
            <w:pPr>
              <w:pStyle w:val="TableBodyText"/>
              <w:ind w:right="28"/>
            </w:pPr>
            <w:r>
              <w:fldChar w:fldCharType="begin"/>
            </w:r>
            <w:r>
              <w:instrText xml:space="preserve"> PAGEREF _Ref377566533 \h </w:instrText>
            </w:r>
            <w:r>
              <w:fldChar w:fldCharType="separate"/>
            </w:r>
            <w:r w:rsidR="005F5618">
              <w:rPr>
                <w:noProof/>
              </w:rPr>
              <w:t>58</w:t>
            </w:r>
            <w:r>
              <w:fldChar w:fldCharType="end"/>
            </w:r>
          </w:p>
        </w:tc>
      </w:tr>
    </w:tbl>
    <w:p w:rsidR="00FB62F5" w:rsidRPr="00A96098" w:rsidRDefault="00FE60BF" w:rsidP="001368EC">
      <w:pPr>
        <w:pStyle w:val="Note"/>
      </w:pPr>
      <w:r w:rsidRPr="00A96098">
        <w:rPr>
          <w:rStyle w:val="NoteLabel"/>
        </w:rPr>
        <w:t>a</w:t>
      </w:r>
      <w:r w:rsidRPr="00A96098">
        <w:t xml:space="preserve"> </w:t>
      </w:r>
      <w:r w:rsidR="001368EC" w:rsidRPr="00A96098">
        <w:t>Performance indicators are presented in this table using the direct wording for the performance indicators in the revised NIRA (COAG 2012b). This does not necessarily reflect the measures used to report against the indicators in this report.</w:t>
      </w:r>
    </w:p>
    <w:p w:rsidR="00440197" w:rsidRPr="00A96098" w:rsidRDefault="00440197">
      <w:r w:rsidRPr="00A96098">
        <w:br w:type="page"/>
      </w:r>
    </w:p>
    <w:p w:rsidR="0035205B" w:rsidRDefault="0035205B" w:rsidP="007145C6">
      <w:pPr>
        <w:pStyle w:val="Heading3"/>
      </w:pPr>
      <w:bookmarkStart w:id="18" w:name="_Ref377566465"/>
      <w:r w:rsidRPr="007145C6">
        <w:t>Performance indicator 1: The rate of student attendance at school</w:t>
      </w:r>
      <w:bookmarkEnd w:id="18"/>
    </w:p>
    <w:p w:rsidR="0035205B" w:rsidRPr="003A784E" w:rsidRDefault="0035205B" w:rsidP="0035205B">
      <w:pPr>
        <w:pStyle w:val="Subtitle"/>
      </w:pPr>
    </w:p>
    <w:tbl>
      <w:tblPr>
        <w:tblW w:w="5000" w:type="pct"/>
        <w:tblCellMar>
          <w:left w:w="0" w:type="dxa"/>
          <w:right w:w="0" w:type="dxa"/>
        </w:tblCellMar>
        <w:tblLook w:val="0000" w:firstRow="0" w:lastRow="0" w:firstColumn="0" w:lastColumn="0" w:noHBand="0" w:noVBand="0"/>
      </w:tblPr>
      <w:tblGrid>
        <w:gridCol w:w="1985"/>
        <w:gridCol w:w="6804"/>
      </w:tblGrid>
      <w:tr w:rsidR="00A96098" w:rsidTr="008539DA">
        <w:trPr>
          <w:trHeight w:val="823"/>
        </w:trPr>
        <w:tc>
          <w:tcPr>
            <w:tcW w:w="1129" w:type="pct"/>
            <w:shd w:val="clear" w:color="auto" w:fill="auto"/>
          </w:tcPr>
          <w:p w:rsidR="00A96098" w:rsidRPr="00A96098" w:rsidRDefault="00A96098" w:rsidP="00A96098">
            <w:pPr>
              <w:pStyle w:val="TableBodyText"/>
              <w:keepNext w:val="0"/>
              <w:keepLines w:val="0"/>
              <w:ind w:left="34"/>
              <w:jc w:val="left"/>
            </w:pPr>
            <w:r w:rsidRPr="008E7459">
              <w:t>Key amendments from previous cycle of reporting:</w:t>
            </w:r>
          </w:p>
        </w:tc>
        <w:tc>
          <w:tcPr>
            <w:tcW w:w="3871" w:type="pct"/>
            <w:shd w:val="clear" w:color="auto" w:fill="auto"/>
          </w:tcPr>
          <w:p w:rsidR="00A96098" w:rsidRPr="008E7459" w:rsidRDefault="00A96098" w:rsidP="00A73C56">
            <w:pPr>
              <w:pStyle w:val="TableBodyText"/>
              <w:keepNext w:val="0"/>
              <w:keepLines w:val="0"/>
              <w:ind w:left="34"/>
              <w:jc w:val="left"/>
            </w:pPr>
            <w:r w:rsidRPr="00FC264B">
              <w:t xml:space="preserve">This </w:t>
            </w:r>
            <w:r>
              <w:t>indicator</w:t>
            </w:r>
            <w:r w:rsidRPr="00FC264B">
              <w:t xml:space="preserve"> i</w:t>
            </w:r>
            <w:r>
              <w:t>s unchanged from the previous NEA performance report</w:t>
            </w:r>
          </w:p>
        </w:tc>
      </w:tr>
      <w:tr w:rsidR="00A96098" w:rsidTr="00A47644">
        <w:trPr>
          <w:trHeight w:val="1199"/>
        </w:trPr>
        <w:tc>
          <w:tcPr>
            <w:tcW w:w="1129" w:type="pct"/>
          </w:tcPr>
          <w:p w:rsidR="00A96098" w:rsidRPr="008E7459" w:rsidRDefault="00A96098" w:rsidP="00A96098">
            <w:pPr>
              <w:pStyle w:val="TableBodyText"/>
              <w:keepNext w:val="0"/>
              <w:keepLines w:val="0"/>
              <w:ind w:left="34"/>
              <w:jc w:val="left"/>
            </w:pPr>
            <w:r w:rsidRPr="008E7459">
              <w:t>Outcomes:</w:t>
            </w:r>
          </w:p>
        </w:tc>
        <w:tc>
          <w:tcPr>
            <w:tcW w:w="3871" w:type="pct"/>
          </w:tcPr>
          <w:p w:rsidR="00A96098" w:rsidRPr="008E7459" w:rsidRDefault="00A96098" w:rsidP="00A73C56">
            <w:pPr>
              <w:pStyle w:val="TableBodyText"/>
              <w:keepNext w:val="0"/>
              <w:keepLines w:val="0"/>
              <w:jc w:val="left"/>
            </w:pPr>
            <w:r w:rsidRPr="008E7459">
              <w:t>All children are engaged in and benefiting from schooling</w:t>
            </w:r>
          </w:p>
          <w:p w:rsidR="00A96098" w:rsidRPr="008E7459" w:rsidRDefault="00A96098" w:rsidP="00A73C56">
            <w:pPr>
              <w:pStyle w:val="TableBodyText"/>
              <w:keepNext w:val="0"/>
              <w:keepLines w:val="0"/>
              <w:jc w:val="left"/>
            </w:pPr>
          </w:p>
          <w:p w:rsidR="00A96098" w:rsidRPr="008E7459" w:rsidRDefault="00A96098" w:rsidP="00A73C56">
            <w:pPr>
              <w:pStyle w:val="TableBodyText"/>
              <w:keepNext w:val="0"/>
              <w:keepLines w:val="0"/>
              <w:jc w:val="left"/>
            </w:pPr>
            <w:r w:rsidRPr="008E7459">
              <w:t>Schooling promotes the social inclusion and reduces the educational disadvantage of children, especiall</w:t>
            </w:r>
            <w:r w:rsidR="00A47644">
              <w:t>y Indigenous children</w:t>
            </w:r>
          </w:p>
        </w:tc>
      </w:tr>
      <w:tr w:rsidR="00A96098" w:rsidTr="00A47644">
        <w:trPr>
          <w:trHeight w:val="1726"/>
        </w:trPr>
        <w:tc>
          <w:tcPr>
            <w:tcW w:w="1129" w:type="pct"/>
          </w:tcPr>
          <w:p w:rsidR="00A96098" w:rsidRPr="008E7459" w:rsidRDefault="00A96098" w:rsidP="00A96098">
            <w:pPr>
              <w:pStyle w:val="TableBodyText"/>
              <w:keepNext w:val="0"/>
              <w:keepLines w:val="0"/>
              <w:ind w:left="34"/>
              <w:jc w:val="left"/>
            </w:pPr>
            <w:r w:rsidRPr="008E7459">
              <w:t xml:space="preserve">Measures: </w:t>
            </w:r>
          </w:p>
        </w:tc>
        <w:tc>
          <w:tcPr>
            <w:tcW w:w="3871" w:type="pct"/>
          </w:tcPr>
          <w:p w:rsidR="00A96098" w:rsidRPr="008E7459" w:rsidRDefault="00A96098" w:rsidP="00A73C56">
            <w:pPr>
              <w:pStyle w:val="TableBodyText"/>
              <w:keepNext w:val="0"/>
              <w:keepLines w:val="0"/>
              <w:jc w:val="left"/>
            </w:pPr>
            <w:r w:rsidRPr="008E7459">
              <w:t>There are two measures for this indicator:</w:t>
            </w:r>
          </w:p>
          <w:p w:rsidR="00A96098" w:rsidRPr="008E7459" w:rsidRDefault="00A96098" w:rsidP="00A73C56">
            <w:pPr>
              <w:pStyle w:val="TableBodyText"/>
              <w:keepNext w:val="0"/>
              <w:keepLines w:val="0"/>
              <w:jc w:val="left"/>
            </w:pPr>
          </w:p>
          <w:p w:rsidR="00A96098" w:rsidRPr="008E7459" w:rsidRDefault="00A96098" w:rsidP="00A73C56">
            <w:pPr>
              <w:pStyle w:val="TableBodyText"/>
              <w:keepNext w:val="0"/>
              <w:keepLines w:val="0"/>
              <w:jc w:val="left"/>
            </w:pPr>
            <w:r w:rsidRPr="008E7459">
              <w:t>Measure 1(a): Attendance rates for students enrolled in years 1–10</w:t>
            </w:r>
          </w:p>
          <w:p w:rsidR="00A96098" w:rsidRPr="008E7459" w:rsidRDefault="00A96098" w:rsidP="00A73C56">
            <w:pPr>
              <w:pStyle w:val="TableBodyText"/>
              <w:keepNext w:val="0"/>
              <w:keepLines w:val="0"/>
              <w:jc w:val="left"/>
            </w:pPr>
          </w:p>
          <w:p w:rsidR="00A96098" w:rsidRPr="008E7459" w:rsidRDefault="00A96098" w:rsidP="00A73C56">
            <w:pPr>
              <w:pStyle w:val="TableBodyText"/>
              <w:keepNext w:val="0"/>
              <w:keepLines w:val="0"/>
              <w:jc w:val="left"/>
            </w:pPr>
            <w:r w:rsidRPr="008E7459">
              <w:t>Measure 1(b): Attendance rates for Indigenous and low SES students enrolled in years 1–10</w:t>
            </w:r>
          </w:p>
        </w:tc>
      </w:tr>
      <w:tr w:rsidR="00A96098" w:rsidTr="008539DA">
        <w:tc>
          <w:tcPr>
            <w:tcW w:w="1129" w:type="pct"/>
          </w:tcPr>
          <w:p w:rsidR="00A96098" w:rsidRPr="008E7459" w:rsidRDefault="00A96098" w:rsidP="00A96098">
            <w:pPr>
              <w:pStyle w:val="TableBodyText"/>
              <w:keepNext w:val="0"/>
              <w:keepLines w:val="0"/>
              <w:ind w:left="34"/>
              <w:jc w:val="left"/>
            </w:pPr>
            <w:r w:rsidRPr="008E7459">
              <w:t>Measure 1(a):</w:t>
            </w:r>
          </w:p>
        </w:tc>
        <w:tc>
          <w:tcPr>
            <w:tcW w:w="3871" w:type="pct"/>
          </w:tcPr>
          <w:p w:rsidR="00A96098" w:rsidRPr="008E7459" w:rsidRDefault="00A96098" w:rsidP="00A73C56">
            <w:pPr>
              <w:pStyle w:val="TableBodyText"/>
              <w:keepNext w:val="0"/>
              <w:keepLines w:val="0"/>
              <w:jc w:val="left"/>
            </w:pPr>
            <w:r w:rsidRPr="008E7459">
              <w:t>Attendance rates for students enrolled in years 1–10</w:t>
            </w:r>
          </w:p>
          <w:p w:rsidR="00A96098" w:rsidRPr="008E7459" w:rsidRDefault="00A96098" w:rsidP="00A73C56">
            <w:pPr>
              <w:pStyle w:val="TableBodyText"/>
              <w:keepNext w:val="0"/>
              <w:keepLines w:val="0"/>
              <w:jc w:val="left"/>
            </w:pPr>
          </w:p>
          <w:p w:rsidR="00A96098" w:rsidRPr="008E7459" w:rsidRDefault="00A96098" w:rsidP="00A73C56">
            <w:pPr>
              <w:pStyle w:val="TableBodyText"/>
              <w:keepNext w:val="0"/>
              <w:keepLines w:val="0"/>
              <w:jc w:val="left"/>
            </w:pPr>
            <w:r w:rsidRPr="008E7459">
              <w:t>The measure is defined as:</w:t>
            </w:r>
          </w:p>
          <w:p w:rsidR="00A96098" w:rsidRPr="008E7459" w:rsidRDefault="00A96098" w:rsidP="00A96098">
            <w:pPr>
              <w:pStyle w:val="TableBullet"/>
              <w:keepNext w:val="0"/>
              <w:keepLines w:val="0"/>
            </w:pPr>
            <w:r w:rsidRPr="008E7459">
              <w:rPr>
                <w:i/>
              </w:rPr>
              <w:t xml:space="preserve">numerator — </w:t>
            </w:r>
            <w:r w:rsidRPr="008E7459">
              <w:t>aggregate number of actual days in attendance in the collection period, for children in years 1–10 (children enrolled full time only)</w:t>
            </w:r>
          </w:p>
          <w:p w:rsidR="00A96098" w:rsidRPr="008E7459" w:rsidRDefault="00A96098" w:rsidP="00A96098">
            <w:pPr>
              <w:pStyle w:val="TableBullet"/>
              <w:keepNext w:val="0"/>
              <w:keepLines w:val="0"/>
            </w:pPr>
            <w:r w:rsidRPr="008E7459">
              <w:rPr>
                <w:i/>
              </w:rPr>
              <w:t xml:space="preserve">denominator — </w:t>
            </w:r>
            <w:r w:rsidRPr="008E7459">
              <w:t>aggregate number of possible days for attendance in the collection period, for children in years 1–10 (children enrolled full time only)</w:t>
            </w:r>
          </w:p>
          <w:p w:rsidR="00A96098" w:rsidRPr="008E7459" w:rsidRDefault="00A96098" w:rsidP="00A73C56">
            <w:pPr>
              <w:pStyle w:val="TableBodyText"/>
              <w:keepNext w:val="0"/>
              <w:keepLines w:val="0"/>
              <w:jc w:val="left"/>
              <w:rPr>
                <w:i/>
              </w:rPr>
            </w:pPr>
            <w:r w:rsidRPr="008E7459">
              <w:t xml:space="preserve">and is expressed as a </w:t>
            </w:r>
            <w:r w:rsidRPr="008E7459">
              <w:rPr>
                <w:i/>
              </w:rPr>
              <w:t>rate per 100 days</w:t>
            </w:r>
          </w:p>
          <w:p w:rsidR="00A96098" w:rsidRPr="008E7459" w:rsidRDefault="00A96098" w:rsidP="00A73C56">
            <w:pPr>
              <w:pStyle w:val="TableBodyText"/>
              <w:keepNext w:val="0"/>
              <w:keepLines w:val="0"/>
              <w:jc w:val="left"/>
              <w:rPr>
                <w:i/>
              </w:rPr>
            </w:pPr>
          </w:p>
        </w:tc>
      </w:tr>
      <w:tr w:rsidR="00A96098" w:rsidTr="008539DA">
        <w:tc>
          <w:tcPr>
            <w:tcW w:w="1129" w:type="pct"/>
          </w:tcPr>
          <w:p w:rsidR="00A96098" w:rsidRPr="008E7459" w:rsidRDefault="00A96098" w:rsidP="00A96098">
            <w:pPr>
              <w:pStyle w:val="TableBodyText"/>
              <w:keepNext w:val="0"/>
              <w:keepLines w:val="0"/>
              <w:ind w:left="34"/>
              <w:jc w:val="left"/>
            </w:pPr>
            <w:r w:rsidRPr="008E7459">
              <w:t>Measure 1(b):</w:t>
            </w:r>
          </w:p>
        </w:tc>
        <w:tc>
          <w:tcPr>
            <w:tcW w:w="3871" w:type="pct"/>
          </w:tcPr>
          <w:p w:rsidR="00A96098" w:rsidRPr="008E7459" w:rsidRDefault="00A96098" w:rsidP="00A73C56">
            <w:pPr>
              <w:pStyle w:val="TableBodyText"/>
              <w:keepNext w:val="0"/>
              <w:keepLines w:val="0"/>
              <w:jc w:val="left"/>
            </w:pPr>
            <w:r w:rsidRPr="008E7459">
              <w:t xml:space="preserve">Attendance rates for Indigenous and low SES students enrolled in </w:t>
            </w:r>
            <w:r w:rsidR="00F40769">
              <w:br/>
            </w:r>
            <w:r w:rsidRPr="008E7459">
              <w:t>years 1–10</w:t>
            </w:r>
          </w:p>
          <w:p w:rsidR="00A96098" w:rsidRPr="008E7459" w:rsidRDefault="00A96098" w:rsidP="00A73C56">
            <w:pPr>
              <w:pStyle w:val="TableBodyText"/>
              <w:keepNext w:val="0"/>
              <w:keepLines w:val="0"/>
              <w:jc w:val="left"/>
            </w:pPr>
          </w:p>
          <w:p w:rsidR="00A96098" w:rsidRPr="008E7459" w:rsidRDefault="00A96098" w:rsidP="00A73C56">
            <w:pPr>
              <w:pStyle w:val="TableBodyText"/>
              <w:keepNext w:val="0"/>
              <w:keepLines w:val="0"/>
              <w:jc w:val="left"/>
            </w:pPr>
            <w:r w:rsidRPr="008E7459">
              <w:t>The measure is defined as:</w:t>
            </w:r>
          </w:p>
          <w:p w:rsidR="00A96098" w:rsidRPr="008E7459" w:rsidRDefault="00A96098" w:rsidP="00A96098">
            <w:pPr>
              <w:pStyle w:val="TableBullet"/>
              <w:keepNext w:val="0"/>
              <w:keepLines w:val="0"/>
            </w:pPr>
            <w:r w:rsidRPr="008E7459">
              <w:rPr>
                <w:i/>
              </w:rPr>
              <w:t xml:space="preserve">numerator — </w:t>
            </w:r>
            <w:r w:rsidRPr="008E7459">
              <w:t>aggregate number of actual days in attendance in the collection period, for children in years 1–10 (children enrolled full time only), by Indigenous status</w:t>
            </w:r>
          </w:p>
          <w:p w:rsidR="00A96098" w:rsidRPr="008E7459" w:rsidRDefault="00A96098" w:rsidP="00A96098">
            <w:pPr>
              <w:pStyle w:val="TableBullet"/>
              <w:keepNext w:val="0"/>
              <w:keepLines w:val="0"/>
            </w:pPr>
            <w:r w:rsidRPr="008E7459">
              <w:rPr>
                <w:i/>
              </w:rPr>
              <w:t xml:space="preserve">denominator — </w:t>
            </w:r>
            <w:r w:rsidRPr="008E7459">
              <w:t>aggregate number of possible days for attendance in the collection period, for children in years 1–10 (children enrolled full time only), by Indigenous status</w:t>
            </w:r>
          </w:p>
          <w:p w:rsidR="00A96098" w:rsidRPr="008E7459" w:rsidRDefault="00A96098" w:rsidP="00A73C56">
            <w:pPr>
              <w:pStyle w:val="TableBodyText"/>
              <w:keepNext w:val="0"/>
              <w:keepLines w:val="0"/>
              <w:jc w:val="left"/>
              <w:rPr>
                <w:i/>
              </w:rPr>
            </w:pPr>
            <w:r w:rsidRPr="008E7459">
              <w:t xml:space="preserve">and is expressed as a </w:t>
            </w:r>
            <w:r w:rsidRPr="008E7459">
              <w:rPr>
                <w:i/>
              </w:rPr>
              <w:t>rate per 100 days</w:t>
            </w:r>
            <w:r w:rsidRPr="008E7459">
              <w:rPr>
                <w:i/>
              </w:rPr>
              <w:br/>
            </w:r>
          </w:p>
        </w:tc>
      </w:tr>
      <w:tr w:rsidR="00A96098" w:rsidTr="008539DA">
        <w:tc>
          <w:tcPr>
            <w:tcW w:w="1129" w:type="pct"/>
          </w:tcPr>
          <w:p w:rsidR="00A96098" w:rsidRPr="008E7459" w:rsidRDefault="00A96098" w:rsidP="00A96098">
            <w:pPr>
              <w:pStyle w:val="TableBodyText"/>
              <w:keepNext w:val="0"/>
              <w:keepLines w:val="0"/>
              <w:ind w:left="34"/>
              <w:jc w:val="left"/>
            </w:pPr>
            <w:r w:rsidRPr="008E7459">
              <w:t>Data source:</w:t>
            </w:r>
          </w:p>
        </w:tc>
        <w:tc>
          <w:tcPr>
            <w:tcW w:w="3871" w:type="pct"/>
          </w:tcPr>
          <w:p w:rsidR="00A96098" w:rsidRDefault="00A96098" w:rsidP="00A73C56">
            <w:pPr>
              <w:pStyle w:val="TableBodyText"/>
              <w:keepNext w:val="0"/>
              <w:keepLines w:val="0"/>
              <w:jc w:val="left"/>
            </w:pPr>
            <w:r w:rsidRPr="008E7459">
              <w:rPr>
                <w:u w:val="single"/>
              </w:rPr>
              <w:t>National Schools Attendance Collection</w:t>
            </w:r>
            <w:r w:rsidRPr="008E7459">
              <w:t xml:space="preserve"> (NSAC). Data are available annually.</w:t>
            </w:r>
          </w:p>
          <w:p w:rsidR="00A96098" w:rsidRPr="008E7459" w:rsidRDefault="00A96098" w:rsidP="00A73C56">
            <w:pPr>
              <w:pStyle w:val="TableBodyText"/>
              <w:keepNext w:val="0"/>
              <w:keepLines w:val="0"/>
              <w:jc w:val="left"/>
            </w:pPr>
          </w:p>
        </w:tc>
      </w:tr>
      <w:tr w:rsidR="00A96098" w:rsidTr="00A96098">
        <w:trPr>
          <w:trHeight w:hRule="exact" w:val="454"/>
        </w:trPr>
        <w:tc>
          <w:tcPr>
            <w:tcW w:w="1129" w:type="pct"/>
          </w:tcPr>
          <w:p w:rsidR="00A96098" w:rsidRPr="008E7459" w:rsidRDefault="00A96098" w:rsidP="00A96098">
            <w:pPr>
              <w:pStyle w:val="TableBodyText"/>
              <w:keepNext w:val="0"/>
              <w:keepLines w:val="0"/>
              <w:ind w:left="34"/>
              <w:jc w:val="left"/>
            </w:pPr>
            <w:r w:rsidRPr="008E7459">
              <w:t>Data provider:</w:t>
            </w:r>
          </w:p>
        </w:tc>
        <w:tc>
          <w:tcPr>
            <w:tcW w:w="3871" w:type="pct"/>
          </w:tcPr>
          <w:p w:rsidR="00A96098" w:rsidRDefault="00A96098" w:rsidP="00A73C56">
            <w:pPr>
              <w:pStyle w:val="TableBodyText"/>
              <w:keepNext w:val="0"/>
              <w:keepLines w:val="0"/>
              <w:jc w:val="left"/>
            </w:pPr>
            <w:r w:rsidRPr="008E7459">
              <w:t>ACARA</w:t>
            </w:r>
          </w:p>
          <w:p w:rsidR="00A96098" w:rsidRPr="008E7459" w:rsidRDefault="00A96098" w:rsidP="00A73C56">
            <w:pPr>
              <w:pStyle w:val="TableBodyText"/>
              <w:keepNext w:val="0"/>
              <w:keepLines w:val="0"/>
              <w:jc w:val="left"/>
            </w:pPr>
          </w:p>
        </w:tc>
      </w:tr>
      <w:tr w:rsidR="00A96098" w:rsidTr="008539DA">
        <w:tc>
          <w:tcPr>
            <w:tcW w:w="1129" w:type="pct"/>
          </w:tcPr>
          <w:p w:rsidR="00A96098" w:rsidRPr="008E7459" w:rsidRDefault="00A96098" w:rsidP="00A96098">
            <w:pPr>
              <w:pStyle w:val="TableBodyText"/>
              <w:keepNext w:val="0"/>
              <w:keepLines w:val="0"/>
              <w:ind w:left="34"/>
              <w:jc w:val="left"/>
            </w:pPr>
            <w:r w:rsidRPr="008E7459">
              <w:t>Data availability:</w:t>
            </w:r>
          </w:p>
        </w:tc>
        <w:tc>
          <w:tcPr>
            <w:tcW w:w="3871" w:type="pct"/>
          </w:tcPr>
          <w:p w:rsidR="00A96098" w:rsidRDefault="00A96098" w:rsidP="00A73C56">
            <w:pPr>
              <w:pStyle w:val="TableBodyText"/>
              <w:keepNext w:val="0"/>
              <w:keepLines w:val="0"/>
              <w:jc w:val="left"/>
            </w:pPr>
            <w:r w:rsidRPr="008E7459">
              <w:t>201</w:t>
            </w:r>
            <w:r>
              <w:t>3</w:t>
            </w:r>
          </w:p>
          <w:p w:rsidR="007145C6" w:rsidRPr="008E7459" w:rsidRDefault="007145C6" w:rsidP="00A73C56">
            <w:pPr>
              <w:pStyle w:val="TableBodyText"/>
              <w:keepNext w:val="0"/>
              <w:keepLines w:val="0"/>
              <w:jc w:val="left"/>
            </w:pPr>
          </w:p>
        </w:tc>
      </w:tr>
      <w:tr w:rsidR="00A96098" w:rsidTr="008539DA">
        <w:tc>
          <w:tcPr>
            <w:tcW w:w="1129" w:type="pct"/>
          </w:tcPr>
          <w:p w:rsidR="00A96098" w:rsidRPr="008E7459" w:rsidRDefault="00A96098" w:rsidP="00A96098">
            <w:pPr>
              <w:pStyle w:val="TableBodyText"/>
              <w:keepNext w:val="0"/>
              <w:keepLines w:val="0"/>
              <w:ind w:left="34"/>
              <w:jc w:val="left"/>
            </w:pPr>
            <w:r w:rsidRPr="008E7459">
              <w:t>Cross tabulations provided:</w:t>
            </w:r>
          </w:p>
          <w:p w:rsidR="00A96098" w:rsidRPr="008E7459" w:rsidRDefault="00A96098" w:rsidP="00A96098">
            <w:pPr>
              <w:pStyle w:val="TableBodyText"/>
              <w:keepNext w:val="0"/>
              <w:keepLines w:val="0"/>
              <w:ind w:left="34"/>
              <w:jc w:val="left"/>
            </w:pPr>
          </w:p>
        </w:tc>
        <w:tc>
          <w:tcPr>
            <w:tcW w:w="3871" w:type="pct"/>
          </w:tcPr>
          <w:p w:rsidR="00A96098" w:rsidRPr="008E7459" w:rsidRDefault="00A96098" w:rsidP="00A73C56">
            <w:pPr>
              <w:pStyle w:val="TableBodyText"/>
              <w:keepNext w:val="0"/>
              <w:keepLines w:val="0"/>
              <w:jc w:val="left"/>
            </w:pPr>
            <w:r w:rsidRPr="008E7459">
              <w:t>Measure 1(a): State and Territory, by school sector, by year level, by</w:t>
            </w:r>
          </w:p>
          <w:p w:rsidR="00A96098" w:rsidRDefault="00A96098" w:rsidP="00A96098">
            <w:pPr>
              <w:pStyle w:val="TableBullet"/>
              <w:keepNext w:val="0"/>
              <w:keepLines w:val="0"/>
              <w:jc w:val="both"/>
            </w:pPr>
            <w:r w:rsidRPr="008E7459">
              <w:t>sex</w:t>
            </w:r>
          </w:p>
          <w:p w:rsidR="00A96098" w:rsidRPr="008E7459" w:rsidRDefault="00A96098" w:rsidP="00A73C56">
            <w:pPr>
              <w:pStyle w:val="TableBodyText"/>
              <w:jc w:val="left"/>
            </w:pPr>
          </w:p>
          <w:p w:rsidR="00A96098" w:rsidRPr="008E7459" w:rsidRDefault="00A96098" w:rsidP="00A73C56">
            <w:pPr>
              <w:pStyle w:val="TableBodyText"/>
              <w:keepNext w:val="0"/>
              <w:keepLines w:val="0"/>
              <w:jc w:val="left"/>
            </w:pPr>
            <w:r w:rsidRPr="008E7459">
              <w:t>Measure 1(b): State and Territory, by school sector, by year level, by</w:t>
            </w:r>
          </w:p>
          <w:p w:rsidR="00A96098" w:rsidRPr="008E7459" w:rsidRDefault="00A96098" w:rsidP="00A96098">
            <w:pPr>
              <w:pStyle w:val="TableBullet"/>
              <w:keepNext w:val="0"/>
              <w:keepLines w:val="0"/>
            </w:pPr>
            <w:r w:rsidRPr="008E7459">
              <w:t>Indigenous status</w:t>
            </w:r>
          </w:p>
        </w:tc>
      </w:tr>
    </w:tbl>
    <w:p w:rsidR="00162BCC" w:rsidRDefault="00162BCC" w:rsidP="0042643C">
      <w:pPr>
        <w:pStyle w:val="BodyText"/>
      </w:pPr>
    </w:p>
    <w:tbl>
      <w:tblPr>
        <w:tblW w:w="0" w:type="auto"/>
        <w:tblInd w:w="164" w:type="dxa"/>
        <w:tblBorders>
          <w:top w:val="single" w:sz="6" w:space="0" w:color="auto"/>
          <w:left w:val="single" w:sz="6" w:space="0" w:color="auto"/>
          <w:bottom w:val="single" w:sz="6" w:space="0" w:color="auto"/>
          <w:right w:val="single" w:sz="6" w:space="0" w:color="auto"/>
        </w:tblBorders>
        <w:tblLayout w:type="fixed"/>
        <w:tblCellMar>
          <w:left w:w="142" w:type="dxa"/>
          <w:right w:w="142" w:type="dxa"/>
        </w:tblCellMar>
        <w:tblLook w:val="0000" w:firstRow="0" w:lastRow="0" w:firstColumn="0" w:lastColumn="0" w:noHBand="0" w:noVBand="0"/>
      </w:tblPr>
      <w:tblGrid>
        <w:gridCol w:w="8771"/>
      </w:tblGrid>
      <w:tr w:rsidR="00162BCC" w:rsidTr="00EF255E">
        <w:tc>
          <w:tcPr>
            <w:tcW w:w="8771" w:type="dxa"/>
            <w:tcBorders>
              <w:top w:val="single" w:sz="6" w:space="0" w:color="auto"/>
              <w:bottom w:val="nil"/>
            </w:tcBorders>
          </w:tcPr>
          <w:p w:rsidR="00162BCC" w:rsidRDefault="00162BCC" w:rsidP="00EF255E">
            <w:pPr>
              <w:pStyle w:val="BoxTitle"/>
            </w:pPr>
            <w:r>
              <w:rPr>
                <w:b w:val="0"/>
              </w:rPr>
              <w:t xml:space="preserve">Box </w:t>
            </w:r>
            <w:r>
              <w:rPr>
                <w:b w:val="0"/>
              </w:rPr>
              <w:fldChar w:fldCharType="begin"/>
            </w:r>
            <w:r>
              <w:rPr>
                <w:b w:val="0"/>
              </w:rPr>
              <w:instrText xml:space="preserve"> SEQ Box \* ARABIC </w:instrText>
            </w:r>
            <w:r>
              <w:rPr>
                <w:b w:val="0"/>
              </w:rPr>
              <w:fldChar w:fldCharType="separate"/>
            </w:r>
            <w:r w:rsidR="005F5618">
              <w:rPr>
                <w:b w:val="0"/>
                <w:noProof/>
              </w:rPr>
              <w:t>10</w:t>
            </w:r>
            <w:r>
              <w:rPr>
                <w:b w:val="0"/>
              </w:rPr>
              <w:fldChar w:fldCharType="end"/>
            </w:r>
            <w:r>
              <w:tab/>
              <w:t>Results</w:t>
            </w:r>
          </w:p>
        </w:tc>
      </w:tr>
      <w:tr w:rsidR="00162BCC" w:rsidTr="00EF255E">
        <w:trPr>
          <w:cantSplit/>
        </w:trPr>
        <w:tc>
          <w:tcPr>
            <w:tcW w:w="8771" w:type="dxa"/>
            <w:tcBorders>
              <w:top w:val="nil"/>
              <w:left w:val="single" w:sz="6" w:space="0" w:color="auto"/>
              <w:bottom w:val="nil"/>
              <w:right w:val="single" w:sz="6" w:space="0" w:color="auto"/>
            </w:tcBorders>
          </w:tcPr>
          <w:p w:rsidR="008842BD" w:rsidRDefault="008842BD" w:rsidP="008842BD">
            <w:pPr>
              <w:pStyle w:val="Box"/>
            </w:pPr>
            <w:r>
              <w:t xml:space="preserve">For this report, new data for this </w:t>
            </w:r>
            <w:r w:rsidR="007A09AD">
              <w:t>indicator are available for 2013</w:t>
            </w:r>
            <w:r>
              <w:t xml:space="preserve">. </w:t>
            </w:r>
          </w:p>
          <w:p w:rsidR="008842BD" w:rsidRDefault="008842BD" w:rsidP="008842BD">
            <w:pPr>
              <w:pStyle w:val="BoxListBullet"/>
            </w:pPr>
            <w:r>
              <w:t>Data are presented by State and Territory by sex in tables NEA.1.1–3.</w:t>
            </w:r>
          </w:p>
          <w:p w:rsidR="008842BD" w:rsidRDefault="008842BD" w:rsidP="008842BD">
            <w:pPr>
              <w:pStyle w:val="BoxListBullet"/>
            </w:pPr>
            <w:r>
              <w:t>Data are by presented by State and Territory by Indigenous status in tables</w:t>
            </w:r>
            <w:r w:rsidR="00BC3CA5">
              <w:t> </w:t>
            </w:r>
            <w:r>
              <w:t xml:space="preserve">NEA.1.4–6. </w:t>
            </w:r>
          </w:p>
          <w:p w:rsidR="00162BCC" w:rsidRDefault="008842BD" w:rsidP="00BC3CA5">
            <w:pPr>
              <w:pStyle w:val="Box"/>
            </w:pPr>
            <w:r>
              <w:t xml:space="preserve">Data for 2012 can be found in the 2012 NEA performance report. </w:t>
            </w:r>
            <w:r w:rsidR="00BC3CA5">
              <w:t xml:space="preserve">Data for </w:t>
            </w:r>
            <w:r>
              <w:t>2011 are available in the 2011 NEA performance report. Data for 2010, 2009 and 2008 are available in the 2010 NEA performance report</w:t>
            </w:r>
            <w:r w:rsidR="00630348">
              <w:t>. D</w:t>
            </w:r>
            <w:r w:rsidR="00BC3CA5">
              <w:t>ata for</w:t>
            </w:r>
            <w:r>
              <w:t xml:space="preserve"> 2007 are available from the 2009 NEA performance report.</w:t>
            </w:r>
          </w:p>
        </w:tc>
      </w:tr>
      <w:tr w:rsidR="00162BCC" w:rsidTr="00EF255E">
        <w:trPr>
          <w:cantSplit/>
        </w:trPr>
        <w:tc>
          <w:tcPr>
            <w:tcW w:w="8771" w:type="dxa"/>
            <w:tcBorders>
              <w:top w:val="nil"/>
              <w:left w:val="single" w:sz="6" w:space="0" w:color="auto"/>
              <w:bottom w:val="single" w:sz="6" w:space="0" w:color="auto"/>
              <w:right w:val="single" w:sz="6" w:space="0" w:color="auto"/>
            </w:tcBorders>
          </w:tcPr>
          <w:p w:rsidR="00162BCC" w:rsidRDefault="00162BCC" w:rsidP="00EF255E">
            <w:pPr>
              <w:pStyle w:val="Box"/>
              <w:spacing w:before="0" w:line="120" w:lineRule="exact"/>
            </w:pPr>
          </w:p>
        </w:tc>
      </w:tr>
      <w:tr w:rsidR="00162BCC" w:rsidRPr="000863A5" w:rsidTr="00EF255E">
        <w:tc>
          <w:tcPr>
            <w:tcW w:w="8771" w:type="dxa"/>
            <w:tcBorders>
              <w:top w:val="nil"/>
              <w:left w:val="nil"/>
              <w:bottom w:val="nil"/>
              <w:right w:val="nil"/>
            </w:tcBorders>
          </w:tcPr>
          <w:p w:rsidR="00162BCC" w:rsidRPr="00626D32" w:rsidRDefault="00162BCC" w:rsidP="00EF255E">
            <w:pPr>
              <w:pStyle w:val="BoxSpaceBelow"/>
            </w:pPr>
          </w:p>
        </w:tc>
      </w:tr>
    </w:tbl>
    <w:p w:rsidR="00162BCC" w:rsidRDefault="00162BCC" w:rsidP="00162BCC">
      <w:pPr>
        <w:pStyle w:val="Heading4"/>
      </w:pPr>
      <w:r>
        <w:t>Attachment tables</w:t>
      </w:r>
    </w:p>
    <w:tbl>
      <w:tblPr>
        <w:tblW w:w="880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0"/>
        <w:gridCol w:w="6844"/>
      </w:tblGrid>
      <w:tr w:rsidR="005B3458" w:rsidRPr="008E7459" w:rsidTr="005B3458">
        <w:trPr>
          <w:trHeight w:val="612"/>
        </w:trPr>
        <w:tc>
          <w:tcPr>
            <w:tcW w:w="1960" w:type="dxa"/>
            <w:shd w:val="clear" w:color="auto" w:fill="auto"/>
            <w:noWrap/>
            <w:hideMark/>
          </w:tcPr>
          <w:p w:rsidR="005B3458" w:rsidRPr="005B3458" w:rsidRDefault="005B3458" w:rsidP="005B3458">
            <w:pPr>
              <w:pStyle w:val="TableBodyText"/>
              <w:jc w:val="left"/>
              <w:rPr>
                <w:b/>
              </w:rPr>
            </w:pPr>
            <w:r w:rsidRPr="005B3458">
              <w:rPr>
                <w:b/>
              </w:rPr>
              <w:t>Table NEA.1.1</w:t>
            </w:r>
          </w:p>
        </w:tc>
        <w:tc>
          <w:tcPr>
            <w:tcW w:w="6844" w:type="dxa"/>
            <w:shd w:val="clear" w:color="auto" w:fill="auto"/>
          </w:tcPr>
          <w:p w:rsidR="005B3458" w:rsidRPr="008E7459" w:rsidRDefault="005B3458" w:rsidP="005B3458">
            <w:pPr>
              <w:pStyle w:val="TableBodyText"/>
              <w:jc w:val="left"/>
            </w:pPr>
            <w:r w:rsidRPr="008E7459">
              <w:t xml:space="preserve">Student attendance rates, </w:t>
            </w:r>
            <w:r>
              <w:t>government schools, by sex, 2013</w:t>
            </w:r>
            <w:r w:rsidRPr="008E7459">
              <w:t xml:space="preserve"> (per cent)</w:t>
            </w:r>
          </w:p>
        </w:tc>
      </w:tr>
      <w:tr w:rsidR="005B3458" w:rsidRPr="008E7459" w:rsidTr="005B3458">
        <w:trPr>
          <w:trHeight w:val="612"/>
        </w:trPr>
        <w:tc>
          <w:tcPr>
            <w:tcW w:w="1960" w:type="dxa"/>
            <w:shd w:val="clear" w:color="auto" w:fill="auto"/>
            <w:noWrap/>
            <w:hideMark/>
          </w:tcPr>
          <w:p w:rsidR="005B3458" w:rsidRPr="005B3458" w:rsidRDefault="005B3458" w:rsidP="005B3458">
            <w:pPr>
              <w:pStyle w:val="TableBodyText"/>
              <w:jc w:val="left"/>
              <w:rPr>
                <w:b/>
              </w:rPr>
            </w:pPr>
            <w:r w:rsidRPr="005B3458">
              <w:rPr>
                <w:b/>
              </w:rPr>
              <w:t>Table NEA.1.2</w:t>
            </w:r>
          </w:p>
        </w:tc>
        <w:tc>
          <w:tcPr>
            <w:tcW w:w="6844" w:type="dxa"/>
            <w:shd w:val="clear" w:color="auto" w:fill="auto"/>
          </w:tcPr>
          <w:p w:rsidR="005B3458" w:rsidRPr="008E7459" w:rsidRDefault="005B3458" w:rsidP="005B3458">
            <w:pPr>
              <w:pStyle w:val="TableBodyText"/>
              <w:jc w:val="left"/>
            </w:pPr>
            <w:r w:rsidRPr="008E7459">
              <w:t>Student attendance rates, i</w:t>
            </w:r>
            <w:r>
              <w:t>ndependent schools, by sex, 2013</w:t>
            </w:r>
            <w:r w:rsidRPr="008E7459">
              <w:t xml:space="preserve"> (per cent)</w:t>
            </w:r>
          </w:p>
        </w:tc>
      </w:tr>
      <w:tr w:rsidR="005B3458" w:rsidRPr="008E7459" w:rsidTr="005B3458">
        <w:trPr>
          <w:trHeight w:val="612"/>
        </w:trPr>
        <w:tc>
          <w:tcPr>
            <w:tcW w:w="1960" w:type="dxa"/>
            <w:shd w:val="clear" w:color="auto" w:fill="auto"/>
            <w:noWrap/>
          </w:tcPr>
          <w:p w:rsidR="005B3458" w:rsidRPr="005B3458" w:rsidRDefault="005B3458" w:rsidP="005B3458">
            <w:pPr>
              <w:pStyle w:val="TableBodyText"/>
              <w:jc w:val="left"/>
              <w:rPr>
                <w:b/>
              </w:rPr>
            </w:pPr>
            <w:r w:rsidRPr="005B3458">
              <w:rPr>
                <w:b/>
              </w:rPr>
              <w:t>Table NEA.1.3</w:t>
            </w:r>
          </w:p>
        </w:tc>
        <w:tc>
          <w:tcPr>
            <w:tcW w:w="6844" w:type="dxa"/>
            <w:shd w:val="clear" w:color="auto" w:fill="auto"/>
          </w:tcPr>
          <w:p w:rsidR="005B3458" w:rsidRPr="008E7459" w:rsidRDefault="005B3458" w:rsidP="005B3458">
            <w:pPr>
              <w:pStyle w:val="TableBodyText"/>
              <w:jc w:val="left"/>
            </w:pPr>
            <w:r w:rsidRPr="008E7459">
              <w:t>Student attendance rates</w:t>
            </w:r>
            <w:r>
              <w:t>, Catholic schools, by sex, 2013</w:t>
            </w:r>
            <w:r w:rsidRPr="008E7459">
              <w:t xml:space="preserve"> (per cent)</w:t>
            </w:r>
          </w:p>
        </w:tc>
      </w:tr>
      <w:tr w:rsidR="005B3458" w:rsidRPr="008E7459" w:rsidTr="005B3458">
        <w:trPr>
          <w:trHeight w:val="612"/>
        </w:trPr>
        <w:tc>
          <w:tcPr>
            <w:tcW w:w="1960" w:type="dxa"/>
            <w:shd w:val="clear" w:color="auto" w:fill="auto"/>
            <w:noWrap/>
          </w:tcPr>
          <w:p w:rsidR="005B3458" w:rsidRPr="005B3458" w:rsidRDefault="005B3458" w:rsidP="005B3458">
            <w:pPr>
              <w:pStyle w:val="TableBodyText"/>
              <w:jc w:val="left"/>
              <w:rPr>
                <w:b/>
              </w:rPr>
            </w:pPr>
            <w:r w:rsidRPr="005B3458">
              <w:rPr>
                <w:b/>
              </w:rPr>
              <w:t>Table NEA.1.4</w:t>
            </w:r>
          </w:p>
        </w:tc>
        <w:tc>
          <w:tcPr>
            <w:tcW w:w="6844" w:type="dxa"/>
            <w:shd w:val="clear" w:color="auto" w:fill="auto"/>
          </w:tcPr>
          <w:p w:rsidR="005B3458" w:rsidRPr="008E7459" w:rsidRDefault="005B3458" w:rsidP="005B3458">
            <w:pPr>
              <w:pStyle w:val="TableBodyText"/>
              <w:jc w:val="left"/>
            </w:pPr>
            <w:r w:rsidRPr="008E7459">
              <w:t>Student attendance rates, government sch</w:t>
            </w:r>
            <w:r>
              <w:t>ools, by Indigenous status, 2013</w:t>
            </w:r>
            <w:r w:rsidRPr="008E7459">
              <w:t xml:space="preserve"> (per cent)</w:t>
            </w:r>
          </w:p>
        </w:tc>
      </w:tr>
      <w:tr w:rsidR="005B3458" w:rsidRPr="008E7459" w:rsidTr="005B3458">
        <w:trPr>
          <w:trHeight w:val="612"/>
        </w:trPr>
        <w:tc>
          <w:tcPr>
            <w:tcW w:w="1960" w:type="dxa"/>
            <w:shd w:val="clear" w:color="auto" w:fill="auto"/>
            <w:noWrap/>
          </w:tcPr>
          <w:p w:rsidR="005B3458" w:rsidRPr="005B3458" w:rsidRDefault="005B3458" w:rsidP="005B3458">
            <w:pPr>
              <w:pStyle w:val="TableBodyText"/>
              <w:jc w:val="left"/>
              <w:rPr>
                <w:b/>
              </w:rPr>
            </w:pPr>
            <w:r w:rsidRPr="005B3458">
              <w:rPr>
                <w:b/>
              </w:rPr>
              <w:t>Table NEA.1.5</w:t>
            </w:r>
          </w:p>
        </w:tc>
        <w:tc>
          <w:tcPr>
            <w:tcW w:w="6844" w:type="dxa"/>
            <w:shd w:val="clear" w:color="auto" w:fill="auto"/>
          </w:tcPr>
          <w:p w:rsidR="005B3458" w:rsidRPr="008E7459" w:rsidRDefault="005B3458" w:rsidP="005B3458">
            <w:pPr>
              <w:pStyle w:val="TableBodyText"/>
              <w:jc w:val="left"/>
            </w:pPr>
            <w:r w:rsidRPr="008E7459">
              <w:t>Student attendance rates, independent sch</w:t>
            </w:r>
            <w:r>
              <w:t>ools, by Indigenous status, 2013</w:t>
            </w:r>
            <w:r w:rsidRPr="008E7459">
              <w:t xml:space="preserve"> (per cent)</w:t>
            </w:r>
          </w:p>
        </w:tc>
      </w:tr>
      <w:tr w:rsidR="005B3458" w:rsidRPr="008E7459" w:rsidTr="005B3458">
        <w:trPr>
          <w:trHeight w:val="612"/>
        </w:trPr>
        <w:tc>
          <w:tcPr>
            <w:tcW w:w="1960" w:type="dxa"/>
            <w:shd w:val="clear" w:color="auto" w:fill="auto"/>
            <w:noWrap/>
          </w:tcPr>
          <w:p w:rsidR="005B3458" w:rsidRPr="005B3458" w:rsidRDefault="005B3458" w:rsidP="005B3458">
            <w:pPr>
              <w:pStyle w:val="TableBodyText"/>
              <w:jc w:val="left"/>
              <w:rPr>
                <w:b/>
              </w:rPr>
            </w:pPr>
            <w:r w:rsidRPr="005B3458">
              <w:rPr>
                <w:b/>
              </w:rPr>
              <w:t>Table NEA.1.6</w:t>
            </w:r>
          </w:p>
        </w:tc>
        <w:tc>
          <w:tcPr>
            <w:tcW w:w="6844" w:type="dxa"/>
            <w:shd w:val="clear" w:color="auto" w:fill="auto"/>
          </w:tcPr>
          <w:p w:rsidR="005B3458" w:rsidRPr="008E7459" w:rsidRDefault="005B3458" w:rsidP="005B3458">
            <w:pPr>
              <w:pStyle w:val="TableBodyText"/>
              <w:jc w:val="left"/>
            </w:pPr>
            <w:r w:rsidRPr="008E7459">
              <w:t>Student attendance rates, Catholic schools, by Indigenous status,</w:t>
            </w:r>
            <w:r>
              <w:t xml:space="preserve"> 2013</w:t>
            </w:r>
            <w:r w:rsidRPr="008E7459">
              <w:t xml:space="preserve"> (per cent)</w:t>
            </w:r>
          </w:p>
        </w:tc>
      </w:tr>
    </w:tbl>
    <w:p w:rsidR="00162BCC" w:rsidRDefault="00162BCC" w:rsidP="00162BCC"/>
    <w:p w:rsidR="00162BCC" w:rsidRDefault="00162BCC" w:rsidP="00162BCC">
      <w:pPr>
        <w:pStyle w:val="BoxSpaceAbove"/>
      </w:pPr>
    </w:p>
    <w:tbl>
      <w:tblPr>
        <w:tblW w:w="0" w:type="auto"/>
        <w:tblInd w:w="164" w:type="dxa"/>
        <w:tblBorders>
          <w:top w:val="single" w:sz="6" w:space="0" w:color="auto"/>
          <w:left w:val="single" w:sz="6" w:space="0" w:color="auto"/>
          <w:bottom w:val="single" w:sz="6" w:space="0" w:color="auto"/>
          <w:right w:val="single" w:sz="6" w:space="0" w:color="auto"/>
        </w:tblBorders>
        <w:tblLayout w:type="fixed"/>
        <w:tblCellMar>
          <w:left w:w="142" w:type="dxa"/>
          <w:right w:w="142" w:type="dxa"/>
        </w:tblCellMar>
        <w:tblLook w:val="0000" w:firstRow="0" w:lastRow="0" w:firstColumn="0" w:lastColumn="0" w:noHBand="0" w:noVBand="0"/>
      </w:tblPr>
      <w:tblGrid>
        <w:gridCol w:w="8771"/>
      </w:tblGrid>
      <w:tr w:rsidR="00162BCC" w:rsidTr="00EF255E">
        <w:tc>
          <w:tcPr>
            <w:tcW w:w="8771" w:type="dxa"/>
            <w:tcBorders>
              <w:top w:val="single" w:sz="6" w:space="0" w:color="auto"/>
              <w:bottom w:val="nil"/>
            </w:tcBorders>
          </w:tcPr>
          <w:p w:rsidR="00162BCC" w:rsidRDefault="00162BCC" w:rsidP="00F40769">
            <w:pPr>
              <w:pStyle w:val="BoxTitle"/>
            </w:pPr>
            <w:r>
              <w:rPr>
                <w:b w:val="0"/>
              </w:rPr>
              <w:t xml:space="preserve">Box </w:t>
            </w:r>
            <w:r>
              <w:rPr>
                <w:b w:val="0"/>
              </w:rPr>
              <w:fldChar w:fldCharType="begin"/>
            </w:r>
            <w:r>
              <w:rPr>
                <w:b w:val="0"/>
              </w:rPr>
              <w:instrText xml:space="preserve"> SEQ Box \* ARABIC </w:instrText>
            </w:r>
            <w:r>
              <w:rPr>
                <w:b w:val="0"/>
              </w:rPr>
              <w:fldChar w:fldCharType="separate"/>
            </w:r>
            <w:r w:rsidR="005F5618">
              <w:rPr>
                <w:b w:val="0"/>
                <w:noProof/>
              </w:rPr>
              <w:t>11</w:t>
            </w:r>
            <w:r>
              <w:rPr>
                <w:b w:val="0"/>
              </w:rPr>
              <w:fldChar w:fldCharType="end"/>
            </w:r>
            <w:r>
              <w:tab/>
              <w:t>Comment on data quality</w:t>
            </w:r>
            <w:r w:rsidR="00491D3D">
              <w:t xml:space="preserve"> </w:t>
            </w:r>
          </w:p>
        </w:tc>
      </w:tr>
      <w:tr w:rsidR="00162BCC" w:rsidTr="00EF255E">
        <w:trPr>
          <w:cantSplit/>
        </w:trPr>
        <w:tc>
          <w:tcPr>
            <w:tcW w:w="8771" w:type="dxa"/>
            <w:tcBorders>
              <w:top w:val="nil"/>
              <w:left w:val="single" w:sz="6" w:space="0" w:color="auto"/>
              <w:bottom w:val="nil"/>
              <w:right w:val="single" w:sz="6" w:space="0" w:color="auto"/>
            </w:tcBorders>
          </w:tcPr>
          <w:p w:rsidR="00F973DC" w:rsidRDefault="00F973DC" w:rsidP="00F973DC">
            <w:pPr>
              <w:pStyle w:val="Box"/>
            </w:pPr>
            <w:r>
              <w:t xml:space="preserve">The DQS for this indicator has been prepared by ACARA and is included in its original form in the section </w:t>
            </w:r>
            <w:r w:rsidR="00BC3CA5">
              <w:t xml:space="preserve">of </w:t>
            </w:r>
            <w:r>
              <w:t>this report titled ‘Data Quality Statements.’ Key points from the DQS are summarised below.</w:t>
            </w:r>
          </w:p>
          <w:p w:rsidR="00F973DC" w:rsidRDefault="00F973DC" w:rsidP="00F973DC">
            <w:pPr>
              <w:pStyle w:val="BoxListBullet"/>
            </w:pPr>
            <w:r>
              <w:t>The data provide an indicative measure of student attendance in years 1–10 within an individual school sector within a State or Territory.</w:t>
            </w:r>
          </w:p>
          <w:p w:rsidR="00F973DC" w:rsidRDefault="00F973DC" w:rsidP="00F973DC">
            <w:pPr>
              <w:pStyle w:val="BoxListBullet"/>
            </w:pPr>
            <w:r>
              <w:t>Annual data are available.</w:t>
            </w:r>
          </w:p>
          <w:p w:rsidR="00F973DC" w:rsidRDefault="00F973DC" w:rsidP="00F973DC">
            <w:pPr>
              <w:pStyle w:val="BoxListBullet"/>
            </w:pPr>
            <w:r>
              <w:t xml:space="preserve">The data are of acceptable accuracy for individual school sectors within a State or Territory. State and </w:t>
            </w:r>
            <w:r w:rsidR="005546DC">
              <w:t>T</w:t>
            </w:r>
            <w:r>
              <w:t>erritory and national totals are not available</w:t>
            </w:r>
            <w:r w:rsidR="005546DC">
              <w:t>,</w:t>
            </w:r>
            <w:r>
              <w:t xml:space="preserve"> as the data are not sufficiently robust to be added or averaged. Data are not comparable across states and territories, or across school sectors, due to differences in collection and reporting processes.</w:t>
            </w:r>
          </w:p>
          <w:p w:rsidR="00F973DC" w:rsidRDefault="00F973DC" w:rsidP="00F973DC">
            <w:pPr>
              <w:pStyle w:val="BoxListBullet"/>
            </w:pPr>
            <w:r>
              <w:t xml:space="preserve">Detailed explanatory notes are publicly available to assist interpretation of results. </w:t>
            </w:r>
          </w:p>
          <w:p w:rsidR="00F973DC" w:rsidRDefault="00F973DC" w:rsidP="00F973DC">
            <w:pPr>
              <w:pStyle w:val="Box"/>
            </w:pPr>
            <w:r>
              <w:t>The Steering Committee also notes the following issues:</w:t>
            </w:r>
          </w:p>
          <w:p w:rsidR="00F973DC" w:rsidRDefault="00F973DC" w:rsidP="00F973DC">
            <w:pPr>
              <w:pStyle w:val="BoxListBullet"/>
            </w:pPr>
            <w:r>
              <w:t>Data are not available by SES.</w:t>
            </w:r>
          </w:p>
          <w:p w:rsidR="004856C3" w:rsidRDefault="00F973DC" w:rsidP="00F973DC">
            <w:pPr>
              <w:pStyle w:val="BoxListBullet"/>
            </w:pPr>
            <w:r>
              <w:t>Data comparability issues limit the usefulness of these data. ACARA has developed National Standards for Student Attendance Data Reporting (National Standards) which were</w:t>
            </w:r>
            <w:r w:rsidR="004856C3">
              <w:t xml:space="preserve"> endorsed by SCSEEC </w:t>
            </w:r>
            <w:r w:rsidR="004856C3" w:rsidRPr="00C03857">
              <w:t xml:space="preserve">in </w:t>
            </w:r>
            <w:r w:rsidR="00C03857" w:rsidRPr="00F6723D">
              <w:t>December 2012</w:t>
            </w:r>
            <w:r w:rsidR="004856C3" w:rsidRPr="00C03857">
              <w:t>.</w:t>
            </w:r>
            <w:r w:rsidR="004856C3">
              <w:t xml:space="preserve"> It is anticipated that data from all jurisdictions except NSW will be available </w:t>
            </w:r>
            <w:r w:rsidR="00736972">
              <w:t>for</w:t>
            </w:r>
            <w:r w:rsidR="004856C3">
              <w:t xml:space="preserve"> report</w:t>
            </w:r>
            <w:r w:rsidR="00736972">
              <w:t>ing</w:t>
            </w:r>
            <w:r w:rsidR="004856C3">
              <w:t xml:space="preserve"> according to the new standards from 2015.</w:t>
            </w:r>
            <w:r w:rsidR="00736972">
              <w:t xml:space="preserve"> Data from NSW is expected to be available from 2016.</w:t>
            </w:r>
          </w:p>
          <w:p w:rsidR="00162BCC" w:rsidRDefault="00F973DC" w:rsidP="005546DC">
            <w:pPr>
              <w:pStyle w:val="BoxListBullet"/>
            </w:pPr>
            <w:r>
              <w:t xml:space="preserve">Some </w:t>
            </w:r>
            <w:r w:rsidR="005546DC">
              <w:t xml:space="preserve">jurisdictions </w:t>
            </w:r>
            <w:r>
              <w:t xml:space="preserve">do not separately report </w:t>
            </w:r>
            <w:r w:rsidR="005546DC">
              <w:t xml:space="preserve">attendance </w:t>
            </w:r>
            <w:r>
              <w:t>rates for ungraded students, which may affect the interpretation of year level data.</w:t>
            </w:r>
          </w:p>
        </w:tc>
      </w:tr>
      <w:tr w:rsidR="00162BCC" w:rsidTr="00EF255E">
        <w:trPr>
          <w:cantSplit/>
        </w:trPr>
        <w:tc>
          <w:tcPr>
            <w:tcW w:w="8771" w:type="dxa"/>
            <w:tcBorders>
              <w:top w:val="nil"/>
              <w:left w:val="single" w:sz="6" w:space="0" w:color="auto"/>
              <w:bottom w:val="single" w:sz="6" w:space="0" w:color="auto"/>
              <w:right w:val="single" w:sz="6" w:space="0" w:color="auto"/>
            </w:tcBorders>
          </w:tcPr>
          <w:p w:rsidR="00162BCC" w:rsidRDefault="00162BCC" w:rsidP="00EF255E">
            <w:pPr>
              <w:pStyle w:val="Box"/>
              <w:spacing w:before="0" w:line="120" w:lineRule="exact"/>
            </w:pPr>
          </w:p>
        </w:tc>
      </w:tr>
      <w:tr w:rsidR="00162BCC" w:rsidRPr="000863A5" w:rsidTr="00EF255E">
        <w:tc>
          <w:tcPr>
            <w:tcW w:w="8771" w:type="dxa"/>
            <w:tcBorders>
              <w:top w:val="nil"/>
              <w:left w:val="nil"/>
              <w:bottom w:val="nil"/>
              <w:right w:val="nil"/>
            </w:tcBorders>
          </w:tcPr>
          <w:p w:rsidR="00162BCC" w:rsidRPr="00626D32" w:rsidRDefault="00162BCC" w:rsidP="00EF255E">
            <w:pPr>
              <w:pStyle w:val="BoxSpaceBelow"/>
            </w:pPr>
          </w:p>
        </w:tc>
      </w:tr>
    </w:tbl>
    <w:p w:rsidR="00162BCC" w:rsidRPr="003575E1" w:rsidRDefault="00162BCC" w:rsidP="00162BCC"/>
    <w:p w:rsidR="00117C12" w:rsidRDefault="00117C12" w:rsidP="0042643C">
      <w:pPr>
        <w:pStyle w:val="BodyText"/>
      </w:pPr>
      <w:r>
        <w:br w:type="page"/>
      </w:r>
    </w:p>
    <w:p w:rsidR="0035205B" w:rsidRDefault="0035205B" w:rsidP="001D541B">
      <w:pPr>
        <w:pStyle w:val="Heading3"/>
      </w:pPr>
      <w:bookmarkStart w:id="19" w:name="_Ref377566470"/>
      <w:r w:rsidRPr="00136727">
        <w:t xml:space="preserve">Performance </w:t>
      </w:r>
      <w:r>
        <w:t>indicator 2</w:t>
      </w:r>
      <w:r w:rsidRPr="00136727">
        <w:t xml:space="preserve">: </w:t>
      </w:r>
      <w:r w:rsidRPr="00D54FAE">
        <w:t>Literacy and numeracy achievement of Year 3, 5, 7 and</w:t>
      </w:r>
      <w:r>
        <w:t xml:space="preserve"> 9 students in national testing</w:t>
      </w:r>
      <w:bookmarkEnd w:id="19"/>
    </w:p>
    <w:p w:rsidR="0035205B" w:rsidRPr="003A784E" w:rsidRDefault="0035205B" w:rsidP="0035205B">
      <w:pPr>
        <w:pStyle w:val="Subtitle"/>
      </w:pPr>
    </w:p>
    <w:tbl>
      <w:tblPr>
        <w:tblW w:w="5000" w:type="pct"/>
        <w:tblCellMar>
          <w:left w:w="0" w:type="dxa"/>
          <w:right w:w="0" w:type="dxa"/>
        </w:tblCellMar>
        <w:tblLook w:val="0000" w:firstRow="0" w:lastRow="0" w:firstColumn="0" w:lastColumn="0" w:noHBand="0" w:noVBand="0"/>
      </w:tblPr>
      <w:tblGrid>
        <w:gridCol w:w="1985"/>
        <w:gridCol w:w="6804"/>
      </w:tblGrid>
      <w:tr w:rsidR="001D541B" w:rsidTr="008539DA">
        <w:trPr>
          <w:trHeight w:val="823"/>
        </w:trPr>
        <w:tc>
          <w:tcPr>
            <w:tcW w:w="1129" w:type="pct"/>
            <w:shd w:val="clear" w:color="auto" w:fill="auto"/>
          </w:tcPr>
          <w:p w:rsidR="001D541B" w:rsidRPr="008E7459" w:rsidRDefault="001D541B" w:rsidP="001D541B">
            <w:pPr>
              <w:pStyle w:val="TableBodyText"/>
              <w:keepNext w:val="0"/>
              <w:keepLines w:val="0"/>
              <w:ind w:left="34"/>
              <w:jc w:val="left"/>
            </w:pPr>
            <w:r w:rsidRPr="008E7459">
              <w:t>Key amendments from previous cycle of reporting:</w:t>
            </w:r>
          </w:p>
          <w:p w:rsidR="001D541B" w:rsidRPr="008E7459" w:rsidRDefault="001D541B" w:rsidP="001D541B">
            <w:pPr>
              <w:pStyle w:val="TableBodyText"/>
              <w:keepNext w:val="0"/>
              <w:keepLines w:val="0"/>
              <w:ind w:left="34"/>
              <w:jc w:val="left"/>
            </w:pPr>
          </w:p>
        </w:tc>
        <w:tc>
          <w:tcPr>
            <w:tcW w:w="3871" w:type="pct"/>
            <w:shd w:val="clear" w:color="auto" w:fill="auto"/>
          </w:tcPr>
          <w:p w:rsidR="001D541B" w:rsidRPr="008E7459" w:rsidRDefault="001D541B" w:rsidP="001D541B">
            <w:pPr>
              <w:pStyle w:val="TableBodyText"/>
              <w:keepNext w:val="0"/>
              <w:keepLines w:val="0"/>
              <w:ind w:left="34"/>
              <w:jc w:val="left"/>
            </w:pPr>
            <w:r w:rsidRPr="00FC264B">
              <w:t xml:space="preserve">This </w:t>
            </w:r>
            <w:r>
              <w:t>indicator</w:t>
            </w:r>
            <w:r w:rsidRPr="00FC264B">
              <w:t xml:space="preserve"> i</w:t>
            </w:r>
            <w:r>
              <w:t>s unchanged from the previous NEA performance report</w:t>
            </w:r>
          </w:p>
        </w:tc>
      </w:tr>
      <w:tr w:rsidR="001D541B" w:rsidTr="008539DA">
        <w:tc>
          <w:tcPr>
            <w:tcW w:w="1129" w:type="pct"/>
          </w:tcPr>
          <w:p w:rsidR="001D541B" w:rsidRPr="008E7459" w:rsidRDefault="001D541B" w:rsidP="001D541B">
            <w:pPr>
              <w:pStyle w:val="TableBodyText"/>
              <w:keepNext w:val="0"/>
              <w:keepLines w:val="0"/>
              <w:ind w:left="34"/>
              <w:jc w:val="left"/>
            </w:pPr>
            <w:r w:rsidRPr="008E7459">
              <w:t>Outcomes:</w:t>
            </w:r>
          </w:p>
        </w:tc>
        <w:tc>
          <w:tcPr>
            <w:tcW w:w="3871" w:type="pct"/>
          </w:tcPr>
          <w:p w:rsidR="001D541B" w:rsidRPr="008E7459" w:rsidRDefault="001D541B" w:rsidP="001D541B">
            <w:pPr>
              <w:pStyle w:val="TableBodyText"/>
              <w:jc w:val="left"/>
            </w:pPr>
            <w:r w:rsidRPr="008E7459">
              <w:t>Young people are meeting basic literacy and numeracy standards, and overall levels of literacy and numeracy achievement are improving</w:t>
            </w:r>
          </w:p>
          <w:p w:rsidR="001D541B" w:rsidRPr="008E7459" w:rsidRDefault="001D541B" w:rsidP="001D541B">
            <w:pPr>
              <w:pStyle w:val="TableBodyText"/>
              <w:jc w:val="left"/>
            </w:pPr>
          </w:p>
          <w:p w:rsidR="001D541B" w:rsidRDefault="001D541B" w:rsidP="001D541B">
            <w:pPr>
              <w:pStyle w:val="TableBodyText"/>
              <w:jc w:val="left"/>
            </w:pPr>
            <w:r w:rsidRPr="008E7459">
              <w:t>Schooling promotes the social inclusion and reduces the educational disadvantage of children, especially Indigenous children</w:t>
            </w:r>
          </w:p>
          <w:p w:rsidR="001D541B" w:rsidRPr="008E7459" w:rsidRDefault="001D541B" w:rsidP="001D541B">
            <w:pPr>
              <w:pStyle w:val="TableBodyText"/>
              <w:jc w:val="left"/>
            </w:pPr>
          </w:p>
        </w:tc>
      </w:tr>
      <w:tr w:rsidR="001D541B" w:rsidTr="008539DA">
        <w:tc>
          <w:tcPr>
            <w:tcW w:w="1129" w:type="pct"/>
          </w:tcPr>
          <w:p w:rsidR="001D541B" w:rsidRPr="008E7459" w:rsidRDefault="001D541B" w:rsidP="001D541B">
            <w:pPr>
              <w:pStyle w:val="TableBodyText"/>
              <w:keepNext w:val="0"/>
              <w:keepLines w:val="0"/>
              <w:ind w:left="34"/>
              <w:jc w:val="left"/>
            </w:pPr>
            <w:r w:rsidRPr="008E7459">
              <w:t xml:space="preserve">Measures: </w:t>
            </w:r>
          </w:p>
        </w:tc>
        <w:tc>
          <w:tcPr>
            <w:tcW w:w="3871" w:type="pct"/>
          </w:tcPr>
          <w:p w:rsidR="001D541B" w:rsidRPr="008E7459" w:rsidRDefault="001D541B" w:rsidP="001D541B">
            <w:pPr>
              <w:pStyle w:val="TableBodyText"/>
              <w:jc w:val="left"/>
            </w:pPr>
            <w:r w:rsidRPr="008E7459">
              <w:t>There are four measures for this indicator:</w:t>
            </w:r>
          </w:p>
          <w:p w:rsidR="001D541B" w:rsidRPr="008E7459" w:rsidRDefault="001D541B" w:rsidP="001D541B">
            <w:pPr>
              <w:pStyle w:val="TableBodyText"/>
              <w:jc w:val="left"/>
            </w:pPr>
          </w:p>
          <w:p w:rsidR="001D541B" w:rsidRPr="008E7459" w:rsidRDefault="001D541B" w:rsidP="001D541B">
            <w:pPr>
              <w:pStyle w:val="TableBodyText"/>
              <w:jc w:val="left"/>
            </w:pPr>
            <w:r w:rsidRPr="008E7459">
              <w:t>Measure 2(a): Proportion of students who achieved at or above the national minimum standard (for reading, writing and numeracy, in years 3, 5, 7 and 9)</w:t>
            </w:r>
          </w:p>
          <w:p w:rsidR="001D541B" w:rsidRPr="008E7459" w:rsidRDefault="001D541B" w:rsidP="001D541B">
            <w:pPr>
              <w:pStyle w:val="TableBodyText"/>
              <w:jc w:val="left"/>
            </w:pPr>
          </w:p>
          <w:p w:rsidR="001D541B" w:rsidRPr="008E7459" w:rsidRDefault="001D541B" w:rsidP="001D541B">
            <w:pPr>
              <w:pStyle w:val="TableBodyText"/>
              <w:jc w:val="left"/>
            </w:pPr>
            <w:r w:rsidRPr="008E7459">
              <w:t>Measure 2(b): NAPLAN mean scale scores for students (for reading, writing and numeracy, in years 3, 5, 7 and 9)</w:t>
            </w:r>
          </w:p>
          <w:p w:rsidR="001D541B" w:rsidRPr="008E7459" w:rsidRDefault="001D541B" w:rsidP="001D541B">
            <w:pPr>
              <w:pStyle w:val="TableBodyText"/>
              <w:jc w:val="left"/>
            </w:pPr>
          </w:p>
          <w:p w:rsidR="001D541B" w:rsidRPr="008E7459" w:rsidRDefault="001D541B" w:rsidP="001D541B">
            <w:pPr>
              <w:pStyle w:val="TableBodyText"/>
              <w:jc w:val="left"/>
            </w:pPr>
            <w:r w:rsidRPr="008E7459">
              <w:t>Measure 2(c): Proportion of students who achieved at or above the national minimum standard, by Indigenous status, by parental education and by parental occupation (for reading, writing and numeracy, in years 3, 5, 7 and 9)</w:t>
            </w:r>
          </w:p>
          <w:p w:rsidR="001D541B" w:rsidRPr="008E7459" w:rsidRDefault="001D541B" w:rsidP="001D541B">
            <w:pPr>
              <w:pStyle w:val="TableBodyText"/>
              <w:jc w:val="left"/>
            </w:pPr>
          </w:p>
          <w:p w:rsidR="001D541B" w:rsidRPr="008E7459" w:rsidRDefault="001D541B" w:rsidP="001D541B">
            <w:pPr>
              <w:pStyle w:val="TableBodyText"/>
              <w:jc w:val="left"/>
            </w:pPr>
            <w:r w:rsidRPr="008E7459">
              <w:t>Measure 2(d): NAPLAN mean scale scores for students, by Indigenous status, by parental education and by parental occupation (for reading, writing and numeracy, in years 3, 5, 7 and 9)</w:t>
            </w:r>
          </w:p>
          <w:p w:rsidR="001D541B" w:rsidRPr="008E7459" w:rsidRDefault="001D541B" w:rsidP="001D541B">
            <w:pPr>
              <w:pStyle w:val="TableBodyText"/>
              <w:jc w:val="left"/>
            </w:pPr>
          </w:p>
          <w:p w:rsidR="001D541B" w:rsidRPr="008E7459" w:rsidRDefault="001D541B" w:rsidP="001D541B">
            <w:pPr>
              <w:pStyle w:val="TableBodyText"/>
              <w:jc w:val="left"/>
            </w:pPr>
            <w:r w:rsidRPr="008E7459">
              <w:t>NAPLAN reports the percentage of students who achieved at or above the national minimum standard. The complex process by which student scores are arrived at and distributed across the national achievement bands (using the Rasch model, a recognised analysis model for educational measurement) are agreed by states, territories and the Commonwealth and endorsed by the then NAPLAN Expert Advisory Group. Due to the complexities of the methodology, it is not possible (with the data currently provided) to give a simple computation of the precise number of students at or above the national minimum standard, which is best reported in the bands designed for that purpose</w:t>
            </w:r>
          </w:p>
          <w:p w:rsidR="001D541B" w:rsidRPr="008E7459" w:rsidRDefault="001D541B" w:rsidP="001D541B">
            <w:pPr>
              <w:pStyle w:val="TableBodyText"/>
              <w:jc w:val="left"/>
            </w:pPr>
          </w:p>
        </w:tc>
      </w:tr>
      <w:tr w:rsidR="001D541B" w:rsidTr="008539DA">
        <w:tc>
          <w:tcPr>
            <w:tcW w:w="1129" w:type="pct"/>
          </w:tcPr>
          <w:p w:rsidR="001D541B" w:rsidRPr="008E7459" w:rsidRDefault="001D541B" w:rsidP="001D541B">
            <w:pPr>
              <w:pStyle w:val="TableBodyText"/>
              <w:keepNext w:val="0"/>
              <w:keepLines w:val="0"/>
              <w:ind w:left="34"/>
              <w:jc w:val="left"/>
            </w:pPr>
            <w:r w:rsidRPr="008E7459">
              <w:t>Data source:</w:t>
            </w:r>
          </w:p>
        </w:tc>
        <w:tc>
          <w:tcPr>
            <w:tcW w:w="3871" w:type="pct"/>
          </w:tcPr>
          <w:p w:rsidR="001D541B" w:rsidRPr="008E7459" w:rsidRDefault="001D541B" w:rsidP="001D541B">
            <w:pPr>
              <w:pStyle w:val="TableBodyText"/>
              <w:jc w:val="left"/>
            </w:pPr>
            <w:r w:rsidRPr="008E7459">
              <w:rPr>
                <w:u w:val="single"/>
              </w:rPr>
              <w:t>National Assessment Program – Literacy and Numeracy</w:t>
            </w:r>
            <w:r w:rsidRPr="008E7459">
              <w:t xml:space="preserve"> (NAPLAN).</w:t>
            </w:r>
          </w:p>
          <w:p w:rsidR="001D541B" w:rsidRPr="008E7459" w:rsidRDefault="001D541B" w:rsidP="001D541B">
            <w:pPr>
              <w:pStyle w:val="TableBodyText"/>
              <w:jc w:val="left"/>
            </w:pPr>
            <w:r w:rsidRPr="008E7459">
              <w:t>Data are available annually</w:t>
            </w:r>
          </w:p>
          <w:p w:rsidR="001D541B" w:rsidRPr="008E7459" w:rsidRDefault="001D541B" w:rsidP="001D541B">
            <w:pPr>
              <w:pStyle w:val="TableBodyText"/>
              <w:jc w:val="left"/>
            </w:pPr>
          </w:p>
        </w:tc>
      </w:tr>
      <w:tr w:rsidR="001D541B" w:rsidTr="008539DA">
        <w:tc>
          <w:tcPr>
            <w:tcW w:w="1129" w:type="pct"/>
          </w:tcPr>
          <w:p w:rsidR="001D541B" w:rsidRPr="008E7459" w:rsidRDefault="001D541B" w:rsidP="001D541B">
            <w:pPr>
              <w:pStyle w:val="TableBodyText"/>
              <w:keepNext w:val="0"/>
              <w:keepLines w:val="0"/>
              <w:ind w:left="34"/>
              <w:jc w:val="left"/>
            </w:pPr>
            <w:r w:rsidRPr="008E7459">
              <w:t>Data provider:</w:t>
            </w:r>
          </w:p>
        </w:tc>
        <w:tc>
          <w:tcPr>
            <w:tcW w:w="3871" w:type="pct"/>
          </w:tcPr>
          <w:p w:rsidR="001D541B" w:rsidRDefault="001D541B" w:rsidP="001D541B">
            <w:pPr>
              <w:pStyle w:val="TableBodyText"/>
              <w:jc w:val="left"/>
            </w:pPr>
            <w:r w:rsidRPr="008E7459">
              <w:t>ACARA</w:t>
            </w:r>
          </w:p>
          <w:p w:rsidR="001D541B" w:rsidRPr="008E7459" w:rsidRDefault="001D541B" w:rsidP="001D541B">
            <w:pPr>
              <w:pStyle w:val="TableBodyText"/>
              <w:jc w:val="left"/>
            </w:pPr>
          </w:p>
        </w:tc>
      </w:tr>
      <w:tr w:rsidR="001D541B" w:rsidTr="008539DA">
        <w:tc>
          <w:tcPr>
            <w:tcW w:w="1129" w:type="pct"/>
          </w:tcPr>
          <w:p w:rsidR="001D541B" w:rsidRPr="008E7459" w:rsidRDefault="001D541B" w:rsidP="001D541B">
            <w:pPr>
              <w:pStyle w:val="TableBodyText"/>
              <w:keepNext w:val="0"/>
              <w:keepLines w:val="0"/>
              <w:ind w:left="34"/>
              <w:jc w:val="left"/>
            </w:pPr>
            <w:r w:rsidRPr="008E7459">
              <w:t>Data availability:</w:t>
            </w:r>
          </w:p>
        </w:tc>
        <w:tc>
          <w:tcPr>
            <w:tcW w:w="3871" w:type="pct"/>
          </w:tcPr>
          <w:p w:rsidR="001D541B" w:rsidRDefault="001D541B" w:rsidP="001D541B">
            <w:pPr>
              <w:pStyle w:val="TableBodyText"/>
              <w:jc w:val="left"/>
            </w:pPr>
            <w:r w:rsidRPr="008E7459">
              <w:t>201</w:t>
            </w:r>
            <w:r>
              <w:t>3</w:t>
            </w:r>
          </w:p>
          <w:p w:rsidR="001D541B" w:rsidRPr="008E7459" w:rsidRDefault="001D541B" w:rsidP="001D541B">
            <w:pPr>
              <w:pStyle w:val="TableBodyText"/>
              <w:jc w:val="left"/>
            </w:pPr>
          </w:p>
        </w:tc>
      </w:tr>
      <w:tr w:rsidR="001D541B" w:rsidTr="008539DA">
        <w:tc>
          <w:tcPr>
            <w:tcW w:w="1129" w:type="pct"/>
          </w:tcPr>
          <w:p w:rsidR="001D541B" w:rsidRPr="008E7459" w:rsidRDefault="001D541B" w:rsidP="00D34437">
            <w:pPr>
              <w:pStyle w:val="TableBodyText"/>
              <w:keepLines w:val="0"/>
              <w:ind w:left="34"/>
              <w:jc w:val="left"/>
            </w:pPr>
            <w:r w:rsidRPr="008E7459">
              <w:t>Cross tabulations provided:</w:t>
            </w:r>
          </w:p>
          <w:p w:rsidR="001D541B" w:rsidRPr="008E7459" w:rsidRDefault="001D541B" w:rsidP="00D34437">
            <w:pPr>
              <w:pStyle w:val="TableBodyText"/>
              <w:keepLines w:val="0"/>
              <w:ind w:left="34"/>
              <w:jc w:val="left"/>
            </w:pPr>
          </w:p>
        </w:tc>
        <w:tc>
          <w:tcPr>
            <w:tcW w:w="3871" w:type="pct"/>
          </w:tcPr>
          <w:p w:rsidR="001D541B" w:rsidRPr="008E7459" w:rsidRDefault="001D541B" w:rsidP="00D34437">
            <w:pPr>
              <w:pStyle w:val="TableBodyText"/>
              <w:jc w:val="left"/>
            </w:pPr>
            <w:r w:rsidRPr="008E7459">
              <w:t>Measures 2(a) and 2(b):</w:t>
            </w:r>
          </w:p>
          <w:p w:rsidR="001D541B" w:rsidRPr="008E7459" w:rsidRDefault="001D541B" w:rsidP="00D34437">
            <w:pPr>
              <w:pStyle w:val="TableBodyText"/>
              <w:jc w:val="left"/>
            </w:pPr>
            <w:r w:rsidRPr="008E7459">
              <w:t>For each year level (3, 5, 7 and 9 — reported individually) by learning domain (reading, writing and numeracy — reported individually):</w:t>
            </w:r>
          </w:p>
          <w:p w:rsidR="001D541B" w:rsidRPr="008E7459" w:rsidRDefault="001D541B" w:rsidP="00D34437">
            <w:pPr>
              <w:pStyle w:val="TableBullet"/>
            </w:pPr>
            <w:r w:rsidRPr="008E7459">
              <w:t>State and Territory, by geolocation</w:t>
            </w:r>
          </w:p>
          <w:p w:rsidR="001D541B" w:rsidRPr="008E7459" w:rsidRDefault="001D541B" w:rsidP="00D34437">
            <w:pPr>
              <w:pStyle w:val="TableBodyText"/>
              <w:jc w:val="left"/>
            </w:pPr>
          </w:p>
          <w:p w:rsidR="001D541B" w:rsidRPr="008E7459" w:rsidRDefault="001D541B" w:rsidP="00D34437">
            <w:pPr>
              <w:pStyle w:val="TableBodyText"/>
              <w:jc w:val="left"/>
            </w:pPr>
            <w:r w:rsidRPr="008E7459">
              <w:t>Measures 2(c) and 2(d):</w:t>
            </w:r>
          </w:p>
          <w:p w:rsidR="001D541B" w:rsidRPr="008E7459" w:rsidRDefault="001D541B" w:rsidP="00D34437">
            <w:pPr>
              <w:pStyle w:val="TableBodyText"/>
              <w:jc w:val="left"/>
            </w:pPr>
            <w:r w:rsidRPr="008E7459">
              <w:t>For each year level (3, 5, 7 and 9 — reported individually) by learning domain (reading, writing and numeracy — reported individually):</w:t>
            </w:r>
          </w:p>
          <w:p w:rsidR="001D541B" w:rsidRPr="008E7459" w:rsidRDefault="001D541B" w:rsidP="00D34437">
            <w:pPr>
              <w:pStyle w:val="TableBullet"/>
            </w:pPr>
            <w:r w:rsidRPr="008E7459">
              <w:t>State and Territory, by Indigenous status</w:t>
            </w:r>
          </w:p>
          <w:p w:rsidR="001D541B" w:rsidRPr="008E7459" w:rsidRDefault="001D541B" w:rsidP="00CF4788">
            <w:pPr>
              <w:pStyle w:val="TableBullet"/>
            </w:pPr>
            <w:r w:rsidRPr="008E7459">
              <w:t>State and Territory, by parental education</w:t>
            </w:r>
            <w:r w:rsidR="009645E0">
              <w:t xml:space="preserve"> and parental occupation</w:t>
            </w:r>
          </w:p>
        </w:tc>
      </w:tr>
    </w:tbl>
    <w:p w:rsidR="00162BCC" w:rsidRDefault="00162BCC" w:rsidP="00D34437">
      <w:pPr>
        <w:pStyle w:val="BodyText"/>
        <w:keepNext/>
      </w:pPr>
    </w:p>
    <w:tbl>
      <w:tblPr>
        <w:tblW w:w="0" w:type="auto"/>
        <w:tblInd w:w="164" w:type="dxa"/>
        <w:tblBorders>
          <w:top w:val="single" w:sz="6" w:space="0" w:color="auto"/>
          <w:left w:val="single" w:sz="6" w:space="0" w:color="auto"/>
          <w:bottom w:val="single" w:sz="6" w:space="0" w:color="auto"/>
          <w:right w:val="single" w:sz="6" w:space="0" w:color="auto"/>
        </w:tblBorders>
        <w:tblLayout w:type="fixed"/>
        <w:tblCellMar>
          <w:left w:w="142" w:type="dxa"/>
          <w:right w:w="142" w:type="dxa"/>
        </w:tblCellMar>
        <w:tblLook w:val="0000" w:firstRow="0" w:lastRow="0" w:firstColumn="0" w:lastColumn="0" w:noHBand="0" w:noVBand="0"/>
      </w:tblPr>
      <w:tblGrid>
        <w:gridCol w:w="8771"/>
      </w:tblGrid>
      <w:tr w:rsidR="00162BCC" w:rsidTr="00EF255E">
        <w:tc>
          <w:tcPr>
            <w:tcW w:w="8771" w:type="dxa"/>
            <w:tcBorders>
              <w:top w:val="single" w:sz="6" w:space="0" w:color="auto"/>
              <w:bottom w:val="nil"/>
            </w:tcBorders>
          </w:tcPr>
          <w:p w:rsidR="00162BCC" w:rsidRDefault="00162BCC" w:rsidP="00D34437">
            <w:pPr>
              <w:pStyle w:val="BoxTitle"/>
            </w:pPr>
            <w:r>
              <w:rPr>
                <w:b w:val="0"/>
              </w:rPr>
              <w:t xml:space="preserve">Box </w:t>
            </w:r>
            <w:r>
              <w:rPr>
                <w:b w:val="0"/>
              </w:rPr>
              <w:fldChar w:fldCharType="begin"/>
            </w:r>
            <w:r>
              <w:rPr>
                <w:b w:val="0"/>
              </w:rPr>
              <w:instrText xml:space="preserve"> SEQ Box \* ARABIC </w:instrText>
            </w:r>
            <w:r>
              <w:rPr>
                <w:b w:val="0"/>
              </w:rPr>
              <w:fldChar w:fldCharType="separate"/>
            </w:r>
            <w:r w:rsidR="005F5618">
              <w:rPr>
                <w:b w:val="0"/>
                <w:noProof/>
              </w:rPr>
              <w:t>12</w:t>
            </w:r>
            <w:r>
              <w:rPr>
                <w:b w:val="0"/>
              </w:rPr>
              <w:fldChar w:fldCharType="end"/>
            </w:r>
            <w:r>
              <w:tab/>
              <w:t>Results</w:t>
            </w:r>
          </w:p>
        </w:tc>
      </w:tr>
      <w:tr w:rsidR="00162BCC" w:rsidTr="00EF255E">
        <w:trPr>
          <w:cantSplit/>
        </w:trPr>
        <w:tc>
          <w:tcPr>
            <w:tcW w:w="8771" w:type="dxa"/>
            <w:tcBorders>
              <w:top w:val="nil"/>
              <w:left w:val="single" w:sz="6" w:space="0" w:color="auto"/>
              <w:bottom w:val="nil"/>
              <w:right w:val="single" w:sz="6" w:space="0" w:color="auto"/>
            </w:tcBorders>
          </w:tcPr>
          <w:p w:rsidR="007A09AD" w:rsidRDefault="007A09AD" w:rsidP="00D34437">
            <w:pPr>
              <w:pStyle w:val="Box"/>
            </w:pPr>
            <w:r>
              <w:t xml:space="preserve">For this report, new data for this indicator are available for 2013. </w:t>
            </w:r>
          </w:p>
          <w:p w:rsidR="007A09AD" w:rsidRDefault="007A09AD" w:rsidP="00D34437">
            <w:pPr>
              <w:pStyle w:val="BoxListBullet"/>
            </w:pPr>
            <w:r>
              <w:t>Data for students who achieved at or above the national minimum standard are presented by State and Territory by:</w:t>
            </w:r>
          </w:p>
          <w:p w:rsidR="007A09AD" w:rsidRDefault="007A09AD" w:rsidP="00D34437">
            <w:pPr>
              <w:pStyle w:val="BoxListBullet2"/>
            </w:pPr>
            <w:r>
              <w:t>Indigenous status in tables NEA.2.1–12</w:t>
            </w:r>
          </w:p>
          <w:p w:rsidR="007A09AD" w:rsidRDefault="007A09AD" w:rsidP="00D34437">
            <w:pPr>
              <w:pStyle w:val="BoxListBullet2"/>
            </w:pPr>
            <w:r>
              <w:t>geolocation in tables NEA.2.1–12</w:t>
            </w:r>
          </w:p>
          <w:p w:rsidR="007A09AD" w:rsidRDefault="007A09AD" w:rsidP="00D34437">
            <w:pPr>
              <w:pStyle w:val="BoxListBullet2"/>
            </w:pPr>
            <w:r>
              <w:t xml:space="preserve">parental education and parental occupation in tables NEA.2.13–24. </w:t>
            </w:r>
          </w:p>
          <w:p w:rsidR="007A09AD" w:rsidRDefault="007A09AD" w:rsidP="00D34437">
            <w:pPr>
              <w:pStyle w:val="BoxListBullet"/>
            </w:pPr>
            <w:r>
              <w:t>Data for NAPLAN mean scale scores are presented by State and Territory by:</w:t>
            </w:r>
          </w:p>
          <w:p w:rsidR="007A09AD" w:rsidRDefault="007A09AD" w:rsidP="00D34437">
            <w:pPr>
              <w:pStyle w:val="BoxListBullet2"/>
            </w:pPr>
            <w:r>
              <w:t>Indigenous status in tables NEA.2.25–36</w:t>
            </w:r>
          </w:p>
          <w:p w:rsidR="007A09AD" w:rsidRDefault="007A09AD" w:rsidP="00D34437">
            <w:pPr>
              <w:pStyle w:val="BoxListBullet2"/>
            </w:pPr>
            <w:r>
              <w:t>geolocation in tables NEA.2.25–36</w:t>
            </w:r>
          </w:p>
          <w:p w:rsidR="007A09AD" w:rsidRDefault="007A09AD" w:rsidP="00D34437">
            <w:pPr>
              <w:pStyle w:val="BoxListBullet2"/>
            </w:pPr>
            <w:r>
              <w:t xml:space="preserve">parental education and parental occupation in tables NEA.2.37–49. </w:t>
            </w:r>
          </w:p>
          <w:p w:rsidR="007A09AD" w:rsidRDefault="007A09AD" w:rsidP="00D34437">
            <w:pPr>
              <w:pStyle w:val="Box"/>
            </w:pPr>
            <w:r>
              <w:t xml:space="preserve">Data for 2012 can be found in the 2012 NEA performance report. </w:t>
            </w:r>
            <w:r w:rsidR="005546DC">
              <w:t xml:space="preserve">Data for </w:t>
            </w:r>
            <w:r>
              <w:t>2011 are available in the 2011 NEA performance report. Data for 2010 are available in the 2010 NEA performance report</w:t>
            </w:r>
            <w:r w:rsidR="005546DC">
              <w:t>. D</w:t>
            </w:r>
            <w:r>
              <w:t xml:space="preserve">ata for 2009 and 2008 are available in the 2009 NEA performance report. </w:t>
            </w:r>
          </w:p>
          <w:p w:rsidR="00162BCC" w:rsidRDefault="007A09AD" w:rsidP="00D34437">
            <w:pPr>
              <w:pStyle w:val="Box"/>
            </w:pPr>
            <w:r>
              <w:t>Apparent differences may not be statistically significant and relevant confidence intervals may be requested directly from the data provider. Different confidence intervals are required depending on the type of analysis. Confidence intervals for comparing data within years and across jurisdictions are different from confidence intervals for comparing data across years within and across jurisdictions.</w:t>
            </w:r>
          </w:p>
        </w:tc>
      </w:tr>
      <w:tr w:rsidR="00162BCC" w:rsidTr="00EF255E">
        <w:trPr>
          <w:cantSplit/>
        </w:trPr>
        <w:tc>
          <w:tcPr>
            <w:tcW w:w="8771" w:type="dxa"/>
            <w:tcBorders>
              <w:top w:val="nil"/>
              <w:left w:val="single" w:sz="6" w:space="0" w:color="auto"/>
              <w:bottom w:val="single" w:sz="6" w:space="0" w:color="auto"/>
              <w:right w:val="single" w:sz="6" w:space="0" w:color="auto"/>
            </w:tcBorders>
          </w:tcPr>
          <w:p w:rsidR="00162BCC" w:rsidRDefault="00162BCC" w:rsidP="00EF255E">
            <w:pPr>
              <w:pStyle w:val="Box"/>
              <w:spacing w:before="0" w:line="120" w:lineRule="exact"/>
            </w:pPr>
          </w:p>
        </w:tc>
      </w:tr>
      <w:tr w:rsidR="00162BCC" w:rsidRPr="000863A5" w:rsidTr="00EF255E">
        <w:tc>
          <w:tcPr>
            <w:tcW w:w="8771" w:type="dxa"/>
            <w:tcBorders>
              <w:top w:val="nil"/>
              <w:left w:val="nil"/>
              <w:bottom w:val="nil"/>
              <w:right w:val="nil"/>
            </w:tcBorders>
          </w:tcPr>
          <w:p w:rsidR="00162BCC" w:rsidRPr="00626D32" w:rsidRDefault="00162BCC" w:rsidP="00D34437">
            <w:pPr>
              <w:pStyle w:val="BoxSpaceBelow"/>
              <w:keepNext/>
            </w:pPr>
          </w:p>
        </w:tc>
      </w:tr>
    </w:tbl>
    <w:p w:rsidR="00162BCC" w:rsidRDefault="00162BCC" w:rsidP="00D34437">
      <w:pPr>
        <w:pStyle w:val="Heading4"/>
      </w:pPr>
      <w:r>
        <w:t>Attachment tables</w:t>
      </w:r>
    </w:p>
    <w:tbl>
      <w:tblPr>
        <w:tblW w:w="880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0"/>
        <w:gridCol w:w="6844"/>
      </w:tblGrid>
      <w:tr w:rsidR="00FD1538" w:rsidRPr="008E7459" w:rsidTr="00FD1538">
        <w:trPr>
          <w:trHeight w:val="612"/>
        </w:trPr>
        <w:tc>
          <w:tcPr>
            <w:tcW w:w="1960" w:type="dxa"/>
            <w:shd w:val="clear" w:color="auto" w:fill="auto"/>
            <w:noWrap/>
            <w:hideMark/>
          </w:tcPr>
          <w:p w:rsidR="00FD1538" w:rsidRPr="00FD1538" w:rsidRDefault="00FD1538" w:rsidP="00D34437">
            <w:pPr>
              <w:pStyle w:val="TableBodyText"/>
              <w:jc w:val="left"/>
              <w:rPr>
                <w:b/>
              </w:rPr>
            </w:pPr>
            <w:r w:rsidRPr="00FD1538">
              <w:rPr>
                <w:b/>
              </w:rPr>
              <w:t>Table NEA.2.1</w:t>
            </w:r>
          </w:p>
        </w:tc>
        <w:tc>
          <w:tcPr>
            <w:tcW w:w="6844" w:type="dxa"/>
            <w:shd w:val="clear" w:color="auto" w:fill="auto"/>
          </w:tcPr>
          <w:p w:rsidR="00FD1538" w:rsidRPr="00BE3771" w:rsidRDefault="00FD1538" w:rsidP="00D34437">
            <w:pPr>
              <w:pStyle w:val="TableBodyText"/>
              <w:jc w:val="left"/>
            </w:pPr>
            <w:r w:rsidRPr="00BE3771">
              <w:t>Proportion of year 3 students who achieved at or above the national minimum standard for reading, by State and Territory, by Indigenous status, by geolocation, 2013 (per cent)</w:t>
            </w:r>
            <w:r w:rsidR="001714E9">
              <w:t xml:space="preserve"> </w:t>
            </w:r>
          </w:p>
        </w:tc>
      </w:tr>
      <w:tr w:rsidR="00FD1538" w:rsidRPr="008E7459" w:rsidTr="00FD1538">
        <w:trPr>
          <w:trHeight w:val="612"/>
        </w:trPr>
        <w:tc>
          <w:tcPr>
            <w:tcW w:w="1960" w:type="dxa"/>
            <w:shd w:val="clear" w:color="auto" w:fill="auto"/>
            <w:noWrap/>
          </w:tcPr>
          <w:p w:rsidR="00FD1538" w:rsidRPr="00FD1538" w:rsidRDefault="00FD1538" w:rsidP="00FD1538">
            <w:pPr>
              <w:pStyle w:val="TableBodyText"/>
              <w:jc w:val="left"/>
              <w:rPr>
                <w:b/>
              </w:rPr>
            </w:pPr>
            <w:r w:rsidRPr="00FD1538">
              <w:rPr>
                <w:b/>
              </w:rPr>
              <w:t>Table NEA.2.2</w:t>
            </w:r>
          </w:p>
        </w:tc>
        <w:tc>
          <w:tcPr>
            <w:tcW w:w="6844" w:type="dxa"/>
            <w:shd w:val="clear" w:color="auto" w:fill="auto"/>
          </w:tcPr>
          <w:p w:rsidR="00FD1538" w:rsidRPr="00BE3771" w:rsidRDefault="00FD1538" w:rsidP="00FD1538">
            <w:pPr>
              <w:pStyle w:val="TableBodyText"/>
              <w:jc w:val="left"/>
            </w:pPr>
            <w:r w:rsidRPr="00BE3771">
              <w:t>Proportion of year 3 students who achieved at or above the national minimum standard for writing, by State and Territory, by Indigenous status, by geolocation, 2013 (per cent)</w:t>
            </w:r>
            <w:r w:rsidR="001714E9">
              <w:t xml:space="preserve"> </w:t>
            </w:r>
          </w:p>
        </w:tc>
      </w:tr>
      <w:tr w:rsidR="00FD1538" w:rsidRPr="008E7459" w:rsidTr="00FD1538">
        <w:trPr>
          <w:trHeight w:val="612"/>
        </w:trPr>
        <w:tc>
          <w:tcPr>
            <w:tcW w:w="1960" w:type="dxa"/>
            <w:shd w:val="clear" w:color="auto" w:fill="auto"/>
            <w:noWrap/>
          </w:tcPr>
          <w:p w:rsidR="00FD1538" w:rsidRPr="00FD1538" w:rsidRDefault="00FD1538" w:rsidP="00FD1538">
            <w:pPr>
              <w:pStyle w:val="TableBodyText"/>
              <w:jc w:val="left"/>
              <w:rPr>
                <w:b/>
              </w:rPr>
            </w:pPr>
            <w:r w:rsidRPr="00FD1538">
              <w:rPr>
                <w:b/>
              </w:rPr>
              <w:t>Table NEA.2.3</w:t>
            </w:r>
          </w:p>
        </w:tc>
        <w:tc>
          <w:tcPr>
            <w:tcW w:w="6844" w:type="dxa"/>
            <w:shd w:val="clear" w:color="auto" w:fill="auto"/>
          </w:tcPr>
          <w:p w:rsidR="00FD1538" w:rsidRPr="00BE3771" w:rsidRDefault="00FD1538" w:rsidP="00FD1538">
            <w:pPr>
              <w:pStyle w:val="TableBodyText"/>
              <w:jc w:val="left"/>
            </w:pPr>
            <w:r w:rsidRPr="00BE3771">
              <w:t>Proportion of year 3 students who achieved at or above the national minimum standard for numeracy, by State and Territory, by Indigenous status, by geolocation, 2013 (per cent)</w:t>
            </w:r>
            <w:r w:rsidR="001714E9">
              <w:t xml:space="preserve"> </w:t>
            </w:r>
          </w:p>
        </w:tc>
      </w:tr>
      <w:tr w:rsidR="00FD1538" w:rsidRPr="008E7459" w:rsidTr="00FD1538">
        <w:trPr>
          <w:trHeight w:val="612"/>
        </w:trPr>
        <w:tc>
          <w:tcPr>
            <w:tcW w:w="1960" w:type="dxa"/>
            <w:shd w:val="clear" w:color="auto" w:fill="auto"/>
            <w:noWrap/>
          </w:tcPr>
          <w:p w:rsidR="00FD1538" w:rsidRPr="00FD1538" w:rsidRDefault="00FD1538" w:rsidP="00FD1538">
            <w:pPr>
              <w:pStyle w:val="TableBodyText"/>
              <w:jc w:val="left"/>
              <w:rPr>
                <w:b/>
              </w:rPr>
            </w:pPr>
            <w:r w:rsidRPr="00FD1538">
              <w:rPr>
                <w:b/>
              </w:rPr>
              <w:t>Table NEA.2.4</w:t>
            </w:r>
          </w:p>
        </w:tc>
        <w:tc>
          <w:tcPr>
            <w:tcW w:w="6844" w:type="dxa"/>
            <w:shd w:val="clear" w:color="auto" w:fill="auto"/>
          </w:tcPr>
          <w:p w:rsidR="00FD1538" w:rsidRPr="00BE3771" w:rsidRDefault="00FD1538" w:rsidP="00FD1538">
            <w:pPr>
              <w:pStyle w:val="TableBodyText"/>
              <w:jc w:val="left"/>
            </w:pPr>
            <w:r w:rsidRPr="00BE3771">
              <w:t>Proportion of year 5 students who achieved at or above the national minimum standard for reading, by State and Territory, by Indigenous status, by geolocation, 2013 (per cent)</w:t>
            </w:r>
            <w:r w:rsidR="001714E9">
              <w:t xml:space="preserve"> </w:t>
            </w:r>
          </w:p>
        </w:tc>
      </w:tr>
      <w:tr w:rsidR="00FD1538" w:rsidRPr="008E7459" w:rsidTr="00FD1538">
        <w:trPr>
          <w:trHeight w:val="612"/>
        </w:trPr>
        <w:tc>
          <w:tcPr>
            <w:tcW w:w="1960" w:type="dxa"/>
            <w:shd w:val="clear" w:color="auto" w:fill="auto"/>
            <w:noWrap/>
          </w:tcPr>
          <w:p w:rsidR="00FD1538" w:rsidRPr="00FD1538" w:rsidRDefault="00FD1538" w:rsidP="00FD1538">
            <w:pPr>
              <w:pStyle w:val="TableBodyText"/>
              <w:jc w:val="left"/>
              <w:rPr>
                <w:b/>
              </w:rPr>
            </w:pPr>
            <w:r w:rsidRPr="00FD1538">
              <w:rPr>
                <w:b/>
              </w:rPr>
              <w:t>Table NEA.2.5</w:t>
            </w:r>
          </w:p>
        </w:tc>
        <w:tc>
          <w:tcPr>
            <w:tcW w:w="6844" w:type="dxa"/>
            <w:shd w:val="clear" w:color="auto" w:fill="auto"/>
          </w:tcPr>
          <w:p w:rsidR="00FD1538" w:rsidRPr="00BE3771" w:rsidRDefault="00FD1538" w:rsidP="00FD1538">
            <w:pPr>
              <w:pStyle w:val="TableBodyText"/>
              <w:jc w:val="left"/>
            </w:pPr>
            <w:r w:rsidRPr="00BE3771">
              <w:t>Proportion of year 5 students who achieved at or above the national minimum standard for writing, by State and Territory, by Indigenous status, by geolocation, 2013 (per cent)</w:t>
            </w:r>
            <w:r w:rsidR="001714E9">
              <w:t xml:space="preserve"> </w:t>
            </w:r>
          </w:p>
        </w:tc>
      </w:tr>
      <w:tr w:rsidR="00FD1538" w:rsidRPr="008E7459" w:rsidTr="00FD1538">
        <w:trPr>
          <w:trHeight w:val="612"/>
        </w:trPr>
        <w:tc>
          <w:tcPr>
            <w:tcW w:w="1960" w:type="dxa"/>
            <w:shd w:val="clear" w:color="auto" w:fill="auto"/>
            <w:noWrap/>
          </w:tcPr>
          <w:p w:rsidR="00FD1538" w:rsidRPr="00FD1538" w:rsidRDefault="00FD1538" w:rsidP="00FD1538">
            <w:pPr>
              <w:pStyle w:val="TableBodyText"/>
              <w:jc w:val="left"/>
              <w:rPr>
                <w:b/>
              </w:rPr>
            </w:pPr>
            <w:r w:rsidRPr="00FD1538">
              <w:rPr>
                <w:b/>
              </w:rPr>
              <w:t>Table NEA.2.6</w:t>
            </w:r>
          </w:p>
        </w:tc>
        <w:tc>
          <w:tcPr>
            <w:tcW w:w="6844" w:type="dxa"/>
            <w:shd w:val="clear" w:color="auto" w:fill="auto"/>
          </w:tcPr>
          <w:p w:rsidR="00FD1538" w:rsidRPr="00BE3771" w:rsidRDefault="00FD1538" w:rsidP="00FD1538">
            <w:pPr>
              <w:pStyle w:val="TableBodyText"/>
              <w:jc w:val="left"/>
            </w:pPr>
            <w:r w:rsidRPr="00BE3771">
              <w:t>Proportion of year 5 students who achieved at or above the national minimum standard for numeracy, by State and Territory, by Indigenous status, by geolocation, 2013 (per cent)</w:t>
            </w:r>
            <w:r w:rsidR="001714E9">
              <w:t xml:space="preserve"> </w:t>
            </w:r>
          </w:p>
        </w:tc>
      </w:tr>
      <w:tr w:rsidR="00FD1538" w:rsidRPr="008E7459" w:rsidTr="00FD1538">
        <w:trPr>
          <w:trHeight w:val="612"/>
        </w:trPr>
        <w:tc>
          <w:tcPr>
            <w:tcW w:w="1960" w:type="dxa"/>
            <w:shd w:val="clear" w:color="auto" w:fill="auto"/>
            <w:noWrap/>
          </w:tcPr>
          <w:p w:rsidR="00FD1538" w:rsidRPr="00FD1538" w:rsidRDefault="00FD1538" w:rsidP="00FD1538">
            <w:pPr>
              <w:pStyle w:val="TableBodyText"/>
              <w:jc w:val="left"/>
              <w:rPr>
                <w:b/>
              </w:rPr>
            </w:pPr>
            <w:r w:rsidRPr="00FD1538">
              <w:rPr>
                <w:b/>
              </w:rPr>
              <w:t>Table NEA.2.7</w:t>
            </w:r>
          </w:p>
        </w:tc>
        <w:tc>
          <w:tcPr>
            <w:tcW w:w="6844" w:type="dxa"/>
            <w:shd w:val="clear" w:color="auto" w:fill="auto"/>
          </w:tcPr>
          <w:p w:rsidR="00FD1538" w:rsidRPr="00BE3771" w:rsidRDefault="00FD1538" w:rsidP="00FD1538">
            <w:pPr>
              <w:pStyle w:val="TableBodyText"/>
              <w:jc w:val="left"/>
            </w:pPr>
            <w:r w:rsidRPr="00BE3771">
              <w:t>Proportion of year 7 students who achieved at or above the national minimum standard for reading, by State and Territory, by Indigenous status, by geolocation, 2013 (per cent)</w:t>
            </w:r>
            <w:r w:rsidR="001714E9">
              <w:t xml:space="preserve"> </w:t>
            </w:r>
          </w:p>
        </w:tc>
      </w:tr>
      <w:tr w:rsidR="00FD1538" w:rsidRPr="008E7459" w:rsidTr="00FD1538">
        <w:trPr>
          <w:trHeight w:val="612"/>
        </w:trPr>
        <w:tc>
          <w:tcPr>
            <w:tcW w:w="1960" w:type="dxa"/>
            <w:shd w:val="clear" w:color="auto" w:fill="auto"/>
            <w:noWrap/>
          </w:tcPr>
          <w:p w:rsidR="00FD1538" w:rsidRPr="00FD1538" w:rsidRDefault="00FD1538" w:rsidP="00FD1538">
            <w:pPr>
              <w:pStyle w:val="TableBodyText"/>
              <w:jc w:val="left"/>
              <w:rPr>
                <w:b/>
              </w:rPr>
            </w:pPr>
            <w:r w:rsidRPr="00FD1538">
              <w:rPr>
                <w:b/>
              </w:rPr>
              <w:t>Table NEA.2.8</w:t>
            </w:r>
          </w:p>
        </w:tc>
        <w:tc>
          <w:tcPr>
            <w:tcW w:w="6844" w:type="dxa"/>
            <w:shd w:val="clear" w:color="auto" w:fill="auto"/>
          </w:tcPr>
          <w:p w:rsidR="00FD1538" w:rsidRPr="00BE3771" w:rsidRDefault="00FD1538" w:rsidP="00FD1538">
            <w:pPr>
              <w:pStyle w:val="TableBodyText"/>
              <w:jc w:val="left"/>
            </w:pPr>
            <w:r w:rsidRPr="00BE3771">
              <w:t>Proportion of year 7 students who achieved at or above the national minimum standard for writing, by State and Territory, by Indigenous status, by geolocation, 2013 (per cent)</w:t>
            </w:r>
            <w:r w:rsidR="001714E9">
              <w:t xml:space="preserve"> </w:t>
            </w:r>
          </w:p>
        </w:tc>
      </w:tr>
      <w:tr w:rsidR="00FD1538" w:rsidRPr="008E7459" w:rsidTr="00FD1538">
        <w:trPr>
          <w:trHeight w:val="612"/>
        </w:trPr>
        <w:tc>
          <w:tcPr>
            <w:tcW w:w="1960" w:type="dxa"/>
            <w:shd w:val="clear" w:color="auto" w:fill="auto"/>
            <w:noWrap/>
          </w:tcPr>
          <w:p w:rsidR="00FD1538" w:rsidRPr="00FD1538" w:rsidRDefault="00FD1538" w:rsidP="00FD1538">
            <w:pPr>
              <w:pStyle w:val="TableBodyText"/>
              <w:jc w:val="left"/>
              <w:rPr>
                <w:b/>
              </w:rPr>
            </w:pPr>
            <w:r w:rsidRPr="00FD1538">
              <w:rPr>
                <w:b/>
              </w:rPr>
              <w:t>Table NEA.2.9</w:t>
            </w:r>
          </w:p>
        </w:tc>
        <w:tc>
          <w:tcPr>
            <w:tcW w:w="6844" w:type="dxa"/>
            <w:shd w:val="clear" w:color="auto" w:fill="auto"/>
          </w:tcPr>
          <w:p w:rsidR="00FD1538" w:rsidRPr="00BE3771" w:rsidRDefault="00FD1538" w:rsidP="00FD1538">
            <w:pPr>
              <w:pStyle w:val="TableBodyText"/>
              <w:jc w:val="left"/>
            </w:pPr>
            <w:r w:rsidRPr="00BE3771">
              <w:t>Proportion of year 7 students who achieved at or above the national minimum standard for numeracy, by State and Territory, by Indigenous status, by geolocation, 2013 (per cent)</w:t>
            </w:r>
            <w:r w:rsidR="001714E9">
              <w:t xml:space="preserve"> </w:t>
            </w:r>
          </w:p>
        </w:tc>
      </w:tr>
      <w:tr w:rsidR="00FD1538" w:rsidRPr="008E7459" w:rsidTr="00FD1538">
        <w:trPr>
          <w:trHeight w:val="612"/>
        </w:trPr>
        <w:tc>
          <w:tcPr>
            <w:tcW w:w="1960" w:type="dxa"/>
            <w:shd w:val="clear" w:color="auto" w:fill="auto"/>
            <w:noWrap/>
          </w:tcPr>
          <w:p w:rsidR="00FD1538" w:rsidRPr="00FD1538" w:rsidRDefault="00FD1538" w:rsidP="00FD1538">
            <w:pPr>
              <w:pStyle w:val="TableBodyText"/>
              <w:jc w:val="left"/>
              <w:rPr>
                <w:b/>
              </w:rPr>
            </w:pPr>
            <w:r w:rsidRPr="00FD1538">
              <w:rPr>
                <w:b/>
              </w:rPr>
              <w:t>Table NEA.2.10</w:t>
            </w:r>
          </w:p>
        </w:tc>
        <w:tc>
          <w:tcPr>
            <w:tcW w:w="6844" w:type="dxa"/>
            <w:shd w:val="clear" w:color="auto" w:fill="auto"/>
          </w:tcPr>
          <w:p w:rsidR="00FD1538" w:rsidRPr="00BE3771" w:rsidRDefault="00FD1538" w:rsidP="00FD1538">
            <w:pPr>
              <w:pStyle w:val="TableBodyText"/>
              <w:jc w:val="left"/>
            </w:pPr>
            <w:r w:rsidRPr="00BE3771">
              <w:t>Proportion of year 9 students who achieved at or above the national minimum standard for reading, by State and Territory, by Indigenous status, by geolocation, 2013 (per cent)</w:t>
            </w:r>
            <w:r w:rsidR="001714E9">
              <w:t xml:space="preserve"> </w:t>
            </w:r>
          </w:p>
        </w:tc>
      </w:tr>
      <w:tr w:rsidR="00FD1538" w:rsidRPr="008E7459" w:rsidTr="00FD1538">
        <w:trPr>
          <w:trHeight w:val="612"/>
        </w:trPr>
        <w:tc>
          <w:tcPr>
            <w:tcW w:w="1960" w:type="dxa"/>
            <w:shd w:val="clear" w:color="auto" w:fill="auto"/>
            <w:noWrap/>
          </w:tcPr>
          <w:p w:rsidR="00FD1538" w:rsidRPr="00FD1538" w:rsidRDefault="00FD1538" w:rsidP="00FD1538">
            <w:pPr>
              <w:pStyle w:val="TableBodyText"/>
              <w:jc w:val="left"/>
              <w:rPr>
                <w:b/>
              </w:rPr>
            </w:pPr>
            <w:r w:rsidRPr="00FD1538">
              <w:rPr>
                <w:b/>
              </w:rPr>
              <w:t>Table NEA.2.11</w:t>
            </w:r>
          </w:p>
        </w:tc>
        <w:tc>
          <w:tcPr>
            <w:tcW w:w="6844" w:type="dxa"/>
            <w:shd w:val="clear" w:color="auto" w:fill="auto"/>
          </w:tcPr>
          <w:p w:rsidR="00FD1538" w:rsidRPr="00BE3771" w:rsidRDefault="00FD1538" w:rsidP="00FD1538">
            <w:pPr>
              <w:pStyle w:val="TableBodyText"/>
              <w:jc w:val="left"/>
            </w:pPr>
            <w:r w:rsidRPr="00BE3771">
              <w:t>Proportion of year 9 students who achieved at or above the national minimum standard for writing, by State and Territory, by Indigenous status, by geolocation, 2013 (per cent)</w:t>
            </w:r>
            <w:r w:rsidR="001714E9">
              <w:t xml:space="preserve"> </w:t>
            </w:r>
          </w:p>
        </w:tc>
      </w:tr>
      <w:tr w:rsidR="00FD1538" w:rsidRPr="008E7459" w:rsidTr="00FD1538">
        <w:trPr>
          <w:trHeight w:val="612"/>
        </w:trPr>
        <w:tc>
          <w:tcPr>
            <w:tcW w:w="1960" w:type="dxa"/>
            <w:shd w:val="clear" w:color="auto" w:fill="auto"/>
            <w:noWrap/>
          </w:tcPr>
          <w:p w:rsidR="00FD1538" w:rsidRPr="00FD1538" w:rsidRDefault="00FD1538" w:rsidP="00FD1538">
            <w:pPr>
              <w:pStyle w:val="TableBodyText"/>
              <w:jc w:val="left"/>
              <w:rPr>
                <w:b/>
              </w:rPr>
            </w:pPr>
            <w:r w:rsidRPr="00FD1538">
              <w:rPr>
                <w:b/>
              </w:rPr>
              <w:t>Table NEA.2.12</w:t>
            </w:r>
          </w:p>
        </w:tc>
        <w:tc>
          <w:tcPr>
            <w:tcW w:w="6844" w:type="dxa"/>
            <w:shd w:val="clear" w:color="auto" w:fill="auto"/>
          </w:tcPr>
          <w:p w:rsidR="00FD1538" w:rsidRPr="00BE3771" w:rsidRDefault="00FD1538" w:rsidP="00FD1538">
            <w:pPr>
              <w:pStyle w:val="TableBodyText"/>
              <w:jc w:val="left"/>
            </w:pPr>
            <w:r w:rsidRPr="00BE3771">
              <w:t>Proportion of year 9 students who achieved at or above the national minimum standard for numeracy, by State and Territory, by Indigenous status, by geolocation, 2013 (per cent)</w:t>
            </w:r>
            <w:r w:rsidR="001714E9">
              <w:t xml:space="preserve"> </w:t>
            </w:r>
          </w:p>
        </w:tc>
      </w:tr>
      <w:tr w:rsidR="00FD1538" w:rsidRPr="008E7459" w:rsidTr="00FD1538">
        <w:trPr>
          <w:trHeight w:val="612"/>
        </w:trPr>
        <w:tc>
          <w:tcPr>
            <w:tcW w:w="1960" w:type="dxa"/>
            <w:shd w:val="clear" w:color="auto" w:fill="auto"/>
            <w:noWrap/>
          </w:tcPr>
          <w:p w:rsidR="00FD1538" w:rsidRPr="00FD1538" w:rsidRDefault="00FD1538" w:rsidP="00FD1538">
            <w:pPr>
              <w:pStyle w:val="TableBodyText"/>
              <w:jc w:val="left"/>
              <w:rPr>
                <w:b/>
              </w:rPr>
            </w:pPr>
            <w:r w:rsidRPr="00FD1538">
              <w:rPr>
                <w:b/>
              </w:rPr>
              <w:t>Table NEA.2.13</w:t>
            </w:r>
          </w:p>
        </w:tc>
        <w:tc>
          <w:tcPr>
            <w:tcW w:w="6844" w:type="dxa"/>
            <w:shd w:val="clear" w:color="auto" w:fill="auto"/>
          </w:tcPr>
          <w:p w:rsidR="00FD1538" w:rsidRPr="00BE3771" w:rsidRDefault="00FD1538" w:rsidP="00FD1538">
            <w:pPr>
              <w:pStyle w:val="TableBodyText"/>
              <w:jc w:val="left"/>
            </w:pPr>
            <w:r w:rsidRPr="00BE3771">
              <w:t>Proportion of year 3 students who achieved at or above the national minimum standard for reading, by State and Territory, by parental education and parental occupation, 2013 (per cent)</w:t>
            </w:r>
            <w:r w:rsidR="001714E9">
              <w:t xml:space="preserve"> </w:t>
            </w:r>
          </w:p>
        </w:tc>
      </w:tr>
      <w:tr w:rsidR="00FD1538" w:rsidRPr="008E7459" w:rsidTr="00FD1538">
        <w:trPr>
          <w:trHeight w:val="612"/>
        </w:trPr>
        <w:tc>
          <w:tcPr>
            <w:tcW w:w="1960" w:type="dxa"/>
            <w:shd w:val="clear" w:color="auto" w:fill="auto"/>
            <w:noWrap/>
          </w:tcPr>
          <w:p w:rsidR="00FD1538" w:rsidRPr="00FD1538" w:rsidRDefault="00FD1538" w:rsidP="00FD1538">
            <w:pPr>
              <w:pStyle w:val="TableBodyText"/>
              <w:jc w:val="left"/>
              <w:rPr>
                <w:b/>
              </w:rPr>
            </w:pPr>
            <w:r w:rsidRPr="00FD1538">
              <w:rPr>
                <w:b/>
              </w:rPr>
              <w:t>Table NEA.2.14</w:t>
            </w:r>
          </w:p>
        </w:tc>
        <w:tc>
          <w:tcPr>
            <w:tcW w:w="6844" w:type="dxa"/>
            <w:shd w:val="clear" w:color="auto" w:fill="auto"/>
          </w:tcPr>
          <w:p w:rsidR="00FD1538" w:rsidRPr="00BE3771" w:rsidRDefault="00FD1538" w:rsidP="00FD1538">
            <w:pPr>
              <w:pStyle w:val="TableBodyText"/>
              <w:jc w:val="left"/>
            </w:pPr>
            <w:r w:rsidRPr="00BE3771">
              <w:t>Proportion of year 3 students who achieved at or above the national minimum standard for writing, by State and Territory, by parental education and parental occupation, 2013 (per cent)</w:t>
            </w:r>
            <w:r w:rsidR="001714E9">
              <w:t xml:space="preserve"> </w:t>
            </w:r>
          </w:p>
        </w:tc>
      </w:tr>
      <w:tr w:rsidR="00FD1538" w:rsidRPr="008E7459" w:rsidTr="00FD1538">
        <w:trPr>
          <w:trHeight w:val="612"/>
        </w:trPr>
        <w:tc>
          <w:tcPr>
            <w:tcW w:w="1960" w:type="dxa"/>
            <w:shd w:val="clear" w:color="auto" w:fill="auto"/>
            <w:noWrap/>
          </w:tcPr>
          <w:p w:rsidR="00FD1538" w:rsidRPr="00FD1538" w:rsidRDefault="00FD1538" w:rsidP="00FD1538">
            <w:pPr>
              <w:pStyle w:val="TableBodyText"/>
              <w:jc w:val="left"/>
              <w:rPr>
                <w:b/>
              </w:rPr>
            </w:pPr>
            <w:r w:rsidRPr="00FD1538">
              <w:rPr>
                <w:b/>
              </w:rPr>
              <w:t>Table NEA.2.15</w:t>
            </w:r>
          </w:p>
        </w:tc>
        <w:tc>
          <w:tcPr>
            <w:tcW w:w="6844" w:type="dxa"/>
            <w:shd w:val="clear" w:color="auto" w:fill="auto"/>
          </w:tcPr>
          <w:p w:rsidR="00FD1538" w:rsidRPr="00BE3771" w:rsidRDefault="00FD1538" w:rsidP="00FD1538">
            <w:pPr>
              <w:pStyle w:val="TableBodyText"/>
              <w:jc w:val="left"/>
            </w:pPr>
            <w:r w:rsidRPr="00BE3771">
              <w:t>Proportion of year 3 students who achieved at or above the national minimum standard for numeracy, by State and Territory, by parental education and parental occupation, 2013 (per cent)</w:t>
            </w:r>
            <w:r w:rsidR="001714E9">
              <w:t xml:space="preserve"> </w:t>
            </w:r>
          </w:p>
        </w:tc>
      </w:tr>
      <w:tr w:rsidR="00FD1538" w:rsidRPr="008E7459" w:rsidTr="00FD1538">
        <w:trPr>
          <w:trHeight w:val="612"/>
        </w:trPr>
        <w:tc>
          <w:tcPr>
            <w:tcW w:w="1960" w:type="dxa"/>
            <w:shd w:val="clear" w:color="auto" w:fill="auto"/>
            <w:noWrap/>
          </w:tcPr>
          <w:p w:rsidR="00FD1538" w:rsidRPr="00FD1538" w:rsidRDefault="00FD1538" w:rsidP="00FD1538">
            <w:pPr>
              <w:pStyle w:val="TableBodyText"/>
              <w:jc w:val="left"/>
              <w:rPr>
                <w:b/>
              </w:rPr>
            </w:pPr>
            <w:r w:rsidRPr="00FD1538">
              <w:rPr>
                <w:b/>
              </w:rPr>
              <w:t>Table NEA.2.16</w:t>
            </w:r>
          </w:p>
        </w:tc>
        <w:tc>
          <w:tcPr>
            <w:tcW w:w="6844" w:type="dxa"/>
            <w:shd w:val="clear" w:color="auto" w:fill="auto"/>
          </w:tcPr>
          <w:p w:rsidR="00FD1538" w:rsidRPr="00BE3771" w:rsidRDefault="00FD1538" w:rsidP="00FD1538">
            <w:pPr>
              <w:pStyle w:val="TableBodyText"/>
              <w:jc w:val="left"/>
            </w:pPr>
            <w:r w:rsidRPr="00BE3771">
              <w:t>Proportion of year 5 students who achieved at or above the national minimum standard for reading, by State and Territory, by parental education and parental occupation, 2013 (per cent)</w:t>
            </w:r>
            <w:r w:rsidR="001714E9">
              <w:t xml:space="preserve"> </w:t>
            </w:r>
          </w:p>
        </w:tc>
      </w:tr>
      <w:tr w:rsidR="00FD1538" w:rsidRPr="008E7459" w:rsidTr="00FD1538">
        <w:trPr>
          <w:trHeight w:val="612"/>
        </w:trPr>
        <w:tc>
          <w:tcPr>
            <w:tcW w:w="1960" w:type="dxa"/>
            <w:shd w:val="clear" w:color="auto" w:fill="auto"/>
            <w:noWrap/>
          </w:tcPr>
          <w:p w:rsidR="00FD1538" w:rsidRPr="00FD1538" w:rsidRDefault="00FD1538" w:rsidP="00FD1538">
            <w:pPr>
              <w:pStyle w:val="TableBodyText"/>
              <w:jc w:val="left"/>
              <w:rPr>
                <w:b/>
              </w:rPr>
            </w:pPr>
            <w:r w:rsidRPr="00FD1538">
              <w:rPr>
                <w:b/>
              </w:rPr>
              <w:t>Table NEA.2.17</w:t>
            </w:r>
          </w:p>
        </w:tc>
        <w:tc>
          <w:tcPr>
            <w:tcW w:w="6844" w:type="dxa"/>
            <w:shd w:val="clear" w:color="auto" w:fill="auto"/>
          </w:tcPr>
          <w:p w:rsidR="00FD1538" w:rsidRPr="00BE3771" w:rsidRDefault="00FD1538" w:rsidP="00FD1538">
            <w:pPr>
              <w:pStyle w:val="TableBodyText"/>
              <w:jc w:val="left"/>
            </w:pPr>
            <w:r w:rsidRPr="00BE3771">
              <w:t>Proportion of year 5 students who achieved at or above the national minimum standard for writing, by State and Territory, by parental education and parental occupation, 2013 (per cent)</w:t>
            </w:r>
            <w:r w:rsidR="001714E9">
              <w:t xml:space="preserve"> </w:t>
            </w:r>
          </w:p>
        </w:tc>
      </w:tr>
      <w:tr w:rsidR="00FD1538" w:rsidRPr="008E7459" w:rsidTr="00FD1538">
        <w:trPr>
          <w:trHeight w:val="612"/>
        </w:trPr>
        <w:tc>
          <w:tcPr>
            <w:tcW w:w="1960" w:type="dxa"/>
            <w:shd w:val="clear" w:color="auto" w:fill="auto"/>
            <w:noWrap/>
          </w:tcPr>
          <w:p w:rsidR="00FD1538" w:rsidRPr="00FD1538" w:rsidRDefault="00FD1538" w:rsidP="00FD1538">
            <w:pPr>
              <w:pStyle w:val="TableBodyText"/>
              <w:jc w:val="left"/>
              <w:rPr>
                <w:b/>
              </w:rPr>
            </w:pPr>
            <w:r w:rsidRPr="00FD1538">
              <w:rPr>
                <w:b/>
              </w:rPr>
              <w:t>Table NEA.2.18</w:t>
            </w:r>
          </w:p>
        </w:tc>
        <w:tc>
          <w:tcPr>
            <w:tcW w:w="6844" w:type="dxa"/>
            <w:shd w:val="clear" w:color="auto" w:fill="auto"/>
          </w:tcPr>
          <w:p w:rsidR="00FD1538" w:rsidRPr="00BE3771" w:rsidRDefault="00FD1538" w:rsidP="00FD1538">
            <w:pPr>
              <w:pStyle w:val="TableBodyText"/>
              <w:jc w:val="left"/>
            </w:pPr>
            <w:r w:rsidRPr="00BE3771">
              <w:t>Proportion of year 5 students who achieved at or above the national minimum standard for numeracy, by State and Territory, by parental education and parental occupation, 2013 (per cent)</w:t>
            </w:r>
            <w:r w:rsidR="001714E9">
              <w:t xml:space="preserve"> </w:t>
            </w:r>
          </w:p>
        </w:tc>
      </w:tr>
      <w:tr w:rsidR="00FD1538" w:rsidRPr="008E7459" w:rsidTr="00FD1538">
        <w:trPr>
          <w:trHeight w:val="612"/>
        </w:trPr>
        <w:tc>
          <w:tcPr>
            <w:tcW w:w="1960" w:type="dxa"/>
            <w:shd w:val="clear" w:color="auto" w:fill="auto"/>
            <w:noWrap/>
          </w:tcPr>
          <w:p w:rsidR="00FD1538" w:rsidRPr="00FD1538" w:rsidRDefault="00FD1538" w:rsidP="00FD1538">
            <w:pPr>
              <w:pStyle w:val="TableBodyText"/>
              <w:jc w:val="left"/>
              <w:rPr>
                <w:b/>
              </w:rPr>
            </w:pPr>
            <w:r w:rsidRPr="00FD1538">
              <w:rPr>
                <w:b/>
              </w:rPr>
              <w:t>Table NEA.2.19</w:t>
            </w:r>
          </w:p>
        </w:tc>
        <w:tc>
          <w:tcPr>
            <w:tcW w:w="6844" w:type="dxa"/>
            <w:shd w:val="clear" w:color="auto" w:fill="auto"/>
          </w:tcPr>
          <w:p w:rsidR="00FD1538" w:rsidRPr="00BE3771" w:rsidRDefault="00FD1538" w:rsidP="00FD1538">
            <w:pPr>
              <w:pStyle w:val="TableBodyText"/>
              <w:jc w:val="left"/>
            </w:pPr>
            <w:r w:rsidRPr="00BE3771">
              <w:t>Proportion of year 7 students who achieved at or above the national minimum standard for reading, by State and Territory, by parental education and parental occupation, 2013 (per cent)</w:t>
            </w:r>
            <w:r w:rsidR="001714E9">
              <w:t xml:space="preserve"> </w:t>
            </w:r>
          </w:p>
        </w:tc>
      </w:tr>
      <w:tr w:rsidR="00FD1538" w:rsidRPr="008E7459" w:rsidTr="00FD1538">
        <w:trPr>
          <w:trHeight w:val="612"/>
        </w:trPr>
        <w:tc>
          <w:tcPr>
            <w:tcW w:w="1960" w:type="dxa"/>
            <w:shd w:val="clear" w:color="auto" w:fill="auto"/>
            <w:noWrap/>
          </w:tcPr>
          <w:p w:rsidR="00FD1538" w:rsidRPr="00FD1538" w:rsidRDefault="00FD1538" w:rsidP="00FD1538">
            <w:pPr>
              <w:pStyle w:val="TableBodyText"/>
              <w:jc w:val="left"/>
              <w:rPr>
                <w:b/>
              </w:rPr>
            </w:pPr>
            <w:r w:rsidRPr="00FD1538">
              <w:rPr>
                <w:b/>
              </w:rPr>
              <w:t>Table NEA.2.20</w:t>
            </w:r>
          </w:p>
        </w:tc>
        <w:tc>
          <w:tcPr>
            <w:tcW w:w="6844" w:type="dxa"/>
            <w:shd w:val="clear" w:color="auto" w:fill="auto"/>
          </w:tcPr>
          <w:p w:rsidR="00FD1538" w:rsidRPr="00BE3771" w:rsidRDefault="00FD1538" w:rsidP="00FD1538">
            <w:pPr>
              <w:pStyle w:val="TableBodyText"/>
              <w:jc w:val="left"/>
            </w:pPr>
            <w:r w:rsidRPr="00BE3771">
              <w:t>Proportion of year 7 students who achieved at or above the national minimum standard for writing, by State and Territory, by parental education and parental occupation, 2013 (per cent)</w:t>
            </w:r>
            <w:r w:rsidR="001714E9">
              <w:t xml:space="preserve"> </w:t>
            </w:r>
          </w:p>
        </w:tc>
      </w:tr>
      <w:tr w:rsidR="00FD1538" w:rsidRPr="008E7459" w:rsidTr="00FD1538">
        <w:trPr>
          <w:trHeight w:val="612"/>
        </w:trPr>
        <w:tc>
          <w:tcPr>
            <w:tcW w:w="1960" w:type="dxa"/>
            <w:shd w:val="clear" w:color="auto" w:fill="auto"/>
            <w:noWrap/>
          </w:tcPr>
          <w:p w:rsidR="00FD1538" w:rsidRPr="00FD1538" w:rsidRDefault="00FD1538" w:rsidP="00FD1538">
            <w:pPr>
              <w:pStyle w:val="TableBodyText"/>
              <w:jc w:val="left"/>
              <w:rPr>
                <w:b/>
              </w:rPr>
            </w:pPr>
            <w:r w:rsidRPr="00FD1538">
              <w:rPr>
                <w:b/>
              </w:rPr>
              <w:t>Table NEA.2.21</w:t>
            </w:r>
          </w:p>
        </w:tc>
        <w:tc>
          <w:tcPr>
            <w:tcW w:w="6844" w:type="dxa"/>
            <w:shd w:val="clear" w:color="auto" w:fill="auto"/>
          </w:tcPr>
          <w:p w:rsidR="00FD1538" w:rsidRPr="00BE3771" w:rsidRDefault="00FD1538" w:rsidP="00FD1538">
            <w:pPr>
              <w:pStyle w:val="TableBodyText"/>
              <w:jc w:val="left"/>
            </w:pPr>
            <w:r w:rsidRPr="00BE3771">
              <w:t>Proportion of year 7 students who achieved at or above the national minimum standard for numeracy, by State and Territory, by parental education and parental occupation, 2013 (per cent)</w:t>
            </w:r>
            <w:r w:rsidR="001714E9">
              <w:t xml:space="preserve"> </w:t>
            </w:r>
          </w:p>
        </w:tc>
      </w:tr>
      <w:tr w:rsidR="00FD1538" w:rsidRPr="008E7459" w:rsidTr="00FD1538">
        <w:trPr>
          <w:trHeight w:val="612"/>
        </w:trPr>
        <w:tc>
          <w:tcPr>
            <w:tcW w:w="1960" w:type="dxa"/>
            <w:shd w:val="clear" w:color="auto" w:fill="auto"/>
            <w:noWrap/>
          </w:tcPr>
          <w:p w:rsidR="00FD1538" w:rsidRPr="00FD1538" w:rsidRDefault="00FD1538" w:rsidP="00FD1538">
            <w:pPr>
              <w:pStyle w:val="TableBodyText"/>
              <w:jc w:val="left"/>
              <w:rPr>
                <w:b/>
              </w:rPr>
            </w:pPr>
            <w:r w:rsidRPr="00FD1538">
              <w:rPr>
                <w:b/>
              </w:rPr>
              <w:t>Table NEA.2.22</w:t>
            </w:r>
          </w:p>
        </w:tc>
        <w:tc>
          <w:tcPr>
            <w:tcW w:w="6844" w:type="dxa"/>
            <w:shd w:val="clear" w:color="auto" w:fill="auto"/>
          </w:tcPr>
          <w:p w:rsidR="00FD1538" w:rsidRPr="00BE3771" w:rsidRDefault="00FD1538" w:rsidP="00FD1538">
            <w:pPr>
              <w:pStyle w:val="TableBodyText"/>
              <w:jc w:val="left"/>
            </w:pPr>
            <w:r w:rsidRPr="00BE3771">
              <w:t>Proportion of year 9 students who achieved at or above the national minimum standard for reading, by State and Territory, by parental education and parental occupation, 2013 (per cent)</w:t>
            </w:r>
            <w:r w:rsidR="001714E9">
              <w:t xml:space="preserve"> </w:t>
            </w:r>
          </w:p>
        </w:tc>
      </w:tr>
      <w:tr w:rsidR="00FD1538" w:rsidRPr="008E7459" w:rsidTr="00FD1538">
        <w:trPr>
          <w:trHeight w:val="612"/>
        </w:trPr>
        <w:tc>
          <w:tcPr>
            <w:tcW w:w="1960" w:type="dxa"/>
            <w:shd w:val="clear" w:color="auto" w:fill="auto"/>
            <w:noWrap/>
          </w:tcPr>
          <w:p w:rsidR="00FD1538" w:rsidRPr="00FD1538" w:rsidRDefault="00FD1538" w:rsidP="00FD1538">
            <w:pPr>
              <w:pStyle w:val="TableBodyText"/>
              <w:jc w:val="left"/>
              <w:rPr>
                <w:b/>
              </w:rPr>
            </w:pPr>
            <w:r w:rsidRPr="00FD1538">
              <w:rPr>
                <w:b/>
              </w:rPr>
              <w:t>Table NEA.2.23</w:t>
            </w:r>
          </w:p>
        </w:tc>
        <w:tc>
          <w:tcPr>
            <w:tcW w:w="6844" w:type="dxa"/>
            <w:shd w:val="clear" w:color="auto" w:fill="auto"/>
          </w:tcPr>
          <w:p w:rsidR="00FD1538" w:rsidRPr="00BE3771" w:rsidRDefault="00FD1538" w:rsidP="00FD1538">
            <w:pPr>
              <w:pStyle w:val="TableBodyText"/>
              <w:jc w:val="left"/>
            </w:pPr>
            <w:r w:rsidRPr="00BE3771">
              <w:t>Proportion of year 9 students who achieved at or above the national minimum standard for writing, by State and Territory, by parental education and parental occupation, 2013 (per cent)</w:t>
            </w:r>
            <w:r w:rsidR="001714E9">
              <w:t xml:space="preserve"> </w:t>
            </w:r>
          </w:p>
        </w:tc>
      </w:tr>
      <w:tr w:rsidR="00FD1538" w:rsidRPr="008E7459" w:rsidTr="00FD1538">
        <w:trPr>
          <w:trHeight w:val="612"/>
        </w:trPr>
        <w:tc>
          <w:tcPr>
            <w:tcW w:w="1960" w:type="dxa"/>
            <w:shd w:val="clear" w:color="auto" w:fill="auto"/>
            <w:noWrap/>
          </w:tcPr>
          <w:p w:rsidR="00FD1538" w:rsidRPr="00FD1538" w:rsidRDefault="00FD1538" w:rsidP="00FD1538">
            <w:pPr>
              <w:pStyle w:val="TableBodyText"/>
              <w:jc w:val="left"/>
              <w:rPr>
                <w:b/>
              </w:rPr>
            </w:pPr>
            <w:r w:rsidRPr="00FD1538">
              <w:rPr>
                <w:b/>
              </w:rPr>
              <w:t>Table NEA.2.24</w:t>
            </w:r>
          </w:p>
        </w:tc>
        <w:tc>
          <w:tcPr>
            <w:tcW w:w="6844" w:type="dxa"/>
            <w:shd w:val="clear" w:color="auto" w:fill="auto"/>
          </w:tcPr>
          <w:p w:rsidR="00FD1538" w:rsidRPr="00BE3771" w:rsidRDefault="00FD1538" w:rsidP="00FD1538">
            <w:pPr>
              <w:pStyle w:val="TableBodyText"/>
              <w:jc w:val="left"/>
            </w:pPr>
            <w:r w:rsidRPr="00BE3771">
              <w:t>Proportion of year 9 students who achieved at or above the national minimum standard for numeracy, by State and Territory, by parental education and parental occupation, 2013 (per cent)</w:t>
            </w:r>
            <w:r w:rsidR="001714E9">
              <w:t xml:space="preserve"> </w:t>
            </w:r>
          </w:p>
        </w:tc>
      </w:tr>
      <w:tr w:rsidR="00FD1538" w:rsidRPr="008E7459" w:rsidTr="00FD1538">
        <w:trPr>
          <w:trHeight w:val="612"/>
        </w:trPr>
        <w:tc>
          <w:tcPr>
            <w:tcW w:w="1960" w:type="dxa"/>
            <w:shd w:val="clear" w:color="auto" w:fill="auto"/>
            <w:noWrap/>
          </w:tcPr>
          <w:p w:rsidR="00FD1538" w:rsidRPr="00FD1538" w:rsidRDefault="00FD1538" w:rsidP="00FD1538">
            <w:pPr>
              <w:pStyle w:val="TableBodyText"/>
              <w:jc w:val="left"/>
              <w:rPr>
                <w:b/>
              </w:rPr>
            </w:pPr>
            <w:r w:rsidRPr="00FD1538">
              <w:rPr>
                <w:b/>
              </w:rPr>
              <w:t>Table NEA.2.25</w:t>
            </w:r>
          </w:p>
        </w:tc>
        <w:tc>
          <w:tcPr>
            <w:tcW w:w="6844" w:type="dxa"/>
            <w:shd w:val="clear" w:color="auto" w:fill="auto"/>
          </w:tcPr>
          <w:p w:rsidR="00FD1538" w:rsidRPr="00BE3771" w:rsidRDefault="00FD1538" w:rsidP="00FD1538">
            <w:pPr>
              <w:pStyle w:val="TableBodyText"/>
              <w:jc w:val="left"/>
            </w:pPr>
            <w:r w:rsidRPr="00BE3771">
              <w:t>NAPLAN mean scale scores for reading year 3 students, by State and Territory, by Indigenous status and geolocation, 2013 (scale score)</w:t>
            </w:r>
            <w:r w:rsidR="001714E9">
              <w:t xml:space="preserve"> </w:t>
            </w:r>
          </w:p>
        </w:tc>
      </w:tr>
      <w:tr w:rsidR="00FD1538" w:rsidRPr="008E7459" w:rsidTr="00FD1538">
        <w:trPr>
          <w:trHeight w:val="612"/>
        </w:trPr>
        <w:tc>
          <w:tcPr>
            <w:tcW w:w="1960" w:type="dxa"/>
            <w:shd w:val="clear" w:color="auto" w:fill="auto"/>
            <w:noWrap/>
          </w:tcPr>
          <w:p w:rsidR="00FD1538" w:rsidRPr="00FD1538" w:rsidRDefault="00FD1538" w:rsidP="00FD1538">
            <w:pPr>
              <w:pStyle w:val="TableBodyText"/>
              <w:jc w:val="left"/>
              <w:rPr>
                <w:b/>
              </w:rPr>
            </w:pPr>
            <w:r w:rsidRPr="00FD1538">
              <w:rPr>
                <w:b/>
              </w:rPr>
              <w:t>Table NEA.2.26</w:t>
            </w:r>
          </w:p>
        </w:tc>
        <w:tc>
          <w:tcPr>
            <w:tcW w:w="6844" w:type="dxa"/>
            <w:shd w:val="clear" w:color="auto" w:fill="auto"/>
          </w:tcPr>
          <w:p w:rsidR="00FD1538" w:rsidRPr="00BE3771" w:rsidRDefault="00FD1538" w:rsidP="00D34437">
            <w:pPr>
              <w:pStyle w:val="TableBodyText"/>
              <w:jc w:val="left"/>
            </w:pPr>
            <w:r w:rsidRPr="00BE3771">
              <w:t>NAPLAN mean scale scores for writing year 3 students, by State and Territory, by Indigenous status and geolocation, 2013 (scale score)</w:t>
            </w:r>
            <w:r w:rsidR="001714E9">
              <w:t xml:space="preserve"> </w:t>
            </w:r>
          </w:p>
        </w:tc>
      </w:tr>
      <w:tr w:rsidR="00FD1538" w:rsidRPr="008E7459" w:rsidTr="00FD1538">
        <w:trPr>
          <w:trHeight w:val="612"/>
        </w:trPr>
        <w:tc>
          <w:tcPr>
            <w:tcW w:w="1960" w:type="dxa"/>
            <w:shd w:val="clear" w:color="auto" w:fill="auto"/>
            <w:noWrap/>
          </w:tcPr>
          <w:p w:rsidR="00FD1538" w:rsidRPr="00FD1538" w:rsidRDefault="00FD1538" w:rsidP="00FD1538">
            <w:pPr>
              <w:pStyle w:val="TableBodyText"/>
              <w:jc w:val="left"/>
              <w:rPr>
                <w:b/>
              </w:rPr>
            </w:pPr>
            <w:r w:rsidRPr="00FD1538">
              <w:rPr>
                <w:b/>
              </w:rPr>
              <w:t>Table NEA.2.27</w:t>
            </w:r>
          </w:p>
        </w:tc>
        <w:tc>
          <w:tcPr>
            <w:tcW w:w="6844" w:type="dxa"/>
            <w:shd w:val="clear" w:color="auto" w:fill="auto"/>
          </w:tcPr>
          <w:p w:rsidR="00FD1538" w:rsidRPr="00BE3771" w:rsidRDefault="00FD1538" w:rsidP="00D34437">
            <w:pPr>
              <w:pStyle w:val="TableBodyText"/>
              <w:jc w:val="left"/>
            </w:pPr>
            <w:r w:rsidRPr="00BE3771">
              <w:t>NAPLAN mean scale scores for numeracy, year 3 students, by State and Territory, by Indigenous status and geolocation, 2013 (scale score)</w:t>
            </w:r>
            <w:r w:rsidR="001714E9">
              <w:t xml:space="preserve"> </w:t>
            </w:r>
          </w:p>
        </w:tc>
      </w:tr>
      <w:tr w:rsidR="00FD1538" w:rsidRPr="008E7459" w:rsidTr="00FD1538">
        <w:trPr>
          <w:trHeight w:val="612"/>
        </w:trPr>
        <w:tc>
          <w:tcPr>
            <w:tcW w:w="1960" w:type="dxa"/>
            <w:shd w:val="clear" w:color="auto" w:fill="auto"/>
            <w:noWrap/>
          </w:tcPr>
          <w:p w:rsidR="00FD1538" w:rsidRPr="00FD1538" w:rsidRDefault="00FD1538" w:rsidP="00FD1538">
            <w:pPr>
              <w:pStyle w:val="TableBodyText"/>
              <w:jc w:val="left"/>
              <w:rPr>
                <w:b/>
              </w:rPr>
            </w:pPr>
            <w:r w:rsidRPr="00FD1538">
              <w:rPr>
                <w:b/>
              </w:rPr>
              <w:t>Table NEA.2.28</w:t>
            </w:r>
          </w:p>
        </w:tc>
        <w:tc>
          <w:tcPr>
            <w:tcW w:w="6844" w:type="dxa"/>
            <w:shd w:val="clear" w:color="auto" w:fill="auto"/>
          </w:tcPr>
          <w:p w:rsidR="00FD1538" w:rsidRPr="00BE3771" w:rsidRDefault="00FD1538" w:rsidP="00D34437">
            <w:pPr>
              <w:pStyle w:val="TableBodyText"/>
              <w:jc w:val="left"/>
            </w:pPr>
            <w:r w:rsidRPr="00BE3771">
              <w:t>NAPLAN mean scale scores for reading, year 5 students, by State and Territory, by Indigenous status and geolocation, 2013 (scale score)</w:t>
            </w:r>
            <w:r w:rsidR="001714E9">
              <w:t xml:space="preserve"> </w:t>
            </w:r>
          </w:p>
        </w:tc>
      </w:tr>
      <w:tr w:rsidR="00FD1538" w:rsidRPr="008E7459" w:rsidTr="00FD1538">
        <w:trPr>
          <w:trHeight w:val="612"/>
        </w:trPr>
        <w:tc>
          <w:tcPr>
            <w:tcW w:w="1960" w:type="dxa"/>
            <w:shd w:val="clear" w:color="auto" w:fill="auto"/>
            <w:noWrap/>
          </w:tcPr>
          <w:p w:rsidR="00FD1538" w:rsidRPr="00FD1538" w:rsidRDefault="00FD1538" w:rsidP="00FD1538">
            <w:pPr>
              <w:pStyle w:val="TableBodyText"/>
              <w:jc w:val="left"/>
              <w:rPr>
                <w:b/>
              </w:rPr>
            </w:pPr>
            <w:r w:rsidRPr="00FD1538">
              <w:rPr>
                <w:b/>
              </w:rPr>
              <w:t>Table NEA.2.29</w:t>
            </w:r>
          </w:p>
        </w:tc>
        <w:tc>
          <w:tcPr>
            <w:tcW w:w="6844" w:type="dxa"/>
            <w:shd w:val="clear" w:color="auto" w:fill="auto"/>
          </w:tcPr>
          <w:p w:rsidR="00FD1538" w:rsidRPr="00BE3771" w:rsidRDefault="00FD1538" w:rsidP="00D34437">
            <w:pPr>
              <w:pStyle w:val="TableBodyText"/>
              <w:jc w:val="left"/>
            </w:pPr>
            <w:r w:rsidRPr="00BE3771">
              <w:t>NAPLAN mean scale scores for writing, year 5 students, by State and Territory, by Indigenous status and geolocation, 2013 (scale score)</w:t>
            </w:r>
            <w:r w:rsidR="001714E9">
              <w:t xml:space="preserve"> </w:t>
            </w:r>
          </w:p>
        </w:tc>
      </w:tr>
      <w:tr w:rsidR="00FD1538" w:rsidRPr="008E7459" w:rsidTr="00FD1538">
        <w:trPr>
          <w:trHeight w:val="612"/>
        </w:trPr>
        <w:tc>
          <w:tcPr>
            <w:tcW w:w="1960" w:type="dxa"/>
            <w:shd w:val="clear" w:color="auto" w:fill="auto"/>
            <w:noWrap/>
          </w:tcPr>
          <w:p w:rsidR="00FD1538" w:rsidRPr="00FD1538" w:rsidRDefault="00FD1538" w:rsidP="00FD1538">
            <w:pPr>
              <w:pStyle w:val="TableBodyText"/>
              <w:jc w:val="left"/>
              <w:rPr>
                <w:b/>
              </w:rPr>
            </w:pPr>
            <w:r w:rsidRPr="00FD1538">
              <w:rPr>
                <w:b/>
              </w:rPr>
              <w:t>Table NEA.2.30</w:t>
            </w:r>
          </w:p>
        </w:tc>
        <w:tc>
          <w:tcPr>
            <w:tcW w:w="6844" w:type="dxa"/>
            <w:shd w:val="clear" w:color="auto" w:fill="auto"/>
          </w:tcPr>
          <w:p w:rsidR="00FD1538" w:rsidRPr="00BE3771" w:rsidRDefault="00FD1538" w:rsidP="00D34437">
            <w:pPr>
              <w:pStyle w:val="TableBodyText"/>
              <w:jc w:val="left"/>
            </w:pPr>
            <w:r w:rsidRPr="00BE3771">
              <w:t>NAPLAN mean scale scores for numeracy, year 5 students, by State and Territory, by Indigenous status and geolocation, 2013 (scale score)</w:t>
            </w:r>
            <w:r w:rsidR="001714E9">
              <w:t xml:space="preserve"> </w:t>
            </w:r>
          </w:p>
        </w:tc>
      </w:tr>
      <w:tr w:rsidR="00FD1538" w:rsidRPr="008E7459" w:rsidTr="00FD1538">
        <w:trPr>
          <w:trHeight w:val="612"/>
        </w:trPr>
        <w:tc>
          <w:tcPr>
            <w:tcW w:w="1960" w:type="dxa"/>
            <w:shd w:val="clear" w:color="auto" w:fill="auto"/>
            <w:noWrap/>
          </w:tcPr>
          <w:p w:rsidR="00FD1538" w:rsidRPr="00FD1538" w:rsidRDefault="00FD1538" w:rsidP="00FD1538">
            <w:pPr>
              <w:pStyle w:val="TableBodyText"/>
              <w:jc w:val="left"/>
              <w:rPr>
                <w:b/>
              </w:rPr>
            </w:pPr>
            <w:r w:rsidRPr="00FD1538">
              <w:rPr>
                <w:b/>
              </w:rPr>
              <w:t>Table NEA.2.31</w:t>
            </w:r>
          </w:p>
        </w:tc>
        <w:tc>
          <w:tcPr>
            <w:tcW w:w="6844" w:type="dxa"/>
            <w:shd w:val="clear" w:color="auto" w:fill="auto"/>
          </w:tcPr>
          <w:p w:rsidR="00FD1538" w:rsidRPr="00BE3771" w:rsidRDefault="00FD1538" w:rsidP="00D34437">
            <w:pPr>
              <w:pStyle w:val="TableBodyText"/>
              <w:jc w:val="left"/>
            </w:pPr>
            <w:r w:rsidRPr="00BE3771">
              <w:t>NAPLAN mean scale scores for reading, year 7 students, by State and Territory, by Indigenous status and geolocation, 2013 (scale score)</w:t>
            </w:r>
            <w:r w:rsidR="001714E9">
              <w:t xml:space="preserve"> </w:t>
            </w:r>
          </w:p>
        </w:tc>
      </w:tr>
      <w:tr w:rsidR="00FD1538" w:rsidRPr="008E7459" w:rsidTr="00FD1538">
        <w:trPr>
          <w:trHeight w:val="612"/>
        </w:trPr>
        <w:tc>
          <w:tcPr>
            <w:tcW w:w="1960" w:type="dxa"/>
            <w:shd w:val="clear" w:color="auto" w:fill="auto"/>
            <w:noWrap/>
          </w:tcPr>
          <w:p w:rsidR="00FD1538" w:rsidRPr="00FD1538" w:rsidRDefault="00FD1538" w:rsidP="00FD1538">
            <w:pPr>
              <w:pStyle w:val="TableBodyText"/>
              <w:jc w:val="left"/>
              <w:rPr>
                <w:b/>
              </w:rPr>
            </w:pPr>
            <w:r w:rsidRPr="00FD1538">
              <w:rPr>
                <w:b/>
              </w:rPr>
              <w:t>Table NEA.2.32</w:t>
            </w:r>
          </w:p>
        </w:tc>
        <w:tc>
          <w:tcPr>
            <w:tcW w:w="6844" w:type="dxa"/>
            <w:shd w:val="clear" w:color="auto" w:fill="auto"/>
          </w:tcPr>
          <w:p w:rsidR="00FD1538" w:rsidRPr="00BE3771" w:rsidRDefault="00FD1538" w:rsidP="00D34437">
            <w:pPr>
              <w:pStyle w:val="TableBodyText"/>
              <w:jc w:val="left"/>
            </w:pPr>
            <w:r w:rsidRPr="00BE3771">
              <w:t>NAPLAN mean scale scores for writing, year 7 students, by State and Territory, by Indigenous status and geolocation, 2013 (scale score)</w:t>
            </w:r>
            <w:r w:rsidR="001714E9">
              <w:t xml:space="preserve"> </w:t>
            </w:r>
          </w:p>
        </w:tc>
      </w:tr>
      <w:tr w:rsidR="00FD1538" w:rsidRPr="008E7459" w:rsidTr="00FD1538">
        <w:trPr>
          <w:trHeight w:val="612"/>
        </w:trPr>
        <w:tc>
          <w:tcPr>
            <w:tcW w:w="1960" w:type="dxa"/>
            <w:shd w:val="clear" w:color="auto" w:fill="auto"/>
            <w:noWrap/>
          </w:tcPr>
          <w:p w:rsidR="00FD1538" w:rsidRPr="00FD1538" w:rsidRDefault="00FD1538" w:rsidP="00FD1538">
            <w:pPr>
              <w:pStyle w:val="TableBodyText"/>
              <w:jc w:val="left"/>
              <w:rPr>
                <w:b/>
              </w:rPr>
            </w:pPr>
            <w:r w:rsidRPr="00FD1538">
              <w:rPr>
                <w:b/>
              </w:rPr>
              <w:t>Table NEA.2.33</w:t>
            </w:r>
          </w:p>
        </w:tc>
        <w:tc>
          <w:tcPr>
            <w:tcW w:w="6844" w:type="dxa"/>
            <w:shd w:val="clear" w:color="auto" w:fill="auto"/>
          </w:tcPr>
          <w:p w:rsidR="00FD1538" w:rsidRPr="00BE3771" w:rsidRDefault="00FD1538" w:rsidP="00D34437">
            <w:pPr>
              <w:pStyle w:val="TableBodyText"/>
              <w:jc w:val="left"/>
            </w:pPr>
            <w:r w:rsidRPr="00BE3771">
              <w:t>NAPLAN mean scale scores for numeracy, year 7 students, by State and Territory, by Indigenous status and geolocation, 2013 (scale score)</w:t>
            </w:r>
            <w:r w:rsidR="001714E9">
              <w:t xml:space="preserve"> </w:t>
            </w:r>
          </w:p>
        </w:tc>
      </w:tr>
      <w:tr w:rsidR="00FD1538" w:rsidRPr="008E7459" w:rsidTr="00FD1538">
        <w:trPr>
          <w:trHeight w:val="612"/>
        </w:trPr>
        <w:tc>
          <w:tcPr>
            <w:tcW w:w="1960" w:type="dxa"/>
            <w:shd w:val="clear" w:color="auto" w:fill="auto"/>
            <w:noWrap/>
          </w:tcPr>
          <w:p w:rsidR="00FD1538" w:rsidRPr="00FD1538" w:rsidRDefault="00FD1538" w:rsidP="00FD1538">
            <w:pPr>
              <w:pStyle w:val="TableBodyText"/>
              <w:jc w:val="left"/>
              <w:rPr>
                <w:b/>
              </w:rPr>
            </w:pPr>
            <w:r w:rsidRPr="00FD1538">
              <w:rPr>
                <w:b/>
              </w:rPr>
              <w:t>Table NEA.2.34</w:t>
            </w:r>
          </w:p>
        </w:tc>
        <w:tc>
          <w:tcPr>
            <w:tcW w:w="6844" w:type="dxa"/>
            <w:shd w:val="clear" w:color="auto" w:fill="auto"/>
          </w:tcPr>
          <w:p w:rsidR="00FD1538" w:rsidRPr="00BE3771" w:rsidRDefault="00FD1538" w:rsidP="00D34437">
            <w:pPr>
              <w:pStyle w:val="TableBodyText"/>
              <w:jc w:val="left"/>
            </w:pPr>
            <w:r w:rsidRPr="00BE3771">
              <w:t>NAPLAN mean scale scores for reading, year 9 students, by State and Territory, by Indigenous status and geolocation, 2013 (scale score)</w:t>
            </w:r>
            <w:r w:rsidR="001714E9">
              <w:t xml:space="preserve"> </w:t>
            </w:r>
          </w:p>
        </w:tc>
      </w:tr>
      <w:tr w:rsidR="00FD1538" w:rsidRPr="008E7459" w:rsidTr="00FD1538">
        <w:trPr>
          <w:trHeight w:val="612"/>
        </w:trPr>
        <w:tc>
          <w:tcPr>
            <w:tcW w:w="1960" w:type="dxa"/>
            <w:shd w:val="clear" w:color="auto" w:fill="auto"/>
            <w:noWrap/>
          </w:tcPr>
          <w:p w:rsidR="00FD1538" w:rsidRPr="00FD1538" w:rsidRDefault="00FD1538" w:rsidP="00FD1538">
            <w:pPr>
              <w:pStyle w:val="TableBodyText"/>
              <w:jc w:val="left"/>
              <w:rPr>
                <w:b/>
              </w:rPr>
            </w:pPr>
            <w:r w:rsidRPr="00FD1538">
              <w:rPr>
                <w:b/>
              </w:rPr>
              <w:t>Table NEA.2.35</w:t>
            </w:r>
          </w:p>
        </w:tc>
        <w:tc>
          <w:tcPr>
            <w:tcW w:w="6844" w:type="dxa"/>
            <w:shd w:val="clear" w:color="auto" w:fill="auto"/>
          </w:tcPr>
          <w:p w:rsidR="00FD1538" w:rsidRPr="00BE3771" w:rsidRDefault="00FD1538" w:rsidP="00D34437">
            <w:pPr>
              <w:pStyle w:val="TableBodyText"/>
              <w:jc w:val="left"/>
            </w:pPr>
            <w:r w:rsidRPr="00BE3771">
              <w:t>NAPLAN mean scale scores for writing, year 9 students, by State and Territory, by Indigenous status and geolocation, 2013 (scale score)</w:t>
            </w:r>
            <w:r w:rsidR="001714E9">
              <w:t xml:space="preserve"> </w:t>
            </w:r>
          </w:p>
        </w:tc>
      </w:tr>
      <w:tr w:rsidR="00FD1538" w:rsidRPr="008E7459" w:rsidTr="00D34437">
        <w:trPr>
          <w:trHeight w:val="475"/>
        </w:trPr>
        <w:tc>
          <w:tcPr>
            <w:tcW w:w="1960" w:type="dxa"/>
            <w:shd w:val="clear" w:color="auto" w:fill="auto"/>
            <w:noWrap/>
          </w:tcPr>
          <w:p w:rsidR="00FD1538" w:rsidRPr="00FD1538" w:rsidRDefault="00FD1538" w:rsidP="00FD1538">
            <w:pPr>
              <w:pStyle w:val="TableBodyText"/>
              <w:jc w:val="left"/>
              <w:rPr>
                <w:b/>
              </w:rPr>
            </w:pPr>
            <w:r w:rsidRPr="00FD1538">
              <w:rPr>
                <w:b/>
              </w:rPr>
              <w:t>Table NEA.2.36</w:t>
            </w:r>
          </w:p>
        </w:tc>
        <w:tc>
          <w:tcPr>
            <w:tcW w:w="6844" w:type="dxa"/>
            <w:shd w:val="clear" w:color="auto" w:fill="auto"/>
          </w:tcPr>
          <w:p w:rsidR="00FD1538" w:rsidRPr="00BE3771" w:rsidRDefault="00FD1538" w:rsidP="00D34437">
            <w:pPr>
              <w:pStyle w:val="TableBodyText"/>
              <w:jc w:val="left"/>
            </w:pPr>
            <w:r w:rsidRPr="00BE3771">
              <w:t>NAPLAN mean scale scores for numeracy, year 9 students, by State and Territory, by Indigenous status and geolocation, 2013 (scale score)</w:t>
            </w:r>
            <w:r w:rsidR="001714E9">
              <w:t xml:space="preserve"> </w:t>
            </w:r>
          </w:p>
        </w:tc>
      </w:tr>
      <w:tr w:rsidR="00FD1538" w:rsidRPr="008E7459" w:rsidTr="00D34437">
        <w:trPr>
          <w:trHeight w:val="318"/>
        </w:trPr>
        <w:tc>
          <w:tcPr>
            <w:tcW w:w="1960" w:type="dxa"/>
            <w:shd w:val="clear" w:color="auto" w:fill="auto"/>
            <w:noWrap/>
          </w:tcPr>
          <w:p w:rsidR="00FD1538" w:rsidRPr="00FD1538" w:rsidRDefault="00FD1538" w:rsidP="00FD1538">
            <w:pPr>
              <w:pStyle w:val="TableBodyText"/>
              <w:jc w:val="left"/>
              <w:rPr>
                <w:b/>
              </w:rPr>
            </w:pPr>
            <w:r w:rsidRPr="00FD1538">
              <w:rPr>
                <w:b/>
              </w:rPr>
              <w:t>Table NEA.2.37</w:t>
            </w:r>
          </w:p>
        </w:tc>
        <w:tc>
          <w:tcPr>
            <w:tcW w:w="6844" w:type="dxa"/>
            <w:shd w:val="clear" w:color="auto" w:fill="auto"/>
          </w:tcPr>
          <w:p w:rsidR="00FD1538" w:rsidRPr="00BE3771" w:rsidRDefault="00FD1538" w:rsidP="00D34437">
            <w:pPr>
              <w:pStyle w:val="TableBodyText"/>
              <w:jc w:val="left"/>
            </w:pPr>
            <w:r w:rsidRPr="00BE3771">
              <w:t>NAPLAN mean scale scores for reading, year 3 students, by State and Territory, by parental education and parental occupation, 2013 (scale score)</w:t>
            </w:r>
            <w:r w:rsidR="001714E9">
              <w:t xml:space="preserve"> </w:t>
            </w:r>
          </w:p>
        </w:tc>
      </w:tr>
      <w:tr w:rsidR="00FD1538" w:rsidRPr="008E7459" w:rsidTr="00FD1538">
        <w:trPr>
          <w:trHeight w:val="612"/>
        </w:trPr>
        <w:tc>
          <w:tcPr>
            <w:tcW w:w="1960" w:type="dxa"/>
            <w:shd w:val="clear" w:color="auto" w:fill="auto"/>
            <w:noWrap/>
          </w:tcPr>
          <w:p w:rsidR="00FD1538" w:rsidRPr="00FD1538" w:rsidRDefault="00FD1538" w:rsidP="00FD1538">
            <w:pPr>
              <w:pStyle w:val="TableBodyText"/>
              <w:jc w:val="left"/>
              <w:rPr>
                <w:b/>
              </w:rPr>
            </w:pPr>
            <w:r w:rsidRPr="00FD1538">
              <w:rPr>
                <w:b/>
              </w:rPr>
              <w:t>Table NEA.2.38</w:t>
            </w:r>
          </w:p>
        </w:tc>
        <w:tc>
          <w:tcPr>
            <w:tcW w:w="6844" w:type="dxa"/>
            <w:shd w:val="clear" w:color="auto" w:fill="auto"/>
          </w:tcPr>
          <w:p w:rsidR="00FD1538" w:rsidRPr="00BE3771" w:rsidRDefault="00FD1538" w:rsidP="00D34437">
            <w:pPr>
              <w:pStyle w:val="TableBodyText"/>
              <w:jc w:val="left"/>
            </w:pPr>
            <w:r w:rsidRPr="00BE3771">
              <w:t>NAPLAN mean scale scores for writing, year 3 students, by State and Territory, by parental education and parental occupation, 2013 (scale score)</w:t>
            </w:r>
            <w:r w:rsidR="001714E9">
              <w:t xml:space="preserve"> </w:t>
            </w:r>
          </w:p>
        </w:tc>
      </w:tr>
      <w:tr w:rsidR="00FD1538" w:rsidRPr="008E7459" w:rsidTr="00FD1538">
        <w:trPr>
          <w:trHeight w:val="612"/>
        </w:trPr>
        <w:tc>
          <w:tcPr>
            <w:tcW w:w="1960" w:type="dxa"/>
            <w:shd w:val="clear" w:color="auto" w:fill="auto"/>
            <w:noWrap/>
          </w:tcPr>
          <w:p w:rsidR="00FD1538" w:rsidRPr="00FD1538" w:rsidRDefault="00FD1538" w:rsidP="00FD1538">
            <w:pPr>
              <w:pStyle w:val="TableBodyText"/>
              <w:jc w:val="left"/>
              <w:rPr>
                <w:b/>
              </w:rPr>
            </w:pPr>
            <w:r w:rsidRPr="00FD1538">
              <w:rPr>
                <w:b/>
              </w:rPr>
              <w:t>Table NEA.2.39</w:t>
            </w:r>
          </w:p>
        </w:tc>
        <w:tc>
          <w:tcPr>
            <w:tcW w:w="6844" w:type="dxa"/>
            <w:shd w:val="clear" w:color="auto" w:fill="auto"/>
          </w:tcPr>
          <w:p w:rsidR="00FD1538" w:rsidRPr="00BE3771" w:rsidRDefault="00FD1538" w:rsidP="00D34437">
            <w:pPr>
              <w:pStyle w:val="TableBodyText"/>
              <w:jc w:val="left"/>
            </w:pPr>
            <w:r w:rsidRPr="00BE3771">
              <w:t>NAPLAN mean scale scores for numeracy, year 3 students, by State and Territory, by parental education and parental occupation, 2013 (scale score)</w:t>
            </w:r>
            <w:r w:rsidR="001714E9">
              <w:t xml:space="preserve"> </w:t>
            </w:r>
          </w:p>
        </w:tc>
      </w:tr>
      <w:tr w:rsidR="00FD1538" w:rsidRPr="008E7459" w:rsidTr="00FD1538">
        <w:trPr>
          <w:trHeight w:val="612"/>
        </w:trPr>
        <w:tc>
          <w:tcPr>
            <w:tcW w:w="1960" w:type="dxa"/>
            <w:shd w:val="clear" w:color="auto" w:fill="auto"/>
            <w:noWrap/>
          </w:tcPr>
          <w:p w:rsidR="00FD1538" w:rsidRPr="00FD1538" w:rsidRDefault="00FD1538" w:rsidP="00FD1538">
            <w:pPr>
              <w:pStyle w:val="TableBodyText"/>
              <w:jc w:val="left"/>
              <w:rPr>
                <w:b/>
              </w:rPr>
            </w:pPr>
            <w:r w:rsidRPr="00FD1538">
              <w:rPr>
                <w:b/>
              </w:rPr>
              <w:t>Table NEA.2.40</w:t>
            </w:r>
          </w:p>
        </w:tc>
        <w:tc>
          <w:tcPr>
            <w:tcW w:w="6844" w:type="dxa"/>
            <w:shd w:val="clear" w:color="auto" w:fill="auto"/>
          </w:tcPr>
          <w:p w:rsidR="00FD1538" w:rsidRPr="00BE3771" w:rsidRDefault="00FD1538" w:rsidP="00D34437">
            <w:pPr>
              <w:pStyle w:val="TableBodyText"/>
              <w:jc w:val="left"/>
            </w:pPr>
            <w:r w:rsidRPr="00BE3771">
              <w:t>NAPLAN mean scale scores for reading, year 5 students, by State and Territory, by parental education and parental occupation, 2013 (scale score)</w:t>
            </w:r>
            <w:r w:rsidR="001714E9">
              <w:t xml:space="preserve"> </w:t>
            </w:r>
          </w:p>
        </w:tc>
      </w:tr>
      <w:tr w:rsidR="00FD1538" w:rsidRPr="008E7459" w:rsidTr="00D34437">
        <w:trPr>
          <w:trHeight w:val="318"/>
        </w:trPr>
        <w:tc>
          <w:tcPr>
            <w:tcW w:w="1960" w:type="dxa"/>
            <w:shd w:val="clear" w:color="auto" w:fill="auto"/>
            <w:noWrap/>
          </w:tcPr>
          <w:p w:rsidR="00FD1538" w:rsidRPr="00FD1538" w:rsidRDefault="00FD1538" w:rsidP="00FD1538">
            <w:pPr>
              <w:pStyle w:val="TableBodyText"/>
              <w:jc w:val="left"/>
              <w:rPr>
                <w:b/>
              </w:rPr>
            </w:pPr>
            <w:r w:rsidRPr="00FD1538">
              <w:rPr>
                <w:b/>
              </w:rPr>
              <w:t>Table NEA.2.41</w:t>
            </w:r>
          </w:p>
        </w:tc>
        <w:tc>
          <w:tcPr>
            <w:tcW w:w="6844" w:type="dxa"/>
            <w:shd w:val="clear" w:color="auto" w:fill="auto"/>
          </w:tcPr>
          <w:p w:rsidR="00FD1538" w:rsidRPr="00BE3771" w:rsidRDefault="00FD1538" w:rsidP="00D34437">
            <w:pPr>
              <w:pStyle w:val="TableBodyText"/>
              <w:jc w:val="left"/>
            </w:pPr>
            <w:r w:rsidRPr="00BE3771">
              <w:t>NAPLAN mean scale scores for writing, year 5 students, by State and Territory, by parental education and parental occupation, 2013 (scale score)</w:t>
            </w:r>
            <w:r w:rsidR="001714E9">
              <w:t xml:space="preserve"> </w:t>
            </w:r>
          </w:p>
        </w:tc>
      </w:tr>
      <w:tr w:rsidR="00FD1538" w:rsidRPr="008E7459" w:rsidTr="00FD1538">
        <w:trPr>
          <w:trHeight w:val="612"/>
        </w:trPr>
        <w:tc>
          <w:tcPr>
            <w:tcW w:w="1960" w:type="dxa"/>
            <w:shd w:val="clear" w:color="auto" w:fill="auto"/>
            <w:noWrap/>
          </w:tcPr>
          <w:p w:rsidR="00FD1538" w:rsidRPr="00FD1538" w:rsidRDefault="00FD1538" w:rsidP="00FD1538">
            <w:pPr>
              <w:pStyle w:val="TableBodyText"/>
              <w:jc w:val="left"/>
              <w:rPr>
                <w:b/>
              </w:rPr>
            </w:pPr>
            <w:r w:rsidRPr="00FD1538">
              <w:rPr>
                <w:b/>
              </w:rPr>
              <w:t>Table NEA.2.42</w:t>
            </w:r>
          </w:p>
        </w:tc>
        <w:tc>
          <w:tcPr>
            <w:tcW w:w="6844" w:type="dxa"/>
            <w:shd w:val="clear" w:color="auto" w:fill="auto"/>
          </w:tcPr>
          <w:p w:rsidR="00FD1538" w:rsidRPr="00BE3771" w:rsidRDefault="00FD1538" w:rsidP="00D34437">
            <w:pPr>
              <w:pStyle w:val="TableBodyText"/>
              <w:jc w:val="left"/>
            </w:pPr>
            <w:r w:rsidRPr="00BE3771">
              <w:t>NAPLAN mean scale scores for numeracy, year 5 students, by State and Territory, by parental education and parental occupation, 2013 (scale score)</w:t>
            </w:r>
            <w:r w:rsidR="001714E9">
              <w:t xml:space="preserve"> </w:t>
            </w:r>
          </w:p>
        </w:tc>
      </w:tr>
      <w:tr w:rsidR="00FD1538" w:rsidRPr="008E7459" w:rsidTr="00FD1538">
        <w:trPr>
          <w:trHeight w:val="612"/>
        </w:trPr>
        <w:tc>
          <w:tcPr>
            <w:tcW w:w="1960" w:type="dxa"/>
            <w:shd w:val="clear" w:color="auto" w:fill="auto"/>
            <w:noWrap/>
          </w:tcPr>
          <w:p w:rsidR="00FD1538" w:rsidRPr="00FD1538" w:rsidRDefault="00FD1538" w:rsidP="00FD1538">
            <w:pPr>
              <w:pStyle w:val="TableBodyText"/>
              <w:jc w:val="left"/>
              <w:rPr>
                <w:b/>
              </w:rPr>
            </w:pPr>
            <w:r w:rsidRPr="00FD1538">
              <w:rPr>
                <w:b/>
              </w:rPr>
              <w:t>Table NEA.2.43</w:t>
            </w:r>
          </w:p>
        </w:tc>
        <w:tc>
          <w:tcPr>
            <w:tcW w:w="6844" w:type="dxa"/>
            <w:shd w:val="clear" w:color="auto" w:fill="auto"/>
          </w:tcPr>
          <w:p w:rsidR="00FD1538" w:rsidRPr="00BE3771" w:rsidRDefault="00FD1538" w:rsidP="00D34437">
            <w:pPr>
              <w:pStyle w:val="TableBodyText"/>
              <w:jc w:val="left"/>
            </w:pPr>
            <w:r w:rsidRPr="00BE3771">
              <w:t>NAPLAN mean scale scores for reading, year 7 students, by State and Territory, by parental education and parental occupation, 2013 (scale score)</w:t>
            </w:r>
            <w:r w:rsidR="001714E9">
              <w:t xml:space="preserve"> </w:t>
            </w:r>
          </w:p>
        </w:tc>
      </w:tr>
      <w:tr w:rsidR="00FD1538" w:rsidRPr="008E7459" w:rsidTr="00FD1538">
        <w:trPr>
          <w:trHeight w:val="612"/>
        </w:trPr>
        <w:tc>
          <w:tcPr>
            <w:tcW w:w="1960" w:type="dxa"/>
            <w:shd w:val="clear" w:color="auto" w:fill="auto"/>
            <w:noWrap/>
          </w:tcPr>
          <w:p w:rsidR="00FD1538" w:rsidRPr="00FD1538" w:rsidRDefault="00FD1538" w:rsidP="00FD1538">
            <w:pPr>
              <w:pStyle w:val="TableBodyText"/>
              <w:jc w:val="left"/>
              <w:rPr>
                <w:b/>
              </w:rPr>
            </w:pPr>
            <w:r w:rsidRPr="00FD1538">
              <w:rPr>
                <w:b/>
              </w:rPr>
              <w:t>Table NEA.2.44</w:t>
            </w:r>
          </w:p>
        </w:tc>
        <w:tc>
          <w:tcPr>
            <w:tcW w:w="6844" w:type="dxa"/>
            <w:shd w:val="clear" w:color="auto" w:fill="auto"/>
          </w:tcPr>
          <w:p w:rsidR="00FD1538" w:rsidRPr="00BE3771" w:rsidRDefault="00FD1538" w:rsidP="00D34437">
            <w:pPr>
              <w:pStyle w:val="TableBodyText"/>
              <w:jc w:val="left"/>
            </w:pPr>
            <w:r w:rsidRPr="00BE3771">
              <w:t>NAPLAN mean scale scores for writing, year 7 students, by State and Territory, by parental education and parental occupation, 2013 (scale score)</w:t>
            </w:r>
            <w:r w:rsidR="001714E9">
              <w:t xml:space="preserve"> </w:t>
            </w:r>
          </w:p>
        </w:tc>
      </w:tr>
      <w:tr w:rsidR="00FD1538" w:rsidRPr="008E7459" w:rsidTr="00FD1538">
        <w:trPr>
          <w:trHeight w:val="612"/>
        </w:trPr>
        <w:tc>
          <w:tcPr>
            <w:tcW w:w="1960" w:type="dxa"/>
            <w:shd w:val="clear" w:color="auto" w:fill="auto"/>
            <w:noWrap/>
          </w:tcPr>
          <w:p w:rsidR="00FD1538" w:rsidRPr="00FD1538" w:rsidRDefault="00FD1538" w:rsidP="00FD1538">
            <w:pPr>
              <w:pStyle w:val="TableBodyText"/>
              <w:jc w:val="left"/>
              <w:rPr>
                <w:b/>
              </w:rPr>
            </w:pPr>
            <w:r w:rsidRPr="00FD1538">
              <w:rPr>
                <w:b/>
              </w:rPr>
              <w:t>Table NEA.2.45</w:t>
            </w:r>
          </w:p>
        </w:tc>
        <w:tc>
          <w:tcPr>
            <w:tcW w:w="6844" w:type="dxa"/>
            <w:shd w:val="clear" w:color="auto" w:fill="auto"/>
          </w:tcPr>
          <w:p w:rsidR="00FD1538" w:rsidRPr="00BE3771" w:rsidRDefault="00FD1538" w:rsidP="00D34437">
            <w:pPr>
              <w:pStyle w:val="TableBodyText"/>
              <w:jc w:val="left"/>
            </w:pPr>
            <w:r w:rsidRPr="00BE3771">
              <w:t>NAPLAN mean scale scores for numeracy, year 7 students, by State and Territory, by parental education and parental occupation, 2013 (scale score)</w:t>
            </w:r>
            <w:r w:rsidR="001714E9">
              <w:t xml:space="preserve"> </w:t>
            </w:r>
          </w:p>
        </w:tc>
      </w:tr>
      <w:tr w:rsidR="00FD1538" w:rsidRPr="008E7459" w:rsidTr="00FD1538">
        <w:trPr>
          <w:trHeight w:val="612"/>
        </w:trPr>
        <w:tc>
          <w:tcPr>
            <w:tcW w:w="1960" w:type="dxa"/>
            <w:shd w:val="clear" w:color="auto" w:fill="auto"/>
            <w:noWrap/>
          </w:tcPr>
          <w:p w:rsidR="00FD1538" w:rsidRPr="00FD1538" w:rsidRDefault="00FD1538" w:rsidP="00FD1538">
            <w:pPr>
              <w:pStyle w:val="TableBodyText"/>
              <w:jc w:val="left"/>
              <w:rPr>
                <w:b/>
              </w:rPr>
            </w:pPr>
            <w:r w:rsidRPr="00FD1538">
              <w:rPr>
                <w:b/>
              </w:rPr>
              <w:t>Table NEA.2.46</w:t>
            </w:r>
          </w:p>
        </w:tc>
        <w:tc>
          <w:tcPr>
            <w:tcW w:w="6844" w:type="dxa"/>
            <w:shd w:val="clear" w:color="auto" w:fill="auto"/>
          </w:tcPr>
          <w:p w:rsidR="00FD1538" w:rsidRPr="00BE3771" w:rsidRDefault="00FD1538" w:rsidP="00D34437">
            <w:pPr>
              <w:pStyle w:val="TableBodyText"/>
              <w:jc w:val="left"/>
            </w:pPr>
            <w:r w:rsidRPr="00BE3771">
              <w:t>NAPLAN mean scale scores for reading, year 9 students, by State and Territory, by parental education and parental occupation, 2013 (scale score)</w:t>
            </w:r>
            <w:r w:rsidR="001714E9">
              <w:t xml:space="preserve"> </w:t>
            </w:r>
          </w:p>
        </w:tc>
      </w:tr>
      <w:tr w:rsidR="00FD1538" w:rsidRPr="008E7459" w:rsidTr="00FD1538">
        <w:trPr>
          <w:trHeight w:val="612"/>
        </w:trPr>
        <w:tc>
          <w:tcPr>
            <w:tcW w:w="1960" w:type="dxa"/>
            <w:shd w:val="clear" w:color="auto" w:fill="auto"/>
            <w:noWrap/>
          </w:tcPr>
          <w:p w:rsidR="00FD1538" w:rsidRPr="00FD1538" w:rsidRDefault="00FD1538" w:rsidP="00FD1538">
            <w:pPr>
              <w:pStyle w:val="TableBodyText"/>
              <w:jc w:val="left"/>
              <w:rPr>
                <w:b/>
              </w:rPr>
            </w:pPr>
            <w:r w:rsidRPr="00FD1538">
              <w:rPr>
                <w:b/>
              </w:rPr>
              <w:t>Table NEA.2.47</w:t>
            </w:r>
          </w:p>
        </w:tc>
        <w:tc>
          <w:tcPr>
            <w:tcW w:w="6844" w:type="dxa"/>
            <w:shd w:val="clear" w:color="auto" w:fill="auto"/>
          </w:tcPr>
          <w:p w:rsidR="00FD1538" w:rsidRPr="00BE3771" w:rsidRDefault="00FD1538" w:rsidP="00D34437">
            <w:pPr>
              <w:pStyle w:val="TableBodyText"/>
              <w:jc w:val="left"/>
            </w:pPr>
            <w:r w:rsidRPr="00BE3771">
              <w:t>NAPLAN mean scale scores for writing, year 9 students, by State and Territory, by parental education and parental occupation, 2013 (scale score)</w:t>
            </w:r>
            <w:r w:rsidR="001714E9">
              <w:t xml:space="preserve"> </w:t>
            </w:r>
          </w:p>
        </w:tc>
      </w:tr>
      <w:tr w:rsidR="00FD1538" w:rsidRPr="008E7459" w:rsidTr="00FD1538">
        <w:trPr>
          <w:trHeight w:val="612"/>
        </w:trPr>
        <w:tc>
          <w:tcPr>
            <w:tcW w:w="1960" w:type="dxa"/>
            <w:shd w:val="clear" w:color="auto" w:fill="auto"/>
            <w:noWrap/>
          </w:tcPr>
          <w:p w:rsidR="00FD1538" w:rsidRPr="00FD1538" w:rsidRDefault="00FD1538" w:rsidP="00FD1538">
            <w:pPr>
              <w:pStyle w:val="TableBodyText"/>
              <w:jc w:val="left"/>
              <w:rPr>
                <w:b/>
              </w:rPr>
            </w:pPr>
            <w:r w:rsidRPr="00FD1538">
              <w:rPr>
                <w:b/>
              </w:rPr>
              <w:t>Table NEA.2.48</w:t>
            </w:r>
          </w:p>
        </w:tc>
        <w:tc>
          <w:tcPr>
            <w:tcW w:w="6844" w:type="dxa"/>
            <w:shd w:val="clear" w:color="auto" w:fill="auto"/>
          </w:tcPr>
          <w:p w:rsidR="00FD1538" w:rsidRPr="00BE3771" w:rsidRDefault="00FD1538" w:rsidP="00D34437">
            <w:pPr>
              <w:pStyle w:val="TableBodyText"/>
              <w:jc w:val="left"/>
            </w:pPr>
            <w:r w:rsidRPr="00BE3771">
              <w:t>NAPLAN mean scale scores for numeracy, year 9 students, by State and Territory, by parental education and parental occupation, 2013 (scale score)</w:t>
            </w:r>
            <w:r w:rsidR="001714E9">
              <w:t xml:space="preserve"> </w:t>
            </w:r>
          </w:p>
        </w:tc>
      </w:tr>
      <w:tr w:rsidR="00FD1538" w:rsidRPr="008E7459" w:rsidTr="00FD1538">
        <w:trPr>
          <w:trHeight w:val="612"/>
        </w:trPr>
        <w:tc>
          <w:tcPr>
            <w:tcW w:w="1960" w:type="dxa"/>
            <w:shd w:val="clear" w:color="auto" w:fill="auto"/>
            <w:noWrap/>
            <w:hideMark/>
          </w:tcPr>
          <w:p w:rsidR="00FD1538" w:rsidRPr="00FD1538" w:rsidRDefault="00FD1538" w:rsidP="00FD1538">
            <w:pPr>
              <w:pStyle w:val="TableBodyText"/>
              <w:jc w:val="left"/>
              <w:rPr>
                <w:b/>
              </w:rPr>
            </w:pPr>
            <w:r w:rsidRPr="00FD1538">
              <w:rPr>
                <w:b/>
              </w:rPr>
              <w:t>Table NEA.2.49</w:t>
            </w:r>
          </w:p>
        </w:tc>
        <w:tc>
          <w:tcPr>
            <w:tcW w:w="6844" w:type="dxa"/>
            <w:shd w:val="clear" w:color="auto" w:fill="auto"/>
          </w:tcPr>
          <w:p w:rsidR="00FD1538" w:rsidRPr="00BE3771" w:rsidRDefault="00FD1538" w:rsidP="00FD1538">
            <w:pPr>
              <w:pStyle w:val="TableBodyText"/>
              <w:jc w:val="left"/>
            </w:pPr>
            <w:r w:rsidRPr="00FD1538">
              <w:t>Proportion of students with parental education and parental occupation not stated, by State and Territory, by year level, by learning domain, 2013 (per cent)</w:t>
            </w:r>
            <w:r w:rsidR="001714E9">
              <w:t xml:space="preserve"> </w:t>
            </w:r>
          </w:p>
        </w:tc>
      </w:tr>
    </w:tbl>
    <w:p w:rsidR="00162BCC" w:rsidRDefault="00162BCC" w:rsidP="00162BCC"/>
    <w:p w:rsidR="00162BCC" w:rsidRDefault="00162BCC" w:rsidP="00162BCC">
      <w:pPr>
        <w:pStyle w:val="BoxSpaceAbove"/>
      </w:pPr>
    </w:p>
    <w:tbl>
      <w:tblPr>
        <w:tblW w:w="0" w:type="auto"/>
        <w:tblInd w:w="164" w:type="dxa"/>
        <w:tblBorders>
          <w:top w:val="single" w:sz="6" w:space="0" w:color="auto"/>
          <w:left w:val="single" w:sz="6" w:space="0" w:color="auto"/>
          <w:bottom w:val="single" w:sz="6" w:space="0" w:color="auto"/>
          <w:right w:val="single" w:sz="6" w:space="0" w:color="auto"/>
        </w:tblBorders>
        <w:tblLayout w:type="fixed"/>
        <w:tblCellMar>
          <w:left w:w="142" w:type="dxa"/>
          <w:right w:w="142" w:type="dxa"/>
        </w:tblCellMar>
        <w:tblLook w:val="0000" w:firstRow="0" w:lastRow="0" w:firstColumn="0" w:lastColumn="0" w:noHBand="0" w:noVBand="0"/>
      </w:tblPr>
      <w:tblGrid>
        <w:gridCol w:w="8771"/>
      </w:tblGrid>
      <w:tr w:rsidR="00162BCC" w:rsidTr="00EF255E">
        <w:tc>
          <w:tcPr>
            <w:tcW w:w="8771" w:type="dxa"/>
            <w:tcBorders>
              <w:top w:val="single" w:sz="6" w:space="0" w:color="auto"/>
              <w:bottom w:val="nil"/>
            </w:tcBorders>
          </w:tcPr>
          <w:p w:rsidR="00162BCC" w:rsidRDefault="00162BCC" w:rsidP="00EF255E">
            <w:pPr>
              <w:pStyle w:val="BoxTitle"/>
            </w:pPr>
            <w:r>
              <w:rPr>
                <w:b w:val="0"/>
              </w:rPr>
              <w:t xml:space="preserve">Box </w:t>
            </w:r>
            <w:r>
              <w:rPr>
                <w:b w:val="0"/>
              </w:rPr>
              <w:fldChar w:fldCharType="begin"/>
            </w:r>
            <w:r>
              <w:rPr>
                <w:b w:val="0"/>
              </w:rPr>
              <w:instrText xml:space="preserve"> SEQ Box \* ARABIC </w:instrText>
            </w:r>
            <w:r>
              <w:rPr>
                <w:b w:val="0"/>
              </w:rPr>
              <w:fldChar w:fldCharType="separate"/>
            </w:r>
            <w:r w:rsidR="005F5618">
              <w:rPr>
                <w:b w:val="0"/>
                <w:noProof/>
              </w:rPr>
              <w:t>13</w:t>
            </w:r>
            <w:r>
              <w:rPr>
                <w:b w:val="0"/>
              </w:rPr>
              <w:fldChar w:fldCharType="end"/>
            </w:r>
            <w:r>
              <w:tab/>
              <w:t>Comment on data quality</w:t>
            </w:r>
          </w:p>
        </w:tc>
      </w:tr>
      <w:tr w:rsidR="00162BCC" w:rsidTr="00EF255E">
        <w:trPr>
          <w:cantSplit/>
        </w:trPr>
        <w:tc>
          <w:tcPr>
            <w:tcW w:w="8771" w:type="dxa"/>
            <w:tcBorders>
              <w:top w:val="nil"/>
              <w:left w:val="single" w:sz="6" w:space="0" w:color="auto"/>
              <w:bottom w:val="nil"/>
              <w:right w:val="single" w:sz="6" w:space="0" w:color="auto"/>
            </w:tcBorders>
          </w:tcPr>
          <w:p w:rsidR="00D34437" w:rsidRDefault="00D34437" w:rsidP="00D34437">
            <w:pPr>
              <w:pStyle w:val="Box"/>
            </w:pPr>
            <w:r>
              <w:t>The DQS for this indicator has been prepared by ACARA and is included in its original form in the section in this report titled ‘Data Quality Statements.’ Key points from the DQS are summarised below.</w:t>
            </w:r>
          </w:p>
          <w:p w:rsidR="00D34437" w:rsidRDefault="00D34437" w:rsidP="00D34437">
            <w:pPr>
              <w:pStyle w:val="BoxListBullet"/>
            </w:pPr>
            <w:r>
              <w:t>The data provide relevant information on the literacy and numeracy achievement of year</w:t>
            </w:r>
            <w:r w:rsidR="002317C9">
              <w:t>s</w:t>
            </w:r>
            <w:r>
              <w:t xml:space="preserve"> 3, 5, 7 and 9 students in national testing for the learning domains of reading, writing and numeracy. </w:t>
            </w:r>
          </w:p>
          <w:p w:rsidR="00D34437" w:rsidRDefault="00D34437" w:rsidP="00D34437">
            <w:pPr>
              <w:pStyle w:val="BoxListBullet"/>
            </w:pPr>
            <w:r>
              <w:t>Data are available by State and Territory, by Indigenous status and by socioeconomic status (parental education/occupation).</w:t>
            </w:r>
          </w:p>
          <w:p w:rsidR="00D34437" w:rsidRDefault="00D34437" w:rsidP="00D34437">
            <w:pPr>
              <w:pStyle w:val="BoxListBullet"/>
            </w:pPr>
            <w:r>
              <w:t>Annual data are available.</w:t>
            </w:r>
          </w:p>
          <w:p w:rsidR="00D34437" w:rsidRDefault="00D34437" w:rsidP="00D34437">
            <w:pPr>
              <w:pStyle w:val="BoxListBullet"/>
            </w:pPr>
            <w:r>
              <w:t>Students are classified in four ways: assessed</w:t>
            </w:r>
            <w:r w:rsidR="002317C9">
              <w:t>;</w:t>
            </w:r>
            <w:r>
              <w:t xml:space="preserve"> exempt</w:t>
            </w:r>
            <w:r w:rsidR="002317C9">
              <w:t>;</w:t>
            </w:r>
            <w:r>
              <w:t xml:space="preserve"> absent</w:t>
            </w:r>
            <w:r w:rsidR="002317C9">
              <w:t>;</w:t>
            </w:r>
            <w:r>
              <w:t xml:space="preserve"> and withdrawn. Exempt students are not assessed and are deemed not to have met the national minimum standard. Absent and withdrawn students are not assessed and are not counted as part of the cohort of assessed students. Data on the proportions of students who were exempt, absent and withdrawn</w:t>
            </w:r>
            <w:r w:rsidR="004255AC">
              <w:t xml:space="preserve"> </w:t>
            </w:r>
            <w:r w:rsidR="00F54CBE">
              <w:t xml:space="preserve">are available </w:t>
            </w:r>
            <w:r w:rsidR="004255AC">
              <w:t>in tables</w:t>
            </w:r>
            <w:r w:rsidR="00F54CBE">
              <w:t> </w:t>
            </w:r>
            <w:r w:rsidR="004255AC">
              <w:t>NIRA</w:t>
            </w:r>
            <w:r>
              <w:t>.</w:t>
            </w:r>
            <w:r w:rsidR="004255AC">
              <w:t xml:space="preserve">6(b).5–7 in this report. </w:t>
            </w:r>
          </w:p>
          <w:p w:rsidR="00D34437" w:rsidRDefault="00D34437" w:rsidP="00D34437">
            <w:pPr>
              <w:pStyle w:val="BoxListBullet"/>
            </w:pPr>
            <w:r>
              <w:t>Data are sourced from NAPLAN (for assessed students) and from student enrolment records (for exempt, absent and withdrawn students).</w:t>
            </w:r>
          </w:p>
          <w:p w:rsidR="00D34437" w:rsidRDefault="00D34437" w:rsidP="00D34437">
            <w:pPr>
              <w:pStyle w:val="BoxListBullet"/>
            </w:pPr>
            <w:r>
              <w:t>Detailed explanatory notes are publicly available to assist in the interpretation of results.</w:t>
            </w:r>
          </w:p>
          <w:p w:rsidR="00D34437" w:rsidRDefault="00D34437" w:rsidP="00D34437">
            <w:pPr>
              <w:pStyle w:val="BoxListBullet"/>
            </w:pPr>
            <w:r>
              <w:t>Additional data from the data source are available online.</w:t>
            </w:r>
          </w:p>
          <w:p w:rsidR="00D34437" w:rsidRDefault="00D34437" w:rsidP="00D34437">
            <w:pPr>
              <w:pStyle w:val="Box"/>
            </w:pPr>
            <w:r>
              <w:t>The Steering Committee also notes the following issues:</w:t>
            </w:r>
          </w:p>
          <w:p w:rsidR="00D34437" w:rsidRDefault="00D34437" w:rsidP="00D34437">
            <w:pPr>
              <w:pStyle w:val="BoxListBullet"/>
            </w:pPr>
            <w:r>
              <w:t xml:space="preserve">A break in series for the NAPLAN writing test occurred in 2011. Writing is now assessed using a persuasive text, rather than a narrative text. Results for NAPLAN writing </w:t>
            </w:r>
            <w:r w:rsidR="00F54CBE">
              <w:t xml:space="preserve">for </w:t>
            </w:r>
            <w:r>
              <w:t>2011 onwards are not comparable with results for previous years.</w:t>
            </w:r>
          </w:p>
          <w:p w:rsidR="00162BCC" w:rsidRDefault="00D34437" w:rsidP="00F54CBE">
            <w:pPr>
              <w:pStyle w:val="BoxListBullet"/>
            </w:pPr>
            <w:r>
              <w:t xml:space="preserve">Relevant confidence intervals should be considered when interpreting the data in this report. At the request of the CRC, confidence intervals have not been provided with this report, as different confidence intervals are relevant to different analyses. The CRC have advised that they may request the data collection agency to undertake significance testing on </w:t>
            </w:r>
            <w:r w:rsidR="00F54CBE">
              <w:t xml:space="preserve">analyses of </w:t>
            </w:r>
            <w:r>
              <w:t>NAPLAN data.</w:t>
            </w:r>
          </w:p>
        </w:tc>
      </w:tr>
      <w:tr w:rsidR="00162BCC" w:rsidTr="00EF255E">
        <w:trPr>
          <w:cantSplit/>
        </w:trPr>
        <w:tc>
          <w:tcPr>
            <w:tcW w:w="8771" w:type="dxa"/>
            <w:tcBorders>
              <w:top w:val="nil"/>
              <w:left w:val="single" w:sz="6" w:space="0" w:color="auto"/>
              <w:bottom w:val="single" w:sz="6" w:space="0" w:color="auto"/>
              <w:right w:val="single" w:sz="6" w:space="0" w:color="auto"/>
            </w:tcBorders>
          </w:tcPr>
          <w:p w:rsidR="00162BCC" w:rsidRDefault="00162BCC" w:rsidP="00EF255E">
            <w:pPr>
              <w:pStyle w:val="Box"/>
              <w:spacing w:before="0" w:line="120" w:lineRule="exact"/>
            </w:pPr>
          </w:p>
        </w:tc>
      </w:tr>
      <w:tr w:rsidR="00162BCC" w:rsidRPr="000863A5" w:rsidTr="00EF255E">
        <w:tc>
          <w:tcPr>
            <w:tcW w:w="8771" w:type="dxa"/>
            <w:tcBorders>
              <w:top w:val="nil"/>
              <w:left w:val="nil"/>
              <w:bottom w:val="nil"/>
              <w:right w:val="nil"/>
            </w:tcBorders>
          </w:tcPr>
          <w:p w:rsidR="00162BCC" w:rsidRPr="00626D32" w:rsidRDefault="00162BCC" w:rsidP="00EF255E">
            <w:pPr>
              <w:pStyle w:val="BoxSpaceBelow"/>
            </w:pPr>
          </w:p>
        </w:tc>
      </w:tr>
    </w:tbl>
    <w:p w:rsidR="00162BCC" w:rsidRPr="003575E1" w:rsidRDefault="00162BCC" w:rsidP="00162BCC"/>
    <w:p w:rsidR="00117C12" w:rsidRDefault="00117C12" w:rsidP="001D541B">
      <w:pPr>
        <w:pStyle w:val="BodyText"/>
      </w:pPr>
      <w:r>
        <w:br w:type="page"/>
      </w:r>
    </w:p>
    <w:p w:rsidR="0035205B" w:rsidRDefault="0035205B" w:rsidP="0035205B">
      <w:pPr>
        <w:pStyle w:val="Heading3"/>
      </w:pPr>
      <w:bookmarkStart w:id="20" w:name="_Ref377566474"/>
      <w:r w:rsidRPr="00136727">
        <w:t xml:space="preserve">Performance </w:t>
      </w:r>
      <w:r>
        <w:t>indicator 3</w:t>
      </w:r>
      <w:r w:rsidRPr="00136727">
        <w:t xml:space="preserve">: </w:t>
      </w:r>
      <w:r w:rsidRPr="0035205B">
        <w:t>The proportion of students in the bottom and top levels of performance in international testing</w:t>
      </w:r>
      <w:bookmarkEnd w:id="20"/>
      <w:r>
        <w:t xml:space="preserve"> </w:t>
      </w:r>
    </w:p>
    <w:p w:rsidR="0035205B" w:rsidRPr="003A784E" w:rsidRDefault="0035205B" w:rsidP="0035205B">
      <w:pPr>
        <w:pStyle w:val="Subtitle"/>
      </w:pPr>
    </w:p>
    <w:tbl>
      <w:tblPr>
        <w:tblW w:w="5000" w:type="pct"/>
        <w:tblCellMar>
          <w:left w:w="0" w:type="dxa"/>
          <w:right w:w="0" w:type="dxa"/>
        </w:tblCellMar>
        <w:tblLook w:val="0000" w:firstRow="0" w:lastRow="0" w:firstColumn="0" w:lastColumn="0" w:noHBand="0" w:noVBand="0"/>
      </w:tblPr>
      <w:tblGrid>
        <w:gridCol w:w="1985"/>
        <w:gridCol w:w="6804"/>
      </w:tblGrid>
      <w:tr w:rsidR="00BF467C" w:rsidTr="008539DA">
        <w:trPr>
          <w:trHeight w:val="823"/>
        </w:trPr>
        <w:tc>
          <w:tcPr>
            <w:tcW w:w="1129" w:type="pct"/>
            <w:shd w:val="clear" w:color="auto" w:fill="auto"/>
          </w:tcPr>
          <w:p w:rsidR="00BF467C" w:rsidRPr="008E7459" w:rsidRDefault="00BF467C" w:rsidP="00BF467C">
            <w:pPr>
              <w:pStyle w:val="TableBodyText"/>
              <w:keepNext w:val="0"/>
              <w:keepLines w:val="0"/>
              <w:ind w:left="34"/>
              <w:jc w:val="left"/>
            </w:pPr>
            <w:r w:rsidRPr="008E7459">
              <w:t>Key amendments from previous cycle of reporting:</w:t>
            </w:r>
          </w:p>
          <w:p w:rsidR="00BF467C" w:rsidRPr="008E7459" w:rsidRDefault="00BF467C" w:rsidP="00BF467C">
            <w:pPr>
              <w:pStyle w:val="TableBodyText"/>
              <w:keepNext w:val="0"/>
              <w:keepLines w:val="0"/>
              <w:ind w:left="34"/>
              <w:jc w:val="left"/>
            </w:pPr>
          </w:p>
        </w:tc>
        <w:tc>
          <w:tcPr>
            <w:tcW w:w="3871" w:type="pct"/>
            <w:shd w:val="clear" w:color="auto" w:fill="auto"/>
          </w:tcPr>
          <w:p w:rsidR="00BF467C" w:rsidRPr="008E7459" w:rsidRDefault="00BF467C" w:rsidP="003F0181">
            <w:pPr>
              <w:pStyle w:val="TableBodyText"/>
              <w:keepLines w:val="0"/>
              <w:widowControl w:val="0"/>
              <w:ind w:left="34"/>
              <w:jc w:val="left"/>
            </w:pPr>
            <w:r w:rsidRPr="00FC264B">
              <w:t xml:space="preserve">This </w:t>
            </w:r>
            <w:r>
              <w:t>indicator</w:t>
            </w:r>
            <w:r w:rsidRPr="00FC264B">
              <w:t xml:space="preserve"> i</w:t>
            </w:r>
            <w:r>
              <w:t>s unchanged from the previous NEA performance report</w:t>
            </w:r>
          </w:p>
        </w:tc>
      </w:tr>
      <w:tr w:rsidR="00BF467C" w:rsidTr="008539DA">
        <w:tc>
          <w:tcPr>
            <w:tcW w:w="1129" w:type="pct"/>
          </w:tcPr>
          <w:p w:rsidR="00BF467C" w:rsidRPr="008E7459" w:rsidRDefault="00BF467C" w:rsidP="00BF467C">
            <w:pPr>
              <w:pStyle w:val="TableBodyText"/>
              <w:keepNext w:val="0"/>
              <w:keepLines w:val="0"/>
              <w:ind w:left="34"/>
              <w:jc w:val="left"/>
            </w:pPr>
            <w:r w:rsidRPr="008E7459">
              <w:t>Outcome:</w:t>
            </w:r>
          </w:p>
        </w:tc>
        <w:tc>
          <w:tcPr>
            <w:tcW w:w="3871" w:type="pct"/>
          </w:tcPr>
          <w:p w:rsidR="00BF467C" w:rsidRDefault="00BF467C" w:rsidP="003F0181">
            <w:pPr>
              <w:pStyle w:val="TableBodyText"/>
              <w:widowControl w:val="0"/>
              <w:jc w:val="left"/>
            </w:pPr>
            <w:r w:rsidRPr="008E7459">
              <w:t>Australian students excel by international standards</w:t>
            </w:r>
          </w:p>
          <w:p w:rsidR="00BF467C" w:rsidRPr="008E7459" w:rsidRDefault="00BF467C" w:rsidP="003F0181">
            <w:pPr>
              <w:pStyle w:val="TableBodyText"/>
              <w:widowControl w:val="0"/>
              <w:jc w:val="left"/>
            </w:pPr>
          </w:p>
        </w:tc>
      </w:tr>
      <w:tr w:rsidR="00BF467C" w:rsidTr="008539DA">
        <w:tc>
          <w:tcPr>
            <w:tcW w:w="1129" w:type="pct"/>
          </w:tcPr>
          <w:p w:rsidR="00BF467C" w:rsidRPr="008E7459" w:rsidRDefault="00BF467C" w:rsidP="00BF467C">
            <w:pPr>
              <w:pStyle w:val="TableBodyText"/>
              <w:keepNext w:val="0"/>
              <w:keepLines w:val="0"/>
              <w:ind w:left="34"/>
              <w:jc w:val="left"/>
            </w:pPr>
            <w:r w:rsidRPr="008E7459">
              <w:t xml:space="preserve">Measures: </w:t>
            </w:r>
          </w:p>
        </w:tc>
        <w:tc>
          <w:tcPr>
            <w:tcW w:w="3871" w:type="pct"/>
          </w:tcPr>
          <w:p w:rsidR="00BF467C" w:rsidRPr="008E7459" w:rsidRDefault="00BF467C" w:rsidP="003F0181">
            <w:pPr>
              <w:pStyle w:val="TableBodyText"/>
              <w:widowControl w:val="0"/>
              <w:jc w:val="left"/>
            </w:pPr>
            <w:r w:rsidRPr="008E7459">
              <w:t>There are two measures for this indicator:</w:t>
            </w:r>
          </w:p>
          <w:p w:rsidR="00BF467C" w:rsidRPr="008E7459" w:rsidRDefault="00BF467C" w:rsidP="003F0181">
            <w:pPr>
              <w:pStyle w:val="TableBodyText"/>
              <w:widowControl w:val="0"/>
              <w:jc w:val="left"/>
            </w:pPr>
          </w:p>
          <w:p w:rsidR="00BF467C" w:rsidRPr="008E7459" w:rsidRDefault="00BF467C" w:rsidP="003F0181">
            <w:pPr>
              <w:pStyle w:val="TableBodyText"/>
              <w:widowControl w:val="0"/>
              <w:jc w:val="left"/>
            </w:pPr>
            <w:r w:rsidRPr="008E7459">
              <w:t>Measure 3(a): Proportion of students that achieved at or above the nationally agreed proficiency level for each of reading literacy, mathematical literacy and scientific literacy</w:t>
            </w:r>
          </w:p>
          <w:p w:rsidR="00BF467C" w:rsidRPr="008E7459" w:rsidRDefault="00BF467C" w:rsidP="003F0181">
            <w:pPr>
              <w:pStyle w:val="TableBodyText"/>
              <w:widowControl w:val="0"/>
              <w:jc w:val="left"/>
            </w:pPr>
          </w:p>
          <w:p w:rsidR="00BF467C" w:rsidRPr="008E7459" w:rsidRDefault="00BF467C" w:rsidP="003F0181">
            <w:pPr>
              <w:pStyle w:val="TableBodyText"/>
              <w:widowControl w:val="0"/>
              <w:jc w:val="left"/>
            </w:pPr>
            <w:r w:rsidRPr="008E7459">
              <w:t xml:space="preserve">Measure 3(b): Proportion of students in </w:t>
            </w:r>
            <w:r w:rsidRPr="008E7459">
              <w:rPr>
                <w:u w:val="single"/>
              </w:rPr>
              <w:t>top</w:t>
            </w:r>
            <w:r w:rsidRPr="008E7459">
              <w:t xml:space="preserve"> and </w:t>
            </w:r>
            <w:r w:rsidRPr="008E7459">
              <w:rPr>
                <w:u w:val="single"/>
              </w:rPr>
              <w:t>bottom</w:t>
            </w:r>
            <w:r w:rsidRPr="008E7459">
              <w:t xml:space="preserve"> levels of performance for each of reading literacy, mathematical literacy and scientific literacy</w:t>
            </w:r>
          </w:p>
          <w:p w:rsidR="00BF467C" w:rsidRPr="008E7459" w:rsidRDefault="00BF467C" w:rsidP="003F0181">
            <w:pPr>
              <w:pStyle w:val="TableBodyText"/>
              <w:widowControl w:val="0"/>
              <w:jc w:val="left"/>
            </w:pPr>
          </w:p>
        </w:tc>
      </w:tr>
      <w:tr w:rsidR="00BF467C" w:rsidTr="008539DA">
        <w:tc>
          <w:tcPr>
            <w:tcW w:w="1129" w:type="pct"/>
          </w:tcPr>
          <w:p w:rsidR="00BF467C" w:rsidRPr="008E7459" w:rsidRDefault="00BF467C" w:rsidP="00BF467C">
            <w:pPr>
              <w:pStyle w:val="TableBodyText"/>
              <w:keepNext w:val="0"/>
              <w:keepLines w:val="0"/>
              <w:ind w:left="34"/>
              <w:jc w:val="left"/>
            </w:pPr>
            <w:r w:rsidRPr="008E7459">
              <w:t>Measure 3(a):</w:t>
            </w:r>
          </w:p>
        </w:tc>
        <w:tc>
          <w:tcPr>
            <w:tcW w:w="3871" w:type="pct"/>
          </w:tcPr>
          <w:p w:rsidR="00BF467C" w:rsidRPr="008E7459" w:rsidRDefault="00BF467C" w:rsidP="003F0181">
            <w:pPr>
              <w:pStyle w:val="TableBodyText"/>
              <w:widowControl w:val="0"/>
              <w:jc w:val="left"/>
            </w:pPr>
            <w:r w:rsidRPr="008E7459">
              <w:t xml:space="preserve">Proportion of students that achieved at or above the nationally agreed proficiency level for each of reading literacy, mathematical literacy and scientific literacy </w:t>
            </w:r>
          </w:p>
          <w:p w:rsidR="00BF467C" w:rsidRPr="008E7459" w:rsidRDefault="00BF467C" w:rsidP="003F0181">
            <w:pPr>
              <w:pStyle w:val="TableBodyText"/>
              <w:widowControl w:val="0"/>
              <w:jc w:val="left"/>
            </w:pPr>
          </w:p>
          <w:p w:rsidR="00BF467C" w:rsidRPr="008E7459" w:rsidRDefault="00BF467C" w:rsidP="003F0181">
            <w:pPr>
              <w:pStyle w:val="TableBodyText"/>
              <w:widowControl w:val="0"/>
              <w:jc w:val="left"/>
            </w:pPr>
            <w:r w:rsidRPr="008E7459">
              <w:t>The measure is defined as:</w:t>
            </w:r>
          </w:p>
          <w:p w:rsidR="00BF467C" w:rsidRPr="008E7459" w:rsidRDefault="00BF467C" w:rsidP="00BF467C">
            <w:pPr>
              <w:pStyle w:val="TableBullet"/>
              <w:widowControl w:val="0"/>
            </w:pPr>
            <w:r w:rsidRPr="008E7459">
              <w:rPr>
                <w:i/>
              </w:rPr>
              <w:t xml:space="preserve">numerator — </w:t>
            </w:r>
            <w:r w:rsidRPr="008E7459">
              <w:t>number of students who achieved at or above the nationally agreed proficiency level (Level 3 for PISA, ‘Intermediate international benchmark’ for TIMSS and PIRLS) for each of reading literacy, mathematical literacy and scientific literacy</w:t>
            </w:r>
          </w:p>
          <w:p w:rsidR="00BF467C" w:rsidRPr="008E7459" w:rsidRDefault="00BF467C" w:rsidP="00BF467C">
            <w:pPr>
              <w:pStyle w:val="TableBullet"/>
              <w:widowControl w:val="0"/>
            </w:pPr>
            <w:r w:rsidRPr="008E7459">
              <w:rPr>
                <w:i/>
              </w:rPr>
              <w:t xml:space="preserve">denominator — </w:t>
            </w:r>
            <w:r w:rsidRPr="008E7459">
              <w:t>total population of all students (15 year old students participating in PISA, year 4 and year 8 students participating in TIMSS and year 4 students participating in PIRLS)</w:t>
            </w:r>
          </w:p>
          <w:p w:rsidR="00BF467C" w:rsidRPr="008E7459" w:rsidRDefault="00BF467C" w:rsidP="003F0181">
            <w:pPr>
              <w:pStyle w:val="TableBodyText"/>
              <w:widowControl w:val="0"/>
              <w:jc w:val="left"/>
              <w:rPr>
                <w:i/>
              </w:rPr>
            </w:pPr>
            <w:r w:rsidRPr="008E7459">
              <w:t xml:space="preserve">and is expressed as a </w:t>
            </w:r>
            <w:r w:rsidRPr="008E7459">
              <w:rPr>
                <w:i/>
              </w:rPr>
              <w:t>percentage</w:t>
            </w:r>
          </w:p>
          <w:p w:rsidR="00BF467C" w:rsidRPr="008E7459" w:rsidRDefault="00BF467C" w:rsidP="003F0181">
            <w:pPr>
              <w:pStyle w:val="TableBodyText"/>
              <w:widowControl w:val="0"/>
              <w:jc w:val="left"/>
            </w:pPr>
          </w:p>
        </w:tc>
      </w:tr>
      <w:tr w:rsidR="00BF467C" w:rsidTr="008539DA">
        <w:tc>
          <w:tcPr>
            <w:tcW w:w="1129" w:type="pct"/>
          </w:tcPr>
          <w:p w:rsidR="00BF467C" w:rsidRPr="008E7459" w:rsidRDefault="00BF467C" w:rsidP="00BF467C">
            <w:pPr>
              <w:pStyle w:val="TableBodyText"/>
              <w:keepNext w:val="0"/>
              <w:keepLines w:val="0"/>
              <w:ind w:left="34"/>
              <w:jc w:val="left"/>
            </w:pPr>
            <w:r w:rsidRPr="008E7459">
              <w:t>Measure 3(b):</w:t>
            </w:r>
          </w:p>
        </w:tc>
        <w:tc>
          <w:tcPr>
            <w:tcW w:w="3871" w:type="pct"/>
          </w:tcPr>
          <w:p w:rsidR="00BF467C" w:rsidRPr="008E7459" w:rsidRDefault="00BF467C" w:rsidP="003F0181">
            <w:pPr>
              <w:pStyle w:val="TableBodyText"/>
              <w:widowControl w:val="0"/>
              <w:jc w:val="left"/>
            </w:pPr>
            <w:r w:rsidRPr="008E7459">
              <w:t xml:space="preserve">Proportion of students in </w:t>
            </w:r>
            <w:r w:rsidRPr="008E7459">
              <w:rPr>
                <w:u w:val="single"/>
              </w:rPr>
              <w:t>top</w:t>
            </w:r>
            <w:r w:rsidRPr="008E7459">
              <w:t xml:space="preserve"> and </w:t>
            </w:r>
            <w:r w:rsidRPr="008E7459">
              <w:rPr>
                <w:u w:val="single"/>
              </w:rPr>
              <w:t>bottom</w:t>
            </w:r>
            <w:r w:rsidRPr="008E7459">
              <w:t xml:space="preserve"> levels of performance for each of reading literacy, mathematical literacy and scientific literacy</w:t>
            </w:r>
          </w:p>
          <w:p w:rsidR="00BF467C" w:rsidRPr="008E7459" w:rsidRDefault="00BF467C" w:rsidP="003F0181">
            <w:pPr>
              <w:pStyle w:val="TableBodyText"/>
              <w:widowControl w:val="0"/>
              <w:jc w:val="left"/>
            </w:pPr>
          </w:p>
          <w:p w:rsidR="00BF467C" w:rsidRPr="008E7459" w:rsidRDefault="00BF467C" w:rsidP="003F0181">
            <w:pPr>
              <w:pStyle w:val="TableBodyText"/>
              <w:widowControl w:val="0"/>
              <w:jc w:val="left"/>
            </w:pPr>
            <w:r w:rsidRPr="008E7459">
              <w:t>The measure for the top level for PISA is defined as:</w:t>
            </w:r>
          </w:p>
          <w:p w:rsidR="00BF467C" w:rsidRPr="008E7459" w:rsidRDefault="00BF467C" w:rsidP="00BF467C">
            <w:pPr>
              <w:pStyle w:val="TableBullet"/>
              <w:widowControl w:val="0"/>
            </w:pPr>
            <w:r w:rsidRPr="008E7459">
              <w:rPr>
                <w:i/>
              </w:rPr>
              <w:t xml:space="preserve">numerator — </w:t>
            </w:r>
            <w:r w:rsidRPr="008E7459">
              <w:t>number of students who achieved at level 5 and level 6 on each of reading literacy, mathematical literacy and scientific literacy</w:t>
            </w:r>
          </w:p>
          <w:p w:rsidR="00BF467C" w:rsidRPr="008E7459" w:rsidRDefault="00BF467C" w:rsidP="00BF467C">
            <w:pPr>
              <w:pStyle w:val="TableBullet"/>
              <w:widowControl w:val="0"/>
            </w:pPr>
            <w:r w:rsidRPr="008E7459">
              <w:rPr>
                <w:i/>
              </w:rPr>
              <w:t xml:space="preserve">denominator — </w:t>
            </w:r>
            <w:r w:rsidRPr="008E7459">
              <w:t>total population of all students (15 year old students participating in PISA)</w:t>
            </w:r>
          </w:p>
          <w:p w:rsidR="00BF467C" w:rsidRPr="008E7459" w:rsidRDefault="00BF467C" w:rsidP="003F0181">
            <w:pPr>
              <w:pStyle w:val="TableBodyText"/>
              <w:widowControl w:val="0"/>
              <w:jc w:val="left"/>
            </w:pPr>
            <w:r w:rsidRPr="008E7459">
              <w:t xml:space="preserve">and is expressed as a </w:t>
            </w:r>
            <w:r w:rsidRPr="008E7459">
              <w:rPr>
                <w:i/>
              </w:rPr>
              <w:t>percentage</w:t>
            </w:r>
          </w:p>
          <w:p w:rsidR="00BF467C" w:rsidRPr="008E7459" w:rsidRDefault="00BF467C" w:rsidP="003F0181">
            <w:pPr>
              <w:pStyle w:val="TableBodyText"/>
              <w:widowControl w:val="0"/>
              <w:jc w:val="left"/>
            </w:pPr>
          </w:p>
          <w:p w:rsidR="00BF467C" w:rsidRPr="008E7459" w:rsidRDefault="00BF467C" w:rsidP="003F0181">
            <w:pPr>
              <w:pStyle w:val="TableBodyText"/>
              <w:widowControl w:val="0"/>
              <w:jc w:val="left"/>
            </w:pPr>
            <w:r w:rsidRPr="008E7459">
              <w:t>The measure for the bottom level for PISA is defined as:</w:t>
            </w:r>
          </w:p>
          <w:p w:rsidR="00BF467C" w:rsidRPr="008E7459" w:rsidRDefault="00BF467C" w:rsidP="00BF467C">
            <w:pPr>
              <w:pStyle w:val="TableBullet"/>
              <w:widowControl w:val="0"/>
            </w:pPr>
            <w:r w:rsidRPr="008E7459">
              <w:rPr>
                <w:i/>
              </w:rPr>
              <w:t xml:space="preserve">numerator — </w:t>
            </w:r>
            <w:r w:rsidRPr="008E7459">
              <w:t>number of students who achieved at level 1 or below on each of reading literacy, mathematical literacy and scientific literacy</w:t>
            </w:r>
          </w:p>
          <w:p w:rsidR="00BF467C" w:rsidRPr="008E7459" w:rsidRDefault="00BF467C" w:rsidP="00BF467C">
            <w:pPr>
              <w:pStyle w:val="TableBullet"/>
              <w:widowControl w:val="0"/>
            </w:pPr>
            <w:r w:rsidRPr="008E7459">
              <w:rPr>
                <w:i/>
              </w:rPr>
              <w:t>denominator</w:t>
            </w:r>
            <w:r w:rsidR="001970C9">
              <w:t xml:space="preserve"> —</w:t>
            </w:r>
            <w:r w:rsidRPr="008E7459">
              <w:t xml:space="preserve"> total population of all students (15 year old students participating in PISA)</w:t>
            </w:r>
          </w:p>
          <w:p w:rsidR="00BF467C" w:rsidRPr="008E7459" w:rsidRDefault="00BF467C" w:rsidP="003F0181">
            <w:pPr>
              <w:pStyle w:val="TableBodyText"/>
              <w:widowControl w:val="0"/>
              <w:jc w:val="left"/>
            </w:pPr>
            <w:r w:rsidRPr="008E7459">
              <w:t xml:space="preserve">and is expressed as a </w:t>
            </w:r>
            <w:r w:rsidRPr="008E7459">
              <w:rPr>
                <w:i/>
              </w:rPr>
              <w:t>percentage</w:t>
            </w:r>
          </w:p>
          <w:p w:rsidR="00BF467C" w:rsidRPr="008E7459" w:rsidRDefault="00BF467C" w:rsidP="003F0181">
            <w:pPr>
              <w:pStyle w:val="TableBodyText"/>
              <w:widowControl w:val="0"/>
              <w:jc w:val="left"/>
            </w:pPr>
          </w:p>
          <w:p w:rsidR="00BF467C" w:rsidRPr="008E7459" w:rsidRDefault="00BF467C" w:rsidP="003F0181">
            <w:pPr>
              <w:pStyle w:val="TableBodyText"/>
              <w:widowControl w:val="0"/>
              <w:jc w:val="left"/>
            </w:pPr>
            <w:r w:rsidRPr="008E7459">
              <w:t xml:space="preserve">The measure for the </w:t>
            </w:r>
            <w:r w:rsidRPr="008E7459">
              <w:rPr>
                <w:u w:val="single"/>
              </w:rPr>
              <w:t>top</w:t>
            </w:r>
            <w:r w:rsidRPr="008E7459">
              <w:t xml:space="preserve"> level for TIMSS and PIRLS is defined as:</w:t>
            </w:r>
          </w:p>
          <w:p w:rsidR="00BF467C" w:rsidRPr="008E7459" w:rsidRDefault="00BF467C" w:rsidP="00BF467C">
            <w:pPr>
              <w:pStyle w:val="TableBullet"/>
              <w:widowControl w:val="0"/>
            </w:pPr>
            <w:r w:rsidRPr="008E7459">
              <w:rPr>
                <w:i/>
              </w:rPr>
              <w:t xml:space="preserve">numerator — </w:t>
            </w:r>
            <w:r w:rsidRPr="008E7459">
              <w:t>number of students who achieved at level ‘Advanced International Benchmark’ each on mathematic and scientific achievement (TIMSS), and reading literacy (PIRLS)</w:t>
            </w:r>
          </w:p>
          <w:p w:rsidR="00BF467C" w:rsidRPr="008E7459" w:rsidRDefault="00BF467C" w:rsidP="00BF467C">
            <w:pPr>
              <w:pStyle w:val="TableBullet"/>
              <w:widowControl w:val="0"/>
            </w:pPr>
            <w:r w:rsidRPr="008E7459">
              <w:rPr>
                <w:i/>
              </w:rPr>
              <w:t xml:space="preserve">denominator — </w:t>
            </w:r>
            <w:r w:rsidRPr="008E7459">
              <w:t>total population of all students (year 4 and year 8 students participating in TIMSS and year 4 students participating in PIRLS)</w:t>
            </w:r>
          </w:p>
          <w:p w:rsidR="00BF467C" w:rsidRPr="008E7459" w:rsidRDefault="00BF467C" w:rsidP="003F0181">
            <w:pPr>
              <w:pStyle w:val="TableBodyText"/>
              <w:widowControl w:val="0"/>
              <w:jc w:val="left"/>
            </w:pPr>
            <w:r w:rsidRPr="008E7459">
              <w:t xml:space="preserve">and is expressed as a </w:t>
            </w:r>
            <w:r w:rsidRPr="008E7459">
              <w:rPr>
                <w:i/>
              </w:rPr>
              <w:t>percentage</w:t>
            </w:r>
          </w:p>
          <w:p w:rsidR="00BF467C" w:rsidRPr="008E7459" w:rsidRDefault="00BF467C" w:rsidP="003F0181">
            <w:pPr>
              <w:pStyle w:val="TableBodyText"/>
              <w:widowControl w:val="0"/>
              <w:jc w:val="left"/>
            </w:pPr>
          </w:p>
          <w:p w:rsidR="00BF467C" w:rsidRPr="008E7459" w:rsidRDefault="00BF467C" w:rsidP="003F0181">
            <w:pPr>
              <w:pStyle w:val="TableBodyText"/>
              <w:widowControl w:val="0"/>
              <w:jc w:val="left"/>
            </w:pPr>
            <w:r w:rsidRPr="008E7459">
              <w:t xml:space="preserve">The measure for the </w:t>
            </w:r>
            <w:r w:rsidRPr="008E7459">
              <w:rPr>
                <w:u w:val="single"/>
              </w:rPr>
              <w:t>bottom</w:t>
            </w:r>
            <w:r w:rsidRPr="008E7459">
              <w:t xml:space="preserve"> level for TIMSS and PIRLS is defined as:</w:t>
            </w:r>
          </w:p>
          <w:p w:rsidR="00BF467C" w:rsidRPr="008E7459" w:rsidRDefault="00BF467C" w:rsidP="00BF467C">
            <w:pPr>
              <w:pStyle w:val="TableBullet"/>
              <w:widowControl w:val="0"/>
            </w:pPr>
            <w:r w:rsidRPr="008E7459">
              <w:rPr>
                <w:i/>
              </w:rPr>
              <w:t xml:space="preserve">numerator — </w:t>
            </w:r>
            <w:r w:rsidRPr="008E7459">
              <w:t xml:space="preserve">number of students who achieved at ‘Low international benchmark’ or below on each of mathematic and scientific achievement (TIMSS), and reading literacy (PIRLS) </w:t>
            </w:r>
          </w:p>
          <w:p w:rsidR="00BF467C" w:rsidRPr="008E7459" w:rsidRDefault="00BF467C" w:rsidP="00BF467C">
            <w:pPr>
              <w:pStyle w:val="TableBullet"/>
              <w:widowControl w:val="0"/>
            </w:pPr>
            <w:r w:rsidRPr="008E7459">
              <w:rPr>
                <w:i/>
              </w:rPr>
              <w:t xml:space="preserve">denominator — </w:t>
            </w:r>
            <w:r w:rsidRPr="008E7459">
              <w:t>total population of all students (year 4 and year 8 students participating in TIMSS and year 4 students participating in PIRLS)</w:t>
            </w:r>
          </w:p>
          <w:p w:rsidR="00BF467C" w:rsidRPr="008E7459" w:rsidRDefault="00BF467C" w:rsidP="003F0181">
            <w:pPr>
              <w:pStyle w:val="TableBodyText"/>
              <w:widowControl w:val="0"/>
              <w:jc w:val="left"/>
              <w:rPr>
                <w:i/>
              </w:rPr>
            </w:pPr>
            <w:r w:rsidRPr="008E7459">
              <w:t xml:space="preserve">and is expressed as a </w:t>
            </w:r>
            <w:r w:rsidRPr="008E7459">
              <w:rPr>
                <w:i/>
              </w:rPr>
              <w:t>percentage</w:t>
            </w:r>
          </w:p>
          <w:p w:rsidR="00BF467C" w:rsidRPr="008E7459" w:rsidRDefault="00BF467C" w:rsidP="003F0181">
            <w:pPr>
              <w:pStyle w:val="TableBodyText"/>
              <w:widowControl w:val="0"/>
              <w:jc w:val="left"/>
            </w:pPr>
          </w:p>
        </w:tc>
      </w:tr>
      <w:tr w:rsidR="00BF467C" w:rsidTr="008539DA">
        <w:tc>
          <w:tcPr>
            <w:tcW w:w="1129" w:type="pct"/>
          </w:tcPr>
          <w:p w:rsidR="00BF467C" w:rsidRPr="008E7459" w:rsidRDefault="00BF467C" w:rsidP="00BF467C">
            <w:pPr>
              <w:pStyle w:val="TableBodyText"/>
              <w:keepNext w:val="0"/>
              <w:keepLines w:val="0"/>
              <w:ind w:left="34"/>
              <w:jc w:val="left"/>
            </w:pPr>
            <w:r w:rsidRPr="008E7459">
              <w:t>Data sources:</w:t>
            </w:r>
          </w:p>
        </w:tc>
        <w:tc>
          <w:tcPr>
            <w:tcW w:w="3871" w:type="pct"/>
          </w:tcPr>
          <w:p w:rsidR="00BF467C" w:rsidRPr="008E7459" w:rsidRDefault="00BF467C" w:rsidP="003F0181">
            <w:pPr>
              <w:pStyle w:val="TableBodyText"/>
              <w:widowControl w:val="0"/>
              <w:jc w:val="left"/>
            </w:pPr>
            <w:r w:rsidRPr="008E7459">
              <w:rPr>
                <w:u w:val="single"/>
              </w:rPr>
              <w:t>Programme for International Student Assessment</w:t>
            </w:r>
            <w:r w:rsidRPr="008E7459">
              <w:t xml:space="preserve"> (PISA). Data are available every 3 years</w:t>
            </w:r>
          </w:p>
          <w:p w:rsidR="00BF467C" w:rsidRPr="008E7459" w:rsidRDefault="00BF467C" w:rsidP="003F0181">
            <w:pPr>
              <w:pStyle w:val="TableBodyText"/>
              <w:widowControl w:val="0"/>
              <w:jc w:val="left"/>
            </w:pPr>
            <w:r w:rsidRPr="008E7459">
              <w:rPr>
                <w:u w:val="single"/>
              </w:rPr>
              <w:t>Trends in International Mathematics and Science Study</w:t>
            </w:r>
            <w:r w:rsidRPr="008E7459">
              <w:t xml:space="preserve"> (TIMSS). Data are available every 4 years</w:t>
            </w:r>
          </w:p>
          <w:p w:rsidR="00BF467C" w:rsidRPr="008E7459" w:rsidRDefault="00BF467C" w:rsidP="003F0181">
            <w:pPr>
              <w:pStyle w:val="TableBodyText"/>
              <w:widowControl w:val="0"/>
              <w:jc w:val="left"/>
            </w:pPr>
            <w:r w:rsidRPr="008E7459">
              <w:rPr>
                <w:u w:val="single"/>
              </w:rPr>
              <w:t>Progress in International Reading Literacy Study</w:t>
            </w:r>
            <w:r w:rsidRPr="008E7459">
              <w:t xml:space="preserve"> (PIRLS). </w:t>
            </w:r>
            <w:r w:rsidR="002E624D" w:rsidRPr="002E624D">
              <w:t xml:space="preserve">Australia </w:t>
            </w:r>
            <w:r w:rsidR="009645E0">
              <w:t xml:space="preserve">first participated in </w:t>
            </w:r>
            <w:r w:rsidR="009645E0" w:rsidRPr="002E624D">
              <w:t xml:space="preserve">PIRLS </w:t>
            </w:r>
            <w:r w:rsidR="009645E0">
              <w:t xml:space="preserve">in 2011 and </w:t>
            </w:r>
            <w:r w:rsidR="002E624D" w:rsidRPr="002E624D">
              <w:t xml:space="preserve">will be participating </w:t>
            </w:r>
            <w:r w:rsidR="009645E0">
              <w:t xml:space="preserve">again </w:t>
            </w:r>
            <w:r w:rsidR="002E624D" w:rsidRPr="002E624D">
              <w:t>in 2016</w:t>
            </w:r>
            <w:r w:rsidR="002E624D">
              <w:t>. O</w:t>
            </w:r>
            <w:r w:rsidRPr="008E7459">
              <w:t>ngoing</w:t>
            </w:r>
            <w:r w:rsidR="002E624D">
              <w:t xml:space="preserve"> participation in</w:t>
            </w:r>
            <w:r w:rsidRPr="008E7459">
              <w:t xml:space="preserve"> PIRLS </w:t>
            </w:r>
            <w:r w:rsidR="002E624D">
              <w:t>has not been confirmed. PIRLS is conducted</w:t>
            </w:r>
            <w:r w:rsidR="00886210">
              <w:t xml:space="preserve"> every 5 years</w:t>
            </w:r>
          </w:p>
          <w:p w:rsidR="00BF467C" w:rsidRPr="008E7459" w:rsidRDefault="00BF467C" w:rsidP="003F0181">
            <w:pPr>
              <w:pStyle w:val="TableBodyText"/>
              <w:widowControl w:val="0"/>
              <w:jc w:val="left"/>
            </w:pPr>
          </w:p>
        </w:tc>
      </w:tr>
      <w:tr w:rsidR="00BF467C" w:rsidTr="008539DA">
        <w:tc>
          <w:tcPr>
            <w:tcW w:w="1129" w:type="pct"/>
          </w:tcPr>
          <w:p w:rsidR="00BF467C" w:rsidRPr="008E7459" w:rsidRDefault="00BF467C" w:rsidP="00BF467C">
            <w:pPr>
              <w:pStyle w:val="TableBodyText"/>
              <w:keepNext w:val="0"/>
              <w:keepLines w:val="0"/>
              <w:ind w:left="34"/>
              <w:jc w:val="left"/>
            </w:pPr>
            <w:r w:rsidRPr="008E7459">
              <w:t>Data provider:</w:t>
            </w:r>
          </w:p>
        </w:tc>
        <w:tc>
          <w:tcPr>
            <w:tcW w:w="3871" w:type="pct"/>
          </w:tcPr>
          <w:p w:rsidR="00BF467C" w:rsidRDefault="00BF467C" w:rsidP="003F0181">
            <w:pPr>
              <w:pStyle w:val="TableBodyText"/>
              <w:widowControl w:val="0"/>
              <w:jc w:val="left"/>
            </w:pPr>
            <w:r w:rsidRPr="008E7459">
              <w:t>Australian Council for Educational Research (ACER)</w:t>
            </w:r>
          </w:p>
          <w:p w:rsidR="00BF467C" w:rsidRPr="008E7459" w:rsidRDefault="00BF467C" w:rsidP="003F0181">
            <w:pPr>
              <w:pStyle w:val="TableBodyText"/>
              <w:widowControl w:val="0"/>
              <w:jc w:val="left"/>
            </w:pPr>
          </w:p>
        </w:tc>
      </w:tr>
      <w:tr w:rsidR="00BF467C" w:rsidTr="008539DA">
        <w:tc>
          <w:tcPr>
            <w:tcW w:w="1129" w:type="pct"/>
          </w:tcPr>
          <w:p w:rsidR="00BF467C" w:rsidRPr="008E7459" w:rsidRDefault="00BF467C" w:rsidP="00BF467C">
            <w:pPr>
              <w:pStyle w:val="TableBodyText"/>
              <w:keepNext w:val="0"/>
              <w:keepLines w:val="0"/>
              <w:ind w:left="34"/>
              <w:jc w:val="left"/>
            </w:pPr>
            <w:r w:rsidRPr="008E7459">
              <w:t>Data availability:</w:t>
            </w:r>
          </w:p>
        </w:tc>
        <w:tc>
          <w:tcPr>
            <w:tcW w:w="3871" w:type="pct"/>
          </w:tcPr>
          <w:p w:rsidR="00BF467C" w:rsidRPr="008E7459" w:rsidRDefault="00BF467C" w:rsidP="003F0181">
            <w:pPr>
              <w:pStyle w:val="TableBodyText"/>
              <w:widowControl w:val="0"/>
              <w:jc w:val="left"/>
            </w:pPr>
            <w:r w:rsidRPr="008E7459">
              <w:t>PISA — 20</w:t>
            </w:r>
            <w:r>
              <w:t>12</w:t>
            </w:r>
            <w:r w:rsidRPr="008E7459">
              <w:t xml:space="preserve"> </w:t>
            </w:r>
          </w:p>
          <w:p w:rsidR="00BF467C" w:rsidRPr="008E7459" w:rsidRDefault="00BF467C" w:rsidP="003F0181">
            <w:pPr>
              <w:pStyle w:val="TableBodyText"/>
              <w:widowControl w:val="0"/>
              <w:jc w:val="left"/>
            </w:pPr>
          </w:p>
        </w:tc>
      </w:tr>
      <w:tr w:rsidR="00BF467C" w:rsidTr="008539DA">
        <w:tc>
          <w:tcPr>
            <w:tcW w:w="1129" w:type="pct"/>
          </w:tcPr>
          <w:p w:rsidR="00BF467C" w:rsidRPr="008E7459" w:rsidRDefault="00BF467C" w:rsidP="00BF467C">
            <w:pPr>
              <w:pStyle w:val="TableBodyText"/>
              <w:keepNext w:val="0"/>
              <w:keepLines w:val="0"/>
              <w:ind w:left="34"/>
              <w:jc w:val="left"/>
            </w:pPr>
            <w:r w:rsidRPr="008E7459">
              <w:t>Cross tabulations provided:</w:t>
            </w:r>
          </w:p>
          <w:p w:rsidR="00BF467C" w:rsidRPr="008E7459" w:rsidRDefault="00BF467C" w:rsidP="00BF467C">
            <w:pPr>
              <w:pStyle w:val="TableBodyText"/>
              <w:keepNext w:val="0"/>
              <w:keepLines w:val="0"/>
              <w:ind w:left="34"/>
              <w:jc w:val="left"/>
            </w:pPr>
          </w:p>
        </w:tc>
        <w:tc>
          <w:tcPr>
            <w:tcW w:w="3871" w:type="pct"/>
          </w:tcPr>
          <w:p w:rsidR="00BF467C" w:rsidRPr="008E7459" w:rsidRDefault="00BF467C" w:rsidP="003F0181">
            <w:pPr>
              <w:pStyle w:val="TableBodyText"/>
              <w:widowControl w:val="0"/>
              <w:jc w:val="left"/>
            </w:pPr>
            <w:r w:rsidRPr="008E7459">
              <w:t xml:space="preserve">For </w:t>
            </w:r>
            <w:r>
              <w:t>reading literacy, mathematical literacy and scientific literacy</w:t>
            </w:r>
            <w:r w:rsidRPr="008E7459">
              <w:t>:</w:t>
            </w:r>
          </w:p>
          <w:p w:rsidR="00BF467C" w:rsidRPr="008E7459" w:rsidRDefault="00BF467C" w:rsidP="003F0181">
            <w:pPr>
              <w:pStyle w:val="TableBodyText"/>
              <w:widowControl w:val="0"/>
              <w:jc w:val="left"/>
            </w:pPr>
            <w:r w:rsidRPr="008E7459">
              <w:t>State and Territory</w:t>
            </w:r>
            <w:r>
              <w:t xml:space="preserve"> (and OECD average)</w:t>
            </w:r>
            <w:r w:rsidRPr="008E7459">
              <w:t>, by:</w:t>
            </w:r>
          </w:p>
          <w:p w:rsidR="00BF467C" w:rsidRDefault="00BF467C" w:rsidP="00BF467C">
            <w:pPr>
              <w:pStyle w:val="TableBullet"/>
              <w:widowControl w:val="0"/>
            </w:pPr>
            <w:r>
              <w:t>level</w:t>
            </w:r>
            <w:r w:rsidRPr="008E7459">
              <w:t xml:space="preserve"> (</w:t>
            </w:r>
            <w:r>
              <w:t>level 1 through to 6, high [at or above level 5], proficient [at or above level 3], and low [at or below level 1])</w:t>
            </w:r>
            <w:r w:rsidRPr="008E7459">
              <w:t xml:space="preserve">. </w:t>
            </w:r>
          </w:p>
          <w:p w:rsidR="00BF467C" w:rsidRDefault="00BF467C" w:rsidP="003F0181">
            <w:pPr>
              <w:pStyle w:val="TableBodyText"/>
              <w:widowControl w:val="0"/>
              <w:jc w:val="left"/>
            </w:pPr>
          </w:p>
          <w:p w:rsidR="00BF467C" w:rsidRDefault="00BF467C" w:rsidP="003F0181">
            <w:pPr>
              <w:pStyle w:val="TableBodyText"/>
              <w:widowControl w:val="0"/>
              <w:jc w:val="left"/>
              <w:rPr>
                <w:szCs w:val="24"/>
              </w:rPr>
            </w:pPr>
            <w:r w:rsidRPr="008E7459">
              <w:t>State and Territory</w:t>
            </w:r>
            <w:r>
              <w:t xml:space="preserve"> (and OECD average)</w:t>
            </w:r>
            <w:r w:rsidRPr="008E7459">
              <w:t xml:space="preserve">, </w:t>
            </w:r>
            <w:r>
              <w:t>levels high (at or above level 5), proficient (at or above level 3), and low (at or below level 1), by:</w:t>
            </w:r>
          </w:p>
          <w:p w:rsidR="00BF467C" w:rsidRDefault="00BF467C" w:rsidP="000C08CD">
            <w:pPr>
              <w:pStyle w:val="TableBullet"/>
              <w:rPr>
                <w:szCs w:val="24"/>
              </w:rPr>
            </w:pPr>
            <w:r>
              <w:t>ESCS (index of economic, social and cultural status) (quartiles)</w:t>
            </w:r>
          </w:p>
          <w:p w:rsidR="00BF467C" w:rsidRDefault="00BF467C" w:rsidP="00805402">
            <w:pPr>
              <w:pStyle w:val="TableBullet"/>
              <w:rPr>
                <w:szCs w:val="24"/>
              </w:rPr>
            </w:pPr>
            <w:r>
              <w:t>HISEI (</w:t>
            </w:r>
            <w:r w:rsidR="000C08CD" w:rsidRPr="000C08CD">
              <w:t>Highest International Social</w:t>
            </w:r>
            <w:r w:rsidR="000C08CD">
              <w:t xml:space="preserve"> and Economic Index</w:t>
            </w:r>
            <w:r w:rsidR="000C08CD" w:rsidRPr="000C08CD">
              <w:t xml:space="preserve"> </w:t>
            </w:r>
            <w:r w:rsidR="000C08CD">
              <w:t>[</w:t>
            </w:r>
            <w:r>
              <w:t>the highest level of the father’s and mother’s occupation</w:t>
            </w:r>
            <w:r w:rsidR="000C08CD">
              <w:t>]</w:t>
            </w:r>
            <w:r>
              <w:t>) (quartiles)</w:t>
            </w:r>
          </w:p>
          <w:p w:rsidR="00BF467C" w:rsidRPr="008E7459" w:rsidRDefault="00BF467C" w:rsidP="003F0181">
            <w:pPr>
              <w:pStyle w:val="TableBodyText"/>
              <w:widowControl w:val="0"/>
              <w:ind w:left="-113"/>
              <w:jc w:val="left"/>
              <w:rPr>
                <w:szCs w:val="24"/>
              </w:rPr>
            </w:pPr>
          </w:p>
          <w:p w:rsidR="00BF467C" w:rsidRPr="008E7459" w:rsidRDefault="00BF467C" w:rsidP="003F0181">
            <w:pPr>
              <w:pStyle w:val="TableBodyText"/>
              <w:widowControl w:val="0"/>
              <w:jc w:val="left"/>
            </w:pPr>
            <w:r w:rsidRPr="008E7459">
              <w:t>National,</w:t>
            </w:r>
            <w:r>
              <w:t xml:space="preserve"> level high [at or above level 5], proficient [at or above level 3], and low [at or below level 1]</w:t>
            </w:r>
            <w:r w:rsidRPr="008E7459">
              <w:t xml:space="preserve"> by:</w:t>
            </w:r>
          </w:p>
          <w:p w:rsidR="00BF467C" w:rsidRDefault="00BF467C" w:rsidP="00BF467C">
            <w:pPr>
              <w:pStyle w:val="TableBullet"/>
              <w:widowControl w:val="0"/>
            </w:pPr>
            <w:r w:rsidRPr="008E7459">
              <w:t>Sex</w:t>
            </w:r>
          </w:p>
          <w:p w:rsidR="00BF467C" w:rsidRPr="008E7459" w:rsidRDefault="00BF467C" w:rsidP="00BF467C">
            <w:pPr>
              <w:pStyle w:val="TableBullet"/>
              <w:widowControl w:val="0"/>
            </w:pPr>
            <w:r w:rsidRPr="008E7459">
              <w:t xml:space="preserve">Indigenous status </w:t>
            </w:r>
          </w:p>
        </w:tc>
      </w:tr>
    </w:tbl>
    <w:p w:rsidR="0035205B" w:rsidRPr="003575E1" w:rsidRDefault="0035205B" w:rsidP="0035205B"/>
    <w:tbl>
      <w:tblPr>
        <w:tblW w:w="0" w:type="auto"/>
        <w:tblInd w:w="164" w:type="dxa"/>
        <w:tblBorders>
          <w:top w:val="single" w:sz="6" w:space="0" w:color="auto"/>
          <w:left w:val="single" w:sz="6" w:space="0" w:color="auto"/>
          <w:bottom w:val="single" w:sz="6" w:space="0" w:color="auto"/>
          <w:right w:val="single" w:sz="6" w:space="0" w:color="auto"/>
        </w:tblBorders>
        <w:tblLayout w:type="fixed"/>
        <w:tblCellMar>
          <w:left w:w="142" w:type="dxa"/>
          <w:right w:w="142" w:type="dxa"/>
        </w:tblCellMar>
        <w:tblLook w:val="0000" w:firstRow="0" w:lastRow="0" w:firstColumn="0" w:lastColumn="0" w:noHBand="0" w:noVBand="0"/>
      </w:tblPr>
      <w:tblGrid>
        <w:gridCol w:w="8771"/>
      </w:tblGrid>
      <w:tr w:rsidR="00162BCC" w:rsidTr="00EF255E">
        <w:tc>
          <w:tcPr>
            <w:tcW w:w="8771" w:type="dxa"/>
            <w:tcBorders>
              <w:top w:val="single" w:sz="6" w:space="0" w:color="auto"/>
              <w:bottom w:val="nil"/>
            </w:tcBorders>
          </w:tcPr>
          <w:p w:rsidR="00162BCC" w:rsidRDefault="00162BCC" w:rsidP="00EF255E">
            <w:pPr>
              <w:pStyle w:val="BoxTitle"/>
            </w:pPr>
            <w:r>
              <w:rPr>
                <w:b w:val="0"/>
              </w:rPr>
              <w:t xml:space="preserve">Box </w:t>
            </w:r>
            <w:r>
              <w:rPr>
                <w:b w:val="0"/>
              </w:rPr>
              <w:fldChar w:fldCharType="begin"/>
            </w:r>
            <w:r>
              <w:rPr>
                <w:b w:val="0"/>
              </w:rPr>
              <w:instrText xml:space="preserve"> SEQ Box \* ARABIC </w:instrText>
            </w:r>
            <w:r>
              <w:rPr>
                <w:b w:val="0"/>
              </w:rPr>
              <w:fldChar w:fldCharType="separate"/>
            </w:r>
            <w:r w:rsidR="005F5618">
              <w:rPr>
                <w:b w:val="0"/>
                <w:noProof/>
              </w:rPr>
              <w:t>14</w:t>
            </w:r>
            <w:r>
              <w:rPr>
                <w:b w:val="0"/>
              </w:rPr>
              <w:fldChar w:fldCharType="end"/>
            </w:r>
            <w:r>
              <w:tab/>
              <w:t>Results</w:t>
            </w:r>
          </w:p>
        </w:tc>
      </w:tr>
      <w:tr w:rsidR="00162BCC" w:rsidTr="00EF255E">
        <w:trPr>
          <w:cantSplit/>
        </w:trPr>
        <w:tc>
          <w:tcPr>
            <w:tcW w:w="8771" w:type="dxa"/>
            <w:tcBorders>
              <w:top w:val="nil"/>
              <w:left w:val="single" w:sz="6" w:space="0" w:color="auto"/>
              <w:bottom w:val="nil"/>
              <w:right w:val="single" w:sz="6" w:space="0" w:color="auto"/>
            </w:tcBorders>
          </w:tcPr>
          <w:p w:rsidR="001339E2" w:rsidRDefault="001339E2" w:rsidP="001339E2">
            <w:pPr>
              <w:pStyle w:val="Box"/>
            </w:pPr>
            <w:r>
              <w:t>For this report, new data for this indicator are available for 2012.</w:t>
            </w:r>
          </w:p>
          <w:p w:rsidR="001339E2" w:rsidRDefault="001339E2" w:rsidP="001339E2">
            <w:pPr>
              <w:pStyle w:val="BoxListBullet"/>
            </w:pPr>
            <w:r>
              <w:t>Data by State and Territory are presented in tables NEA.3.1–3</w:t>
            </w:r>
            <w:r w:rsidR="00D37F29">
              <w:t>.</w:t>
            </w:r>
          </w:p>
          <w:p w:rsidR="001339E2" w:rsidRDefault="001339E2" w:rsidP="001339E2">
            <w:pPr>
              <w:pStyle w:val="BoxListBullet"/>
            </w:pPr>
            <w:r>
              <w:t>Data by State and Territory by S</w:t>
            </w:r>
            <w:r w:rsidR="00D37F29">
              <w:t>ES are presented in tables NEA.3.4–</w:t>
            </w:r>
            <w:r>
              <w:t>6</w:t>
            </w:r>
            <w:r w:rsidR="00D37F29">
              <w:t>.</w:t>
            </w:r>
          </w:p>
          <w:p w:rsidR="00D37F29" w:rsidRDefault="00D37F29" w:rsidP="00D37F29">
            <w:pPr>
              <w:pStyle w:val="BoxListBullet"/>
            </w:pPr>
            <w:r w:rsidRPr="00D37F29">
              <w:t xml:space="preserve">National data by </w:t>
            </w:r>
            <w:r>
              <w:t>sex are presented in table NEA.3.7.</w:t>
            </w:r>
          </w:p>
          <w:p w:rsidR="00162BCC" w:rsidRDefault="001339E2" w:rsidP="001339E2">
            <w:pPr>
              <w:pStyle w:val="BoxListBullet"/>
            </w:pPr>
            <w:r>
              <w:t>National data by Indigenous sta</w:t>
            </w:r>
            <w:r w:rsidR="00D37F29">
              <w:t>tus are presented in table NEA.3.8.</w:t>
            </w:r>
          </w:p>
          <w:p w:rsidR="00492E41" w:rsidRDefault="008F513E" w:rsidP="00492E41">
            <w:pPr>
              <w:pStyle w:val="Box"/>
            </w:pPr>
            <w:r>
              <w:t xml:space="preserve">TIMSS and PIRLS data for 2011 are available in the 2012 NEA performance report. </w:t>
            </w:r>
            <w:r w:rsidR="00492E41" w:rsidRPr="0051256F">
              <w:t xml:space="preserve">TIMSS data for 2007 were sourced by the CRC and reported in </w:t>
            </w:r>
            <w:r w:rsidR="00492E41">
              <w:t>its</w:t>
            </w:r>
            <w:r w:rsidR="00492E41" w:rsidRPr="0051256F">
              <w:t xml:space="preserve"> 2008 report.</w:t>
            </w:r>
          </w:p>
          <w:p w:rsidR="00492E41" w:rsidRDefault="00492E41" w:rsidP="00492E41">
            <w:pPr>
              <w:pStyle w:val="Box"/>
            </w:pPr>
            <w:r w:rsidRPr="0051256F">
              <w:t>PISA data for 2006</w:t>
            </w:r>
            <w:r>
              <w:t xml:space="preserve"> </w:t>
            </w:r>
            <w:r w:rsidR="0051256F" w:rsidRPr="0051256F">
              <w:t>for measure 3(a)</w:t>
            </w:r>
            <w:r w:rsidR="00F40769">
              <w:t xml:space="preserve"> </w:t>
            </w:r>
            <w:r w:rsidR="0051256F" w:rsidRPr="0051256F">
              <w:t xml:space="preserve">are available in the baseline 2008 NEA performance report. </w:t>
            </w:r>
          </w:p>
          <w:p w:rsidR="00D37F29" w:rsidRDefault="00492E41" w:rsidP="00492E41">
            <w:pPr>
              <w:pStyle w:val="Box"/>
            </w:pPr>
            <w:r>
              <w:t>PISA d</w:t>
            </w:r>
            <w:r w:rsidR="0051256F" w:rsidRPr="0051256F">
              <w:t xml:space="preserve">ata for </w:t>
            </w:r>
            <w:r>
              <w:t xml:space="preserve">2009 and 2006 for </w:t>
            </w:r>
            <w:r w:rsidR="0051256F" w:rsidRPr="0051256F">
              <w:t xml:space="preserve">measure 3(b) are available in the 2010 NEA performance report. </w:t>
            </w:r>
          </w:p>
        </w:tc>
      </w:tr>
      <w:tr w:rsidR="00162BCC" w:rsidTr="00EF255E">
        <w:trPr>
          <w:cantSplit/>
        </w:trPr>
        <w:tc>
          <w:tcPr>
            <w:tcW w:w="8771" w:type="dxa"/>
            <w:tcBorders>
              <w:top w:val="nil"/>
              <w:left w:val="single" w:sz="6" w:space="0" w:color="auto"/>
              <w:bottom w:val="single" w:sz="6" w:space="0" w:color="auto"/>
              <w:right w:val="single" w:sz="6" w:space="0" w:color="auto"/>
            </w:tcBorders>
          </w:tcPr>
          <w:p w:rsidR="00162BCC" w:rsidRDefault="00162BCC" w:rsidP="00EF255E">
            <w:pPr>
              <w:pStyle w:val="Box"/>
              <w:spacing w:before="0" w:line="120" w:lineRule="exact"/>
            </w:pPr>
          </w:p>
        </w:tc>
      </w:tr>
      <w:tr w:rsidR="00162BCC" w:rsidRPr="000863A5" w:rsidTr="00EF255E">
        <w:tc>
          <w:tcPr>
            <w:tcW w:w="8771" w:type="dxa"/>
            <w:tcBorders>
              <w:top w:val="nil"/>
              <w:left w:val="nil"/>
              <w:bottom w:val="nil"/>
              <w:right w:val="nil"/>
            </w:tcBorders>
          </w:tcPr>
          <w:p w:rsidR="00162BCC" w:rsidRPr="00626D32" w:rsidRDefault="00162BCC" w:rsidP="00EF255E">
            <w:pPr>
              <w:pStyle w:val="BoxSpaceBelow"/>
            </w:pPr>
          </w:p>
        </w:tc>
      </w:tr>
    </w:tbl>
    <w:p w:rsidR="00162BCC" w:rsidRDefault="00162BCC" w:rsidP="00162BCC">
      <w:pPr>
        <w:pStyle w:val="Heading4"/>
      </w:pPr>
      <w:r>
        <w:t>Attachment tables</w:t>
      </w:r>
    </w:p>
    <w:tbl>
      <w:tblPr>
        <w:tblW w:w="880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0"/>
        <w:gridCol w:w="6844"/>
      </w:tblGrid>
      <w:tr w:rsidR="001339E2" w:rsidRPr="008E7459" w:rsidTr="001339E2">
        <w:trPr>
          <w:trHeight w:val="612"/>
        </w:trPr>
        <w:tc>
          <w:tcPr>
            <w:tcW w:w="1960" w:type="dxa"/>
            <w:shd w:val="clear" w:color="auto" w:fill="auto"/>
            <w:noWrap/>
            <w:hideMark/>
          </w:tcPr>
          <w:p w:rsidR="001339E2" w:rsidRPr="001339E2" w:rsidRDefault="001339E2" w:rsidP="001339E2">
            <w:pPr>
              <w:pStyle w:val="TableBodyText"/>
              <w:jc w:val="left"/>
              <w:rPr>
                <w:b/>
              </w:rPr>
            </w:pPr>
            <w:r w:rsidRPr="001339E2">
              <w:rPr>
                <w:b/>
              </w:rPr>
              <w:t>Table NEA.3.1</w:t>
            </w:r>
          </w:p>
        </w:tc>
        <w:tc>
          <w:tcPr>
            <w:tcW w:w="6844" w:type="dxa"/>
            <w:shd w:val="clear" w:color="auto" w:fill="auto"/>
          </w:tcPr>
          <w:p w:rsidR="001339E2" w:rsidRPr="00E745DE" w:rsidRDefault="001339E2" w:rsidP="001339E2">
            <w:pPr>
              <w:pStyle w:val="TableBodyText"/>
              <w:jc w:val="left"/>
            </w:pPr>
            <w:r w:rsidRPr="00E745DE">
              <w:t xml:space="preserve">Proportion of students that achieved at each level in the overall reading literacy scale, by State and Territory, 2012 (per cent) </w:t>
            </w:r>
          </w:p>
        </w:tc>
      </w:tr>
      <w:tr w:rsidR="001339E2" w:rsidRPr="008E7459" w:rsidTr="001339E2">
        <w:trPr>
          <w:trHeight w:val="612"/>
        </w:trPr>
        <w:tc>
          <w:tcPr>
            <w:tcW w:w="1960" w:type="dxa"/>
            <w:shd w:val="clear" w:color="auto" w:fill="auto"/>
            <w:noWrap/>
            <w:hideMark/>
          </w:tcPr>
          <w:p w:rsidR="001339E2" w:rsidRPr="001339E2" w:rsidRDefault="001339E2" w:rsidP="001339E2">
            <w:pPr>
              <w:pStyle w:val="TableBodyText"/>
              <w:jc w:val="left"/>
              <w:rPr>
                <w:b/>
              </w:rPr>
            </w:pPr>
            <w:r w:rsidRPr="001339E2">
              <w:rPr>
                <w:b/>
              </w:rPr>
              <w:t>Table NEA.3.2</w:t>
            </w:r>
          </w:p>
        </w:tc>
        <w:tc>
          <w:tcPr>
            <w:tcW w:w="6844" w:type="dxa"/>
            <w:shd w:val="clear" w:color="auto" w:fill="auto"/>
          </w:tcPr>
          <w:p w:rsidR="001339E2" w:rsidRPr="00E745DE" w:rsidRDefault="001339E2" w:rsidP="001339E2">
            <w:pPr>
              <w:pStyle w:val="TableBodyText"/>
              <w:jc w:val="left"/>
            </w:pPr>
            <w:r w:rsidRPr="00E745DE">
              <w:t xml:space="preserve">Proportion of students that achieved at each level in the overall mathematical literacy scale, by State and Territory, 2012 (per cent) </w:t>
            </w:r>
          </w:p>
        </w:tc>
      </w:tr>
      <w:tr w:rsidR="001339E2" w:rsidRPr="008E7459" w:rsidTr="001339E2">
        <w:trPr>
          <w:trHeight w:val="612"/>
        </w:trPr>
        <w:tc>
          <w:tcPr>
            <w:tcW w:w="1960" w:type="dxa"/>
            <w:shd w:val="clear" w:color="auto" w:fill="auto"/>
            <w:noWrap/>
          </w:tcPr>
          <w:p w:rsidR="001339E2" w:rsidRPr="001339E2" w:rsidRDefault="001339E2" w:rsidP="001339E2">
            <w:pPr>
              <w:pStyle w:val="TableBodyText"/>
              <w:jc w:val="left"/>
              <w:rPr>
                <w:b/>
              </w:rPr>
            </w:pPr>
            <w:r w:rsidRPr="001339E2">
              <w:rPr>
                <w:b/>
              </w:rPr>
              <w:t>Table NEA.3.3</w:t>
            </w:r>
          </w:p>
        </w:tc>
        <w:tc>
          <w:tcPr>
            <w:tcW w:w="6844" w:type="dxa"/>
            <w:shd w:val="clear" w:color="auto" w:fill="auto"/>
          </w:tcPr>
          <w:p w:rsidR="001339E2" w:rsidRPr="00E745DE" w:rsidRDefault="001339E2" w:rsidP="001339E2">
            <w:pPr>
              <w:pStyle w:val="TableBodyText"/>
              <w:jc w:val="left"/>
            </w:pPr>
            <w:r w:rsidRPr="00E745DE">
              <w:t xml:space="preserve">Proportion of students that achieved at each level in the overall scientific literacy scale, by State and Territory, 2012 (per cent) </w:t>
            </w:r>
          </w:p>
        </w:tc>
      </w:tr>
      <w:tr w:rsidR="001339E2" w:rsidRPr="008E7459" w:rsidTr="001339E2">
        <w:trPr>
          <w:trHeight w:val="612"/>
        </w:trPr>
        <w:tc>
          <w:tcPr>
            <w:tcW w:w="1960" w:type="dxa"/>
            <w:shd w:val="clear" w:color="auto" w:fill="auto"/>
            <w:noWrap/>
          </w:tcPr>
          <w:p w:rsidR="001339E2" w:rsidRPr="001339E2" w:rsidRDefault="001339E2" w:rsidP="001339E2">
            <w:pPr>
              <w:pStyle w:val="TableBodyText"/>
              <w:jc w:val="left"/>
              <w:rPr>
                <w:b/>
              </w:rPr>
            </w:pPr>
            <w:r w:rsidRPr="001339E2">
              <w:rPr>
                <w:b/>
              </w:rPr>
              <w:t>Table NEA.3.4</w:t>
            </w:r>
          </w:p>
        </w:tc>
        <w:tc>
          <w:tcPr>
            <w:tcW w:w="6844" w:type="dxa"/>
            <w:shd w:val="clear" w:color="auto" w:fill="auto"/>
          </w:tcPr>
          <w:p w:rsidR="001339E2" w:rsidRPr="00E745DE" w:rsidRDefault="001339E2" w:rsidP="001339E2">
            <w:pPr>
              <w:pStyle w:val="TableBodyText"/>
              <w:jc w:val="left"/>
            </w:pPr>
            <w:r w:rsidRPr="00E745DE">
              <w:t>Proportion of students that achieved at each level in the overall reading literacy scale, by socio</w:t>
            </w:r>
            <w:r w:rsidR="009F5EB6">
              <w:noBreakHyphen/>
            </w:r>
            <w:r w:rsidRPr="00E745DE">
              <w:t xml:space="preserve">economic status, by State and Territory, 2012 (per cent) </w:t>
            </w:r>
          </w:p>
        </w:tc>
      </w:tr>
      <w:tr w:rsidR="001339E2" w:rsidRPr="008E7459" w:rsidTr="001339E2">
        <w:trPr>
          <w:trHeight w:val="612"/>
        </w:trPr>
        <w:tc>
          <w:tcPr>
            <w:tcW w:w="1960" w:type="dxa"/>
            <w:shd w:val="clear" w:color="auto" w:fill="auto"/>
            <w:noWrap/>
          </w:tcPr>
          <w:p w:rsidR="001339E2" w:rsidRPr="001339E2" w:rsidRDefault="001339E2" w:rsidP="001339E2">
            <w:pPr>
              <w:pStyle w:val="TableBodyText"/>
              <w:jc w:val="left"/>
              <w:rPr>
                <w:b/>
              </w:rPr>
            </w:pPr>
            <w:r w:rsidRPr="001339E2">
              <w:rPr>
                <w:b/>
              </w:rPr>
              <w:t>Table NEA.3.5</w:t>
            </w:r>
          </w:p>
        </w:tc>
        <w:tc>
          <w:tcPr>
            <w:tcW w:w="6844" w:type="dxa"/>
            <w:shd w:val="clear" w:color="auto" w:fill="auto"/>
          </w:tcPr>
          <w:p w:rsidR="001339E2" w:rsidRPr="00E745DE" w:rsidRDefault="001339E2" w:rsidP="001339E2">
            <w:pPr>
              <w:pStyle w:val="TableBodyText"/>
              <w:jc w:val="left"/>
            </w:pPr>
            <w:r w:rsidRPr="00E745DE">
              <w:t>Proportion of students that achieved at each level in the overall mathematical literacy scale, by socio</w:t>
            </w:r>
            <w:r w:rsidR="009F5EB6">
              <w:noBreakHyphen/>
            </w:r>
            <w:r w:rsidRPr="00E745DE">
              <w:t xml:space="preserve">economic status, by State and Territory, 2012 (per cent) </w:t>
            </w:r>
          </w:p>
        </w:tc>
      </w:tr>
      <w:tr w:rsidR="001339E2" w:rsidRPr="008E7459" w:rsidTr="001339E2">
        <w:trPr>
          <w:trHeight w:val="612"/>
        </w:trPr>
        <w:tc>
          <w:tcPr>
            <w:tcW w:w="1960" w:type="dxa"/>
            <w:shd w:val="clear" w:color="auto" w:fill="auto"/>
            <w:noWrap/>
          </w:tcPr>
          <w:p w:rsidR="001339E2" w:rsidRPr="001339E2" w:rsidRDefault="001339E2" w:rsidP="001339E2">
            <w:pPr>
              <w:pStyle w:val="TableBodyText"/>
              <w:jc w:val="left"/>
              <w:rPr>
                <w:b/>
              </w:rPr>
            </w:pPr>
            <w:r w:rsidRPr="001339E2">
              <w:rPr>
                <w:b/>
              </w:rPr>
              <w:t>Table NEA.3.6</w:t>
            </w:r>
          </w:p>
        </w:tc>
        <w:tc>
          <w:tcPr>
            <w:tcW w:w="6844" w:type="dxa"/>
            <w:shd w:val="clear" w:color="auto" w:fill="auto"/>
          </w:tcPr>
          <w:p w:rsidR="001339E2" w:rsidRPr="00E745DE" w:rsidRDefault="001339E2" w:rsidP="001339E2">
            <w:pPr>
              <w:pStyle w:val="TableBodyText"/>
              <w:jc w:val="left"/>
            </w:pPr>
            <w:r w:rsidRPr="00E745DE">
              <w:t>Proportion of students that achieved at each level in the overall scientific literacy scale, by socio</w:t>
            </w:r>
            <w:r w:rsidR="009F5EB6">
              <w:noBreakHyphen/>
            </w:r>
            <w:r w:rsidRPr="00E745DE">
              <w:t xml:space="preserve">economic status, by State and Territory, 2012 (per cent) </w:t>
            </w:r>
          </w:p>
        </w:tc>
      </w:tr>
      <w:tr w:rsidR="001339E2" w:rsidRPr="008E7459" w:rsidTr="001339E2">
        <w:trPr>
          <w:trHeight w:val="612"/>
        </w:trPr>
        <w:tc>
          <w:tcPr>
            <w:tcW w:w="1960" w:type="dxa"/>
            <w:shd w:val="clear" w:color="auto" w:fill="auto"/>
            <w:noWrap/>
          </w:tcPr>
          <w:p w:rsidR="001339E2" w:rsidRPr="001339E2" w:rsidRDefault="001339E2" w:rsidP="001339E2">
            <w:pPr>
              <w:pStyle w:val="TableBodyText"/>
              <w:jc w:val="left"/>
              <w:rPr>
                <w:b/>
              </w:rPr>
            </w:pPr>
            <w:r w:rsidRPr="001339E2">
              <w:rPr>
                <w:b/>
              </w:rPr>
              <w:t>Table NEA.3.7</w:t>
            </w:r>
          </w:p>
        </w:tc>
        <w:tc>
          <w:tcPr>
            <w:tcW w:w="6844" w:type="dxa"/>
            <w:shd w:val="clear" w:color="auto" w:fill="auto"/>
          </w:tcPr>
          <w:p w:rsidR="001339E2" w:rsidRPr="00E745DE" w:rsidRDefault="001339E2" w:rsidP="001339E2">
            <w:pPr>
              <w:pStyle w:val="TableBodyText"/>
              <w:jc w:val="left"/>
            </w:pPr>
            <w:r w:rsidRPr="00E745DE">
              <w:t xml:space="preserve">Proportion of students that achieved at each level in the overall reading literacy, mathematical literacy and scientific literacy scale, national, by sex, 2012 (per cent) </w:t>
            </w:r>
          </w:p>
        </w:tc>
      </w:tr>
      <w:tr w:rsidR="001339E2" w:rsidRPr="008E7459" w:rsidTr="001339E2">
        <w:trPr>
          <w:trHeight w:val="612"/>
        </w:trPr>
        <w:tc>
          <w:tcPr>
            <w:tcW w:w="1960" w:type="dxa"/>
            <w:shd w:val="clear" w:color="auto" w:fill="auto"/>
            <w:noWrap/>
          </w:tcPr>
          <w:p w:rsidR="001339E2" w:rsidRPr="001339E2" w:rsidRDefault="001339E2" w:rsidP="001339E2">
            <w:pPr>
              <w:pStyle w:val="TableBodyText"/>
              <w:jc w:val="left"/>
              <w:rPr>
                <w:b/>
              </w:rPr>
            </w:pPr>
            <w:r w:rsidRPr="001339E2">
              <w:rPr>
                <w:b/>
              </w:rPr>
              <w:t>Table NEA.3.8</w:t>
            </w:r>
          </w:p>
        </w:tc>
        <w:tc>
          <w:tcPr>
            <w:tcW w:w="6844" w:type="dxa"/>
            <w:shd w:val="clear" w:color="auto" w:fill="auto"/>
          </w:tcPr>
          <w:p w:rsidR="001339E2" w:rsidRDefault="001339E2" w:rsidP="001339E2">
            <w:pPr>
              <w:pStyle w:val="TableBodyText"/>
              <w:jc w:val="left"/>
            </w:pPr>
            <w:r w:rsidRPr="00E745DE">
              <w:t xml:space="preserve">Proportion of students that achieved at each level in the overall reading literacy, mathematical literacy and scientific literacy scale, national, by Indigenous status, 2012 (per cent) </w:t>
            </w:r>
          </w:p>
        </w:tc>
      </w:tr>
    </w:tbl>
    <w:p w:rsidR="00162BCC" w:rsidRDefault="00162BCC" w:rsidP="00162BCC"/>
    <w:p w:rsidR="00162BCC" w:rsidRDefault="00162BCC" w:rsidP="00162BCC">
      <w:pPr>
        <w:pStyle w:val="BoxSpaceAbove"/>
      </w:pPr>
    </w:p>
    <w:tbl>
      <w:tblPr>
        <w:tblW w:w="0" w:type="auto"/>
        <w:tblInd w:w="164" w:type="dxa"/>
        <w:tblBorders>
          <w:top w:val="single" w:sz="6" w:space="0" w:color="auto"/>
          <w:left w:val="single" w:sz="6" w:space="0" w:color="auto"/>
          <w:bottom w:val="single" w:sz="6" w:space="0" w:color="auto"/>
          <w:right w:val="single" w:sz="6" w:space="0" w:color="auto"/>
        </w:tblBorders>
        <w:tblLayout w:type="fixed"/>
        <w:tblCellMar>
          <w:left w:w="142" w:type="dxa"/>
          <w:right w:w="142" w:type="dxa"/>
        </w:tblCellMar>
        <w:tblLook w:val="0000" w:firstRow="0" w:lastRow="0" w:firstColumn="0" w:lastColumn="0" w:noHBand="0" w:noVBand="0"/>
      </w:tblPr>
      <w:tblGrid>
        <w:gridCol w:w="8771"/>
      </w:tblGrid>
      <w:tr w:rsidR="00162BCC" w:rsidTr="00EF255E">
        <w:tc>
          <w:tcPr>
            <w:tcW w:w="8771" w:type="dxa"/>
            <w:tcBorders>
              <w:top w:val="single" w:sz="6" w:space="0" w:color="auto"/>
              <w:bottom w:val="nil"/>
            </w:tcBorders>
          </w:tcPr>
          <w:p w:rsidR="00162BCC" w:rsidRDefault="00162BCC" w:rsidP="00EF255E">
            <w:pPr>
              <w:pStyle w:val="BoxTitle"/>
            </w:pPr>
            <w:r>
              <w:rPr>
                <w:b w:val="0"/>
              </w:rPr>
              <w:t xml:space="preserve">Box </w:t>
            </w:r>
            <w:r>
              <w:rPr>
                <w:b w:val="0"/>
              </w:rPr>
              <w:fldChar w:fldCharType="begin"/>
            </w:r>
            <w:r>
              <w:rPr>
                <w:b w:val="0"/>
              </w:rPr>
              <w:instrText xml:space="preserve"> SEQ Box \* ARABIC </w:instrText>
            </w:r>
            <w:r>
              <w:rPr>
                <w:b w:val="0"/>
              </w:rPr>
              <w:fldChar w:fldCharType="separate"/>
            </w:r>
            <w:r w:rsidR="005F5618">
              <w:rPr>
                <w:b w:val="0"/>
                <w:noProof/>
              </w:rPr>
              <w:t>15</w:t>
            </w:r>
            <w:r>
              <w:rPr>
                <w:b w:val="0"/>
              </w:rPr>
              <w:fldChar w:fldCharType="end"/>
            </w:r>
            <w:r>
              <w:tab/>
              <w:t>Comment on data quality</w:t>
            </w:r>
          </w:p>
        </w:tc>
      </w:tr>
      <w:tr w:rsidR="00162BCC" w:rsidTr="00EF255E">
        <w:trPr>
          <w:cantSplit/>
        </w:trPr>
        <w:tc>
          <w:tcPr>
            <w:tcW w:w="8771" w:type="dxa"/>
            <w:tcBorders>
              <w:top w:val="nil"/>
              <w:left w:val="single" w:sz="6" w:space="0" w:color="auto"/>
              <w:bottom w:val="nil"/>
              <w:right w:val="single" w:sz="6" w:space="0" w:color="auto"/>
            </w:tcBorders>
          </w:tcPr>
          <w:p w:rsidR="00320BFC" w:rsidRDefault="00320BFC" w:rsidP="00320BFC">
            <w:pPr>
              <w:pStyle w:val="Box"/>
            </w:pPr>
            <w:r>
              <w:t>The DQS for this indicator has been prepared by ACER and is included in its original</w:t>
            </w:r>
            <w:r w:rsidR="00A51AC8">
              <w:t xml:space="preserve"> </w:t>
            </w:r>
            <w:r>
              <w:t xml:space="preserve">form in the section </w:t>
            </w:r>
            <w:r w:rsidR="00502BA5">
              <w:t xml:space="preserve">of </w:t>
            </w:r>
            <w:r>
              <w:t>this report titled ‘Data Quality Statements.’ Key points from the</w:t>
            </w:r>
            <w:r w:rsidR="00A51AC8">
              <w:t xml:space="preserve"> </w:t>
            </w:r>
            <w:r>
              <w:t>DQS are summarised below.</w:t>
            </w:r>
          </w:p>
          <w:p w:rsidR="00320BFC" w:rsidRDefault="00320BFC" w:rsidP="007848D0">
            <w:pPr>
              <w:pStyle w:val="BoxListBullet"/>
            </w:pPr>
            <w:r>
              <w:t>The data provide relevant information on the proportion of 15 year old students who achieved at or above the nationally agreed proficiency levels, and at the ‘top’ and ‘bottom’ levels, for reading literacy, mathematical literacy and scientific literacy.</w:t>
            </w:r>
          </w:p>
          <w:p w:rsidR="00502BA5" w:rsidRDefault="00320BFC" w:rsidP="00320BFC">
            <w:pPr>
              <w:pStyle w:val="BoxListBullet"/>
            </w:pPr>
            <w:r>
              <w:t xml:space="preserve">Data are available by socioeconomic status (SES) (measured by the index of economic, social and cultural status [ESCS] and the highest level of the father’s and mother’s occupation [HISEI]) at the State and Territory level. </w:t>
            </w:r>
          </w:p>
          <w:p w:rsidR="00320BFC" w:rsidRDefault="00320BFC" w:rsidP="00320BFC">
            <w:pPr>
              <w:pStyle w:val="BoxListBullet"/>
            </w:pPr>
            <w:r>
              <w:t>Data are available by Indigenous status at the national level only.</w:t>
            </w:r>
          </w:p>
          <w:p w:rsidR="00320BFC" w:rsidRPr="00487E7D" w:rsidRDefault="00320BFC" w:rsidP="00320BFC">
            <w:pPr>
              <w:pStyle w:val="BoxListBullet"/>
            </w:pPr>
            <w:r w:rsidRPr="00487E7D">
              <w:t xml:space="preserve">The PISA data collection is conducted every three years. The most recent data </w:t>
            </w:r>
            <w:r w:rsidR="007848D0" w:rsidRPr="00487E7D">
              <w:t>available are for 2012</w:t>
            </w:r>
            <w:r w:rsidRPr="00487E7D">
              <w:t>.</w:t>
            </w:r>
          </w:p>
          <w:p w:rsidR="00320BFC" w:rsidRPr="00487E7D" w:rsidRDefault="00320BFC" w:rsidP="00487E7D">
            <w:pPr>
              <w:pStyle w:val="BoxListBullet"/>
            </w:pPr>
            <w:r w:rsidRPr="00487E7D">
              <w:t>Data are of acceptable accuracy.</w:t>
            </w:r>
          </w:p>
          <w:p w:rsidR="00320BFC" w:rsidRPr="00487E7D" w:rsidRDefault="00320BFC" w:rsidP="00320BFC">
            <w:pPr>
              <w:pStyle w:val="BoxListBullet"/>
            </w:pPr>
            <w:r w:rsidRPr="00487E7D">
              <w:t>Detailed explanatory notes are publicly available to assist in interpretation of results.</w:t>
            </w:r>
          </w:p>
          <w:p w:rsidR="00320BFC" w:rsidRPr="00487E7D" w:rsidRDefault="00320BFC" w:rsidP="00320BFC">
            <w:pPr>
              <w:pStyle w:val="BoxListBullet"/>
            </w:pPr>
            <w:r w:rsidRPr="00487E7D">
              <w:t xml:space="preserve">Additional data from the data source are available </w:t>
            </w:r>
            <w:r w:rsidR="007848D0" w:rsidRPr="00487E7D">
              <w:t>online</w:t>
            </w:r>
            <w:r w:rsidRPr="00487E7D">
              <w:t xml:space="preserve"> and on request.</w:t>
            </w:r>
          </w:p>
          <w:p w:rsidR="00320BFC" w:rsidRDefault="00320BFC" w:rsidP="00320BFC">
            <w:pPr>
              <w:pStyle w:val="Box"/>
            </w:pPr>
            <w:r w:rsidRPr="00487E7D">
              <w:t>The Steering Committee also notes the following issues:</w:t>
            </w:r>
          </w:p>
          <w:p w:rsidR="00F44C05" w:rsidRPr="00AE492A" w:rsidRDefault="00AE492A" w:rsidP="00F44C05">
            <w:pPr>
              <w:pStyle w:val="BoxListBullet"/>
            </w:pPr>
            <w:r w:rsidRPr="00AE492A">
              <w:t>Data on all items reported are comparable both nationally and internationally</w:t>
            </w:r>
            <w:r w:rsidR="00502BA5">
              <w:t xml:space="preserve"> and d</w:t>
            </w:r>
            <w:r w:rsidR="00F44C05" w:rsidRPr="00AE492A">
              <w:t>ata are provided on OECD averages to e</w:t>
            </w:r>
            <w:r w:rsidRPr="00AE492A">
              <w:t xml:space="preserve">nable international comparisons. </w:t>
            </w:r>
          </w:p>
          <w:p w:rsidR="00320BFC" w:rsidRPr="00AE492A" w:rsidRDefault="00320BFC" w:rsidP="00320BFC">
            <w:pPr>
              <w:pStyle w:val="BoxListBullet"/>
            </w:pPr>
            <w:r w:rsidRPr="00AE492A">
              <w:t>The disaggregation of data to report students in the ‘top’ and ‘bottom’ levels of performance result</w:t>
            </w:r>
            <w:r w:rsidR="00502BA5">
              <w:t>s</w:t>
            </w:r>
            <w:r w:rsidRPr="00AE492A">
              <w:t xml:space="preserve"> in larger RSEs than for the disaggregation of data to report students ‘at or above the national minimum standard’. The size of the RSEs affects the ability to identify small movements over time.</w:t>
            </w:r>
          </w:p>
          <w:p w:rsidR="00162BCC" w:rsidRDefault="00320BFC" w:rsidP="007848D0">
            <w:pPr>
              <w:pStyle w:val="BoxListBullet"/>
            </w:pPr>
            <w:r w:rsidRPr="00AE492A">
              <w:t xml:space="preserve">PISA data do not account for the differences in school starting ages across states and territories — </w:t>
            </w:r>
            <w:r w:rsidR="007848D0" w:rsidRPr="00AE492A">
              <w:t xml:space="preserve">for example, </w:t>
            </w:r>
            <w:r w:rsidRPr="00AE492A">
              <w:t xml:space="preserve">a 15 year old in one jurisdiction could be in year 9, while a 15 year old in another jurisdiction could be in year 11. </w:t>
            </w:r>
          </w:p>
        </w:tc>
      </w:tr>
      <w:tr w:rsidR="00162BCC" w:rsidTr="00EF255E">
        <w:trPr>
          <w:cantSplit/>
        </w:trPr>
        <w:tc>
          <w:tcPr>
            <w:tcW w:w="8771" w:type="dxa"/>
            <w:tcBorders>
              <w:top w:val="nil"/>
              <w:left w:val="single" w:sz="6" w:space="0" w:color="auto"/>
              <w:bottom w:val="single" w:sz="6" w:space="0" w:color="auto"/>
              <w:right w:val="single" w:sz="6" w:space="0" w:color="auto"/>
            </w:tcBorders>
          </w:tcPr>
          <w:p w:rsidR="00162BCC" w:rsidRDefault="00162BCC" w:rsidP="00EF255E">
            <w:pPr>
              <w:pStyle w:val="Box"/>
              <w:spacing w:before="0" w:line="120" w:lineRule="exact"/>
            </w:pPr>
          </w:p>
        </w:tc>
      </w:tr>
      <w:tr w:rsidR="00162BCC" w:rsidRPr="000863A5" w:rsidTr="00EF255E">
        <w:tc>
          <w:tcPr>
            <w:tcW w:w="8771" w:type="dxa"/>
            <w:tcBorders>
              <w:top w:val="nil"/>
              <w:left w:val="nil"/>
              <w:bottom w:val="nil"/>
              <w:right w:val="nil"/>
            </w:tcBorders>
          </w:tcPr>
          <w:p w:rsidR="00162BCC" w:rsidRPr="00626D32" w:rsidRDefault="00162BCC" w:rsidP="00EF255E">
            <w:pPr>
              <w:pStyle w:val="BoxSpaceBelow"/>
            </w:pPr>
          </w:p>
        </w:tc>
      </w:tr>
    </w:tbl>
    <w:p w:rsidR="00162BCC" w:rsidRPr="003575E1" w:rsidRDefault="00162BCC" w:rsidP="00162BCC"/>
    <w:p w:rsidR="00117C12" w:rsidRDefault="00117C12" w:rsidP="00BF467C">
      <w:pPr>
        <w:pStyle w:val="BodyText"/>
      </w:pPr>
      <w:r>
        <w:br w:type="page"/>
      </w:r>
    </w:p>
    <w:p w:rsidR="0035205B" w:rsidRDefault="0035205B" w:rsidP="0035205B">
      <w:pPr>
        <w:pStyle w:val="Heading3"/>
      </w:pPr>
      <w:bookmarkStart w:id="21" w:name="_Ref377566482"/>
      <w:r w:rsidRPr="00136727">
        <w:t xml:space="preserve">Performance </w:t>
      </w:r>
      <w:r>
        <w:t>indicator 4</w:t>
      </w:r>
      <w:r w:rsidRPr="00136727">
        <w:t xml:space="preserve">: </w:t>
      </w:r>
      <w:r w:rsidRPr="0035205B">
        <w:t>The proportion of young people who have attained at least a year 12 or equivalent or AQF Certificate Level II/III or above</w:t>
      </w:r>
      <w:bookmarkEnd w:id="21"/>
    </w:p>
    <w:p w:rsidR="0035205B" w:rsidRPr="003A784E" w:rsidRDefault="0035205B" w:rsidP="0035205B">
      <w:pPr>
        <w:pStyle w:val="Subtitle"/>
      </w:pPr>
    </w:p>
    <w:tbl>
      <w:tblPr>
        <w:tblW w:w="5000" w:type="pct"/>
        <w:tblCellMar>
          <w:left w:w="0" w:type="dxa"/>
          <w:right w:w="0" w:type="dxa"/>
        </w:tblCellMar>
        <w:tblLook w:val="0000" w:firstRow="0" w:lastRow="0" w:firstColumn="0" w:lastColumn="0" w:noHBand="0" w:noVBand="0"/>
      </w:tblPr>
      <w:tblGrid>
        <w:gridCol w:w="1985"/>
        <w:gridCol w:w="6804"/>
      </w:tblGrid>
      <w:tr w:rsidR="00BF467C" w:rsidTr="008539DA">
        <w:trPr>
          <w:trHeight w:val="823"/>
        </w:trPr>
        <w:tc>
          <w:tcPr>
            <w:tcW w:w="1129" w:type="pct"/>
            <w:shd w:val="clear" w:color="auto" w:fill="auto"/>
          </w:tcPr>
          <w:p w:rsidR="00BF467C" w:rsidRPr="00BF467C" w:rsidRDefault="00BF467C" w:rsidP="00BF467C">
            <w:pPr>
              <w:pStyle w:val="TableBodyText"/>
              <w:keepNext w:val="0"/>
              <w:keepLines w:val="0"/>
              <w:ind w:left="34"/>
              <w:jc w:val="left"/>
            </w:pPr>
            <w:r w:rsidRPr="00BF467C">
              <w:t>Key amendments from previous cycle of reporting:</w:t>
            </w:r>
          </w:p>
          <w:p w:rsidR="00BF467C" w:rsidRPr="00BF467C" w:rsidRDefault="00BF467C" w:rsidP="00BF467C">
            <w:pPr>
              <w:pStyle w:val="TableBodyText"/>
              <w:keepNext w:val="0"/>
              <w:keepLines w:val="0"/>
              <w:ind w:left="34"/>
              <w:jc w:val="left"/>
            </w:pPr>
          </w:p>
        </w:tc>
        <w:tc>
          <w:tcPr>
            <w:tcW w:w="3871" w:type="pct"/>
            <w:shd w:val="clear" w:color="auto" w:fill="auto"/>
          </w:tcPr>
          <w:p w:rsidR="00BF467C" w:rsidRDefault="00BF467C" w:rsidP="003F0181">
            <w:pPr>
              <w:pStyle w:val="TableBodyText"/>
              <w:keepLines w:val="0"/>
              <w:ind w:left="34"/>
              <w:jc w:val="left"/>
            </w:pPr>
            <w:r w:rsidRPr="00FC264B">
              <w:t xml:space="preserve">This </w:t>
            </w:r>
            <w:r>
              <w:t>indicator</w:t>
            </w:r>
            <w:r w:rsidRPr="00FC264B">
              <w:t xml:space="preserve"> i</w:t>
            </w:r>
            <w:r>
              <w:t>s unchanged from the previous NEA performance report</w:t>
            </w:r>
          </w:p>
          <w:p w:rsidR="00BF467C" w:rsidRPr="008E7459" w:rsidRDefault="00A91E17" w:rsidP="00CF4788">
            <w:pPr>
              <w:pStyle w:val="TableBodyText"/>
              <w:keepLines w:val="0"/>
              <w:ind w:left="34"/>
              <w:jc w:val="left"/>
            </w:pPr>
            <w:r>
              <w:t xml:space="preserve">Following advice from the ABS, 2006 Census data for measure 4(b), by SEIFA IRSD have been </w:t>
            </w:r>
            <w:r w:rsidR="00CF4788">
              <w:t>recalculated to ensure comparability with the 2006 Census data provided for 4(d) in the previous report.</w:t>
            </w:r>
            <w:r>
              <w:t xml:space="preserve"> </w:t>
            </w:r>
          </w:p>
        </w:tc>
      </w:tr>
      <w:tr w:rsidR="00BF467C" w:rsidTr="008539DA">
        <w:tc>
          <w:tcPr>
            <w:tcW w:w="1129" w:type="pct"/>
          </w:tcPr>
          <w:p w:rsidR="00BF467C" w:rsidRPr="00BF467C" w:rsidRDefault="00BF467C" w:rsidP="00BF467C">
            <w:pPr>
              <w:pStyle w:val="TableBodyText"/>
              <w:keepNext w:val="0"/>
              <w:keepLines w:val="0"/>
              <w:ind w:left="34"/>
              <w:jc w:val="left"/>
            </w:pPr>
            <w:r w:rsidRPr="00BF467C">
              <w:t>Outcomes:</w:t>
            </w:r>
          </w:p>
        </w:tc>
        <w:tc>
          <w:tcPr>
            <w:tcW w:w="3871" w:type="pct"/>
          </w:tcPr>
          <w:p w:rsidR="00BF467C" w:rsidRPr="008E7459" w:rsidRDefault="00BF467C" w:rsidP="003F0181">
            <w:pPr>
              <w:pStyle w:val="TableBodyText"/>
              <w:keepLines w:val="0"/>
              <w:jc w:val="left"/>
              <w:rPr>
                <w:rFonts w:cs="Arial"/>
              </w:rPr>
            </w:pPr>
            <w:r w:rsidRPr="008E7459">
              <w:rPr>
                <w:rFonts w:cs="Arial"/>
              </w:rPr>
              <w:t>Young people make a successful transition from school to work and further study</w:t>
            </w:r>
          </w:p>
          <w:p w:rsidR="00BF467C" w:rsidRPr="008E7459" w:rsidRDefault="00BF467C" w:rsidP="003F0181">
            <w:pPr>
              <w:pStyle w:val="TableBodyText"/>
              <w:keepLines w:val="0"/>
              <w:jc w:val="left"/>
              <w:rPr>
                <w:rFonts w:cs="Arial"/>
              </w:rPr>
            </w:pPr>
          </w:p>
          <w:p w:rsidR="00BF467C" w:rsidRDefault="00BF467C" w:rsidP="003F0181">
            <w:pPr>
              <w:pStyle w:val="TableBodyText"/>
              <w:keepLines w:val="0"/>
              <w:jc w:val="left"/>
              <w:rPr>
                <w:rFonts w:cs="Arial"/>
              </w:rPr>
            </w:pPr>
            <w:r w:rsidRPr="008E7459">
              <w:rPr>
                <w:rFonts w:cs="Arial"/>
              </w:rPr>
              <w:t>Schooling promotes the social inclusion and reduces the educational disadvantage of children, especially Indigenous children</w:t>
            </w:r>
          </w:p>
          <w:p w:rsidR="00BF467C" w:rsidRPr="008E7459" w:rsidRDefault="00BF467C" w:rsidP="003F0181">
            <w:pPr>
              <w:pStyle w:val="TableBodyText"/>
              <w:keepLines w:val="0"/>
              <w:jc w:val="left"/>
              <w:rPr>
                <w:rFonts w:cs="Arial"/>
              </w:rPr>
            </w:pPr>
          </w:p>
        </w:tc>
      </w:tr>
      <w:tr w:rsidR="00BF467C" w:rsidTr="008539DA">
        <w:tc>
          <w:tcPr>
            <w:tcW w:w="1129" w:type="pct"/>
          </w:tcPr>
          <w:p w:rsidR="00BF467C" w:rsidRPr="00BF467C" w:rsidRDefault="00BF467C" w:rsidP="00BF467C">
            <w:pPr>
              <w:pStyle w:val="TableBodyText"/>
              <w:keepNext w:val="0"/>
              <w:keepLines w:val="0"/>
              <w:ind w:left="34"/>
              <w:jc w:val="left"/>
            </w:pPr>
            <w:r w:rsidRPr="00BF467C">
              <w:t xml:space="preserve">Measures: </w:t>
            </w:r>
          </w:p>
        </w:tc>
        <w:tc>
          <w:tcPr>
            <w:tcW w:w="3871" w:type="pct"/>
          </w:tcPr>
          <w:p w:rsidR="00BF467C" w:rsidRPr="008E7459" w:rsidRDefault="00BF467C" w:rsidP="003F0181">
            <w:pPr>
              <w:pStyle w:val="TableBodyText"/>
              <w:keepLines w:val="0"/>
              <w:jc w:val="left"/>
              <w:rPr>
                <w:rFonts w:cs="Arial"/>
              </w:rPr>
            </w:pPr>
            <w:r w:rsidRPr="008E7459">
              <w:rPr>
                <w:rFonts w:cs="Arial"/>
              </w:rPr>
              <w:t>There are four measures for this indicator:</w:t>
            </w:r>
          </w:p>
          <w:p w:rsidR="00BF467C" w:rsidRPr="008E7459" w:rsidRDefault="00BF467C" w:rsidP="003F0181">
            <w:pPr>
              <w:pStyle w:val="TableBodyText"/>
              <w:keepLines w:val="0"/>
              <w:jc w:val="left"/>
              <w:rPr>
                <w:rFonts w:cs="Arial"/>
              </w:rPr>
            </w:pPr>
          </w:p>
          <w:p w:rsidR="00BF467C" w:rsidRPr="008E7459" w:rsidRDefault="00BF467C" w:rsidP="003F0181">
            <w:pPr>
              <w:pStyle w:val="TableBodyText"/>
              <w:keepLines w:val="0"/>
              <w:jc w:val="left"/>
              <w:rPr>
                <w:rFonts w:cs="Arial"/>
              </w:rPr>
            </w:pPr>
            <w:r w:rsidRPr="008E7459">
              <w:rPr>
                <w:rFonts w:cs="Arial"/>
              </w:rPr>
              <w:t xml:space="preserve">Measure 4(a): The proportion of the population of young people aged </w:t>
            </w:r>
            <w:r w:rsidR="00F40769">
              <w:rPr>
                <w:rFonts w:cs="Arial"/>
              </w:rPr>
              <w:br/>
            </w:r>
            <w:r w:rsidRPr="008E7459">
              <w:rPr>
                <w:rFonts w:cs="Arial"/>
              </w:rPr>
              <w:t>20–24 years who have completed Year 12 or equivalent or gained a qualification at AQF Certificate II or above</w:t>
            </w:r>
          </w:p>
          <w:p w:rsidR="00BF467C" w:rsidRPr="008E7459" w:rsidRDefault="00BF467C" w:rsidP="003F0181">
            <w:pPr>
              <w:pStyle w:val="TableBodyText"/>
              <w:keepLines w:val="0"/>
              <w:jc w:val="left"/>
              <w:rPr>
                <w:rFonts w:cs="Arial"/>
              </w:rPr>
            </w:pPr>
          </w:p>
          <w:p w:rsidR="00BF467C" w:rsidRPr="008E7459" w:rsidRDefault="00BF467C" w:rsidP="003F0181">
            <w:pPr>
              <w:pStyle w:val="TableBodyText"/>
              <w:keepLines w:val="0"/>
              <w:jc w:val="left"/>
              <w:rPr>
                <w:rFonts w:cs="Arial"/>
              </w:rPr>
            </w:pPr>
            <w:r w:rsidRPr="008E7459">
              <w:rPr>
                <w:rFonts w:cs="Arial"/>
              </w:rPr>
              <w:t>Measure 4(b): The proportion of the populations of Indigenous and low SES young people aged 20–24 years who have completed Year 12 or equivalent or gained a qualification at AQF Certificate II or above</w:t>
            </w:r>
          </w:p>
          <w:p w:rsidR="00BF467C" w:rsidRPr="008E7459" w:rsidRDefault="00BF467C" w:rsidP="003F0181">
            <w:pPr>
              <w:pStyle w:val="TableBodyText"/>
              <w:keepLines w:val="0"/>
              <w:jc w:val="left"/>
              <w:rPr>
                <w:rFonts w:cs="Arial"/>
              </w:rPr>
            </w:pPr>
          </w:p>
          <w:p w:rsidR="00BF467C" w:rsidRPr="008E7459" w:rsidRDefault="00BF467C" w:rsidP="003F0181">
            <w:pPr>
              <w:pStyle w:val="TableBodyText"/>
              <w:keepLines w:val="0"/>
              <w:jc w:val="left"/>
              <w:rPr>
                <w:rFonts w:cs="Arial"/>
              </w:rPr>
            </w:pPr>
            <w:r w:rsidRPr="008E7459">
              <w:rPr>
                <w:rFonts w:cs="Arial"/>
              </w:rPr>
              <w:t xml:space="preserve">Measure 4(c): The proportion of the population of young people aged </w:t>
            </w:r>
            <w:r w:rsidR="00F40769">
              <w:rPr>
                <w:rFonts w:cs="Arial"/>
              </w:rPr>
              <w:br/>
            </w:r>
            <w:r w:rsidRPr="008E7459">
              <w:rPr>
                <w:rFonts w:cs="Arial"/>
              </w:rPr>
              <w:t>20–24 years who have completed Year 12 or equivalent or gained a qualification at AQF Certificate III or above</w:t>
            </w:r>
          </w:p>
          <w:p w:rsidR="00BF467C" w:rsidRPr="008E7459" w:rsidRDefault="00BF467C" w:rsidP="003F0181">
            <w:pPr>
              <w:pStyle w:val="TableBodyText"/>
              <w:keepLines w:val="0"/>
              <w:jc w:val="left"/>
              <w:rPr>
                <w:rFonts w:cs="Arial"/>
              </w:rPr>
            </w:pPr>
          </w:p>
          <w:p w:rsidR="00BF467C" w:rsidRPr="008E7459" w:rsidRDefault="00BF467C" w:rsidP="003F0181">
            <w:pPr>
              <w:pStyle w:val="TableBodyText"/>
              <w:keepLines w:val="0"/>
              <w:jc w:val="left"/>
              <w:rPr>
                <w:rFonts w:cs="Arial"/>
              </w:rPr>
            </w:pPr>
            <w:r w:rsidRPr="008E7459">
              <w:rPr>
                <w:rFonts w:cs="Arial"/>
              </w:rPr>
              <w:t>Measure 4(d): The proportion of the populations of Indigenous and low SES young people aged 20–24 years who have completed Year 12 or equivalent or gained a qualification at AQF Certificate III or above</w:t>
            </w:r>
          </w:p>
          <w:p w:rsidR="00BF467C" w:rsidRPr="008E7459" w:rsidRDefault="00BF467C" w:rsidP="003F0181">
            <w:pPr>
              <w:pStyle w:val="TableBodyText"/>
              <w:keepLines w:val="0"/>
              <w:jc w:val="left"/>
              <w:rPr>
                <w:rFonts w:cs="Arial"/>
              </w:rPr>
            </w:pPr>
          </w:p>
          <w:p w:rsidR="00BF467C" w:rsidRPr="008E7459" w:rsidRDefault="00BF467C" w:rsidP="003F0181">
            <w:pPr>
              <w:pStyle w:val="TableBodyText"/>
              <w:keepLines w:val="0"/>
              <w:jc w:val="left"/>
              <w:rPr>
                <w:rFonts w:cs="Arial"/>
              </w:rPr>
            </w:pPr>
            <w:r w:rsidRPr="008E7459">
              <w:rPr>
                <w:rFonts w:cs="Arial"/>
              </w:rPr>
              <w:t>Census and SEW data: Persons whose highest level of attainment is determined to be certificate level but is not able to be further defined (ie, Certificate nfd) are assumed to have attained below Certificate level II and are therefore not included in the numerator</w:t>
            </w:r>
          </w:p>
          <w:p w:rsidR="00292218" w:rsidRPr="008E7459" w:rsidRDefault="00292218" w:rsidP="00292218">
            <w:pPr>
              <w:pStyle w:val="TableBodyText"/>
              <w:keepLines w:val="0"/>
              <w:jc w:val="left"/>
              <w:rPr>
                <w:rFonts w:cs="Arial"/>
              </w:rPr>
            </w:pPr>
          </w:p>
          <w:p w:rsidR="00292218" w:rsidRPr="008E7459" w:rsidRDefault="00292218" w:rsidP="00292218">
            <w:pPr>
              <w:pStyle w:val="TableBodyText"/>
              <w:keepLines w:val="0"/>
              <w:jc w:val="left"/>
              <w:rPr>
                <w:rFonts w:cs="Arial"/>
              </w:rPr>
            </w:pPr>
            <w:r w:rsidRPr="008E7459">
              <w:rPr>
                <w:rFonts w:cs="Arial"/>
              </w:rPr>
              <w:t>Census data: people whose educational attainment is not stated or inadequately described are excluded</w:t>
            </w:r>
          </w:p>
          <w:p w:rsidR="00BF467C" w:rsidRPr="008E7459" w:rsidRDefault="00BF467C" w:rsidP="003F0181">
            <w:pPr>
              <w:pStyle w:val="TableBodyText"/>
              <w:keepLines w:val="0"/>
              <w:jc w:val="left"/>
              <w:rPr>
                <w:rFonts w:cs="Arial"/>
              </w:rPr>
            </w:pPr>
          </w:p>
          <w:p w:rsidR="00BF467C" w:rsidRDefault="00BF467C" w:rsidP="003F0181">
            <w:pPr>
              <w:pStyle w:val="TableBodyText"/>
              <w:keepLines w:val="0"/>
              <w:jc w:val="left"/>
              <w:rPr>
                <w:rFonts w:cs="Arial"/>
              </w:rPr>
            </w:pPr>
            <w:r w:rsidRPr="008E7459">
              <w:rPr>
                <w:rFonts w:cs="Arial"/>
              </w:rPr>
              <w:t>SEW data: people whose highest level of attainment cannot be determined are assumed to have attained below Certificate II and are therefore not included in the numerator</w:t>
            </w:r>
          </w:p>
          <w:p w:rsidR="00292218" w:rsidRDefault="00292218" w:rsidP="003F0181">
            <w:pPr>
              <w:pStyle w:val="TableBodyText"/>
              <w:keepLines w:val="0"/>
              <w:jc w:val="left"/>
              <w:rPr>
                <w:rFonts w:cs="Arial"/>
              </w:rPr>
            </w:pPr>
          </w:p>
          <w:p w:rsidR="00292218" w:rsidRPr="008E7459" w:rsidRDefault="00292218" w:rsidP="003F0181">
            <w:pPr>
              <w:pStyle w:val="TableBodyText"/>
              <w:keepLines w:val="0"/>
              <w:jc w:val="left"/>
              <w:rPr>
                <w:rFonts w:cs="Arial"/>
              </w:rPr>
            </w:pPr>
            <w:r w:rsidRPr="00292218">
              <w:rPr>
                <w:rFonts w:cs="Arial"/>
              </w:rPr>
              <w:t>SEW data: Prior to the 2013 SEW, people who were permanently unable to work (PUW) were excluded from the in</w:t>
            </w:r>
            <w:r w:rsidR="00556489">
              <w:rPr>
                <w:rFonts w:cs="Arial"/>
              </w:rPr>
              <w:noBreakHyphen/>
            </w:r>
            <w:r w:rsidRPr="00292218">
              <w:rPr>
                <w:rFonts w:cs="Arial"/>
              </w:rPr>
              <w:t>scope population. In 2013, the SEW scope was expanded to include the PUW population. However, to ensure that the indicator measure presented here is comparable over time, the PUW population has been excluded from these tables.</w:t>
            </w:r>
          </w:p>
          <w:p w:rsidR="00BF467C" w:rsidRPr="008E7459" w:rsidRDefault="00BF467C" w:rsidP="00974668">
            <w:pPr>
              <w:pStyle w:val="TableBodyText"/>
              <w:keepLines w:val="0"/>
              <w:jc w:val="left"/>
              <w:rPr>
                <w:rFonts w:cs="Arial"/>
              </w:rPr>
            </w:pPr>
          </w:p>
        </w:tc>
      </w:tr>
      <w:tr w:rsidR="00BF467C" w:rsidTr="008539DA">
        <w:tc>
          <w:tcPr>
            <w:tcW w:w="1129" w:type="pct"/>
          </w:tcPr>
          <w:p w:rsidR="00BF467C" w:rsidRPr="00BF467C" w:rsidRDefault="00BF467C" w:rsidP="00BF467C">
            <w:pPr>
              <w:pStyle w:val="TableBodyText"/>
              <w:keepNext w:val="0"/>
              <w:keepLines w:val="0"/>
              <w:ind w:left="34"/>
              <w:jc w:val="left"/>
            </w:pPr>
            <w:r w:rsidRPr="00BF467C">
              <w:t>Measure 4(a):</w:t>
            </w:r>
          </w:p>
        </w:tc>
        <w:tc>
          <w:tcPr>
            <w:tcW w:w="3871" w:type="pct"/>
          </w:tcPr>
          <w:p w:rsidR="00BF467C" w:rsidRPr="008E7459" w:rsidRDefault="00BF467C" w:rsidP="003F0181">
            <w:pPr>
              <w:pStyle w:val="TableBodyText"/>
              <w:keepLines w:val="0"/>
              <w:jc w:val="left"/>
              <w:rPr>
                <w:rFonts w:cs="Arial"/>
              </w:rPr>
            </w:pPr>
            <w:r w:rsidRPr="008E7459">
              <w:rPr>
                <w:rFonts w:cs="Arial"/>
              </w:rPr>
              <w:t>The proportion of the population of young people aged 20–24 years who have completed year 12 or equivalent or gained a qualification at AQF Certificate Level II or above</w:t>
            </w:r>
          </w:p>
          <w:p w:rsidR="00BF467C" w:rsidRPr="008E7459" w:rsidRDefault="00BF467C" w:rsidP="003F0181">
            <w:pPr>
              <w:pStyle w:val="TableBodyText"/>
              <w:keepLines w:val="0"/>
              <w:jc w:val="left"/>
              <w:rPr>
                <w:rFonts w:cs="Arial"/>
              </w:rPr>
            </w:pPr>
          </w:p>
          <w:p w:rsidR="00BF467C" w:rsidRPr="008E7459" w:rsidRDefault="00BF467C" w:rsidP="003F0181">
            <w:pPr>
              <w:pStyle w:val="TableBodyText"/>
              <w:keepLines w:val="0"/>
              <w:jc w:val="left"/>
              <w:rPr>
                <w:rFonts w:cs="Arial"/>
              </w:rPr>
            </w:pPr>
            <w:r w:rsidRPr="008E7459">
              <w:rPr>
                <w:rFonts w:cs="Arial"/>
              </w:rPr>
              <w:t>The measure is defined as:</w:t>
            </w:r>
          </w:p>
          <w:p w:rsidR="00BF467C" w:rsidRPr="008E7459" w:rsidRDefault="00BF467C" w:rsidP="00805402">
            <w:pPr>
              <w:pStyle w:val="TableBullet"/>
              <w:rPr>
                <w:i/>
              </w:rPr>
            </w:pPr>
            <w:r w:rsidRPr="008E7459">
              <w:rPr>
                <w:i/>
              </w:rPr>
              <w:t xml:space="preserve">numerator — </w:t>
            </w:r>
            <w:r w:rsidRPr="008E7459">
              <w:t>number of 20–24 year olds who self</w:t>
            </w:r>
            <w:r w:rsidRPr="008E7459">
              <w:noBreakHyphen/>
              <w:t>identify as having attained a year 12 or AQF Certificate Level II or above (includes Certificate I/II nfd, excludes Certificate nfd)</w:t>
            </w:r>
          </w:p>
          <w:p w:rsidR="00BF467C" w:rsidRPr="008E7459" w:rsidRDefault="00BF467C" w:rsidP="00805402">
            <w:pPr>
              <w:pStyle w:val="TableBullet"/>
              <w:rPr>
                <w:i/>
              </w:rPr>
            </w:pPr>
            <w:r w:rsidRPr="008E7459">
              <w:rPr>
                <w:i/>
              </w:rPr>
              <w:t xml:space="preserve">denominator — </w:t>
            </w:r>
            <w:r w:rsidRPr="008E7459">
              <w:t>number of 20–24 year olds in the population</w:t>
            </w:r>
          </w:p>
          <w:p w:rsidR="00BF467C" w:rsidRPr="008E7459" w:rsidRDefault="00BF467C" w:rsidP="003F0181">
            <w:pPr>
              <w:pStyle w:val="TableBodyText"/>
              <w:keepLines w:val="0"/>
              <w:jc w:val="left"/>
              <w:rPr>
                <w:rFonts w:cs="Arial"/>
                <w:i/>
                <w:iCs/>
              </w:rPr>
            </w:pPr>
            <w:r w:rsidRPr="008E7459">
              <w:rPr>
                <w:rFonts w:cs="Arial"/>
              </w:rPr>
              <w:t xml:space="preserve">and is expressed as a </w:t>
            </w:r>
            <w:r w:rsidRPr="008E7459">
              <w:rPr>
                <w:rFonts w:cs="Arial"/>
                <w:i/>
                <w:iCs/>
              </w:rPr>
              <w:t>percentage</w:t>
            </w:r>
          </w:p>
          <w:p w:rsidR="00BF467C" w:rsidRPr="008E7459" w:rsidRDefault="00BF467C" w:rsidP="003F0181">
            <w:pPr>
              <w:pStyle w:val="TableBodyText"/>
              <w:keepLines w:val="0"/>
              <w:jc w:val="left"/>
              <w:rPr>
                <w:rFonts w:cs="Arial"/>
              </w:rPr>
            </w:pPr>
          </w:p>
        </w:tc>
      </w:tr>
      <w:tr w:rsidR="00BF467C" w:rsidTr="008539DA">
        <w:tc>
          <w:tcPr>
            <w:tcW w:w="1129" w:type="pct"/>
          </w:tcPr>
          <w:p w:rsidR="00BF467C" w:rsidRPr="00BF467C" w:rsidRDefault="00BF467C" w:rsidP="00BF467C">
            <w:pPr>
              <w:pStyle w:val="TableBodyText"/>
              <w:keepNext w:val="0"/>
              <w:keepLines w:val="0"/>
              <w:ind w:left="34"/>
              <w:jc w:val="left"/>
            </w:pPr>
            <w:r w:rsidRPr="00BF467C">
              <w:t>Measure 4(b):</w:t>
            </w:r>
          </w:p>
        </w:tc>
        <w:tc>
          <w:tcPr>
            <w:tcW w:w="3871" w:type="pct"/>
          </w:tcPr>
          <w:p w:rsidR="00BF467C" w:rsidRPr="008E7459" w:rsidRDefault="00BF467C" w:rsidP="003F0181">
            <w:pPr>
              <w:pStyle w:val="TableBodyText"/>
              <w:jc w:val="left"/>
              <w:rPr>
                <w:rFonts w:cs="Arial"/>
              </w:rPr>
            </w:pPr>
            <w:r w:rsidRPr="008E7459">
              <w:rPr>
                <w:rFonts w:cs="Arial"/>
              </w:rPr>
              <w:t>The proportion of the populations of Indigenous and low SES young people aged 20–24 years who have completed Year 12 or equivalent or gained a qualification at AQF Certificate II or above</w:t>
            </w:r>
          </w:p>
          <w:p w:rsidR="00BF467C" w:rsidRPr="008E7459" w:rsidRDefault="00BF467C" w:rsidP="003F0181">
            <w:pPr>
              <w:pStyle w:val="TableBodyText"/>
              <w:jc w:val="left"/>
              <w:rPr>
                <w:rFonts w:cs="Arial"/>
              </w:rPr>
            </w:pPr>
          </w:p>
          <w:p w:rsidR="00BF467C" w:rsidRPr="008E7459" w:rsidRDefault="00BF467C" w:rsidP="003F0181">
            <w:pPr>
              <w:pStyle w:val="TableBodyText"/>
              <w:jc w:val="left"/>
              <w:rPr>
                <w:rFonts w:cs="Arial"/>
              </w:rPr>
            </w:pPr>
            <w:r w:rsidRPr="008E7459">
              <w:rPr>
                <w:rFonts w:cs="Arial"/>
              </w:rPr>
              <w:t>The measure is defined as:</w:t>
            </w:r>
          </w:p>
          <w:p w:rsidR="00BF467C" w:rsidRPr="008E7459" w:rsidRDefault="00BF467C" w:rsidP="00805402">
            <w:pPr>
              <w:pStyle w:val="TableBullet"/>
              <w:rPr>
                <w:i/>
              </w:rPr>
            </w:pPr>
            <w:r w:rsidRPr="008E7459">
              <w:rPr>
                <w:i/>
              </w:rPr>
              <w:t xml:space="preserve">numerator — </w:t>
            </w:r>
            <w:r w:rsidRPr="008E7459">
              <w:t>number of 20–24 year olds who self</w:t>
            </w:r>
            <w:r w:rsidRPr="008E7459">
              <w:noBreakHyphen/>
              <w:t>identify as having attained a year 12 or AQF Certificate Level II or above (includes Certificate I/II nfd, excludes Certificate nfd), by Indigenous status and SES</w:t>
            </w:r>
          </w:p>
          <w:p w:rsidR="00BF467C" w:rsidRPr="008E7459" w:rsidRDefault="00BF467C" w:rsidP="00805402">
            <w:pPr>
              <w:pStyle w:val="TableBullet"/>
              <w:rPr>
                <w:i/>
              </w:rPr>
            </w:pPr>
            <w:r w:rsidRPr="008E7459">
              <w:rPr>
                <w:i/>
              </w:rPr>
              <w:t xml:space="preserve">denominator — </w:t>
            </w:r>
            <w:r w:rsidRPr="008E7459">
              <w:t>number of 20–24 year olds in the population, by Indigenous status and SES</w:t>
            </w:r>
          </w:p>
          <w:p w:rsidR="00BF467C" w:rsidRPr="008E7459" w:rsidRDefault="00BF467C" w:rsidP="003F0181">
            <w:pPr>
              <w:pStyle w:val="TableBodyText"/>
              <w:jc w:val="left"/>
              <w:rPr>
                <w:rFonts w:cs="Arial"/>
                <w:i/>
                <w:iCs/>
              </w:rPr>
            </w:pPr>
            <w:r w:rsidRPr="008E7459">
              <w:rPr>
                <w:rFonts w:cs="Arial"/>
              </w:rPr>
              <w:t xml:space="preserve">and is expressed as a </w:t>
            </w:r>
            <w:r w:rsidRPr="008E7459">
              <w:rPr>
                <w:rFonts w:cs="Arial"/>
                <w:i/>
                <w:iCs/>
              </w:rPr>
              <w:t>percentage</w:t>
            </w:r>
          </w:p>
          <w:p w:rsidR="00BF467C" w:rsidRPr="008E7459" w:rsidRDefault="00BF467C" w:rsidP="003F0181">
            <w:pPr>
              <w:pStyle w:val="TableBodyText"/>
              <w:jc w:val="left"/>
              <w:rPr>
                <w:rFonts w:cs="Arial"/>
              </w:rPr>
            </w:pPr>
          </w:p>
        </w:tc>
      </w:tr>
      <w:tr w:rsidR="00BF467C" w:rsidTr="008539DA">
        <w:tc>
          <w:tcPr>
            <w:tcW w:w="1129" w:type="pct"/>
          </w:tcPr>
          <w:p w:rsidR="00BF467C" w:rsidRPr="00BF467C" w:rsidRDefault="00BF467C" w:rsidP="00BF467C">
            <w:pPr>
              <w:pStyle w:val="TableBodyText"/>
              <w:keepNext w:val="0"/>
              <w:keepLines w:val="0"/>
              <w:ind w:left="34"/>
              <w:jc w:val="left"/>
            </w:pPr>
            <w:r w:rsidRPr="00BF467C">
              <w:t>Measure 4(c):</w:t>
            </w:r>
          </w:p>
        </w:tc>
        <w:tc>
          <w:tcPr>
            <w:tcW w:w="3871" w:type="pct"/>
          </w:tcPr>
          <w:p w:rsidR="00BF467C" w:rsidRPr="008E7459" w:rsidRDefault="00BF467C" w:rsidP="003F0181">
            <w:pPr>
              <w:pStyle w:val="TableBodyText"/>
              <w:jc w:val="left"/>
              <w:rPr>
                <w:rFonts w:cs="Arial"/>
              </w:rPr>
            </w:pPr>
            <w:r w:rsidRPr="008E7459">
              <w:rPr>
                <w:rFonts w:cs="Arial"/>
              </w:rPr>
              <w:t>The proportion of the population of young people aged 20</w:t>
            </w:r>
            <w:r w:rsidR="00F40769">
              <w:rPr>
                <w:rFonts w:cs="Arial"/>
              </w:rPr>
              <w:t>–</w:t>
            </w:r>
            <w:r w:rsidRPr="008E7459">
              <w:rPr>
                <w:rFonts w:cs="Arial"/>
              </w:rPr>
              <w:t xml:space="preserve">24 years who have completed Year 12 or equivalent or gained a qualification at AQF Certificate III or above </w:t>
            </w:r>
          </w:p>
          <w:p w:rsidR="00BF467C" w:rsidRPr="008E7459" w:rsidRDefault="00BF467C" w:rsidP="003F0181">
            <w:pPr>
              <w:pStyle w:val="TableBodyText"/>
              <w:jc w:val="left"/>
              <w:rPr>
                <w:rFonts w:cs="Arial"/>
              </w:rPr>
            </w:pPr>
          </w:p>
          <w:p w:rsidR="00BF467C" w:rsidRPr="008E7459" w:rsidRDefault="00BF467C" w:rsidP="003F0181">
            <w:pPr>
              <w:pStyle w:val="TableBodyText"/>
              <w:jc w:val="left"/>
              <w:rPr>
                <w:rFonts w:cs="Arial"/>
              </w:rPr>
            </w:pPr>
            <w:r w:rsidRPr="008E7459">
              <w:rPr>
                <w:rFonts w:cs="Arial"/>
              </w:rPr>
              <w:t>The measure is defined as:</w:t>
            </w:r>
          </w:p>
          <w:p w:rsidR="00BF467C" w:rsidRPr="008E7459" w:rsidRDefault="00BF467C" w:rsidP="008576E5">
            <w:pPr>
              <w:pStyle w:val="TableBullet"/>
              <w:rPr>
                <w:i/>
              </w:rPr>
            </w:pPr>
            <w:r w:rsidRPr="008E7459">
              <w:rPr>
                <w:i/>
              </w:rPr>
              <w:t xml:space="preserve">numerator — </w:t>
            </w:r>
            <w:r w:rsidRPr="008E7459">
              <w:t>number of 20–24 year olds who self</w:t>
            </w:r>
            <w:r w:rsidRPr="008E7459">
              <w:noBreakHyphen/>
              <w:t>identify as having attained a year 12 or AQF Certificate Level III or above (excludes Certificate nfd)</w:t>
            </w:r>
          </w:p>
          <w:p w:rsidR="00BF467C" w:rsidRPr="008E7459" w:rsidRDefault="00BF467C" w:rsidP="008576E5">
            <w:pPr>
              <w:pStyle w:val="TableBullet"/>
              <w:rPr>
                <w:i/>
              </w:rPr>
            </w:pPr>
            <w:r w:rsidRPr="008E7459">
              <w:rPr>
                <w:i/>
              </w:rPr>
              <w:t xml:space="preserve">denominator — </w:t>
            </w:r>
            <w:r w:rsidRPr="008E7459">
              <w:t>number of 20–24 year olds in the population</w:t>
            </w:r>
          </w:p>
          <w:p w:rsidR="00BF467C" w:rsidRPr="008E7459" w:rsidRDefault="00BF467C" w:rsidP="003F0181">
            <w:pPr>
              <w:pStyle w:val="TableBodyText"/>
              <w:jc w:val="left"/>
              <w:rPr>
                <w:rFonts w:cs="Arial"/>
                <w:i/>
                <w:iCs/>
              </w:rPr>
            </w:pPr>
            <w:r w:rsidRPr="008E7459">
              <w:rPr>
                <w:rFonts w:cs="Arial"/>
              </w:rPr>
              <w:t xml:space="preserve">and is expressed as a </w:t>
            </w:r>
            <w:r w:rsidRPr="008E7459">
              <w:rPr>
                <w:rFonts w:cs="Arial"/>
                <w:i/>
                <w:iCs/>
              </w:rPr>
              <w:t>percentage</w:t>
            </w:r>
          </w:p>
          <w:p w:rsidR="00BF467C" w:rsidRPr="008E7459" w:rsidRDefault="00BF467C" w:rsidP="003F0181">
            <w:pPr>
              <w:pStyle w:val="TableBodyText"/>
              <w:jc w:val="left"/>
              <w:rPr>
                <w:rFonts w:cs="Arial"/>
              </w:rPr>
            </w:pPr>
          </w:p>
        </w:tc>
      </w:tr>
      <w:tr w:rsidR="00BF467C" w:rsidTr="008539DA">
        <w:tc>
          <w:tcPr>
            <w:tcW w:w="1129" w:type="pct"/>
          </w:tcPr>
          <w:p w:rsidR="00BF467C" w:rsidRPr="00BF467C" w:rsidRDefault="00BF467C" w:rsidP="00BF467C">
            <w:pPr>
              <w:pStyle w:val="TableBodyText"/>
              <w:keepNext w:val="0"/>
              <w:keepLines w:val="0"/>
              <w:ind w:left="34"/>
              <w:jc w:val="left"/>
            </w:pPr>
            <w:r w:rsidRPr="00BF467C">
              <w:t>Measure 4(d):</w:t>
            </w:r>
          </w:p>
        </w:tc>
        <w:tc>
          <w:tcPr>
            <w:tcW w:w="3871" w:type="pct"/>
          </w:tcPr>
          <w:p w:rsidR="00BF467C" w:rsidRPr="008E7459" w:rsidRDefault="00BF467C" w:rsidP="003F0181">
            <w:pPr>
              <w:pStyle w:val="TableBodyText"/>
              <w:jc w:val="left"/>
              <w:rPr>
                <w:rFonts w:cs="Arial"/>
              </w:rPr>
            </w:pPr>
            <w:r w:rsidRPr="008E7459">
              <w:rPr>
                <w:rFonts w:cs="Arial"/>
              </w:rPr>
              <w:t>The proportion of the populations of Indigenous and low SES young people aged 20–24 years who have completed Year 12 or equivalent or gained a qualification at AQF Certificate III or above</w:t>
            </w:r>
          </w:p>
          <w:p w:rsidR="00BF467C" w:rsidRPr="008E7459" w:rsidRDefault="00BF467C" w:rsidP="003F0181">
            <w:pPr>
              <w:pStyle w:val="TableBodyText"/>
              <w:jc w:val="left"/>
              <w:rPr>
                <w:rFonts w:cs="Arial"/>
              </w:rPr>
            </w:pPr>
          </w:p>
          <w:p w:rsidR="00BF467C" w:rsidRPr="008E7459" w:rsidRDefault="00BF467C" w:rsidP="003F0181">
            <w:pPr>
              <w:pStyle w:val="TableBodyText"/>
              <w:jc w:val="left"/>
              <w:rPr>
                <w:rFonts w:cs="Arial"/>
              </w:rPr>
            </w:pPr>
            <w:r w:rsidRPr="008E7459">
              <w:rPr>
                <w:rFonts w:cs="Arial"/>
              </w:rPr>
              <w:t>The measure is defined as:</w:t>
            </w:r>
          </w:p>
          <w:p w:rsidR="00BF467C" w:rsidRPr="008E7459" w:rsidRDefault="00BF467C" w:rsidP="008576E5">
            <w:pPr>
              <w:pStyle w:val="TableBullet"/>
              <w:rPr>
                <w:i/>
              </w:rPr>
            </w:pPr>
            <w:r w:rsidRPr="008E7459">
              <w:rPr>
                <w:i/>
              </w:rPr>
              <w:t xml:space="preserve">numerator — </w:t>
            </w:r>
            <w:r w:rsidRPr="008E7459">
              <w:t>number of 20–24 year olds who self</w:t>
            </w:r>
            <w:r w:rsidRPr="008E7459">
              <w:noBreakHyphen/>
              <w:t>identify as having attained a year 12 or AQF Certificate Level III or above (excludes certificate nfd), by Indigenous status and SES</w:t>
            </w:r>
          </w:p>
          <w:p w:rsidR="00BF467C" w:rsidRPr="008E7459" w:rsidRDefault="00BF467C" w:rsidP="008576E5">
            <w:pPr>
              <w:pStyle w:val="TableBullet"/>
              <w:rPr>
                <w:i/>
              </w:rPr>
            </w:pPr>
            <w:r w:rsidRPr="008E7459">
              <w:rPr>
                <w:i/>
              </w:rPr>
              <w:t xml:space="preserve">denominator — </w:t>
            </w:r>
            <w:r w:rsidRPr="008E7459">
              <w:t>number of 20–24 year olds in the population, by Indigenous status and SES</w:t>
            </w:r>
          </w:p>
          <w:p w:rsidR="00BF467C" w:rsidRPr="008E7459" w:rsidRDefault="00BF467C" w:rsidP="003F0181">
            <w:pPr>
              <w:pStyle w:val="TableBodyText"/>
              <w:jc w:val="left"/>
              <w:rPr>
                <w:rFonts w:cs="Arial"/>
                <w:i/>
                <w:iCs/>
              </w:rPr>
            </w:pPr>
            <w:r w:rsidRPr="008E7459">
              <w:rPr>
                <w:rFonts w:cs="Arial"/>
              </w:rPr>
              <w:t xml:space="preserve">and is expressed as a </w:t>
            </w:r>
            <w:r w:rsidRPr="008E7459">
              <w:rPr>
                <w:rFonts w:cs="Arial"/>
                <w:i/>
                <w:iCs/>
              </w:rPr>
              <w:t>percentage</w:t>
            </w:r>
          </w:p>
          <w:p w:rsidR="00BF467C" w:rsidRPr="008E7459" w:rsidRDefault="00BF467C" w:rsidP="003F0181">
            <w:pPr>
              <w:pStyle w:val="TableBodyText"/>
              <w:jc w:val="left"/>
              <w:rPr>
                <w:rFonts w:cs="Arial"/>
              </w:rPr>
            </w:pPr>
          </w:p>
        </w:tc>
      </w:tr>
      <w:tr w:rsidR="00BF467C" w:rsidTr="008539DA">
        <w:tc>
          <w:tcPr>
            <w:tcW w:w="1129" w:type="pct"/>
          </w:tcPr>
          <w:p w:rsidR="00BF467C" w:rsidRPr="00BF467C" w:rsidRDefault="00BF467C" w:rsidP="00BF467C">
            <w:pPr>
              <w:pStyle w:val="TableBodyText"/>
              <w:keepNext w:val="0"/>
              <w:keepLines w:val="0"/>
              <w:ind w:left="34"/>
              <w:jc w:val="left"/>
            </w:pPr>
            <w:r w:rsidRPr="00BF467C">
              <w:t>Data source:</w:t>
            </w:r>
          </w:p>
        </w:tc>
        <w:tc>
          <w:tcPr>
            <w:tcW w:w="3871" w:type="pct"/>
          </w:tcPr>
          <w:p w:rsidR="00BF467C" w:rsidRPr="008E7459" w:rsidRDefault="00BF467C" w:rsidP="003F0181">
            <w:pPr>
              <w:autoSpaceDE w:val="0"/>
              <w:autoSpaceDN w:val="0"/>
              <w:adjustRightInd w:val="0"/>
              <w:rPr>
                <w:rFonts w:ascii="Arial" w:hAnsi="Arial" w:cs="Arial"/>
                <w:sz w:val="20"/>
                <w:szCs w:val="20"/>
              </w:rPr>
            </w:pPr>
            <w:r w:rsidRPr="008E7459">
              <w:rPr>
                <w:rStyle w:val="TableBodyTextChar"/>
                <w:rFonts w:cs="Arial"/>
                <w:i/>
                <w:sz w:val="20"/>
              </w:rPr>
              <w:t xml:space="preserve">(Main) </w:t>
            </w:r>
            <w:r w:rsidRPr="008E7459">
              <w:rPr>
                <w:rFonts w:ascii="Arial" w:hAnsi="Arial" w:cs="Arial"/>
                <w:sz w:val="20"/>
                <w:szCs w:val="20"/>
                <w:u w:val="single"/>
              </w:rPr>
              <w:t xml:space="preserve">Census of Population and Housing </w:t>
            </w:r>
            <w:r w:rsidRPr="008E7459">
              <w:rPr>
                <w:rFonts w:ascii="Arial" w:hAnsi="Arial" w:cs="Arial"/>
                <w:sz w:val="20"/>
                <w:szCs w:val="20"/>
              </w:rPr>
              <w:t>(Census). Data are available every 5 years</w:t>
            </w:r>
          </w:p>
          <w:p w:rsidR="00BF467C" w:rsidRDefault="00BF467C" w:rsidP="003F0181">
            <w:pPr>
              <w:autoSpaceDE w:val="0"/>
              <w:autoSpaceDN w:val="0"/>
              <w:adjustRightInd w:val="0"/>
              <w:rPr>
                <w:rFonts w:ascii="Arial" w:hAnsi="Arial" w:cs="Arial"/>
                <w:sz w:val="20"/>
                <w:szCs w:val="20"/>
              </w:rPr>
            </w:pPr>
            <w:r w:rsidRPr="008E7459">
              <w:rPr>
                <w:rStyle w:val="TableBodyTextChar"/>
                <w:rFonts w:cs="Arial"/>
                <w:i/>
                <w:sz w:val="20"/>
              </w:rPr>
              <w:t>(Supplementary and Supplementary non</w:t>
            </w:r>
            <w:r w:rsidRPr="008E7459">
              <w:rPr>
                <w:rStyle w:val="TableBodyTextChar"/>
                <w:rFonts w:cs="Arial"/>
                <w:i/>
                <w:sz w:val="20"/>
              </w:rPr>
              <w:noBreakHyphen/>
              <w:t xml:space="preserve">Indigenous) </w:t>
            </w:r>
            <w:r w:rsidRPr="008E7459">
              <w:rPr>
                <w:rFonts w:ascii="Arial" w:hAnsi="Arial" w:cs="Arial"/>
                <w:sz w:val="20"/>
                <w:szCs w:val="20"/>
                <w:u w:val="single"/>
              </w:rPr>
              <w:t>Survey of Education and Work</w:t>
            </w:r>
            <w:r w:rsidRPr="008E7459">
              <w:rPr>
                <w:rFonts w:ascii="Arial" w:hAnsi="Arial" w:cs="Arial"/>
                <w:sz w:val="20"/>
                <w:szCs w:val="20"/>
              </w:rPr>
              <w:t xml:space="preserve"> (SEW). Data are available annually</w:t>
            </w:r>
            <w:r w:rsidR="00D33BFC">
              <w:rPr>
                <w:rFonts w:ascii="Arial" w:hAnsi="Arial" w:cs="Arial"/>
                <w:sz w:val="20"/>
                <w:szCs w:val="20"/>
              </w:rPr>
              <w:br/>
            </w:r>
          </w:p>
          <w:p w:rsidR="00BF467C" w:rsidRPr="007961B5" w:rsidRDefault="00BF467C" w:rsidP="003F0181">
            <w:pPr>
              <w:autoSpaceDE w:val="0"/>
              <w:autoSpaceDN w:val="0"/>
              <w:adjustRightInd w:val="0"/>
              <w:rPr>
                <w:rFonts w:ascii="Arial" w:hAnsi="Arial" w:cs="Arial"/>
                <w:sz w:val="20"/>
                <w:szCs w:val="20"/>
              </w:rPr>
            </w:pPr>
            <w:r w:rsidRPr="008E7459">
              <w:rPr>
                <w:rStyle w:val="TableBodyTextChar"/>
                <w:rFonts w:cs="Arial"/>
                <w:i/>
                <w:sz w:val="20"/>
              </w:rPr>
              <w:t xml:space="preserve">(Supplementary Indigenous) </w:t>
            </w:r>
            <w:r w:rsidRPr="008E7459">
              <w:rPr>
                <w:rFonts w:ascii="Arial" w:hAnsi="Arial" w:cs="Arial"/>
                <w:sz w:val="20"/>
                <w:szCs w:val="20"/>
                <w:u w:val="single"/>
              </w:rPr>
              <w:t>National Aboriginal and Torres Strait Islander Social Survey</w:t>
            </w:r>
            <w:r w:rsidRPr="008E7459">
              <w:rPr>
                <w:rFonts w:ascii="Arial" w:hAnsi="Arial" w:cs="Arial"/>
                <w:sz w:val="20"/>
                <w:szCs w:val="20"/>
              </w:rPr>
              <w:t xml:space="preserve"> (NATSISS) and</w:t>
            </w:r>
            <w:r w:rsidRPr="00892BF4">
              <w:rPr>
                <w:rFonts w:ascii="Arial" w:hAnsi="Arial" w:cs="Arial"/>
                <w:sz w:val="20"/>
                <w:szCs w:val="20"/>
                <w:u w:val="single"/>
              </w:rPr>
              <w:t xml:space="preserve"> National Aboriginal and Torres Strait Islander Health Survey (</w:t>
            </w:r>
            <w:r w:rsidRPr="008A01FE">
              <w:rPr>
                <w:rFonts w:ascii="Arial" w:hAnsi="Arial" w:cs="Arial"/>
                <w:sz w:val="20"/>
                <w:szCs w:val="20"/>
              </w:rPr>
              <w:t>NATSIHS) component of the</w:t>
            </w:r>
            <w:r w:rsidRPr="00892BF4">
              <w:rPr>
                <w:rFonts w:ascii="Arial" w:hAnsi="Arial" w:cs="Arial"/>
                <w:sz w:val="20"/>
                <w:szCs w:val="20"/>
                <w:u w:val="single"/>
              </w:rPr>
              <w:t xml:space="preserve"> Australian Aboriginal and Torres Strait Islander Health Survey </w:t>
            </w:r>
            <w:r w:rsidRPr="008A01FE">
              <w:rPr>
                <w:rFonts w:ascii="Arial" w:hAnsi="Arial" w:cs="Arial"/>
                <w:sz w:val="20"/>
                <w:szCs w:val="20"/>
              </w:rPr>
              <w:t>(AATSIHS). Data are available on an alternating 3 yearly cycle.</w:t>
            </w:r>
          </w:p>
        </w:tc>
      </w:tr>
      <w:tr w:rsidR="00BF467C" w:rsidTr="008539DA">
        <w:tc>
          <w:tcPr>
            <w:tcW w:w="1129" w:type="pct"/>
          </w:tcPr>
          <w:p w:rsidR="00BF467C" w:rsidRPr="00BF467C" w:rsidRDefault="00BF467C" w:rsidP="00BF467C">
            <w:pPr>
              <w:pStyle w:val="TableBodyText"/>
              <w:keepNext w:val="0"/>
              <w:keepLines w:val="0"/>
              <w:ind w:left="34"/>
              <w:jc w:val="left"/>
            </w:pPr>
            <w:r w:rsidRPr="00BF467C">
              <w:t>Data provider (all measures):</w:t>
            </w:r>
          </w:p>
          <w:p w:rsidR="00BF467C" w:rsidRPr="00BF467C" w:rsidRDefault="00BF467C" w:rsidP="00BF467C">
            <w:pPr>
              <w:pStyle w:val="TableBodyText"/>
              <w:keepNext w:val="0"/>
              <w:keepLines w:val="0"/>
              <w:ind w:left="34"/>
              <w:jc w:val="left"/>
            </w:pPr>
          </w:p>
        </w:tc>
        <w:tc>
          <w:tcPr>
            <w:tcW w:w="3871" w:type="pct"/>
          </w:tcPr>
          <w:p w:rsidR="00BF467C" w:rsidRPr="008E7459" w:rsidRDefault="00BF467C" w:rsidP="003F0181">
            <w:pPr>
              <w:pStyle w:val="TableBodyText"/>
              <w:jc w:val="left"/>
              <w:rPr>
                <w:rFonts w:cs="Arial"/>
              </w:rPr>
            </w:pPr>
            <w:r w:rsidRPr="008E7459">
              <w:rPr>
                <w:rFonts w:cs="Arial"/>
              </w:rPr>
              <w:t>ABS</w:t>
            </w:r>
          </w:p>
        </w:tc>
      </w:tr>
      <w:tr w:rsidR="00BF467C" w:rsidTr="008539DA">
        <w:tc>
          <w:tcPr>
            <w:tcW w:w="1129" w:type="pct"/>
          </w:tcPr>
          <w:p w:rsidR="00BF467C" w:rsidRPr="00BF467C" w:rsidRDefault="00BF467C" w:rsidP="00BF467C">
            <w:pPr>
              <w:pStyle w:val="TableBodyText"/>
              <w:keepNext w:val="0"/>
              <w:keepLines w:val="0"/>
              <w:ind w:left="34"/>
              <w:jc w:val="left"/>
            </w:pPr>
            <w:r w:rsidRPr="00BF467C">
              <w:t>Data availability:</w:t>
            </w:r>
          </w:p>
          <w:p w:rsidR="00BF467C" w:rsidRPr="00BF467C" w:rsidRDefault="00BF467C" w:rsidP="00BF467C">
            <w:pPr>
              <w:pStyle w:val="TableBodyText"/>
              <w:keepNext w:val="0"/>
              <w:keepLines w:val="0"/>
              <w:ind w:left="34"/>
              <w:jc w:val="left"/>
            </w:pPr>
          </w:p>
        </w:tc>
        <w:tc>
          <w:tcPr>
            <w:tcW w:w="3871" w:type="pct"/>
          </w:tcPr>
          <w:p w:rsidR="00BF467C" w:rsidRPr="008E7459" w:rsidRDefault="00BF467C" w:rsidP="003F0181">
            <w:pPr>
              <w:pStyle w:val="TableBodyText"/>
              <w:keepNext w:val="0"/>
              <w:jc w:val="left"/>
              <w:rPr>
                <w:rFonts w:cs="Arial"/>
              </w:rPr>
            </w:pPr>
            <w:r w:rsidRPr="008E7459">
              <w:rPr>
                <w:rFonts w:cs="Arial"/>
              </w:rPr>
              <w:t>SEW — 201</w:t>
            </w:r>
            <w:r>
              <w:rPr>
                <w:rFonts w:cs="Arial"/>
              </w:rPr>
              <w:t>3</w:t>
            </w:r>
            <w:r w:rsidRPr="008E7459">
              <w:rPr>
                <w:rFonts w:cs="Arial"/>
              </w:rPr>
              <w:t xml:space="preserve"> (current year) and 201</w:t>
            </w:r>
            <w:r>
              <w:rPr>
                <w:rFonts w:cs="Arial"/>
              </w:rPr>
              <w:t>2</w:t>
            </w:r>
            <w:r w:rsidRPr="008E7459">
              <w:rPr>
                <w:rFonts w:cs="Arial"/>
              </w:rPr>
              <w:t xml:space="preserve"> (</w:t>
            </w:r>
            <w:r>
              <w:rPr>
                <w:rFonts w:cs="Arial"/>
              </w:rPr>
              <w:t>non</w:t>
            </w:r>
            <w:r w:rsidR="00D119D7">
              <w:rPr>
                <w:rFonts w:cs="Arial"/>
              </w:rPr>
              <w:noBreakHyphen/>
            </w:r>
            <w:r>
              <w:rPr>
                <w:rFonts w:cs="Arial"/>
              </w:rPr>
              <w:t>Indigenous comparator</w:t>
            </w:r>
            <w:r w:rsidRPr="008E7459">
              <w:rPr>
                <w:rFonts w:cs="Arial"/>
              </w:rPr>
              <w:t>)</w:t>
            </w:r>
          </w:p>
          <w:p w:rsidR="00BF467C" w:rsidRDefault="00BF467C" w:rsidP="003F0181">
            <w:pPr>
              <w:pStyle w:val="TableBodyText"/>
              <w:ind w:hanging="6"/>
              <w:jc w:val="left"/>
            </w:pPr>
            <w:r>
              <w:t>NATSIHS component of the AATSIHS — 2012</w:t>
            </w:r>
            <w:r w:rsidR="00D119D7">
              <w:noBreakHyphen/>
            </w:r>
            <w:r>
              <w:t>13 (Indigenous comparator)</w:t>
            </w:r>
          </w:p>
          <w:p w:rsidR="00BF467C" w:rsidRPr="008E7459" w:rsidRDefault="00BF467C" w:rsidP="003F0181">
            <w:pPr>
              <w:pStyle w:val="TableBodyText"/>
              <w:keepNext w:val="0"/>
              <w:jc w:val="left"/>
              <w:rPr>
                <w:rFonts w:cs="Arial"/>
              </w:rPr>
            </w:pPr>
          </w:p>
        </w:tc>
      </w:tr>
      <w:tr w:rsidR="00BF467C" w:rsidTr="008539DA">
        <w:tc>
          <w:tcPr>
            <w:tcW w:w="1129" w:type="pct"/>
          </w:tcPr>
          <w:p w:rsidR="00BF467C" w:rsidRPr="00BF467C" w:rsidRDefault="00BF467C" w:rsidP="00FC2322">
            <w:pPr>
              <w:pStyle w:val="TableBodyText"/>
              <w:ind w:left="34"/>
              <w:jc w:val="left"/>
            </w:pPr>
            <w:r w:rsidRPr="00BF467C">
              <w:t>Cross tabulations provided:</w:t>
            </w:r>
          </w:p>
          <w:p w:rsidR="00BF467C" w:rsidRPr="00BF467C" w:rsidRDefault="00BF467C" w:rsidP="00FC2322">
            <w:pPr>
              <w:pStyle w:val="TableBodyText"/>
              <w:ind w:left="34"/>
              <w:jc w:val="left"/>
            </w:pPr>
          </w:p>
        </w:tc>
        <w:tc>
          <w:tcPr>
            <w:tcW w:w="3871" w:type="pct"/>
          </w:tcPr>
          <w:p w:rsidR="00BF467C" w:rsidRPr="008E7459" w:rsidRDefault="00BF467C" w:rsidP="00FC2322">
            <w:pPr>
              <w:pStyle w:val="TableBodyText"/>
              <w:jc w:val="left"/>
              <w:rPr>
                <w:rFonts w:cs="Arial"/>
              </w:rPr>
            </w:pPr>
            <w:r w:rsidRPr="008E7459">
              <w:rPr>
                <w:rFonts w:cs="Arial"/>
              </w:rPr>
              <w:t>National (SEW), by:</w:t>
            </w:r>
          </w:p>
          <w:p w:rsidR="00BF467C" w:rsidRPr="008E7459" w:rsidRDefault="00BF467C" w:rsidP="00FC2322">
            <w:pPr>
              <w:pStyle w:val="TableBullet"/>
            </w:pPr>
            <w:r w:rsidRPr="008E7459">
              <w:t>total</w:t>
            </w:r>
          </w:p>
          <w:p w:rsidR="00BF467C" w:rsidRPr="008E7459" w:rsidRDefault="00BF467C" w:rsidP="00FC2322">
            <w:pPr>
              <w:pStyle w:val="TableBullet"/>
            </w:pPr>
            <w:r w:rsidRPr="008E7459">
              <w:t>SES (SEIFA IRSD)</w:t>
            </w:r>
            <w:r>
              <w:t xml:space="preserve"> </w:t>
            </w:r>
          </w:p>
          <w:p w:rsidR="00BF467C" w:rsidRPr="008E7459" w:rsidRDefault="00BF467C" w:rsidP="00FC2322">
            <w:pPr>
              <w:pStyle w:val="TableBodyText"/>
              <w:jc w:val="left"/>
              <w:rPr>
                <w:rFonts w:cs="Arial"/>
              </w:rPr>
            </w:pPr>
          </w:p>
          <w:p w:rsidR="00BF467C" w:rsidRPr="008E7459" w:rsidRDefault="00BF467C" w:rsidP="00FC2322">
            <w:pPr>
              <w:pStyle w:val="TableBodyText"/>
              <w:jc w:val="left"/>
              <w:rPr>
                <w:rFonts w:cs="Arial"/>
              </w:rPr>
            </w:pPr>
            <w:r w:rsidRPr="008E7459">
              <w:rPr>
                <w:rFonts w:cs="Arial"/>
              </w:rPr>
              <w:t>National (SEW and NATSI</w:t>
            </w:r>
            <w:r>
              <w:rPr>
                <w:rFonts w:cs="Arial"/>
              </w:rPr>
              <w:t>H</w:t>
            </w:r>
            <w:r w:rsidRPr="008E7459">
              <w:rPr>
                <w:rFonts w:cs="Arial"/>
              </w:rPr>
              <w:t>S data), by:</w:t>
            </w:r>
          </w:p>
          <w:p w:rsidR="00BF467C" w:rsidRPr="008E7459" w:rsidRDefault="00BF467C" w:rsidP="00FC2322">
            <w:pPr>
              <w:pStyle w:val="TableBullet"/>
            </w:pPr>
            <w:r w:rsidRPr="008E7459">
              <w:t>Indigenous status</w:t>
            </w:r>
          </w:p>
        </w:tc>
      </w:tr>
    </w:tbl>
    <w:p w:rsidR="00162BCC" w:rsidRPr="003575E1" w:rsidRDefault="00162BCC" w:rsidP="00FC2322">
      <w:pPr>
        <w:keepNext/>
        <w:keepLines/>
      </w:pPr>
    </w:p>
    <w:tbl>
      <w:tblPr>
        <w:tblW w:w="0" w:type="auto"/>
        <w:tblInd w:w="164" w:type="dxa"/>
        <w:tblBorders>
          <w:top w:val="single" w:sz="6" w:space="0" w:color="auto"/>
          <w:left w:val="single" w:sz="6" w:space="0" w:color="auto"/>
          <w:bottom w:val="single" w:sz="6" w:space="0" w:color="auto"/>
          <w:right w:val="single" w:sz="6" w:space="0" w:color="auto"/>
        </w:tblBorders>
        <w:tblLayout w:type="fixed"/>
        <w:tblCellMar>
          <w:left w:w="142" w:type="dxa"/>
          <w:right w:w="142" w:type="dxa"/>
        </w:tblCellMar>
        <w:tblLook w:val="0000" w:firstRow="0" w:lastRow="0" w:firstColumn="0" w:lastColumn="0" w:noHBand="0" w:noVBand="0"/>
      </w:tblPr>
      <w:tblGrid>
        <w:gridCol w:w="8771"/>
      </w:tblGrid>
      <w:tr w:rsidR="00162BCC" w:rsidTr="007961B5">
        <w:trPr>
          <w:cantSplit/>
        </w:trPr>
        <w:tc>
          <w:tcPr>
            <w:tcW w:w="8771" w:type="dxa"/>
            <w:tcBorders>
              <w:top w:val="single" w:sz="6" w:space="0" w:color="auto"/>
              <w:bottom w:val="nil"/>
            </w:tcBorders>
          </w:tcPr>
          <w:p w:rsidR="00162BCC" w:rsidRDefault="00162BCC" w:rsidP="00FC2322">
            <w:pPr>
              <w:pStyle w:val="BoxTitle"/>
            </w:pPr>
            <w:r>
              <w:rPr>
                <w:b w:val="0"/>
              </w:rPr>
              <w:t xml:space="preserve">Box </w:t>
            </w:r>
            <w:r>
              <w:rPr>
                <w:b w:val="0"/>
              </w:rPr>
              <w:fldChar w:fldCharType="begin"/>
            </w:r>
            <w:r>
              <w:rPr>
                <w:b w:val="0"/>
              </w:rPr>
              <w:instrText xml:space="preserve"> SEQ Box \* ARABIC </w:instrText>
            </w:r>
            <w:r>
              <w:rPr>
                <w:b w:val="0"/>
              </w:rPr>
              <w:fldChar w:fldCharType="separate"/>
            </w:r>
            <w:r w:rsidR="005F5618">
              <w:rPr>
                <w:b w:val="0"/>
                <w:noProof/>
              </w:rPr>
              <w:t>16</w:t>
            </w:r>
            <w:r>
              <w:rPr>
                <w:b w:val="0"/>
              </w:rPr>
              <w:fldChar w:fldCharType="end"/>
            </w:r>
            <w:r>
              <w:tab/>
              <w:t>Results</w:t>
            </w:r>
          </w:p>
        </w:tc>
      </w:tr>
      <w:tr w:rsidR="00162BCC" w:rsidTr="007961B5">
        <w:trPr>
          <w:cantSplit/>
        </w:trPr>
        <w:tc>
          <w:tcPr>
            <w:tcW w:w="8771" w:type="dxa"/>
            <w:tcBorders>
              <w:top w:val="nil"/>
              <w:left w:val="single" w:sz="6" w:space="0" w:color="auto"/>
              <w:bottom w:val="nil"/>
              <w:right w:val="single" w:sz="6" w:space="0" w:color="auto"/>
            </w:tcBorders>
          </w:tcPr>
          <w:p w:rsidR="00596FB9" w:rsidRPr="00A4552E" w:rsidRDefault="00596FB9" w:rsidP="00FC2322">
            <w:pPr>
              <w:pStyle w:val="Box"/>
              <w:keepLines/>
            </w:pPr>
            <w:r w:rsidRPr="00A4552E">
              <w:t>For this report, new data for this indicator are available for 2013</w:t>
            </w:r>
            <w:r w:rsidR="00F9792D">
              <w:t xml:space="preserve"> SEW (total population)</w:t>
            </w:r>
            <w:r w:rsidRPr="00A4552E">
              <w:t xml:space="preserve"> and 2012 SE</w:t>
            </w:r>
            <w:r w:rsidR="00F9792D">
              <w:t>W (non</w:t>
            </w:r>
            <w:r w:rsidR="00760542">
              <w:noBreakHyphen/>
            </w:r>
            <w:r w:rsidR="00F9792D">
              <w:t>Indigenous).</w:t>
            </w:r>
            <w:r w:rsidRPr="00A4552E">
              <w:t xml:space="preserve"> </w:t>
            </w:r>
            <w:r w:rsidR="00F9792D">
              <w:t xml:space="preserve">New data are also available for </w:t>
            </w:r>
            <w:r w:rsidRPr="00A4552E">
              <w:t>2012</w:t>
            </w:r>
            <w:r w:rsidRPr="00A4552E">
              <w:noBreakHyphen/>
              <w:t xml:space="preserve">13 </w:t>
            </w:r>
            <w:r w:rsidR="00F9792D">
              <w:t>NATSIHS (Indigenous)</w:t>
            </w:r>
            <w:r w:rsidRPr="00A4552E">
              <w:t>.</w:t>
            </w:r>
          </w:p>
          <w:p w:rsidR="00596FB9" w:rsidRPr="00A4552E" w:rsidRDefault="00596FB9" w:rsidP="00FC2322">
            <w:pPr>
              <w:pStyle w:val="BoxListBullet"/>
              <w:keepLines/>
            </w:pPr>
            <w:r w:rsidRPr="00A4552E">
              <w:t xml:space="preserve">National </w:t>
            </w:r>
            <w:r w:rsidR="007D1FEC">
              <w:t xml:space="preserve">data by SEIFA IRSD from the </w:t>
            </w:r>
            <w:r w:rsidRPr="00A4552E">
              <w:t>2013 SEW data are presented in table</w:t>
            </w:r>
            <w:r w:rsidR="00961833">
              <w:t>s </w:t>
            </w:r>
            <w:r w:rsidRPr="00A4552E">
              <w:t>NEA.4.1 and NEA.4.</w:t>
            </w:r>
            <w:r w:rsidR="00D1123B">
              <w:t>3</w:t>
            </w:r>
            <w:r w:rsidRPr="00A4552E">
              <w:t xml:space="preserve">. </w:t>
            </w:r>
          </w:p>
          <w:p w:rsidR="00596FB9" w:rsidRPr="00A4552E" w:rsidRDefault="00D1123B" w:rsidP="00FC2322">
            <w:pPr>
              <w:pStyle w:val="BoxListBullet"/>
              <w:keepLines/>
            </w:pPr>
            <w:r>
              <w:t xml:space="preserve">National </w:t>
            </w:r>
            <w:r w:rsidR="007D1FEC">
              <w:t xml:space="preserve">data by Indigenous status from the </w:t>
            </w:r>
            <w:r w:rsidR="00596FB9" w:rsidRPr="00A4552E">
              <w:t>2012 SEW data and 2012</w:t>
            </w:r>
            <w:r w:rsidR="00596FB9" w:rsidRPr="00A4552E">
              <w:noBreakHyphen/>
              <w:t xml:space="preserve">13 NATSIHS are presented </w:t>
            </w:r>
            <w:r>
              <w:t xml:space="preserve">in </w:t>
            </w:r>
            <w:r w:rsidR="00596FB9" w:rsidRPr="00A4552E">
              <w:t>table</w:t>
            </w:r>
            <w:r w:rsidR="00961833">
              <w:t>s</w:t>
            </w:r>
            <w:r w:rsidR="00596FB9" w:rsidRPr="00A4552E">
              <w:t xml:space="preserve"> NEA.4.</w:t>
            </w:r>
            <w:r>
              <w:t>2 and NEA.4.4</w:t>
            </w:r>
            <w:r w:rsidR="00596FB9" w:rsidRPr="00A4552E">
              <w:t xml:space="preserve">. </w:t>
            </w:r>
          </w:p>
          <w:p w:rsidR="00A4552E" w:rsidRPr="00A4552E" w:rsidRDefault="00F9792D" w:rsidP="00FC2322">
            <w:pPr>
              <w:pStyle w:val="BoxListBullet"/>
              <w:keepLines/>
            </w:pPr>
            <w:r>
              <w:t xml:space="preserve">Recalculated </w:t>
            </w:r>
            <w:r w:rsidR="00A4552E" w:rsidRPr="00A4552E">
              <w:t xml:space="preserve">Census data for 2006 are presented by State and Territory and </w:t>
            </w:r>
            <w:r w:rsidR="005A78A1">
              <w:t>SEIFA IRSD </w:t>
            </w:r>
            <w:r w:rsidR="00A4552E" w:rsidRPr="00A4552E">
              <w:t xml:space="preserve">in table NEA.4.5 (measure 4(b) only). </w:t>
            </w:r>
          </w:p>
          <w:p w:rsidR="00596FB9" w:rsidRPr="00A4552E" w:rsidRDefault="00596FB9" w:rsidP="00FC2322">
            <w:pPr>
              <w:pStyle w:val="Box"/>
              <w:keepLines/>
            </w:pPr>
            <w:r w:rsidRPr="00A4552E">
              <w:t>For the SEW and NATSIHS data, apparent differences in results between years may not be statistically significant. To assist in interpretation, 95 per cent confidence intervals and relative standard errors are provided.</w:t>
            </w:r>
          </w:p>
          <w:p w:rsidR="00EF08AC" w:rsidRDefault="00EF08AC" w:rsidP="00961833">
            <w:pPr>
              <w:pStyle w:val="Box"/>
              <w:keepLines/>
            </w:pPr>
            <w:r>
              <w:t>For measure 4(a)</w:t>
            </w:r>
            <w:r w:rsidR="00CA5CAA">
              <w:t xml:space="preserve"> and 4(b)</w:t>
            </w:r>
            <w:r w:rsidR="00A15EB6">
              <w:t>,</w:t>
            </w:r>
            <w:r>
              <w:t xml:space="preserve"> historical </w:t>
            </w:r>
            <w:r w:rsidR="000D4E99">
              <w:t>2011 C</w:t>
            </w:r>
            <w:r w:rsidR="00A15EB6">
              <w:t xml:space="preserve">ensus data </w:t>
            </w:r>
            <w:r>
              <w:t xml:space="preserve">are available in the </w:t>
            </w:r>
            <w:r w:rsidRPr="00EF08AC">
              <w:t>2012 NEA performance report</w:t>
            </w:r>
            <w:r w:rsidR="00A15EB6">
              <w:t xml:space="preserve">. </w:t>
            </w:r>
            <w:r w:rsidR="00A17A0B">
              <w:t xml:space="preserve">2006 Census data are available in the 2008 NEA performance report. </w:t>
            </w:r>
            <w:r w:rsidR="000D4E99">
              <w:t>H</w:t>
            </w:r>
            <w:r w:rsidR="00CA5CAA">
              <w:t xml:space="preserve">istorical 2012 SEW data are available in the 2012 NEA performance report. </w:t>
            </w:r>
            <w:r w:rsidR="00CA5CAA" w:rsidRPr="00A17A0B">
              <w:t xml:space="preserve">2011 </w:t>
            </w:r>
            <w:r w:rsidR="00CA5CAA">
              <w:t xml:space="preserve">data </w:t>
            </w:r>
            <w:r w:rsidR="00CA5CAA" w:rsidRPr="00A17A0B">
              <w:t>are available in the 2011 NEA performance report, 2010 results are available in the 2010 NEA performance report, and for 2009 and 2008 results are available in the 2009 NEA performance report</w:t>
            </w:r>
            <w:r w:rsidR="00CA5CAA">
              <w:t>.</w:t>
            </w:r>
            <w:r w:rsidR="000D4E99">
              <w:t xml:space="preserve"> For Measure 4(b), historical NATSISS data are available in the 2009 NEA performance report.</w:t>
            </w:r>
          </w:p>
          <w:p w:rsidR="00CA5CAA" w:rsidRDefault="000D4E99" w:rsidP="00961833">
            <w:pPr>
              <w:pStyle w:val="Box"/>
              <w:keepLines/>
            </w:pPr>
            <w:r>
              <w:t>For measure 4(c)</w:t>
            </w:r>
            <w:r w:rsidR="00F40769">
              <w:t>,</w:t>
            </w:r>
            <w:r>
              <w:t xml:space="preserve"> historical 2011 and 2006 Census data are available in the 2012 NEA performance report. Historical SEW data are available as per measure 4(a) and (b). </w:t>
            </w:r>
          </w:p>
          <w:p w:rsidR="00162BCC" w:rsidRDefault="000D4E99" w:rsidP="00660DD4">
            <w:pPr>
              <w:pStyle w:val="Box"/>
              <w:keepLines/>
            </w:pPr>
            <w:r>
              <w:t>For measure 4(d), historical 2011 and 2006 Census data, as well 2008 to 2012 SEW data, and 2008 NATSISS data are available in the 2012 NEA performance report.</w:t>
            </w:r>
          </w:p>
        </w:tc>
      </w:tr>
      <w:tr w:rsidR="00162BCC" w:rsidTr="00EF255E">
        <w:trPr>
          <w:cantSplit/>
        </w:trPr>
        <w:tc>
          <w:tcPr>
            <w:tcW w:w="8771" w:type="dxa"/>
            <w:tcBorders>
              <w:top w:val="nil"/>
              <w:left w:val="single" w:sz="6" w:space="0" w:color="auto"/>
              <w:bottom w:val="single" w:sz="6" w:space="0" w:color="auto"/>
              <w:right w:val="single" w:sz="6" w:space="0" w:color="auto"/>
            </w:tcBorders>
          </w:tcPr>
          <w:p w:rsidR="00162BCC" w:rsidRDefault="00162BCC" w:rsidP="00EF255E">
            <w:pPr>
              <w:pStyle w:val="Box"/>
              <w:spacing w:before="0" w:line="120" w:lineRule="exact"/>
            </w:pPr>
          </w:p>
        </w:tc>
      </w:tr>
      <w:tr w:rsidR="00162BCC" w:rsidRPr="000863A5" w:rsidTr="00EF255E">
        <w:tc>
          <w:tcPr>
            <w:tcW w:w="8771" w:type="dxa"/>
            <w:tcBorders>
              <w:top w:val="nil"/>
              <w:left w:val="nil"/>
              <w:bottom w:val="nil"/>
              <w:right w:val="nil"/>
            </w:tcBorders>
          </w:tcPr>
          <w:p w:rsidR="00162BCC" w:rsidRPr="00626D32" w:rsidRDefault="00162BCC" w:rsidP="00FC2322">
            <w:pPr>
              <w:pStyle w:val="BoxSpaceBelow"/>
              <w:keepNext/>
              <w:keepLines/>
            </w:pPr>
          </w:p>
        </w:tc>
      </w:tr>
    </w:tbl>
    <w:p w:rsidR="00162BCC" w:rsidRDefault="00162BCC" w:rsidP="00FC2322">
      <w:pPr>
        <w:pStyle w:val="Heading4"/>
        <w:keepLines/>
      </w:pPr>
      <w:r>
        <w:t>Attachment tables</w:t>
      </w:r>
    </w:p>
    <w:tbl>
      <w:tblPr>
        <w:tblW w:w="880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0"/>
        <w:gridCol w:w="6844"/>
      </w:tblGrid>
      <w:tr w:rsidR="00FC2322" w:rsidRPr="008E7459" w:rsidTr="00EF255E">
        <w:trPr>
          <w:trHeight w:val="612"/>
        </w:trPr>
        <w:tc>
          <w:tcPr>
            <w:tcW w:w="1960" w:type="dxa"/>
            <w:shd w:val="clear" w:color="auto" w:fill="auto"/>
            <w:noWrap/>
            <w:hideMark/>
          </w:tcPr>
          <w:p w:rsidR="00FC2322" w:rsidRPr="00FC2322" w:rsidRDefault="00FC2322" w:rsidP="00FC2322">
            <w:pPr>
              <w:pStyle w:val="TableBodyText"/>
              <w:jc w:val="left"/>
              <w:rPr>
                <w:b/>
              </w:rPr>
            </w:pPr>
            <w:r w:rsidRPr="00FC2322">
              <w:rPr>
                <w:b/>
              </w:rPr>
              <w:t>Table NEA.4.1</w:t>
            </w:r>
          </w:p>
        </w:tc>
        <w:tc>
          <w:tcPr>
            <w:tcW w:w="6844" w:type="dxa"/>
            <w:shd w:val="clear" w:color="auto" w:fill="auto"/>
          </w:tcPr>
          <w:p w:rsidR="00FC2322" w:rsidRPr="00B01FCA" w:rsidRDefault="00FC2322" w:rsidP="00FC2322">
            <w:pPr>
              <w:pStyle w:val="TableBodyText"/>
              <w:jc w:val="left"/>
            </w:pPr>
            <w:r w:rsidRPr="00B01FCA">
              <w:t>Proportion, relative standard error, and confidence intervals of young people aged 20–24 years who have completed year 12 (or equivalent) or gained a qualification at AQF Certificate II level or above, by SEIFA IRSD quintiles, 2013</w:t>
            </w:r>
            <w:r w:rsidR="001714E9">
              <w:t xml:space="preserve"> </w:t>
            </w:r>
          </w:p>
        </w:tc>
      </w:tr>
      <w:tr w:rsidR="00FC2322" w:rsidRPr="008E7459" w:rsidTr="00EF255E">
        <w:trPr>
          <w:trHeight w:val="612"/>
        </w:trPr>
        <w:tc>
          <w:tcPr>
            <w:tcW w:w="1960" w:type="dxa"/>
            <w:shd w:val="clear" w:color="auto" w:fill="auto"/>
            <w:noWrap/>
            <w:hideMark/>
          </w:tcPr>
          <w:p w:rsidR="00FC2322" w:rsidRPr="00FC2322" w:rsidRDefault="00FC2322" w:rsidP="00FC2322">
            <w:pPr>
              <w:pStyle w:val="TableBodyText"/>
              <w:jc w:val="left"/>
              <w:rPr>
                <w:b/>
              </w:rPr>
            </w:pPr>
            <w:r w:rsidRPr="00FC2322">
              <w:rPr>
                <w:b/>
              </w:rPr>
              <w:t>Table NEA.4.2</w:t>
            </w:r>
          </w:p>
        </w:tc>
        <w:tc>
          <w:tcPr>
            <w:tcW w:w="6844" w:type="dxa"/>
            <w:shd w:val="clear" w:color="auto" w:fill="auto"/>
          </w:tcPr>
          <w:p w:rsidR="00FC2322" w:rsidRPr="00B01FCA" w:rsidRDefault="00FC2322" w:rsidP="00FC2322">
            <w:pPr>
              <w:pStyle w:val="TableBodyText"/>
              <w:jc w:val="left"/>
            </w:pPr>
            <w:r w:rsidRPr="00B01FCA">
              <w:t>Proportion, relative standard error, and confidence intervals of young people aged 20–24 years who have completed year 12 (or equivalent) or gained a qualification at AQF Certificate II level or above, by Indigenous status, 2012</w:t>
            </w:r>
            <w:r w:rsidR="009F5EB6">
              <w:noBreakHyphen/>
            </w:r>
            <w:r w:rsidRPr="00B01FCA">
              <w:t>13</w:t>
            </w:r>
            <w:r w:rsidR="001714E9">
              <w:t xml:space="preserve"> </w:t>
            </w:r>
          </w:p>
        </w:tc>
      </w:tr>
      <w:tr w:rsidR="00FC2322" w:rsidRPr="008E7459" w:rsidTr="00EF255E">
        <w:trPr>
          <w:trHeight w:val="612"/>
        </w:trPr>
        <w:tc>
          <w:tcPr>
            <w:tcW w:w="1960" w:type="dxa"/>
            <w:shd w:val="clear" w:color="auto" w:fill="auto"/>
            <w:noWrap/>
          </w:tcPr>
          <w:p w:rsidR="00FC2322" w:rsidRPr="00FC2322" w:rsidRDefault="00FC2322" w:rsidP="00FC2322">
            <w:pPr>
              <w:pStyle w:val="TableBodyText"/>
              <w:jc w:val="left"/>
              <w:rPr>
                <w:b/>
              </w:rPr>
            </w:pPr>
            <w:r w:rsidRPr="00FC2322">
              <w:rPr>
                <w:b/>
              </w:rPr>
              <w:t>Table NEA.4.3</w:t>
            </w:r>
          </w:p>
        </w:tc>
        <w:tc>
          <w:tcPr>
            <w:tcW w:w="6844" w:type="dxa"/>
            <w:shd w:val="clear" w:color="auto" w:fill="auto"/>
          </w:tcPr>
          <w:p w:rsidR="00FC2322" w:rsidRPr="00B01FCA" w:rsidRDefault="00FC2322" w:rsidP="00FC2322">
            <w:pPr>
              <w:pStyle w:val="TableBodyText"/>
              <w:jc w:val="left"/>
            </w:pPr>
            <w:r w:rsidRPr="00B01FCA">
              <w:t>Proportion, relative standard error, and confidence intervals of young people aged 20–24 years who have completed year 12 (or equivalent) or gained a qualification at AQF Certificate III level or above, by SEIFA IRSD quintiles, 2013</w:t>
            </w:r>
            <w:r w:rsidR="001714E9">
              <w:t xml:space="preserve"> </w:t>
            </w:r>
          </w:p>
        </w:tc>
      </w:tr>
      <w:tr w:rsidR="00FC2322" w:rsidRPr="008E7459" w:rsidTr="00EF255E">
        <w:trPr>
          <w:trHeight w:val="612"/>
        </w:trPr>
        <w:tc>
          <w:tcPr>
            <w:tcW w:w="1960" w:type="dxa"/>
            <w:shd w:val="clear" w:color="auto" w:fill="auto"/>
            <w:noWrap/>
          </w:tcPr>
          <w:p w:rsidR="00FC2322" w:rsidRPr="00FC2322" w:rsidRDefault="00FC2322" w:rsidP="00FC2322">
            <w:pPr>
              <w:pStyle w:val="TableBodyText"/>
              <w:jc w:val="left"/>
              <w:rPr>
                <w:b/>
              </w:rPr>
            </w:pPr>
            <w:r w:rsidRPr="00FC2322">
              <w:rPr>
                <w:b/>
              </w:rPr>
              <w:t>Table NEA.4.4</w:t>
            </w:r>
          </w:p>
        </w:tc>
        <w:tc>
          <w:tcPr>
            <w:tcW w:w="6844" w:type="dxa"/>
            <w:shd w:val="clear" w:color="auto" w:fill="auto"/>
          </w:tcPr>
          <w:p w:rsidR="00FC2322" w:rsidRDefault="00FC2322" w:rsidP="00FC2322">
            <w:pPr>
              <w:pStyle w:val="TableBodyText"/>
              <w:jc w:val="left"/>
            </w:pPr>
            <w:r w:rsidRPr="00B01FCA">
              <w:t>Proportion, relative standard error, and confidence intervals of young people aged 20–24 years who have completed year 12 (or equivalent) or gained a qualification at AQF Certificate III level or above, by Indigenous status, 2012</w:t>
            </w:r>
            <w:r w:rsidR="009F5EB6">
              <w:noBreakHyphen/>
            </w:r>
            <w:r w:rsidRPr="00B01FCA">
              <w:t>13</w:t>
            </w:r>
            <w:r w:rsidR="001714E9">
              <w:t xml:space="preserve"> </w:t>
            </w:r>
          </w:p>
        </w:tc>
      </w:tr>
      <w:tr w:rsidR="00FC2322" w:rsidRPr="008E7459" w:rsidTr="00EF255E">
        <w:trPr>
          <w:trHeight w:val="612"/>
        </w:trPr>
        <w:tc>
          <w:tcPr>
            <w:tcW w:w="1960" w:type="dxa"/>
            <w:shd w:val="clear" w:color="auto" w:fill="auto"/>
            <w:noWrap/>
          </w:tcPr>
          <w:p w:rsidR="00FC2322" w:rsidRPr="00FC2322" w:rsidRDefault="00FC2322" w:rsidP="00FC2322">
            <w:pPr>
              <w:pStyle w:val="TableBodyText"/>
              <w:jc w:val="left"/>
              <w:rPr>
                <w:rFonts w:cs="Arial"/>
                <w:b/>
                <w:bCs/>
              </w:rPr>
            </w:pPr>
            <w:r w:rsidRPr="00FC2322">
              <w:rPr>
                <w:b/>
              </w:rPr>
              <w:t>Table NEA.4.5</w:t>
            </w:r>
          </w:p>
        </w:tc>
        <w:tc>
          <w:tcPr>
            <w:tcW w:w="6844" w:type="dxa"/>
            <w:shd w:val="clear" w:color="auto" w:fill="auto"/>
          </w:tcPr>
          <w:p w:rsidR="00FC2322" w:rsidRPr="008E7459" w:rsidRDefault="00FC2322" w:rsidP="00FC2322">
            <w:pPr>
              <w:pStyle w:val="TableBodyText"/>
              <w:jc w:val="left"/>
              <w:rPr>
                <w:rFonts w:cs="Arial"/>
              </w:rPr>
            </w:pPr>
            <w:r w:rsidRPr="00FC2322">
              <w:rPr>
                <w:rFonts w:cs="Arial"/>
              </w:rPr>
              <w:t>Proportion of the 20–24 year old population having attained at least a year 12 or equivalent or AQF Certificate II or above, by SES based on SEIFA IRSD, 2006</w:t>
            </w:r>
          </w:p>
        </w:tc>
      </w:tr>
    </w:tbl>
    <w:p w:rsidR="00162BCC" w:rsidRDefault="00162BCC" w:rsidP="00162BCC"/>
    <w:p w:rsidR="00162BCC" w:rsidRDefault="00162BCC" w:rsidP="00162BCC">
      <w:pPr>
        <w:pStyle w:val="BoxSpaceAbove"/>
      </w:pPr>
    </w:p>
    <w:tbl>
      <w:tblPr>
        <w:tblW w:w="0" w:type="auto"/>
        <w:tblInd w:w="164" w:type="dxa"/>
        <w:tblBorders>
          <w:top w:val="single" w:sz="6" w:space="0" w:color="auto"/>
          <w:left w:val="single" w:sz="6" w:space="0" w:color="auto"/>
          <w:bottom w:val="single" w:sz="6" w:space="0" w:color="auto"/>
          <w:right w:val="single" w:sz="6" w:space="0" w:color="auto"/>
        </w:tblBorders>
        <w:tblLayout w:type="fixed"/>
        <w:tblCellMar>
          <w:left w:w="142" w:type="dxa"/>
          <w:right w:w="142" w:type="dxa"/>
        </w:tblCellMar>
        <w:tblLook w:val="0000" w:firstRow="0" w:lastRow="0" w:firstColumn="0" w:lastColumn="0" w:noHBand="0" w:noVBand="0"/>
      </w:tblPr>
      <w:tblGrid>
        <w:gridCol w:w="8771"/>
      </w:tblGrid>
      <w:tr w:rsidR="00162BCC" w:rsidTr="00EF255E">
        <w:tc>
          <w:tcPr>
            <w:tcW w:w="8771" w:type="dxa"/>
            <w:tcBorders>
              <w:top w:val="single" w:sz="6" w:space="0" w:color="auto"/>
              <w:bottom w:val="nil"/>
            </w:tcBorders>
          </w:tcPr>
          <w:p w:rsidR="00162BCC" w:rsidRDefault="00162BCC" w:rsidP="00EF255E">
            <w:pPr>
              <w:pStyle w:val="BoxTitle"/>
            </w:pPr>
            <w:r>
              <w:rPr>
                <w:b w:val="0"/>
              </w:rPr>
              <w:t xml:space="preserve">Box </w:t>
            </w:r>
            <w:r>
              <w:rPr>
                <w:b w:val="0"/>
              </w:rPr>
              <w:fldChar w:fldCharType="begin"/>
            </w:r>
            <w:r>
              <w:rPr>
                <w:b w:val="0"/>
              </w:rPr>
              <w:instrText xml:space="preserve"> SEQ Box \* ARABIC </w:instrText>
            </w:r>
            <w:r>
              <w:rPr>
                <w:b w:val="0"/>
              </w:rPr>
              <w:fldChar w:fldCharType="separate"/>
            </w:r>
            <w:r w:rsidR="005F5618">
              <w:rPr>
                <w:b w:val="0"/>
                <w:noProof/>
              </w:rPr>
              <w:t>17</w:t>
            </w:r>
            <w:r>
              <w:rPr>
                <w:b w:val="0"/>
              </w:rPr>
              <w:fldChar w:fldCharType="end"/>
            </w:r>
            <w:r>
              <w:tab/>
              <w:t>Comment on data quality</w:t>
            </w:r>
          </w:p>
        </w:tc>
      </w:tr>
      <w:tr w:rsidR="00162BCC" w:rsidTr="00EF255E">
        <w:trPr>
          <w:cantSplit/>
        </w:trPr>
        <w:tc>
          <w:tcPr>
            <w:tcW w:w="8771" w:type="dxa"/>
            <w:tcBorders>
              <w:top w:val="nil"/>
              <w:left w:val="single" w:sz="6" w:space="0" w:color="auto"/>
              <w:bottom w:val="nil"/>
              <w:right w:val="single" w:sz="6" w:space="0" w:color="auto"/>
            </w:tcBorders>
          </w:tcPr>
          <w:p w:rsidR="00477F3B" w:rsidRDefault="00477F3B" w:rsidP="00477F3B">
            <w:pPr>
              <w:pStyle w:val="Box"/>
            </w:pPr>
            <w:r>
              <w:t>The DQSs for this indicator have been prepared by the ABS and are included in their original form in the section of this report titled ‘Data Quality Statements’. Key points from the DQSs are summarised below.</w:t>
            </w:r>
          </w:p>
          <w:p w:rsidR="00477F3B" w:rsidRDefault="00477F3B" w:rsidP="00477F3B">
            <w:pPr>
              <w:pStyle w:val="BoxListBullet"/>
            </w:pPr>
            <w:r>
              <w:t>The SEW provides relevant information on the proportion of the 20–24 year old population who have completed year 12 or equivalent or AQF Certificate II/III or above.</w:t>
            </w:r>
          </w:p>
          <w:p w:rsidR="00EF08AC" w:rsidRDefault="00477F3B" w:rsidP="00477F3B">
            <w:pPr>
              <w:pStyle w:val="BoxListBullet"/>
            </w:pPr>
            <w:r>
              <w:t xml:space="preserve">Data </w:t>
            </w:r>
            <w:r w:rsidR="00EF08AC">
              <w:t xml:space="preserve">for the total population </w:t>
            </w:r>
            <w:r>
              <w:t xml:space="preserve">are available </w:t>
            </w:r>
            <w:r w:rsidR="00EF08AC">
              <w:t xml:space="preserve">annually </w:t>
            </w:r>
            <w:r>
              <w:t xml:space="preserve">from the SEW </w:t>
            </w:r>
            <w:r w:rsidR="00EF08AC">
              <w:t xml:space="preserve">at </w:t>
            </w:r>
            <w:r w:rsidR="00765760">
              <w:t>the</w:t>
            </w:r>
            <w:r w:rsidR="00EF08AC">
              <w:t xml:space="preserve"> national level only. The most recent data are for 2013.</w:t>
            </w:r>
          </w:p>
          <w:p w:rsidR="009F63F0" w:rsidRDefault="00EF08AC" w:rsidP="00A32546">
            <w:pPr>
              <w:pStyle w:val="BoxListBullet"/>
            </w:pPr>
            <w:r>
              <w:t xml:space="preserve">Data for Indigenous people are available </w:t>
            </w:r>
            <w:r w:rsidR="008930C0">
              <w:t xml:space="preserve">at the national level only </w:t>
            </w:r>
            <w:r>
              <w:t xml:space="preserve">from the NATSIHS/NATSISS </w:t>
            </w:r>
            <w:r w:rsidRPr="00A32546">
              <w:t xml:space="preserve">on </w:t>
            </w:r>
            <w:r>
              <w:t xml:space="preserve">a three </w:t>
            </w:r>
            <w:r w:rsidRPr="00A32546">
              <w:t>yearly rotating cycle</w:t>
            </w:r>
            <w:r>
              <w:t>.</w:t>
            </w:r>
            <w:r w:rsidRPr="00A32546">
              <w:t xml:space="preserve"> </w:t>
            </w:r>
            <w:r w:rsidR="00A32546" w:rsidRPr="00A32546">
              <w:t>Th</w:t>
            </w:r>
            <w:r w:rsidR="00A32546">
              <w:t>e most recent data</w:t>
            </w:r>
            <w:r w:rsidR="001714E9">
              <w:t xml:space="preserve"> </w:t>
            </w:r>
            <w:r>
              <w:t>are for 2012</w:t>
            </w:r>
            <w:r>
              <w:noBreakHyphen/>
            </w:r>
            <w:r w:rsidRPr="00A32546">
              <w:t xml:space="preserve">13 </w:t>
            </w:r>
            <w:r w:rsidR="00A32546" w:rsidRPr="00A32546">
              <w:t>from the NATSIHS</w:t>
            </w:r>
            <w:r>
              <w:t>.</w:t>
            </w:r>
            <w:r w:rsidR="008930C0">
              <w:t xml:space="preserve"> </w:t>
            </w:r>
            <w:r w:rsidR="009F63F0">
              <w:t>Comparative n</w:t>
            </w:r>
            <w:r w:rsidR="008930C0">
              <w:t>on</w:t>
            </w:r>
            <w:r w:rsidR="001714E9">
              <w:noBreakHyphen/>
            </w:r>
            <w:r w:rsidR="008930C0">
              <w:t xml:space="preserve">Indigenous data are </w:t>
            </w:r>
            <w:r w:rsidR="009F63F0">
              <w:t xml:space="preserve">available annually from the SEW at the national level only. These comparative data are from the 2012 SEW. </w:t>
            </w:r>
          </w:p>
          <w:p w:rsidR="00BB1934" w:rsidRDefault="00BB1934" w:rsidP="00BB1934">
            <w:pPr>
              <w:pStyle w:val="BoxListBullet"/>
            </w:pPr>
            <w:r w:rsidRPr="00BB1934">
              <w:t>Prior to the 2013 SEW, people who were permanently unable to work (PUW) were excluded from the in</w:t>
            </w:r>
            <w:r w:rsidR="00556489">
              <w:noBreakHyphen/>
            </w:r>
            <w:r w:rsidRPr="00BB1934">
              <w:t>scope population. In 2013, the SEW scope was expanded to include the PUW population. However, to ensure that the indicator measure presented here is comparable over time, the PUW population has been excluded from these tables.</w:t>
            </w:r>
          </w:p>
          <w:p w:rsidR="00A32546" w:rsidRDefault="00477F3B" w:rsidP="00A32546">
            <w:pPr>
              <w:pStyle w:val="BoxListBullet"/>
            </w:pPr>
            <w:r>
              <w:t>Detailed explanatory notes are publicly available to assist in interpretation of results.</w:t>
            </w:r>
          </w:p>
          <w:p w:rsidR="00A32546" w:rsidRDefault="00477F3B" w:rsidP="00A32546">
            <w:pPr>
              <w:pStyle w:val="Box"/>
            </w:pPr>
            <w:r>
              <w:t>The Steering Committee also notes the following issues:</w:t>
            </w:r>
          </w:p>
          <w:p w:rsidR="00BB1934" w:rsidRDefault="00BB1934" w:rsidP="00BB1934">
            <w:pPr>
              <w:pStyle w:val="BoxListBullet"/>
            </w:pPr>
            <w:r w:rsidRPr="00BB1934">
              <w:t>The Steering Committee recommends that further analysis be conducted to determine whether future reports should include the PUW population for this indicator.</w:t>
            </w:r>
          </w:p>
          <w:p w:rsidR="005F046D" w:rsidRDefault="005F046D" w:rsidP="005F046D">
            <w:pPr>
              <w:pStyle w:val="BoxListBullet"/>
            </w:pPr>
            <w:r>
              <w:t xml:space="preserve">Under the previous NEA framework, SEW data were reported by State and Territory. The COAG review of the NEA performance framework </w:t>
            </w:r>
            <w:r w:rsidR="00163822">
              <w:t xml:space="preserve">agreed </w:t>
            </w:r>
            <w:r>
              <w:t xml:space="preserve">that </w:t>
            </w:r>
            <w:r w:rsidR="00163822">
              <w:t>SEW data should be reported at the national level only and that only</w:t>
            </w:r>
            <w:r>
              <w:t xml:space="preserve"> Census data </w:t>
            </w:r>
            <w:r w:rsidR="00163822">
              <w:t xml:space="preserve">should be used </w:t>
            </w:r>
            <w:r>
              <w:t xml:space="preserve">for State and Territory </w:t>
            </w:r>
            <w:r w:rsidR="00163822">
              <w:t>reporting.</w:t>
            </w:r>
          </w:p>
          <w:p w:rsidR="005F046D" w:rsidRDefault="005F046D" w:rsidP="005F046D">
            <w:pPr>
              <w:pStyle w:val="BoxListBullet"/>
            </w:pPr>
            <w:r>
              <w:t>The SEW is generally able to measure small changes in performance measures at the national level but is not designed to measure changes at the jurisdictional level with the same level of accuracy as the Census.</w:t>
            </w:r>
          </w:p>
          <w:p w:rsidR="00120830" w:rsidRDefault="00120830" w:rsidP="005F046D">
            <w:pPr>
              <w:pStyle w:val="BoxListBullet"/>
            </w:pPr>
            <w:r>
              <w:t>2012</w:t>
            </w:r>
            <w:r>
              <w:noBreakHyphen/>
              <w:t>13 NATSIHS data are preliminary and will be updated by the ABS in June</w:t>
            </w:r>
            <w:r w:rsidR="00F95624">
              <w:t> </w:t>
            </w:r>
            <w:r>
              <w:t>2014.</w:t>
            </w:r>
          </w:p>
          <w:p w:rsidR="00477F3B" w:rsidRDefault="00477F3B" w:rsidP="00A32546">
            <w:pPr>
              <w:pStyle w:val="BoxListBullet"/>
            </w:pPr>
            <w:r>
              <w:t>Census data are not directly comparable to SEW</w:t>
            </w:r>
            <w:r w:rsidR="00120830">
              <w:t>/NATSIHS</w:t>
            </w:r>
            <w:r>
              <w:t xml:space="preserve"> data.</w:t>
            </w:r>
          </w:p>
          <w:p w:rsidR="00A32546" w:rsidRDefault="00A32546" w:rsidP="00A32546">
            <w:pPr>
              <w:pStyle w:val="BoxListBullet"/>
            </w:pPr>
            <w:r>
              <w:t xml:space="preserve">The ABS advised that the method for allocating Census data and SEIFA IRSD changed from the 2008 baseline report for measure 4(a). Revised data </w:t>
            </w:r>
            <w:r w:rsidR="00BB09A3">
              <w:t xml:space="preserve">for measure 4(a) (certificate II and above) </w:t>
            </w:r>
            <w:r>
              <w:t xml:space="preserve">have been provided to allow for comparisons </w:t>
            </w:r>
            <w:r w:rsidR="00F048E2">
              <w:t>with 2006 Census data for measure 4(c)</w:t>
            </w:r>
            <w:r w:rsidR="00BB09A3">
              <w:t xml:space="preserve"> (certificate III and above)</w:t>
            </w:r>
            <w:r w:rsidR="00F048E2">
              <w:t>.</w:t>
            </w:r>
            <w:r w:rsidR="008341BB">
              <w:t xml:space="preserve"> Note: the DQS </w:t>
            </w:r>
            <w:r w:rsidR="00496204">
              <w:t>published in</w:t>
            </w:r>
            <w:r w:rsidR="008341BB">
              <w:t xml:space="preserve"> the 2009 NEA performance report still applies to </w:t>
            </w:r>
            <w:r w:rsidR="00163822">
              <w:t xml:space="preserve">the </w:t>
            </w:r>
            <w:r w:rsidR="008341BB">
              <w:t xml:space="preserve">revised data. </w:t>
            </w:r>
          </w:p>
          <w:p w:rsidR="00162BCC" w:rsidRDefault="00477F3B" w:rsidP="00A32546">
            <w:pPr>
              <w:pStyle w:val="BoxListBullet"/>
            </w:pPr>
            <w:r>
              <w:t>A</w:t>
            </w:r>
            <w:r w:rsidR="002D06C2">
              <w:t>s</w:t>
            </w:r>
            <w:r>
              <w:t xml:space="preserve"> requested in the COAG review of the NEA performance framework, ACARA is leading work to develop measures for this indicator based on administrative data.</w:t>
            </w:r>
          </w:p>
        </w:tc>
      </w:tr>
      <w:tr w:rsidR="00162BCC" w:rsidTr="00EF255E">
        <w:trPr>
          <w:cantSplit/>
        </w:trPr>
        <w:tc>
          <w:tcPr>
            <w:tcW w:w="8771" w:type="dxa"/>
            <w:tcBorders>
              <w:top w:val="nil"/>
              <w:left w:val="single" w:sz="6" w:space="0" w:color="auto"/>
              <w:bottom w:val="single" w:sz="6" w:space="0" w:color="auto"/>
              <w:right w:val="single" w:sz="6" w:space="0" w:color="auto"/>
            </w:tcBorders>
          </w:tcPr>
          <w:p w:rsidR="00162BCC" w:rsidRDefault="00162BCC" w:rsidP="00EF255E">
            <w:pPr>
              <w:pStyle w:val="Box"/>
              <w:spacing w:before="0" w:line="120" w:lineRule="exact"/>
            </w:pPr>
          </w:p>
        </w:tc>
      </w:tr>
      <w:tr w:rsidR="00162BCC" w:rsidRPr="000863A5" w:rsidTr="00EF255E">
        <w:tc>
          <w:tcPr>
            <w:tcW w:w="8771" w:type="dxa"/>
            <w:tcBorders>
              <w:top w:val="nil"/>
              <w:left w:val="nil"/>
              <w:bottom w:val="nil"/>
              <w:right w:val="nil"/>
            </w:tcBorders>
          </w:tcPr>
          <w:p w:rsidR="00162BCC" w:rsidRPr="00626D32" w:rsidRDefault="00162BCC" w:rsidP="00EF255E">
            <w:pPr>
              <w:pStyle w:val="BoxSpaceBelow"/>
            </w:pPr>
          </w:p>
        </w:tc>
      </w:tr>
    </w:tbl>
    <w:p w:rsidR="0035205B" w:rsidRDefault="0035205B" w:rsidP="0035205B">
      <w:pPr>
        <w:pStyle w:val="Heading3"/>
      </w:pPr>
      <w:bookmarkStart w:id="22" w:name="_Ref377566487"/>
      <w:r w:rsidRPr="00136727">
        <w:t xml:space="preserve">Performance </w:t>
      </w:r>
      <w:r>
        <w:t>indicator 5</w:t>
      </w:r>
      <w:r w:rsidRPr="00136727">
        <w:t xml:space="preserve">: </w:t>
      </w:r>
      <w:r w:rsidRPr="0035205B">
        <w:t>The proportion of young people participating in post</w:t>
      </w:r>
      <w:r w:rsidR="00D119D7">
        <w:noBreakHyphen/>
      </w:r>
      <w:r w:rsidRPr="0035205B">
        <w:t>school education, training or employment</w:t>
      </w:r>
      <w:bookmarkEnd w:id="22"/>
    </w:p>
    <w:p w:rsidR="0035205B" w:rsidRPr="003A784E" w:rsidRDefault="0035205B" w:rsidP="0035205B">
      <w:pPr>
        <w:pStyle w:val="Subtitle"/>
      </w:pPr>
    </w:p>
    <w:tbl>
      <w:tblPr>
        <w:tblW w:w="5000" w:type="pct"/>
        <w:tblCellMar>
          <w:left w:w="0" w:type="dxa"/>
          <w:right w:w="0" w:type="dxa"/>
        </w:tblCellMar>
        <w:tblLook w:val="0000" w:firstRow="0" w:lastRow="0" w:firstColumn="0" w:lastColumn="0" w:noHBand="0" w:noVBand="0"/>
      </w:tblPr>
      <w:tblGrid>
        <w:gridCol w:w="1985"/>
        <w:gridCol w:w="6804"/>
      </w:tblGrid>
      <w:tr w:rsidR="00BF467C" w:rsidTr="008539DA">
        <w:trPr>
          <w:trHeight w:val="823"/>
        </w:trPr>
        <w:tc>
          <w:tcPr>
            <w:tcW w:w="1129" w:type="pct"/>
            <w:shd w:val="clear" w:color="auto" w:fill="auto"/>
          </w:tcPr>
          <w:p w:rsidR="00BF467C" w:rsidRPr="009E582C" w:rsidRDefault="00BF467C" w:rsidP="009E582C">
            <w:pPr>
              <w:pStyle w:val="TableBodyText"/>
              <w:keepNext w:val="0"/>
              <w:keepLines w:val="0"/>
              <w:ind w:left="34"/>
              <w:jc w:val="left"/>
            </w:pPr>
            <w:r w:rsidRPr="009E582C">
              <w:t>Key amendments from previous cycle of reporting:</w:t>
            </w:r>
          </w:p>
          <w:p w:rsidR="00BF467C" w:rsidRPr="009E582C" w:rsidRDefault="00BF467C" w:rsidP="009E582C">
            <w:pPr>
              <w:pStyle w:val="TableBodyText"/>
              <w:keepNext w:val="0"/>
              <w:keepLines w:val="0"/>
              <w:ind w:left="34"/>
              <w:jc w:val="left"/>
            </w:pPr>
          </w:p>
        </w:tc>
        <w:tc>
          <w:tcPr>
            <w:tcW w:w="3871" w:type="pct"/>
            <w:shd w:val="clear" w:color="auto" w:fill="auto"/>
          </w:tcPr>
          <w:p w:rsidR="00BF467C" w:rsidRDefault="00BF467C" w:rsidP="003F0181">
            <w:pPr>
              <w:pStyle w:val="TableBodyText"/>
              <w:keepNext w:val="0"/>
              <w:keepLines w:val="0"/>
              <w:ind w:left="34"/>
              <w:jc w:val="left"/>
            </w:pPr>
            <w:r w:rsidRPr="00FC264B">
              <w:t xml:space="preserve">This </w:t>
            </w:r>
            <w:r>
              <w:t>indicator</w:t>
            </w:r>
            <w:r w:rsidRPr="00FC264B">
              <w:t xml:space="preserve"> i</w:t>
            </w:r>
            <w:r>
              <w:t>s unchanged from the previous NEA performance report</w:t>
            </w:r>
            <w:r w:rsidRPr="00FC264B">
              <w:t>.</w:t>
            </w:r>
          </w:p>
          <w:p w:rsidR="00BF467C" w:rsidRPr="008E7459" w:rsidRDefault="00BF467C" w:rsidP="003F0181">
            <w:pPr>
              <w:pStyle w:val="TableBodyText"/>
              <w:keepNext w:val="0"/>
              <w:keepLines w:val="0"/>
              <w:ind w:left="34"/>
              <w:jc w:val="left"/>
            </w:pPr>
          </w:p>
        </w:tc>
      </w:tr>
      <w:tr w:rsidR="00BF467C" w:rsidTr="008539DA">
        <w:tc>
          <w:tcPr>
            <w:tcW w:w="1129" w:type="pct"/>
          </w:tcPr>
          <w:p w:rsidR="00BF467C" w:rsidRPr="009E582C" w:rsidRDefault="00BF467C" w:rsidP="009E582C">
            <w:pPr>
              <w:pStyle w:val="TableBodyText"/>
              <w:keepNext w:val="0"/>
              <w:keepLines w:val="0"/>
              <w:ind w:left="34"/>
              <w:jc w:val="left"/>
            </w:pPr>
            <w:r w:rsidRPr="009E582C">
              <w:t>Outcome:</w:t>
            </w:r>
          </w:p>
        </w:tc>
        <w:tc>
          <w:tcPr>
            <w:tcW w:w="3871" w:type="pct"/>
          </w:tcPr>
          <w:p w:rsidR="00BF467C" w:rsidRPr="008E7459" w:rsidRDefault="00BF467C" w:rsidP="003F0181">
            <w:pPr>
              <w:pStyle w:val="TableBodyText"/>
              <w:jc w:val="left"/>
              <w:rPr>
                <w:rFonts w:cs="Arial"/>
              </w:rPr>
            </w:pPr>
            <w:r w:rsidRPr="008E7459">
              <w:rPr>
                <w:rFonts w:cs="Arial"/>
              </w:rPr>
              <w:t>Young people make a successful transition from school to work and</w:t>
            </w:r>
          </w:p>
          <w:p w:rsidR="00BF467C" w:rsidRDefault="00BF467C" w:rsidP="003F0181">
            <w:pPr>
              <w:pStyle w:val="TableBodyText"/>
              <w:jc w:val="left"/>
              <w:rPr>
                <w:rFonts w:cs="Arial"/>
              </w:rPr>
            </w:pPr>
            <w:r w:rsidRPr="008E7459">
              <w:rPr>
                <w:rFonts w:cs="Arial"/>
              </w:rPr>
              <w:t>further study</w:t>
            </w:r>
          </w:p>
          <w:p w:rsidR="00BF467C" w:rsidRPr="008E7459" w:rsidRDefault="00BF467C" w:rsidP="003F0181">
            <w:pPr>
              <w:pStyle w:val="TableBodyText"/>
              <w:jc w:val="left"/>
              <w:rPr>
                <w:rFonts w:cs="Arial"/>
              </w:rPr>
            </w:pPr>
          </w:p>
        </w:tc>
      </w:tr>
      <w:tr w:rsidR="00BF467C" w:rsidTr="008539DA">
        <w:tc>
          <w:tcPr>
            <w:tcW w:w="1129" w:type="pct"/>
          </w:tcPr>
          <w:p w:rsidR="00BF467C" w:rsidRPr="009E582C" w:rsidRDefault="00BF467C" w:rsidP="009E582C">
            <w:pPr>
              <w:pStyle w:val="TableBodyText"/>
              <w:keepNext w:val="0"/>
              <w:keepLines w:val="0"/>
              <w:ind w:left="34"/>
              <w:jc w:val="left"/>
            </w:pPr>
            <w:r w:rsidRPr="009E582C">
              <w:t xml:space="preserve">Measures: </w:t>
            </w:r>
          </w:p>
        </w:tc>
        <w:tc>
          <w:tcPr>
            <w:tcW w:w="3871" w:type="pct"/>
          </w:tcPr>
          <w:p w:rsidR="00BF467C" w:rsidRPr="008E7459" w:rsidRDefault="00BF467C" w:rsidP="003F0181">
            <w:pPr>
              <w:pStyle w:val="TableBodyText"/>
              <w:jc w:val="left"/>
              <w:rPr>
                <w:rFonts w:cs="Arial"/>
              </w:rPr>
            </w:pPr>
            <w:r w:rsidRPr="008E7459">
              <w:rPr>
                <w:rFonts w:cs="Arial"/>
              </w:rPr>
              <w:t>The proportion of people aged 17–24 years participating in post school education, training or employment</w:t>
            </w:r>
          </w:p>
          <w:p w:rsidR="00BF467C" w:rsidRPr="008E7459" w:rsidRDefault="00BF467C" w:rsidP="00BF467C">
            <w:pPr>
              <w:pStyle w:val="TableBodyText"/>
              <w:jc w:val="left"/>
              <w:rPr>
                <w:rFonts w:cs="Arial"/>
              </w:rPr>
            </w:pPr>
          </w:p>
          <w:p w:rsidR="00BF467C" w:rsidRPr="008E7459" w:rsidRDefault="00BF467C" w:rsidP="003F0181">
            <w:pPr>
              <w:pStyle w:val="TableBodyText"/>
              <w:jc w:val="left"/>
              <w:rPr>
                <w:rFonts w:cs="Arial"/>
              </w:rPr>
            </w:pPr>
            <w:r w:rsidRPr="008E7459">
              <w:rPr>
                <w:rFonts w:cs="Arial"/>
              </w:rPr>
              <w:t>The measure is defined as:</w:t>
            </w:r>
          </w:p>
          <w:p w:rsidR="00BF467C" w:rsidRPr="008E7459" w:rsidRDefault="00BF467C" w:rsidP="008576E5">
            <w:pPr>
              <w:pStyle w:val="TableBullet"/>
            </w:pPr>
            <w:r w:rsidRPr="008E7459">
              <w:rPr>
                <w:i/>
              </w:rPr>
              <w:t>numerator</w:t>
            </w:r>
            <w:r w:rsidRPr="008E7459">
              <w:t xml:space="preserve"> — number of people aged 17–24 years who are fully engaged in post school education, training or employment</w:t>
            </w:r>
          </w:p>
          <w:p w:rsidR="00BF467C" w:rsidRPr="008E7459" w:rsidRDefault="00BF467C" w:rsidP="008576E5">
            <w:pPr>
              <w:pStyle w:val="TableBullet"/>
            </w:pPr>
            <w:r w:rsidRPr="008E7459">
              <w:rPr>
                <w:i/>
              </w:rPr>
              <w:t>denominator</w:t>
            </w:r>
            <w:r w:rsidRPr="008E7459">
              <w:t xml:space="preserve"> — number of people aged 17–24 years who are not at school </w:t>
            </w:r>
          </w:p>
          <w:p w:rsidR="00BF467C" w:rsidRPr="008E7459" w:rsidRDefault="00BF467C" w:rsidP="003F0181">
            <w:pPr>
              <w:pStyle w:val="TableBodyText"/>
              <w:jc w:val="left"/>
              <w:rPr>
                <w:rFonts w:cs="Arial"/>
                <w:b/>
                <w:i/>
              </w:rPr>
            </w:pPr>
            <w:r w:rsidRPr="008E7459">
              <w:rPr>
                <w:rFonts w:cs="Arial"/>
              </w:rPr>
              <w:t xml:space="preserve">and is expressed as a </w:t>
            </w:r>
            <w:r w:rsidRPr="008E7459">
              <w:rPr>
                <w:rFonts w:cs="Arial"/>
                <w:i/>
              </w:rPr>
              <w:t>percentage</w:t>
            </w:r>
          </w:p>
          <w:p w:rsidR="00BF467C" w:rsidRPr="008E7459" w:rsidRDefault="00BF467C" w:rsidP="003F0181">
            <w:pPr>
              <w:pStyle w:val="TableBodyText"/>
              <w:jc w:val="left"/>
              <w:rPr>
                <w:rFonts w:cs="Arial"/>
              </w:rPr>
            </w:pPr>
          </w:p>
          <w:p w:rsidR="00BF467C" w:rsidRPr="008E7459" w:rsidRDefault="00BF467C" w:rsidP="003F0181">
            <w:pPr>
              <w:pStyle w:val="TableBodyText"/>
              <w:jc w:val="left"/>
              <w:rPr>
                <w:rFonts w:cs="Arial"/>
              </w:rPr>
            </w:pPr>
            <w:r w:rsidRPr="008E7459">
              <w:rPr>
                <w:rFonts w:cs="Arial"/>
              </w:rPr>
              <w:t>Fully engaged is defined as full time employment, full time education or training, or a mixture of part time employment and part time education or training</w:t>
            </w:r>
          </w:p>
          <w:p w:rsidR="00BF467C" w:rsidRPr="008E7459" w:rsidRDefault="00BF467C" w:rsidP="003F0181">
            <w:pPr>
              <w:pStyle w:val="TableBodyText"/>
              <w:jc w:val="left"/>
              <w:rPr>
                <w:rFonts w:cs="Arial"/>
              </w:rPr>
            </w:pPr>
          </w:p>
          <w:p w:rsidR="00BF467C" w:rsidRDefault="00BF467C" w:rsidP="003F0181">
            <w:pPr>
              <w:pStyle w:val="TableBodyText"/>
              <w:jc w:val="left"/>
              <w:rPr>
                <w:rFonts w:cs="Arial"/>
              </w:rPr>
            </w:pPr>
            <w:r w:rsidRPr="008E7459">
              <w:rPr>
                <w:rFonts w:cs="Arial"/>
              </w:rPr>
              <w:t>Census data: People whose labour force status was not stated and who were not identified as studying full</w:t>
            </w:r>
            <w:r w:rsidRPr="008E7459">
              <w:rPr>
                <w:rFonts w:cs="Arial"/>
              </w:rPr>
              <w:noBreakHyphen/>
              <w:t>time, are excluded. People whose student status was not stated and who were not identified as employed full</w:t>
            </w:r>
            <w:r w:rsidRPr="008E7459">
              <w:rPr>
                <w:rFonts w:cs="Arial"/>
              </w:rPr>
              <w:noBreakHyphen/>
              <w:t>time, are excluded. People who did not state their labour force status and did not state the</w:t>
            </w:r>
            <w:r w:rsidR="00694EF7">
              <w:rPr>
                <w:rFonts w:cs="Arial"/>
              </w:rPr>
              <w:t>ir student status are excluded</w:t>
            </w:r>
          </w:p>
          <w:p w:rsidR="00BB1934" w:rsidRDefault="00BB1934" w:rsidP="003F0181">
            <w:pPr>
              <w:pStyle w:val="TableBodyText"/>
              <w:jc w:val="left"/>
              <w:rPr>
                <w:rFonts w:cs="Arial"/>
              </w:rPr>
            </w:pPr>
          </w:p>
          <w:p w:rsidR="00BB1934" w:rsidRDefault="00BB1934" w:rsidP="003F0181">
            <w:pPr>
              <w:pStyle w:val="TableBodyText"/>
              <w:jc w:val="left"/>
              <w:rPr>
                <w:rFonts w:cs="Arial"/>
              </w:rPr>
            </w:pPr>
            <w:r w:rsidRPr="00BB1934">
              <w:rPr>
                <w:rFonts w:cs="Arial"/>
              </w:rPr>
              <w:t>SEW data: Prior to the 2013 SEW, people who were permanently unable to work (PUW) were excluded from the in</w:t>
            </w:r>
            <w:r w:rsidR="00556489">
              <w:rPr>
                <w:rFonts w:cs="Arial"/>
              </w:rPr>
              <w:noBreakHyphen/>
            </w:r>
            <w:r w:rsidRPr="00BB1934">
              <w:rPr>
                <w:rFonts w:cs="Arial"/>
              </w:rPr>
              <w:t>scope population. In 2013, the SEW scope was expanded to include the PUW population. However, to ensure that the indicator measure presented here is comparable over time, the PUW population has been excluded from these tables.</w:t>
            </w:r>
          </w:p>
          <w:p w:rsidR="00BF467C" w:rsidRPr="00BF467C" w:rsidRDefault="00BF467C" w:rsidP="003F0181">
            <w:pPr>
              <w:pStyle w:val="TableBodyText"/>
              <w:jc w:val="left"/>
            </w:pPr>
          </w:p>
        </w:tc>
      </w:tr>
      <w:tr w:rsidR="00BF467C" w:rsidTr="008539DA">
        <w:tc>
          <w:tcPr>
            <w:tcW w:w="1129" w:type="pct"/>
          </w:tcPr>
          <w:p w:rsidR="00BF467C" w:rsidRPr="009E582C" w:rsidRDefault="00BF467C" w:rsidP="009E582C">
            <w:pPr>
              <w:pStyle w:val="TableBodyText"/>
              <w:keepNext w:val="0"/>
              <w:keepLines w:val="0"/>
              <w:ind w:left="34"/>
              <w:jc w:val="left"/>
            </w:pPr>
            <w:r w:rsidRPr="009E582C">
              <w:t>Data source:</w:t>
            </w:r>
          </w:p>
          <w:p w:rsidR="00BF467C" w:rsidRPr="009E582C" w:rsidRDefault="00BF467C" w:rsidP="009E582C">
            <w:pPr>
              <w:pStyle w:val="TableBodyText"/>
              <w:keepNext w:val="0"/>
              <w:keepLines w:val="0"/>
              <w:ind w:left="34"/>
              <w:jc w:val="left"/>
            </w:pPr>
          </w:p>
        </w:tc>
        <w:tc>
          <w:tcPr>
            <w:tcW w:w="3871" w:type="pct"/>
          </w:tcPr>
          <w:p w:rsidR="00BF467C" w:rsidRPr="008E7459" w:rsidRDefault="00BF467C" w:rsidP="003F0181">
            <w:pPr>
              <w:autoSpaceDE w:val="0"/>
              <w:autoSpaceDN w:val="0"/>
              <w:adjustRightInd w:val="0"/>
              <w:rPr>
                <w:rFonts w:ascii="Arial" w:hAnsi="Arial" w:cs="Arial"/>
                <w:sz w:val="20"/>
                <w:szCs w:val="20"/>
              </w:rPr>
            </w:pPr>
            <w:r w:rsidRPr="008E7459">
              <w:rPr>
                <w:rStyle w:val="TableBodyTextChar"/>
                <w:rFonts w:cs="Arial"/>
                <w:i/>
                <w:sz w:val="20"/>
              </w:rPr>
              <w:t xml:space="preserve">(Main) </w:t>
            </w:r>
            <w:r w:rsidRPr="008E7459">
              <w:rPr>
                <w:rFonts w:ascii="Arial" w:hAnsi="Arial" w:cs="Arial"/>
                <w:sz w:val="20"/>
                <w:szCs w:val="20"/>
                <w:u w:val="single"/>
              </w:rPr>
              <w:t>Census of Population and Housing</w:t>
            </w:r>
            <w:r w:rsidRPr="008E7459">
              <w:rPr>
                <w:rFonts w:ascii="Arial" w:hAnsi="Arial" w:cs="Arial"/>
                <w:sz w:val="20"/>
                <w:szCs w:val="20"/>
              </w:rPr>
              <w:t xml:space="preserve"> (Census). Data are available every 5 years</w:t>
            </w:r>
          </w:p>
          <w:p w:rsidR="00BF467C" w:rsidRPr="008E7459" w:rsidRDefault="00BF467C" w:rsidP="003F0181">
            <w:pPr>
              <w:autoSpaceDE w:val="0"/>
              <w:autoSpaceDN w:val="0"/>
              <w:adjustRightInd w:val="0"/>
              <w:rPr>
                <w:rFonts w:ascii="Arial" w:hAnsi="Arial" w:cs="Arial"/>
                <w:sz w:val="20"/>
                <w:szCs w:val="20"/>
              </w:rPr>
            </w:pPr>
            <w:r w:rsidRPr="008E7459">
              <w:rPr>
                <w:rStyle w:val="TableBodyTextChar"/>
                <w:rFonts w:cs="Arial"/>
                <w:i/>
                <w:sz w:val="20"/>
              </w:rPr>
              <w:t>(Supplementary and Supplementary non</w:t>
            </w:r>
            <w:r w:rsidRPr="008E7459">
              <w:rPr>
                <w:rStyle w:val="TableBodyTextChar"/>
                <w:rFonts w:cs="Arial"/>
                <w:i/>
                <w:sz w:val="20"/>
              </w:rPr>
              <w:noBreakHyphen/>
              <w:t xml:space="preserve">Indigenous) </w:t>
            </w:r>
            <w:r w:rsidRPr="008E7459">
              <w:rPr>
                <w:rFonts w:ascii="Arial" w:hAnsi="Arial" w:cs="Arial"/>
                <w:sz w:val="20"/>
                <w:szCs w:val="20"/>
                <w:u w:val="single"/>
              </w:rPr>
              <w:t>Survey of Education and Work</w:t>
            </w:r>
            <w:r w:rsidRPr="008E7459">
              <w:rPr>
                <w:rFonts w:ascii="Arial" w:hAnsi="Arial" w:cs="Arial"/>
                <w:sz w:val="20"/>
                <w:szCs w:val="20"/>
              </w:rPr>
              <w:t xml:space="preserve"> (SEW). Data are available annually</w:t>
            </w:r>
          </w:p>
          <w:p w:rsidR="00BF467C" w:rsidRPr="0024586C" w:rsidRDefault="00BF467C" w:rsidP="003F0181">
            <w:pPr>
              <w:autoSpaceDE w:val="0"/>
              <w:autoSpaceDN w:val="0"/>
              <w:adjustRightInd w:val="0"/>
              <w:rPr>
                <w:rFonts w:ascii="Arial" w:hAnsi="Arial" w:cs="Arial"/>
                <w:sz w:val="20"/>
                <w:szCs w:val="20"/>
              </w:rPr>
            </w:pPr>
            <w:r w:rsidRPr="008E7459">
              <w:rPr>
                <w:rStyle w:val="TableBodyTextChar"/>
                <w:rFonts w:cs="Arial"/>
                <w:i/>
                <w:sz w:val="20"/>
              </w:rPr>
              <w:t xml:space="preserve">(Supplementary Indigenous) </w:t>
            </w:r>
            <w:r w:rsidRPr="008E7459">
              <w:rPr>
                <w:rFonts w:ascii="Arial" w:hAnsi="Arial" w:cs="Arial"/>
                <w:sz w:val="20"/>
                <w:szCs w:val="20"/>
                <w:u w:val="single"/>
              </w:rPr>
              <w:t>National Aboriginal and Torres Strait Islander Social Survey</w:t>
            </w:r>
            <w:r w:rsidRPr="008E7459">
              <w:rPr>
                <w:rFonts w:ascii="Arial" w:hAnsi="Arial" w:cs="Arial"/>
                <w:sz w:val="20"/>
                <w:szCs w:val="20"/>
              </w:rPr>
              <w:t xml:space="preserve"> (NATSISS) and</w:t>
            </w:r>
            <w:r>
              <w:rPr>
                <w:rFonts w:ascii="Arial" w:hAnsi="Arial" w:cs="Arial"/>
                <w:sz w:val="20"/>
                <w:szCs w:val="20"/>
              </w:rPr>
              <w:t xml:space="preserve"> </w:t>
            </w:r>
            <w:r w:rsidRPr="00892BF4">
              <w:rPr>
                <w:rFonts w:ascii="Arial" w:hAnsi="Arial" w:cs="Arial"/>
                <w:sz w:val="20"/>
                <w:szCs w:val="20"/>
                <w:u w:val="single"/>
              </w:rPr>
              <w:t>National Aboriginal and Torres Strait Islander Health Survey</w:t>
            </w:r>
            <w:r w:rsidRPr="008A01FE">
              <w:rPr>
                <w:rFonts w:ascii="Arial" w:hAnsi="Arial" w:cs="Arial"/>
                <w:sz w:val="20"/>
                <w:szCs w:val="20"/>
              </w:rPr>
              <w:t xml:space="preserve"> (</w:t>
            </w:r>
            <w:r w:rsidRPr="00DE7629">
              <w:rPr>
                <w:rFonts w:ascii="Arial" w:hAnsi="Arial" w:cs="Arial"/>
                <w:sz w:val="20"/>
                <w:szCs w:val="20"/>
              </w:rPr>
              <w:t>NATSIHS</w:t>
            </w:r>
            <w:r w:rsidRPr="005333EF">
              <w:rPr>
                <w:rFonts w:ascii="Arial" w:hAnsi="Arial" w:cs="Arial"/>
                <w:sz w:val="20"/>
                <w:szCs w:val="20"/>
              </w:rPr>
              <w:t>) component of the</w:t>
            </w:r>
            <w:r w:rsidRPr="00892BF4">
              <w:rPr>
                <w:rFonts w:ascii="Arial" w:hAnsi="Arial" w:cs="Arial"/>
                <w:sz w:val="20"/>
                <w:szCs w:val="20"/>
                <w:u w:val="single"/>
              </w:rPr>
              <w:t xml:space="preserve"> Australian Aboriginal and Torres Strait Islander Health Survey</w:t>
            </w:r>
            <w:r w:rsidRPr="008A01FE">
              <w:rPr>
                <w:rFonts w:ascii="Arial" w:hAnsi="Arial" w:cs="Arial"/>
                <w:sz w:val="20"/>
                <w:szCs w:val="20"/>
              </w:rPr>
              <w:t xml:space="preserve"> </w:t>
            </w:r>
            <w:r w:rsidRPr="005333EF">
              <w:rPr>
                <w:rFonts w:ascii="Arial" w:hAnsi="Arial" w:cs="Arial"/>
                <w:sz w:val="20"/>
                <w:szCs w:val="20"/>
              </w:rPr>
              <w:t>(AATSIHS). Data are available o</w:t>
            </w:r>
            <w:r w:rsidR="00694EF7">
              <w:rPr>
                <w:rFonts w:ascii="Arial" w:hAnsi="Arial" w:cs="Arial"/>
                <w:sz w:val="20"/>
                <w:szCs w:val="20"/>
              </w:rPr>
              <w:t>n an alternating 3 yearly cycle</w:t>
            </w:r>
          </w:p>
        </w:tc>
      </w:tr>
      <w:tr w:rsidR="00BF467C" w:rsidTr="008539DA">
        <w:tc>
          <w:tcPr>
            <w:tcW w:w="1129" w:type="pct"/>
          </w:tcPr>
          <w:p w:rsidR="00BF467C" w:rsidRPr="009E582C" w:rsidRDefault="00BF467C" w:rsidP="009E582C">
            <w:pPr>
              <w:pStyle w:val="TableBodyText"/>
              <w:keepNext w:val="0"/>
              <w:keepLines w:val="0"/>
              <w:ind w:left="34"/>
              <w:jc w:val="left"/>
            </w:pPr>
            <w:r w:rsidRPr="009E582C">
              <w:t>Data provider:</w:t>
            </w:r>
          </w:p>
          <w:p w:rsidR="00BF467C" w:rsidRPr="009E582C" w:rsidRDefault="00BF467C" w:rsidP="009E582C">
            <w:pPr>
              <w:pStyle w:val="TableBodyText"/>
              <w:keepNext w:val="0"/>
              <w:keepLines w:val="0"/>
              <w:ind w:left="34"/>
              <w:jc w:val="left"/>
            </w:pPr>
          </w:p>
        </w:tc>
        <w:tc>
          <w:tcPr>
            <w:tcW w:w="3871" w:type="pct"/>
          </w:tcPr>
          <w:p w:rsidR="00BF467C" w:rsidRPr="008E7459" w:rsidRDefault="00BF467C" w:rsidP="003F0181">
            <w:pPr>
              <w:pStyle w:val="TableBodyText"/>
              <w:keepNext w:val="0"/>
              <w:jc w:val="left"/>
              <w:rPr>
                <w:rFonts w:cs="Arial"/>
              </w:rPr>
            </w:pPr>
            <w:r w:rsidRPr="008E7459">
              <w:rPr>
                <w:rFonts w:cs="Arial"/>
              </w:rPr>
              <w:t>ABS</w:t>
            </w:r>
          </w:p>
        </w:tc>
      </w:tr>
      <w:tr w:rsidR="00BF467C" w:rsidTr="008539DA">
        <w:tc>
          <w:tcPr>
            <w:tcW w:w="1129" w:type="pct"/>
          </w:tcPr>
          <w:p w:rsidR="00BF467C" w:rsidRPr="009E582C" w:rsidRDefault="00BF467C" w:rsidP="009E582C">
            <w:pPr>
              <w:pStyle w:val="TableBodyText"/>
              <w:keepNext w:val="0"/>
              <w:keepLines w:val="0"/>
              <w:ind w:left="34"/>
              <w:jc w:val="left"/>
            </w:pPr>
            <w:r w:rsidRPr="009E582C">
              <w:t>Data availability:</w:t>
            </w:r>
          </w:p>
          <w:p w:rsidR="00BF467C" w:rsidRPr="009E582C" w:rsidRDefault="00BF467C" w:rsidP="009E582C">
            <w:pPr>
              <w:pStyle w:val="TableBodyText"/>
              <w:keepNext w:val="0"/>
              <w:keepLines w:val="0"/>
              <w:ind w:left="34"/>
              <w:jc w:val="left"/>
            </w:pPr>
          </w:p>
        </w:tc>
        <w:tc>
          <w:tcPr>
            <w:tcW w:w="3871" w:type="pct"/>
          </w:tcPr>
          <w:p w:rsidR="00BF467C" w:rsidRPr="008E7459" w:rsidRDefault="00BF467C" w:rsidP="003F0181">
            <w:pPr>
              <w:pStyle w:val="TableBodyText"/>
              <w:keepNext w:val="0"/>
              <w:jc w:val="left"/>
              <w:rPr>
                <w:rFonts w:cs="Arial"/>
              </w:rPr>
            </w:pPr>
            <w:r w:rsidRPr="008E7459">
              <w:rPr>
                <w:rFonts w:cs="Arial"/>
              </w:rPr>
              <w:t>SEW — 201</w:t>
            </w:r>
            <w:r>
              <w:rPr>
                <w:rFonts w:cs="Arial"/>
              </w:rPr>
              <w:t>3</w:t>
            </w:r>
            <w:r w:rsidRPr="008E7459">
              <w:rPr>
                <w:rFonts w:cs="Arial"/>
              </w:rPr>
              <w:t xml:space="preserve"> (current year) and 201</w:t>
            </w:r>
            <w:r>
              <w:rPr>
                <w:rFonts w:cs="Arial"/>
              </w:rPr>
              <w:t>2</w:t>
            </w:r>
            <w:r w:rsidRPr="008E7459">
              <w:rPr>
                <w:rFonts w:cs="Arial"/>
              </w:rPr>
              <w:t xml:space="preserve"> (</w:t>
            </w:r>
            <w:r>
              <w:rPr>
                <w:rFonts w:cs="Arial"/>
              </w:rPr>
              <w:t>non</w:t>
            </w:r>
            <w:r w:rsidR="00D119D7">
              <w:rPr>
                <w:rFonts w:cs="Arial"/>
              </w:rPr>
              <w:noBreakHyphen/>
            </w:r>
            <w:r>
              <w:rPr>
                <w:rFonts w:cs="Arial"/>
              </w:rPr>
              <w:t>Indigenous comparator</w:t>
            </w:r>
            <w:r w:rsidRPr="008E7459">
              <w:rPr>
                <w:rFonts w:cs="Arial"/>
              </w:rPr>
              <w:t>)</w:t>
            </w:r>
          </w:p>
          <w:p w:rsidR="00BF467C" w:rsidRDefault="00BF467C" w:rsidP="003F0181">
            <w:pPr>
              <w:pStyle w:val="TableBodyText"/>
              <w:ind w:hanging="6"/>
              <w:jc w:val="left"/>
            </w:pPr>
            <w:r>
              <w:t>NATSIHS component of the AATSIHS — 2012</w:t>
            </w:r>
            <w:r w:rsidR="00D119D7">
              <w:noBreakHyphen/>
            </w:r>
            <w:r>
              <w:t>13 (Indigenous comparator)</w:t>
            </w:r>
          </w:p>
          <w:p w:rsidR="00BF467C" w:rsidRPr="008E7459" w:rsidRDefault="00BF467C" w:rsidP="003F0181">
            <w:pPr>
              <w:pStyle w:val="TableBodyText"/>
              <w:keepNext w:val="0"/>
              <w:jc w:val="left"/>
              <w:rPr>
                <w:rFonts w:cs="Arial"/>
              </w:rPr>
            </w:pPr>
          </w:p>
        </w:tc>
      </w:tr>
      <w:tr w:rsidR="00BF467C" w:rsidTr="008539DA">
        <w:tc>
          <w:tcPr>
            <w:tcW w:w="1129" w:type="pct"/>
          </w:tcPr>
          <w:p w:rsidR="00BF467C" w:rsidRPr="009E582C" w:rsidRDefault="00BF467C" w:rsidP="009E582C">
            <w:pPr>
              <w:pStyle w:val="TableBodyText"/>
              <w:keepNext w:val="0"/>
              <w:keepLines w:val="0"/>
              <w:ind w:left="34"/>
              <w:jc w:val="left"/>
            </w:pPr>
            <w:r w:rsidRPr="009E582C">
              <w:t>Cross tabulations provided:</w:t>
            </w:r>
          </w:p>
        </w:tc>
        <w:tc>
          <w:tcPr>
            <w:tcW w:w="3871" w:type="pct"/>
          </w:tcPr>
          <w:p w:rsidR="00BF467C" w:rsidRPr="008E7459" w:rsidRDefault="00BF467C" w:rsidP="003F0181">
            <w:pPr>
              <w:pStyle w:val="TableBodyText"/>
              <w:keepNext w:val="0"/>
              <w:jc w:val="left"/>
              <w:rPr>
                <w:rFonts w:cs="Arial"/>
              </w:rPr>
            </w:pPr>
            <w:r w:rsidRPr="008E7459">
              <w:rPr>
                <w:rFonts w:cs="Arial"/>
              </w:rPr>
              <w:t>National (SEW and NATSI</w:t>
            </w:r>
            <w:r>
              <w:rPr>
                <w:rFonts w:cs="Arial"/>
              </w:rPr>
              <w:t>H</w:t>
            </w:r>
            <w:r w:rsidRPr="008E7459">
              <w:rPr>
                <w:rFonts w:cs="Arial"/>
              </w:rPr>
              <w:t>S data), by:</w:t>
            </w:r>
          </w:p>
          <w:p w:rsidR="00BF467C" w:rsidRPr="008E7459" w:rsidRDefault="00BF467C" w:rsidP="008576E5">
            <w:pPr>
              <w:pStyle w:val="TableBullet"/>
            </w:pPr>
            <w:r w:rsidRPr="008E7459">
              <w:t>engagement (engaged through full time study and full time employment, primarily engaged through full time study, primarily engaged through full time employment, engaged through part time study and part time employment, not fully engaged, total)</w:t>
            </w:r>
          </w:p>
          <w:p w:rsidR="00BF467C" w:rsidRPr="008E7459" w:rsidRDefault="00BF467C" w:rsidP="008576E5">
            <w:pPr>
              <w:pStyle w:val="TableBullet"/>
            </w:pPr>
            <w:r w:rsidRPr="008E7459">
              <w:t>SES (SEIFA IRSD), by type of engagement (engaged through full time study and full time employment, primarily engaged through full time study, primarily engaged through full time employment, engaged through part time study and part time employm</w:t>
            </w:r>
            <w:r w:rsidR="00694EF7">
              <w:t>ent, not fully engaged, total)</w:t>
            </w:r>
          </w:p>
          <w:p w:rsidR="00BF467C" w:rsidRPr="008E7459" w:rsidRDefault="00BF467C" w:rsidP="008576E5">
            <w:pPr>
              <w:pStyle w:val="TableBullet"/>
            </w:pPr>
            <w:r w:rsidRPr="008E7459">
              <w:t>Indigenous status, by type of engagement (engaged through full time study and full time employment, primarily engaged through full time study, primarily engaged through full time employment, engaged through part time study and part time employment, not fully engaged, total)</w:t>
            </w:r>
          </w:p>
        </w:tc>
      </w:tr>
    </w:tbl>
    <w:p w:rsidR="0035205B" w:rsidRPr="003575E1" w:rsidRDefault="0035205B" w:rsidP="0035205B"/>
    <w:tbl>
      <w:tblPr>
        <w:tblW w:w="0" w:type="auto"/>
        <w:tblInd w:w="164" w:type="dxa"/>
        <w:tblBorders>
          <w:top w:val="single" w:sz="6" w:space="0" w:color="auto"/>
          <w:left w:val="single" w:sz="6" w:space="0" w:color="auto"/>
          <w:bottom w:val="single" w:sz="6" w:space="0" w:color="auto"/>
          <w:right w:val="single" w:sz="6" w:space="0" w:color="auto"/>
        </w:tblBorders>
        <w:tblLayout w:type="fixed"/>
        <w:tblCellMar>
          <w:left w:w="142" w:type="dxa"/>
          <w:right w:w="142" w:type="dxa"/>
        </w:tblCellMar>
        <w:tblLook w:val="0000" w:firstRow="0" w:lastRow="0" w:firstColumn="0" w:lastColumn="0" w:noHBand="0" w:noVBand="0"/>
      </w:tblPr>
      <w:tblGrid>
        <w:gridCol w:w="8771"/>
      </w:tblGrid>
      <w:tr w:rsidR="00162BCC" w:rsidTr="00EF255E">
        <w:tc>
          <w:tcPr>
            <w:tcW w:w="8771" w:type="dxa"/>
            <w:tcBorders>
              <w:top w:val="single" w:sz="6" w:space="0" w:color="auto"/>
              <w:bottom w:val="nil"/>
            </w:tcBorders>
          </w:tcPr>
          <w:p w:rsidR="00162BCC" w:rsidRDefault="00162BCC" w:rsidP="00EF255E">
            <w:pPr>
              <w:pStyle w:val="BoxTitle"/>
            </w:pPr>
            <w:r>
              <w:rPr>
                <w:b w:val="0"/>
              </w:rPr>
              <w:t xml:space="preserve">Box </w:t>
            </w:r>
            <w:r>
              <w:rPr>
                <w:b w:val="0"/>
              </w:rPr>
              <w:fldChar w:fldCharType="begin"/>
            </w:r>
            <w:r>
              <w:rPr>
                <w:b w:val="0"/>
              </w:rPr>
              <w:instrText xml:space="preserve"> SEQ Box \* ARABIC </w:instrText>
            </w:r>
            <w:r>
              <w:rPr>
                <w:b w:val="0"/>
              </w:rPr>
              <w:fldChar w:fldCharType="separate"/>
            </w:r>
            <w:r w:rsidR="005F5618">
              <w:rPr>
                <w:b w:val="0"/>
                <w:noProof/>
              </w:rPr>
              <w:t>18</w:t>
            </w:r>
            <w:r>
              <w:rPr>
                <w:b w:val="0"/>
              </w:rPr>
              <w:fldChar w:fldCharType="end"/>
            </w:r>
            <w:r>
              <w:tab/>
              <w:t>Results</w:t>
            </w:r>
          </w:p>
        </w:tc>
      </w:tr>
      <w:tr w:rsidR="00162BCC" w:rsidTr="00EF255E">
        <w:trPr>
          <w:cantSplit/>
        </w:trPr>
        <w:tc>
          <w:tcPr>
            <w:tcW w:w="8771" w:type="dxa"/>
            <w:tcBorders>
              <w:top w:val="nil"/>
              <w:left w:val="single" w:sz="6" w:space="0" w:color="auto"/>
              <w:bottom w:val="nil"/>
              <w:right w:val="single" w:sz="6" w:space="0" w:color="auto"/>
            </w:tcBorders>
          </w:tcPr>
          <w:p w:rsidR="0033708C" w:rsidRPr="00A4552E" w:rsidRDefault="0033708C" w:rsidP="0033708C">
            <w:pPr>
              <w:pStyle w:val="Box"/>
              <w:keepLines/>
            </w:pPr>
            <w:r w:rsidRPr="00A4552E">
              <w:t>For this report, new data for this indicator are available for 2013</w:t>
            </w:r>
            <w:r>
              <w:t xml:space="preserve"> SEW (total population)</w:t>
            </w:r>
            <w:r w:rsidRPr="00A4552E">
              <w:t xml:space="preserve"> and 2012 SE</w:t>
            </w:r>
            <w:r>
              <w:t>W (non</w:t>
            </w:r>
            <w:r w:rsidR="00760542">
              <w:noBreakHyphen/>
            </w:r>
            <w:r>
              <w:t>Indigenous).</w:t>
            </w:r>
            <w:r w:rsidRPr="00A4552E">
              <w:t xml:space="preserve"> </w:t>
            </w:r>
            <w:r>
              <w:t xml:space="preserve">New data are also available for </w:t>
            </w:r>
            <w:r w:rsidRPr="00A4552E">
              <w:t>2012</w:t>
            </w:r>
            <w:r w:rsidRPr="00A4552E">
              <w:noBreakHyphen/>
              <w:t xml:space="preserve">13 </w:t>
            </w:r>
            <w:r>
              <w:t>NATSIHS (Indigenous)</w:t>
            </w:r>
            <w:r w:rsidRPr="00A4552E">
              <w:t>.</w:t>
            </w:r>
          </w:p>
          <w:p w:rsidR="00473584" w:rsidRDefault="00CD77AA" w:rsidP="00CD77AA">
            <w:pPr>
              <w:pStyle w:val="BoxListBullet"/>
            </w:pPr>
            <w:r w:rsidRPr="00CD77AA">
              <w:t xml:space="preserve">National 2013 SEW data are presented </w:t>
            </w:r>
            <w:r>
              <w:t>by SEIFA IRSD in table NEA.5</w:t>
            </w:r>
            <w:r w:rsidRPr="00CD77AA">
              <w:t>.</w:t>
            </w:r>
            <w:r>
              <w:t>1.</w:t>
            </w:r>
          </w:p>
          <w:p w:rsidR="00CD77AA" w:rsidRPr="00A4552E" w:rsidRDefault="00CD77AA" w:rsidP="00CD77AA">
            <w:pPr>
              <w:pStyle w:val="BoxListBullet"/>
              <w:keepLines/>
            </w:pPr>
            <w:r>
              <w:t xml:space="preserve">National </w:t>
            </w:r>
            <w:r w:rsidRPr="00A4552E">
              <w:t>2012 SEW data and 2012</w:t>
            </w:r>
            <w:r w:rsidRPr="00A4552E">
              <w:noBreakHyphen/>
              <w:t xml:space="preserve">13 NATSIHS data </w:t>
            </w:r>
            <w:r w:rsidR="00FF72EC">
              <w:t xml:space="preserve">by Indigenous status </w:t>
            </w:r>
            <w:r w:rsidRPr="00A4552E">
              <w:t xml:space="preserve">are presented </w:t>
            </w:r>
            <w:r>
              <w:t>in table NEA.5.2</w:t>
            </w:r>
            <w:r w:rsidRPr="00A4552E">
              <w:t xml:space="preserve">. </w:t>
            </w:r>
          </w:p>
          <w:p w:rsidR="00CD77AA" w:rsidRPr="00A4552E" w:rsidRDefault="00CD77AA" w:rsidP="00CD77AA">
            <w:pPr>
              <w:pStyle w:val="Box"/>
              <w:keepLines/>
            </w:pPr>
            <w:r w:rsidRPr="00A4552E">
              <w:t>For the SEW and NATSIHS data, apparent differences in results between years may not be statistically significant. To assist in interpretation, 95 per cent confidence intervals and relative standard errors are provided.</w:t>
            </w:r>
            <w:r w:rsidR="0033708C">
              <w:t xml:space="preserve"> </w:t>
            </w:r>
          </w:p>
          <w:p w:rsidR="00CD77AA" w:rsidRDefault="00CD77AA" w:rsidP="00765760">
            <w:pPr>
              <w:pStyle w:val="Box"/>
            </w:pPr>
            <w:r>
              <w:t xml:space="preserve">Historical Census data, SEW data and </w:t>
            </w:r>
            <w:r w:rsidRPr="00CD77AA">
              <w:t>National Aboriginal and Torres Strait Islander Social Survey</w:t>
            </w:r>
            <w:r>
              <w:t xml:space="preserve"> (NATSISS) data </w:t>
            </w:r>
            <w:r w:rsidR="00765760">
              <w:t>are available</w:t>
            </w:r>
            <w:r>
              <w:t xml:space="preserve"> in the 2012 NEA performance report. </w:t>
            </w:r>
          </w:p>
        </w:tc>
      </w:tr>
      <w:tr w:rsidR="00162BCC" w:rsidTr="00EF255E">
        <w:trPr>
          <w:cantSplit/>
        </w:trPr>
        <w:tc>
          <w:tcPr>
            <w:tcW w:w="8771" w:type="dxa"/>
            <w:tcBorders>
              <w:top w:val="nil"/>
              <w:left w:val="single" w:sz="6" w:space="0" w:color="auto"/>
              <w:bottom w:val="single" w:sz="6" w:space="0" w:color="auto"/>
              <w:right w:val="single" w:sz="6" w:space="0" w:color="auto"/>
            </w:tcBorders>
          </w:tcPr>
          <w:p w:rsidR="00162BCC" w:rsidRDefault="00162BCC" w:rsidP="00EF255E">
            <w:pPr>
              <w:pStyle w:val="Box"/>
              <w:spacing w:before="0" w:line="120" w:lineRule="exact"/>
            </w:pPr>
          </w:p>
        </w:tc>
      </w:tr>
      <w:tr w:rsidR="00162BCC" w:rsidRPr="000863A5" w:rsidTr="00EF255E">
        <w:tc>
          <w:tcPr>
            <w:tcW w:w="8771" w:type="dxa"/>
            <w:tcBorders>
              <w:top w:val="nil"/>
              <w:left w:val="nil"/>
              <w:bottom w:val="nil"/>
              <w:right w:val="nil"/>
            </w:tcBorders>
          </w:tcPr>
          <w:p w:rsidR="00162BCC" w:rsidRPr="00626D32" w:rsidRDefault="00162BCC" w:rsidP="00EF255E">
            <w:pPr>
              <w:pStyle w:val="BoxSpaceBelow"/>
            </w:pPr>
          </w:p>
        </w:tc>
      </w:tr>
    </w:tbl>
    <w:p w:rsidR="00162BCC" w:rsidRDefault="00162BCC" w:rsidP="00162BCC">
      <w:pPr>
        <w:pStyle w:val="Heading4"/>
      </w:pPr>
      <w:r>
        <w:t>Attachment tables</w:t>
      </w:r>
    </w:p>
    <w:tbl>
      <w:tblPr>
        <w:tblW w:w="880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0"/>
        <w:gridCol w:w="6844"/>
      </w:tblGrid>
      <w:tr w:rsidR="004A5018" w:rsidRPr="008E7459" w:rsidTr="00EF255E">
        <w:trPr>
          <w:trHeight w:val="612"/>
        </w:trPr>
        <w:tc>
          <w:tcPr>
            <w:tcW w:w="1960" w:type="dxa"/>
            <w:shd w:val="clear" w:color="auto" w:fill="auto"/>
            <w:noWrap/>
            <w:hideMark/>
          </w:tcPr>
          <w:p w:rsidR="004A5018" w:rsidRPr="004A5018" w:rsidRDefault="004A5018" w:rsidP="004A5018">
            <w:pPr>
              <w:pStyle w:val="TableBodyText"/>
              <w:jc w:val="left"/>
              <w:rPr>
                <w:b/>
              </w:rPr>
            </w:pPr>
            <w:r w:rsidRPr="004A5018">
              <w:rPr>
                <w:b/>
              </w:rPr>
              <w:t>Table NEA.5.1</w:t>
            </w:r>
          </w:p>
        </w:tc>
        <w:tc>
          <w:tcPr>
            <w:tcW w:w="6844" w:type="dxa"/>
            <w:shd w:val="clear" w:color="auto" w:fill="auto"/>
          </w:tcPr>
          <w:p w:rsidR="004A5018" w:rsidRPr="00407B9E" w:rsidRDefault="004A5018" w:rsidP="004A5018">
            <w:pPr>
              <w:pStyle w:val="TableBodyText"/>
              <w:jc w:val="left"/>
            </w:pPr>
            <w:r w:rsidRPr="00407B9E">
              <w:t>Proportion, relative standard error, and confidence intervals of persons aged 17–24 years who are fully engaged in post­school education, training or employment, by SEIFA IRSD quintiles, 2013</w:t>
            </w:r>
            <w:r w:rsidR="001714E9">
              <w:t xml:space="preserve"> </w:t>
            </w:r>
          </w:p>
        </w:tc>
      </w:tr>
      <w:tr w:rsidR="004A5018" w:rsidRPr="008E7459" w:rsidTr="00EF255E">
        <w:trPr>
          <w:trHeight w:val="612"/>
        </w:trPr>
        <w:tc>
          <w:tcPr>
            <w:tcW w:w="1960" w:type="dxa"/>
            <w:shd w:val="clear" w:color="auto" w:fill="auto"/>
            <w:noWrap/>
            <w:hideMark/>
          </w:tcPr>
          <w:p w:rsidR="004A5018" w:rsidRPr="004A5018" w:rsidRDefault="004A5018" w:rsidP="004A5018">
            <w:pPr>
              <w:pStyle w:val="TableBodyText"/>
              <w:jc w:val="left"/>
              <w:rPr>
                <w:b/>
              </w:rPr>
            </w:pPr>
            <w:r w:rsidRPr="004A5018">
              <w:rPr>
                <w:b/>
              </w:rPr>
              <w:t>Table NEA.5.2</w:t>
            </w:r>
          </w:p>
        </w:tc>
        <w:tc>
          <w:tcPr>
            <w:tcW w:w="6844" w:type="dxa"/>
            <w:shd w:val="clear" w:color="auto" w:fill="auto"/>
          </w:tcPr>
          <w:p w:rsidR="004A5018" w:rsidRDefault="004A5018" w:rsidP="004A5018">
            <w:pPr>
              <w:pStyle w:val="TableBodyText"/>
              <w:jc w:val="left"/>
            </w:pPr>
            <w:r w:rsidRPr="00407B9E">
              <w:t>Proportion, relative standard error, and confidence intervals of persons aged 17–24 years who are fully engaged in post­school education, training or employment, by Indigenous status, 2012</w:t>
            </w:r>
            <w:r w:rsidR="009F5EB6">
              <w:noBreakHyphen/>
            </w:r>
            <w:r w:rsidRPr="00407B9E">
              <w:t>13</w:t>
            </w:r>
            <w:r w:rsidR="001714E9">
              <w:t xml:space="preserve"> </w:t>
            </w:r>
          </w:p>
        </w:tc>
      </w:tr>
    </w:tbl>
    <w:p w:rsidR="00511BE6" w:rsidRDefault="00511BE6" w:rsidP="00162BCC"/>
    <w:p w:rsidR="00511BE6" w:rsidRDefault="00511BE6" w:rsidP="00511BE6">
      <w:pPr>
        <w:pStyle w:val="BodyText"/>
      </w:pPr>
      <w:r>
        <w:br w:type="page"/>
      </w:r>
    </w:p>
    <w:p w:rsidR="00162BCC" w:rsidRDefault="00162BCC" w:rsidP="00162BCC">
      <w:pPr>
        <w:pStyle w:val="BoxSpaceAbove"/>
      </w:pPr>
    </w:p>
    <w:tbl>
      <w:tblPr>
        <w:tblW w:w="0" w:type="auto"/>
        <w:tblInd w:w="164" w:type="dxa"/>
        <w:tblBorders>
          <w:top w:val="single" w:sz="6" w:space="0" w:color="auto"/>
          <w:left w:val="single" w:sz="6" w:space="0" w:color="auto"/>
          <w:bottom w:val="single" w:sz="6" w:space="0" w:color="auto"/>
          <w:right w:val="single" w:sz="6" w:space="0" w:color="auto"/>
        </w:tblBorders>
        <w:tblLayout w:type="fixed"/>
        <w:tblCellMar>
          <w:left w:w="142" w:type="dxa"/>
          <w:right w:w="142" w:type="dxa"/>
        </w:tblCellMar>
        <w:tblLook w:val="0000" w:firstRow="0" w:lastRow="0" w:firstColumn="0" w:lastColumn="0" w:noHBand="0" w:noVBand="0"/>
      </w:tblPr>
      <w:tblGrid>
        <w:gridCol w:w="8771"/>
      </w:tblGrid>
      <w:tr w:rsidR="00162BCC" w:rsidTr="00EF255E">
        <w:tc>
          <w:tcPr>
            <w:tcW w:w="8771" w:type="dxa"/>
            <w:tcBorders>
              <w:top w:val="single" w:sz="6" w:space="0" w:color="auto"/>
              <w:bottom w:val="nil"/>
            </w:tcBorders>
          </w:tcPr>
          <w:p w:rsidR="00162BCC" w:rsidRDefault="00162BCC" w:rsidP="00EF255E">
            <w:pPr>
              <w:pStyle w:val="BoxTitle"/>
            </w:pPr>
            <w:r>
              <w:rPr>
                <w:b w:val="0"/>
              </w:rPr>
              <w:t xml:space="preserve">Box </w:t>
            </w:r>
            <w:r>
              <w:rPr>
                <w:b w:val="0"/>
              </w:rPr>
              <w:fldChar w:fldCharType="begin"/>
            </w:r>
            <w:r>
              <w:rPr>
                <w:b w:val="0"/>
              </w:rPr>
              <w:instrText xml:space="preserve"> SEQ Box \* ARABIC </w:instrText>
            </w:r>
            <w:r>
              <w:rPr>
                <w:b w:val="0"/>
              </w:rPr>
              <w:fldChar w:fldCharType="separate"/>
            </w:r>
            <w:r w:rsidR="005F5618">
              <w:rPr>
                <w:b w:val="0"/>
                <w:noProof/>
              </w:rPr>
              <w:t>19</w:t>
            </w:r>
            <w:r>
              <w:rPr>
                <w:b w:val="0"/>
              </w:rPr>
              <w:fldChar w:fldCharType="end"/>
            </w:r>
            <w:r>
              <w:tab/>
              <w:t>Comment on data quality</w:t>
            </w:r>
          </w:p>
        </w:tc>
      </w:tr>
      <w:tr w:rsidR="00162BCC" w:rsidTr="00EF255E">
        <w:trPr>
          <w:cantSplit/>
        </w:trPr>
        <w:tc>
          <w:tcPr>
            <w:tcW w:w="8771" w:type="dxa"/>
            <w:tcBorders>
              <w:top w:val="nil"/>
              <w:left w:val="single" w:sz="6" w:space="0" w:color="auto"/>
              <w:bottom w:val="nil"/>
              <w:right w:val="single" w:sz="6" w:space="0" w:color="auto"/>
            </w:tcBorders>
          </w:tcPr>
          <w:p w:rsidR="00D11E5E" w:rsidRDefault="00D11E5E" w:rsidP="00D11E5E">
            <w:pPr>
              <w:pStyle w:val="Box"/>
            </w:pPr>
            <w:r>
              <w:t>The DQSs for this indicator have been prepared by the ABS and are included in their original form in the section of this report titled ‘Data Quality Statements’. Key points from the DQSs are summarised below.</w:t>
            </w:r>
          </w:p>
          <w:p w:rsidR="00D11E5E" w:rsidRDefault="00D11E5E" w:rsidP="00D11E5E">
            <w:pPr>
              <w:pStyle w:val="BoxListBullet"/>
            </w:pPr>
            <w:r>
              <w:t xml:space="preserve">The SEW provides relevant information on </w:t>
            </w:r>
            <w:r w:rsidRPr="00D11E5E">
              <w:t xml:space="preserve">the proportion of people aged </w:t>
            </w:r>
            <w:r w:rsidR="00765760">
              <w:br/>
            </w:r>
            <w:r w:rsidRPr="00D11E5E">
              <w:t>17–24</w:t>
            </w:r>
            <w:r w:rsidR="00765760">
              <w:t> </w:t>
            </w:r>
            <w:r w:rsidRPr="00D11E5E">
              <w:t>years participating in post school education, training or employment.</w:t>
            </w:r>
          </w:p>
          <w:p w:rsidR="008D5DE8" w:rsidRDefault="008D5DE8" w:rsidP="008D5DE8">
            <w:pPr>
              <w:pStyle w:val="BoxListBullet"/>
            </w:pPr>
            <w:r>
              <w:t>Data for the total population are available annually from the SEW at the national level only. The most recent data are for 2013.</w:t>
            </w:r>
          </w:p>
          <w:p w:rsidR="008D5DE8" w:rsidRDefault="008D5DE8" w:rsidP="008D5DE8">
            <w:pPr>
              <w:pStyle w:val="BoxListBullet"/>
            </w:pPr>
            <w:r>
              <w:t xml:space="preserve">Data for Indigenous people are available at the national level only from the NATSIHS/NATSISS </w:t>
            </w:r>
            <w:r w:rsidRPr="00A32546">
              <w:t xml:space="preserve">on </w:t>
            </w:r>
            <w:r>
              <w:t xml:space="preserve">a three </w:t>
            </w:r>
            <w:r w:rsidRPr="00A32546">
              <w:t>yearly rotating cycle</w:t>
            </w:r>
            <w:r>
              <w:t>.</w:t>
            </w:r>
            <w:r w:rsidRPr="00A32546">
              <w:t xml:space="preserve"> Th</w:t>
            </w:r>
            <w:r>
              <w:t>e most recent data</w:t>
            </w:r>
            <w:r w:rsidR="001714E9">
              <w:t xml:space="preserve"> </w:t>
            </w:r>
            <w:r>
              <w:t>are for 2012</w:t>
            </w:r>
            <w:r>
              <w:noBreakHyphen/>
            </w:r>
            <w:r w:rsidRPr="00A32546">
              <w:t>13 from the NATSIHS</w:t>
            </w:r>
            <w:r>
              <w:t>. Comparative non</w:t>
            </w:r>
            <w:r w:rsidR="001714E9">
              <w:noBreakHyphen/>
            </w:r>
            <w:r>
              <w:t xml:space="preserve">Indigenous data are available annually from the SEW at the national level only. These comparative data are from the 2012 SEW. </w:t>
            </w:r>
          </w:p>
          <w:p w:rsidR="00BB1934" w:rsidRDefault="00BB1934" w:rsidP="00BB1934">
            <w:pPr>
              <w:pStyle w:val="BoxListBullet"/>
            </w:pPr>
            <w:r w:rsidRPr="00BB1934">
              <w:t>Prior to the 2013 SEW, people who were permanently unable to work (PUW) were excluded from the in</w:t>
            </w:r>
            <w:r w:rsidR="00556489">
              <w:noBreakHyphen/>
            </w:r>
            <w:r w:rsidRPr="00BB1934">
              <w:t>scope population. In 2013, the SEW scope was expanded to include the PUW population. However, to ensure that the indicator measure presented here is comparable over time, the PUW population has been excluded from these tables.</w:t>
            </w:r>
          </w:p>
          <w:p w:rsidR="00162BCC" w:rsidRDefault="00D11E5E" w:rsidP="00D11E5E">
            <w:pPr>
              <w:pStyle w:val="BoxListBullet"/>
            </w:pPr>
            <w:r>
              <w:t>Detailed explanatory notes are publicly available to assist in interpretation of results.</w:t>
            </w:r>
          </w:p>
          <w:p w:rsidR="00D11E5E" w:rsidRDefault="00D11E5E" w:rsidP="00D11E5E">
            <w:pPr>
              <w:pStyle w:val="Box"/>
            </w:pPr>
            <w:r>
              <w:t>The Steering Committee also notes the following issues:</w:t>
            </w:r>
          </w:p>
          <w:p w:rsidR="00BB1934" w:rsidRDefault="00BB1934" w:rsidP="00BB1934">
            <w:pPr>
              <w:pStyle w:val="BoxListBullet"/>
            </w:pPr>
            <w:r w:rsidRPr="00BB1934">
              <w:t>The Steering Committee recommends that further analysis be conducted to determine whether future reports should include the PUW population for this indicator.</w:t>
            </w:r>
          </w:p>
          <w:p w:rsidR="00D11E5E" w:rsidRDefault="00D11E5E" w:rsidP="00765760">
            <w:pPr>
              <w:pStyle w:val="BoxListBullet"/>
            </w:pPr>
            <w:r>
              <w:t xml:space="preserve">Under the previous NEA framework, SEW data were reported by State and Territory. The COAG review of the NEA performance framework </w:t>
            </w:r>
            <w:r w:rsidR="00765760">
              <w:t xml:space="preserve">agreed </w:t>
            </w:r>
            <w:r>
              <w:t>that</w:t>
            </w:r>
            <w:r w:rsidR="00765760">
              <w:t xml:space="preserve"> </w:t>
            </w:r>
            <w:r w:rsidR="00765760" w:rsidRPr="00765760">
              <w:t>SEW data should be reported at the national level only and that only Census data should be used for State and Territory reporting</w:t>
            </w:r>
            <w:r>
              <w:t>.</w:t>
            </w:r>
          </w:p>
          <w:p w:rsidR="000F2585" w:rsidRDefault="000F2585" w:rsidP="00D11E5E">
            <w:pPr>
              <w:pStyle w:val="BoxListBullet"/>
            </w:pPr>
            <w:r>
              <w:t>The SEW is generally able to measure small changes in performance measures at the national level but is not designed to measure changes at the jurisdictional level with the same level of accuracy as the Census.</w:t>
            </w:r>
          </w:p>
          <w:p w:rsidR="00FF72EC" w:rsidRDefault="00FF72EC" w:rsidP="00FF72EC">
            <w:pPr>
              <w:pStyle w:val="BoxListBullet"/>
            </w:pPr>
            <w:r>
              <w:t>2012</w:t>
            </w:r>
            <w:r>
              <w:noBreakHyphen/>
              <w:t>13 NATSIHS data are preliminary and will be updated by the ABS in June</w:t>
            </w:r>
            <w:r w:rsidR="00765760">
              <w:t> </w:t>
            </w:r>
            <w:r>
              <w:t>2014.</w:t>
            </w:r>
          </w:p>
          <w:p w:rsidR="00D11E5E" w:rsidRDefault="00765760" w:rsidP="001E4775">
            <w:pPr>
              <w:pStyle w:val="BoxListBullet"/>
            </w:pPr>
            <w:r>
              <w:t xml:space="preserve"> </w:t>
            </w:r>
            <w:r w:rsidRPr="00765760">
              <w:t>Census data are not directly comparable to SEW/NATSIHS data.</w:t>
            </w:r>
          </w:p>
        </w:tc>
      </w:tr>
      <w:tr w:rsidR="00162BCC" w:rsidTr="00EF255E">
        <w:trPr>
          <w:cantSplit/>
        </w:trPr>
        <w:tc>
          <w:tcPr>
            <w:tcW w:w="8771" w:type="dxa"/>
            <w:tcBorders>
              <w:top w:val="nil"/>
              <w:left w:val="single" w:sz="6" w:space="0" w:color="auto"/>
              <w:bottom w:val="single" w:sz="6" w:space="0" w:color="auto"/>
              <w:right w:val="single" w:sz="6" w:space="0" w:color="auto"/>
            </w:tcBorders>
          </w:tcPr>
          <w:p w:rsidR="00162BCC" w:rsidRDefault="00162BCC" w:rsidP="00EF255E">
            <w:pPr>
              <w:pStyle w:val="Box"/>
              <w:spacing w:before="0" w:line="120" w:lineRule="exact"/>
            </w:pPr>
          </w:p>
        </w:tc>
      </w:tr>
      <w:tr w:rsidR="00162BCC" w:rsidRPr="000863A5" w:rsidTr="00EF255E">
        <w:tc>
          <w:tcPr>
            <w:tcW w:w="8771" w:type="dxa"/>
            <w:tcBorders>
              <w:top w:val="nil"/>
              <w:left w:val="nil"/>
              <w:bottom w:val="nil"/>
              <w:right w:val="nil"/>
            </w:tcBorders>
          </w:tcPr>
          <w:p w:rsidR="00162BCC" w:rsidRPr="00626D32" w:rsidRDefault="00162BCC" w:rsidP="00EF255E">
            <w:pPr>
              <w:pStyle w:val="BoxSpaceBelow"/>
            </w:pPr>
          </w:p>
        </w:tc>
      </w:tr>
    </w:tbl>
    <w:p w:rsidR="00162BCC" w:rsidRPr="003575E1" w:rsidRDefault="00162BCC" w:rsidP="00162BCC"/>
    <w:p w:rsidR="00117C12" w:rsidRDefault="00117C12" w:rsidP="0042643C">
      <w:pPr>
        <w:pStyle w:val="BodyText"/>
      </w:pPr>
      <w:r>
        <w:br w:type="page"/>
      </w:r>
    </w:p>
    <w:p w:rsidR="0035205B" w:rsidRDefault="0035205B" w:rsidP="0035205B">
      <w:pPr>
        <w:pStyle w:val="Heading3"/>
      </w:pPr>
      <w:bookmarkStart w:id="23" w:name="_Ref377566521"/>
      <w:r w:rsidRPr="00136727">
        <w:t xml:space="preserve">Performance </w:t>
      </w:r>
      <w:r>
        <w:t>indicator 6</w:t>
      </w:r>
      <w:r w:rsidRPr="00136727">
        <w:t xml:space="preserve">: </w:t>
      </w:r>
      <w:r w:rsidRPr="0035205B">
        <w:t>Percentage of students at or above the national minimum standard in reading, writing and numeracy for years</w:t>
      </w:r>
      <w:r w:rsidR="00DE4C4A">
        <w:t> </w:t>
      </w:r>
      <w:r w:rsidRPr="0035205B">
        <w:t>3, 5, 7 and 9</w:t>
      </w:r>
      <w:bookmarkEnd w:id="23"/>
    </w:p>
    <w:p w:rsidR="00885408" w:rsidRPr="00885408" w:rsidRDefault="00885408" w:rsidP="00885408">
      <w:pPr>
        <w:pStyle w:val="BodyText"/>
      </w:pPr>
      <w:r w:rsidRPr="00885408">
        <w:t>[This indicator relates directly to PI 11 in the NIRA and PI 2 in the NEA]</w:t>
      </w:r>
    </w:p>
    <w:p w:rsidR="0035205B" w:rsidRPr="003A784E" w:rsidRDefault="0035205B" w:rsidP="0035205B">
      <w:pPr>
        <w:pStyle w:val="Subtitle"/>
      </w:pPr>
    </w:p>
    <w:tbl>
      <w:tblPr>
        <w:tblW w:w="5000" w:type="pct"/>
        <w:tblCellMar>
          <w:left w:w="0" w:type="dxa"/>
          <w:right w:w="0" w:type="dxa"/>
        </w:tblCellMar>
        <w:tblLook w:val="0000" w:firstRow="0" w:lastRow="0" w:firstColumn="0" w:lastColumn="0" w:noHBand="0" w:noVBand="0"/>
      </w:tblPr>
      <w:tblGrid>
        <w:gridCol w:w="1985"/>
        <w:gridCol w:w="6804"/>
      </w:tblGrid>
      <w:tr w:rsidR="009E582C" w:rsidTr="008539DA">
        <w:trPr>
          <w:trHeight w:val="823"/>
        </w:trPr>
        <w:tc>
          <w:tcPr>
            <w:tcW w:w="1129" w:type="pct"/>
            <w:shd w:val="clear" w:color="auto" w:fill="auto"/>
          </w:tcPr>
          <w:p w:rsidR="009E582C" w:rsidRPr="009E582C" w:rsidRDefault="009E582C" w:rsidP="009E582C">
            <w:pPr>
              <w:pStyle w:val="TableBodyText"/>
              <w:keepNext w:val="0"/>
              <w:keepLines w:val="0"/>
              <w:ind w:left="34"/>
              <w:jc w:val="left"/>
            </w:pPr>
            <w:r w:rsidRPr="009E582C">
              <w:t>Key amendments from previous cycle of reporting:</w:t>
            </w:r>
          </w:p>
        </w:tc>
        <w:tc>
          <w:tcPr>
            <w:tcW w:w="3871" w:type="pct"/>
            <w:shd w:val="clear" w:color="auto" w:fill="auto"/>
          </w:tcPr>
          <w:p w:rsidR="009E582C" w:rsidRPr="007D0E0D" w:rsidRDefault="009E582C" w:rsidP="002169A9">
            <w:pPr>
              <w:pStyle w:val="TableBodyText"/>
              <w:ind w:left="34"/>
              <w:jc w:val="left"/>
              <w:rPr>
                <w:rFonts w:cs="Arial"/>
              </w:rPr>
            </w:pPr>
            <w:r w:rsidRPr="007D0E0D">
              <w:rPr>
                <w:rFonts w:cs="Arial"/>
              </w:rPr>
              <w:t>This ind</w:t>
            </w:r>
            <w:r w:rsidRPr="00356142">
              <w:rPr>
                <w:rFonts w:cs="Arial"/>
              </w:rPr>
              <w:t>icator</w:t>
            </w:r>
            <w:r w:rsidRPr="007D0E0D">
              <w:rPr>
                <w:rFonts w:cs="Arial"/>
              </w:rPr>
              <w:t xml:space="preserve"> is unchanged from the previous </w:t>
            </w:r>
            <w:r w:rsidRPr="00356142">
              <w:rPr>
                <w:rFonts w:cs="Arial"/>
              </w:rPr>
              <w:t>NEA</w:t>
            </w:r>
            <w:r>
              <w:rPr>
                <w:rFonts w:cs="Arial"/>
              </w:rPr>
              <w:t xml:space="preserve"> performance report</w:t>
            </w:r>
          </w:p>
        </w:tc>
      </w:tr>
      <w:tr w:rsidR="009E582C" w:rsidTr="002169A9">
        <w:tc>
          <w:tcPr>
            <w:tcW w:w="1129" w:type="pct"/>
          </w:tcPr>
          <w:p w:rsidR="009E582C" w:rsidRPr="009E582C" w:rsidRDefault="009E582C" w:rsidP="009E582C">
            <w:pPr>
              <w:pStyle w:val="TableBodyText"/>
              <w:keepNext w:val="0"/>
              <w:keepLines w:val="0"/>
              <w:ind w:left="34"/>
              <w:jc w:val="left"/>
            </w:pPr>
            <w:r w:rsidRPr="009E582C">
              <w:t>Outcomes:</w:t>
            </w:r>
          </w:p>
        </w:tc>
        <w:tc>
          <w:tcPr>
            <w:tcW w:w="3871" w:type="pct"/>
          </w:tcPr>
          <w:p w:rsidR="009E582C" w:rsidRPr="007D0E0D" w:rsidRDefault="009E582C" w:rsidP="002169A9">
            <w:pPr>
              <w:pStyle w:val="TableBodyText"/>
              <w:jc w:val="left"/>
              <w:rPr>
                <w:rFonts w:cs="Arial"/>
              </w:rPr>
            </w:pPr>
            <w:r w:rsidRPr="006854C8">
              <w:rPr>
                <w:rFonts w:cs="Arial"/>
              </w:rPr>
              <w:t>Young people are meeting basic literacy and numeracy standard</w:t>
            </w:r>
            <w:r w:rsidRPr="00356142">
              <w:rPr>
                <w:rFonts w:cs="Arial"/>
              </w:rPr>
              <w:t>s, and overall levels of literacy and numeracy achievement are improving</w:t>
            </w:r>
          </w:p>
          <w:p w:rsidR="009E582C" w:rsidRPr="006854C8" w:rsidRDefault="009E582C" w:rsidP="002169A9">
            <w:pPr>
              <w:pStyle w:val="TableBodyText"/>
              <w:jc w:val="left"/>
              <w:rPr>
                <w:rFonts w:cs="Arial"/>
              </w:rPr>
            </w:pPr>
          </w:p>
          <w:p w:rsidR="009E582C" w:rsidRPr="007D0E0D" w:rsidRDefault="009E582C" w:rsidP="002169A9">
            <w:pPr>
              <w:pStyle w:val="TableBodyText"/>
              <w:jc w:val="left"/>
              <w:rPr>
                <w:rFonts w:cs="Arial"/>
              </w:rPr>
            </w:pPr>
            <w:r w:rsidRPr="006854C8">
              <w:rPr>
                <w:rFonts w:cs="Arial"/>
              </w:rPr>
              <w:t>Schooling promotes the social inclusion and reduces the ed</w:t>
            </w:r>
            <w:r w:rsidRPr="00356142">
              <w:rPr>
                <w:rFonts w:cs="Arial"/>
              </w:rPr>
              <w:t>ucational disadvantage of children, especially Indigenous children.</w:t>
            </w:r>
          </w:p>
          <w:p w:rsidR="009E582C" w:rsidRPr="006854C8" w:rsidRDefault="009E582C" w:rsidP="002169A9">
            <w:pPr>
              <w:pStyle w:val="TableBodyText"/>
              <w:jc w:val="left"/>
              <w:rPr>
                <w:rFonts w:cs="Arial"/>
              </w:rPr>
            </w:pPr>
          </w:p>
        </w:tc>
      </w:tr>
      <w:tr w:rsidR="009E582C" w:rsidTr="002169A9">
        <w:tc>
          <w:tcPr>
            <w:tcW w:w="1129" w:type="pct"/>
          </w:tcPr>
          <w:p w:rsidR="009E582C" w:rsidRPr="009E582C" w:rsidRDefault="009E582C" w:rsidP="009E582C">
            <w:pPr>
              <w:pStyle w:val="TableBodyText"/>
              <w:keepNext w:val="0"/>
              <w:keepLines w:val="0"/>
              <w:ind w:left="34"/>
              <w:jc w:val="left"/>
            </w:pPr>
            <w:r w:rsidRPr="009E582C">
              <w:t xml:space="preserve">Measures: </w:t>
            </w:r>
          </w:p>
        </w:tc>
        <w:tc>
          <w:tcPr>
            <w:tcW w:w="3871" w:type="pct"/>
          </w:tcPr>
          <w:p w:rsidR="009E582C" w:rsidRPr="005C7D08" w:rsidRDefault="009E582C" w:rsidP="00FC59D6">
            <w:pPr>
              <w:pStyle w:val="TableBodyText"/>
              <w:tabs>
                <w:tab w:val="num" w:pos="340"/>
              </w:tabs>
              <w:ind w:hanging="6"/>
              <w:jc w:val="left"/>
              <w:rPr>
                <w:rFonts w:cs="Arial"/>
              </w:rPr>
            </w:pPr>
            <w:r w:rsidRPr="005C7D08">
              <w:rPr>
                <w:rFonts w:cs="Arial"/>
              </w:rPr>
              <w:t>There are two measures for this indicator:</w:t>
            </w:r>
          </w:p>
          <w:p w:rsidR="009E582C" w:rsidRPr="00356142" w:rsidRDefault="009E582C" w:rsidP="002169A9">
            <w:pPr>
              <w:pStyle w:val="TableBodyText"/>
              <w:jc w:val="left"/>
              <w:rPr>
                <w:rFonts w:cs="Arial"/>
              </w:rPr>
            </w:pPr>
          </w:p>
          <w:p w:rsidR="009E582C" w:rsidRPr="007D0E0D" w:rsidRDefault="009E582C" w:rsidP="002169A9">
            <w:pPr>
              <w:pStyle w:val="TableBodyText"/>
              <w:jc w:val="left"/>
              <w:rPr>
                <w:rFonts w:cs="Arial"/>
              </w:rPr>
            </w:pPr>
            <w:r w:rsidRPr="007D0E0D">
              <w:rPr>
                <w:rFonts w:cs="Arial"/>
              </w:rPr>
              <w:t>Measure 6(a): the proportion of students at or above the national minimum standard for reading, writing and numeracy, in years 3, 5, 7 and 9, by Indigenous status</w:t>
            </w:r>
          </w:p>
          <w:p w:rsidR="009E582C" w:rsidRPr="005C7D08" w:rsidRDefault="009E582C" w:rsidP="002169A9">
            <w:pPr>
              <w:pStyle w:val="TableBodyText"/>
              <w:jc w:val="left"/>
              <w:rPr>
                <w:rFonts w:cs="Arial"/>
              </w:rPr>
            </w:pPr>
          </w:p>
          <w:p w:rsidR="009E582C" w:rsidRPr="005C7D08" w:rsidRDefault="009E582C" w:rsidP="002169A9">
            <w:pPr>
              <w:pStyle w:val="TableBodyText"/>
              <w:ind w:left="0"/>
              <w:jc w:val="left"/>
              <w:rPr>
                <w:rFonts w:cs="Arial"/>
              </w:rPr>
            </w:pPr>
            <w:r w:rsidRPr="005C7D08">
              <w:rPr>
                <w:rFonts w:cs="Arial"/>
              </w:rPr>
              <w:t>Measure 6(b): the rates of participation in NAPLAN reading, writing and numeracy tests — years 3, 5, 7 and 9, by Indigenous status</w:t>
            </w:r>
          </w:p>
          <w:p w:rsidR="009E582C" w:rsidRPr="00C665A3" w:rsidRDefault="009E582C" w:rsidP="002169A9">
            <w:pPr>
              <w:pStyle w:val="TableBodyText"/>
              <w:ind w:left="0"/>
              <w:jc w:val="left"/>
              <w:rPr>
                <w:rFonts w:cs="Arial"/>
              </w:rPr>
            </w:pPr>
          </w:p>
        </w:tc>
      </w:tr>
      <w:tr w:rsidR="009E582C" w:rsidTr="00035EC5">
        <w:trPr>
          <w:trHeight w:val="3765"/>
        </w:trPr>
        <w:tc>
          <w:tcPr>
            <w:tcW w:w="1129" w:type="pct"/>
          </w:tcPr>
          <w:p w:rsidR="009E582C" w:rsidRPr="009E582C" w:rsidRDefault="009E582C" w:rsidP="009E582C">
            <w:pPr>
              <w:pStyle w:val="TableBodyText"/>
              <w:keepNext w:val="0"/>
              <w:keepLines w:val="0"/>
              <w:ind w:left="34"/>
              <w:jc w:val="left"/>
            </w:pPr>
            <w:r w:rsidRPr="009E582C">
              <w:t>Measure 6(a)</w:t>
            </w:r>
          </w:p>
        </w:tc>
        <w:tc>
          <w:tcPr>
            <w:tcW w:w="3871" w:type="pct"/>
          </w:tcPr>
          <w:p w:rsidR="009E582C" w:rsidRPr="006854C8" w:rsidRDefault="009E582C" w:rsidP="002169A9">
            <w:pPr>
              <w:autoSpaceDE w:val="0"/>
              <w:autoSpaceDN w:val="0"/>
              <w:adjustRightInd w:val="0"/>
              <w:rPr>
                <w:rFonts w:ascii="Arial" w:hAnsi="Arial" w:cs="Arial"/>
                <w:sz w:val="20"/>
                <w:szCs w:val="20"/>
              </w:rPr>
            </w:pPr>
            <w:r w:rsidRPr="006854C8">
              <w:rPr>
                <w:rFonts w:ascii="Arial" w:hAnsi="Arial" w:cs="Arial"/>
                <w:sz w:val="20"/>
                <w:szCs w:val="20"/>
              </w:rPr>
              <w:t>Percentage of students at or above the national minimum standard for reading, writing and numeracy, in years 3, 5, 7 and 9, by Indigenous status</w:t>
            </w:r>
          </w:p>
          <w:p w:rsidR="009E582C" w:rsidRPr="00035EC5" w:rsidRDefault="009E582C" w:rsidP="002169A9">
            <w:pPr>
              <w:autoSpaceDE w:val="0"/>
              <w:autoSpaceDN w:val="0"/>
              <w:adjustRightInd w:val="0"/>
              <w:rPr>
                <w:rFonts w:ascii="Arial" w:hAnsi="Arial" w:cs="Arial"/>
                <w:sz w:val="20"/>
                <w:szCs w:val="20"/>
              </w:rPr>
            </w:pPr>
            <w:r>
              <w:rPr>
                <w:rFonts w:ascii="Arial" w:hAnsi="Arial" w:cs="Arial"/>
                <w:sz w:val="20"/>
                <w:szCs w:val="20"/>
              </w:rPr>
              <w:t xml:space="preserve">[Note: </w:t>
            </w:r>
            <w:r w:rsidRPr="00356142">
              <w:rPr>
                <w:rFonts w:ascii="Arial" w:hAnsi="Arial" w:cs="Arial"/>
                <w:sz w:val="20"/>
                <w:szCs w:val="20"/>
              </w:rPr>
              <w:t>NAPLAN reports the percentage of students who achieved at or above the national minimum standard. The complex process by which student scores are arrive</w:t>
            </w:r>
            <w:r w:rsidRPr="007D0E0D">
              <w:rPr>
                <w:rFonts w:ascii="Arial" w:hAnsi="Arial" w:cs="Arial"/>
                <w:sz w:val="20"/>
                <w:szCs w:val="20"/>
              </w:rPr>
              <w:t>d at and distributed across the national achievement bands (using the Rasch model, a re</w:t>
            </w:r>
            <w:r w:rsidRPr="002249D4">
              <w:rPr>
                <w:rFonts w:ascii="Arial" w:hAnsi="Arial" w:cs="Arial"/>
                <w:sz w:val="20"/>
                <w:szCs w:val="20"/>
              </w:rPr>
              <w:t xml:space="preserve">cognised analysis model for educational measurement) are agreed by states, territories and the </w:t>
            </w:r>
            <w:r>
              <w:rPr>
                <w:rFonts w:ascii="Arial" w:hAnsi="Arial" w:cs="Arial"/>
                <w:sz w:val="20"/>
                <w:szCs w:val="20"/>
              </w:rPr>
              <w:t xml:space="preserve">Australian Government </w:t>
            </w:r>
            <w:r w:rsidRPr="00356142">
              <w:rPr>
                <w:rFonts w:ascii="Arial" w:hAnsi="Arial" w:cs="Arial"/>
                <w:sz w:val="20"/>
                <w:szCs w:val="20"/>
              </w:rPr>
              <w:t>and endorsed by the then NAPLAN Expert Advisory Group. Due to</w:t>
            </w:r>
            <w:r w:rsidRPr="007D0E0D">
              <w:rPr>
                <w:rFonts w:ascii="Arial" w:hAnsi="Arial" w:cs="Arial"/>
                <w:sz w:val="20"/>
                <w:szCs w:val="20"/>
              </w:rPr>
              <w:t xml:space="preserve"> the complexities of the methodology, it is not possible (with th</w:t>
            </w:r>
            <w:r w:rsidRPr="002249D4">
              <w:rPr>
                <w:rFonts w:ascii="Arial" w:hAnsi="Arial" w:cs="Arial"/>
                <w:sz w:val="20"/>
                <w:szCs w:val="20"/>
              </w:rPr>
              <w:t>e data currently provided) to give a simple computation of the precise number of students at or above the national minimum standard, which is best reported in the bands designed for that purpose</w:t>
            </w:r>
            <w:r>
              <w:rPr>
                <w:rFonts w:ascii="Arial" w:hAnsi="Arial" w:cs="Arial"/>
                <w:sz w:val="20"/>
                <w:szCs w:val="20"/>
              </w:rPr>
              <w:t>]</w:t>
            </w:r>
          </w:p>
        </w:tc>
      </w:tr>
      <w:tr w:rsidR="009E582C" w:rsidTr="002169A9">
        <w:tc>
          <w:tcPr>
            <w:tcW w:w="1129" w:type="pct"/>
          </w:tcPr>
          <w:p w:rsidR="009E582C" w:rsidRPr="009E582C" w:rsidRDefault="009E582C" w:rsidP="009E582C">
            <w:pPr>
              <w:pStyle w:val="TableBodyText"/>
              <w:keepNext w:val="0"/>
              <w:keepLines w:val="0"/>
              <w:ind w:left="34"/>
              <w:jc w:val="left"/>
            </w:pPr>
            <w:r w:rsidRPr="009E582C">
              <w:t>Measure 6(b)</w:t>
            </w:r>
          </w:p>
        </w:tc>
        <w:tc>
          <w:tcPr>
            <w:tcW w:w="3871" w:type="pct"/>
          </w:tcPr>
          <w:p w:rsidR="009E582C" w:rsidRPr="005C7D08" w:rsidRDefault="009E582C" w:rsidP="002169A9">
            <w:pPr>
              <w:keepLines/>
              <w:tabs>
                <w:tab w:val="num" w:pos="0"/>
              </w:tabs>
              <w:autoSpaceDE w:val="0"/>
              <w:autoSpaceDN w:val="0"/>
              <w:adjustRightInd w:val="0"/>
              <w:spacing w:before="80" w:line="320" w:lineRule="atLeast"/>
              <w:jc w:val="both"/>
              <w:rPr>
                <w:rFonts w:ascii="Arial" w:hAnsi="Arial" w:cs="Arial"/>
                <w:sz w:val="20"/>
                <w:szCs w:val="20"/>
              </w:rPr>
            </w:pPr>
            <w:r w:rsidRPr="002249D4">
              <w:rPr>
                <w:rFonts w:ascii="Arial" w:hAnsi="Arial" w:cs="Arial"/>
                <w:sz w:val="20"/>
                <w:szCs w:val="20"/>
              </w:rPr>
              <w:t>Rates of participation in NAPLAN reading, writing and numeracy tests — years 3, 5, 7 and 9, by Indigenous status</w:t>
            </w:r>
          </w:p>
          <w:p w:rsidR="009E582C" w:rsidRPr="002249D4" w:rsidRDefault="009E582C" w:rsidP="002169A9">
            <w:pPr>
              <w:autoSpaceDE w:val="0"/>
              <w:autoSpaceDN w:val="0"/>
              <w:adjustRightInd w:val="0"/>
              <w:rPr>
                <w:rFonts w:ascii="Arial" w:hAnsi="Arial" w:cs="Arial"/>
                <w:sz w:val="20"/>
                <w:szCs w:val="20"/>
              </w:rPr>
            </w:pPr>
            <w:r w:rsidRPr="002249D4">
              <w:rPr>
                <w:rFonts w:ascii="Arial" w:hAnsi="Arial" w:cs="Arial"/>
                <w:sz w:val="20"/>
                <w:szCs w:val="20"/>
              </w:rPr>
              <w:t>The measure is defined as:</w:t>
            </w:r>
          </w:p>
          <w:p w:rsidR="009E582C" w:rsidRPr="005C7D08" w:rsidRDefault="009E582C" w:rsidP="008576E5">
            <w:pPr>
              <w:pStyle w:val="TableBullet"/>
            </w:pPr>
            <w:r w:rsidRPr="005C7D08">
              <w:rPr>
                <w:i/>
                <w:iCs/>
              </w:rPr>
              <w:t xml:space="preserve">numerator </w:t>
            </w:r>
            <w:r w:rsidRPr="005C7D08">
              <w:t>— number of assessed and exempt students in years 3, 5, 7 and 9, by Indigenous status</w:t>
            </w:r>
          </w:p>
          <w:p w:rsidR="009E582C" w:rsidRPr="005C7D08" w:rsidRDefault="009E582C" w:rsidP="008576E5">
            <w:pPr>
              <w:pStyle w:val="TableBullet"/>
            </w:pPr>
            <w:r w:rsidRPr="005C7D08">
              <w:rPr>
                <w:i/>
              </w:rPr>
              <w:t>denominator</w:t>
            </w:r>
            <w:r w:rsidRPr="005C7D08">
              <w:rPr>
                <w:i/>
                <w:iCs/>
              </w:rPr>
              <w:t xml:space="preserve"> </w:t>
            </w:r>
            <w:r w:rsidRPr="005C7D08">
              <w:t>— total number of students (including those absent and withdrawn) in years 3, 5, 7 and 9, by Indigenous status</w:t>
            </w:r>
          </w:p>
          <w:p w:rsidR="009E582C" w:rsidRPr="007E0C2B" w:rsidRDefault="009E582C" w:rsidP="002169A9">
            <w:pPr>
              <w:autoSpaceDE w:val="0"/>
              <w:autoSpaceDN w:val="0"/>
              <w:adjustRightInd w:val="0"/>
              <w:rPr>
                <w:rFonts w:ascii="Arial" w:hAnsi="Arial" w:cs="Arial"/>
                <w:i/>
                <w:iCs/>
                <w:sz w:val="20"/>
                <w:szCs w:val="20"/>
              </w:rPr>
            </w:pPr>
            <w:r w:rsidRPr="002249D4">
              <w:rPr>
                <w:rFonts w:ascii="Arial" w:hAnsi="Arial" w:cs="Arial"/>
                <w:sz w:val="20"/>
                <w:szCs w:val="20"/>
              </w:rPr>
              <w:t xml:space="preserve">and is presented as a </w:t>
            </w:r>
            <w:r w:rsidRPr="002249D4">
              <w:rPr>
                <w:rFonts w:ascii="Arial" w:hAnsi="Arial" w:cs="Arial"/>
                <w:i/>
                <w:iCs/>
                <w:sz w:val="20"/>
                <w:szCs w:val="20"/>
              </w:rPr>
              <w:t>rate per 100 population</w:t>
            </w:r>
          </w:p>
        </w:tc>
      </w:tr>
      <w:tr w:rsidR="009E582C" w:rsidTr="008539DA">
        <w:tc>
          <w:tcPr>
            <w:tcW w:w="1129" w:type="pct"/>
          </w:tcPr>
          <w:p w:rsidR="009E582C" w:rsidRPr="009E582C" w:rsidRDefault="009E582C" w:rsidP="009E582C">
            <w:pPr>
              <w:pStyle w:val="TableBodyText"/>
              <w:keepNext w:val="0"/>
              <w:keepLines w:val="0"/>
              <w:ind w:left="34"/>
              <w:jc w:val="left"/>
            </w:pPr>
            <w:r w:rsidRPr="009E582C">
              <w:t>Data source:</w:t>
            </w:r>
          </w:p>
        </w:tc>
        <w:tc>
          <w:tcPr>
            <w:tcW w:w="3871" w:type="pct"/>
          </w:tcPr>
          <w:p w:rsidR="009E582C" w:rsidRPr="007D0E0D" w:rsidRDefault="009E582C" w:rsidP="002169A9">
            <w:pPr>
              <w:pStyle w:val="TableBodyText"/>
              <w:jc w:val="left"/>
              <w:rPr>
                <w:rFonts w:cs="Arial"/>
              </w:rPr>
            </w:pPr>
            <w:r w:rsidRPr="007D0E0D">
              <w:rPr>
                <w:rFonts w:cs="Arial"/>
                <w:u w:val="single"/>
              </w:rPr>
              <w:t>National Assessment Program</w:t>
            </w:r>
            <w:r w:rsidRPr="00356142">
              <w:rPr>
                <w:rFonts w:cs="Arial"/>
                <w:u w:val="single"/>
              </w:rPr>
              <w:t xml:space="preserve"> </w:t>
            </w:r>
            <w:r>
              <w:rPr>
                <w:rFonts w:cs="Arial"/>
                <w:u w:val="single"/>
              </w:rPr>
              <w:t>—</w:t>
            </w:r>
            <w:r w:rsidRPr="00356142">
              <w:rPr>
                <w:rFonts w:cs="Arial"/>
                <w:u w:val="single"/>
              </w:rPr>
              <w:t xml:space="preserve"> Literacy and Numeracy</w:t>
            </w:r>
            <w:r w:rsidR="00694EF7">
              <w:rPr>
                <w:rFonts w:cs="Arial"/>
              </w:rPr>
              <w:t xml:space="preserve"> (NAPLAN)</w:t>
            </w:r>
          </w:p>
          <w:p w:rsidR="009E582C" w:rsidRPr="007D0E0D" w:rsidRDefault="009E582C" w:rsidP="002169A9">
            <w:pPr>
              <w:pStyle w:val="TableBodyText"/>
              <w:jc w:val="left"/>
              <w:rPr>
                <w:rFonts w:cs="Arial"/>
              </w:rPr>
            </w:pPr>
            <w:r w:rsidRPr="007D0E0D">
              <w:rPr>
                <w:rFonts w:cs="Arial"/>
              </w:rPr>
              <w:t xml:space="preserve">Data are </w:t>
            </w:r>
            <w:r>
              <w:rPr>
                <w:rFonts w:cs="Arial"/>
              </w:rPr>
              <w:t>collected</w:t>
            </w:r>
            <w:r w:rsidRPr="00356142">
              <w:rPr>
                <w:rFonts w:cs="Arial"/>
              </w:rPr>
              <w:t xml:space="preserve"> </w:t>
            </w:r>
            <w:r w:rsidR="00694EF7">
              <w:rPr>
                <w:rFonts w:cs="Arial"/>
              </w:rPr>
              <w:t>annually</w:t>
            </w:r>
          </w:p>
          <w:p w:rsidR="009E582C" w:rsidRPr="005C7D08" w:rsidRDefault="009E582C" w:rsidP="002169A9">
            <w:pPr>
              <w:pStyle w:val="TableBodyText"/>
              <w:jc w:val="left"/>
              <w:rPr>
                <w:rFonts w:cs="Arial"/>
              </w:rPr>
            </w:pPr>
          </w:p>
        </w:tc>
      </w:tr>
      <w:tr w:rsidR="009E582C" w:rsidTr="008539DA">
        <w:tc>
          <w:tcPr>
            <w:tcW w:w="1129" w:type="pct"/>
          </w:tcPr>
          <w:p w:rsidR="009E582C" w:rsidRPr="009E582C" w:rsidRDefault="009E582C" w:rsidP="009E582C">
            <w:pPr>
              <w:pStyle w:val="TableBodyText"/>
              <w:keepNext w:val="0"/>
              <w:keepLines w:val="0"/>
              <w:ind w:left="34"/>
              <w:jc w:val="left"/>
            </w:pPr>
            <w:r w:rsidRPr="009E582C">
              <w:t>Data provider:</w:t>
            </w:r>
          </w:p>
        </w:tc>
        <w:tc>
          <w:tcPr>
            <w:tcW w:w="3871" w:type="pct"/>
          </w:tcPr>
          <w:p w:rsidR="009E582C" w:rsidRPr="005C7D08" w:rsidRDefault="009E582C" w:rsidP="002169A9">
            <w:pPr>
              <w:pStyle w:val="TableBodyText"/>
              <w:tabs>
                <w:tab w:val="num" w:pos="340"/>
              </w:tabs>
              <w:ind w:hanging="6"/>
              <w:jc w:val="left"/>
              <w:rPr>
                <w:rFonts w:cs="Arial"/>
              </w:rPr>
            </w:pPr>
            <w:r w:rsidRPr="005C7D08">
              <w:rPr>
                <w:rFonts w:cs="Arial"/>
              </w:rPr>
              <w:t>ACARA</w:t>
            </w:r>
          </w:p>
          <w:p w:rsidR="009E582C" w:rsidRPr="00356142" w:rsidRDefault="009E582C" w:rsidP="002169A9">
            <w:pPr>
              <w:pStyle w:val="TableBodyText"/>
              <w:jc w:val="left"/>
              <w:rPr>
                <w:rFonts w:cs="Arial"/>
              </w:rPr>
            </w:pPr>
          </w:p>
        </w:tc>
      </w:tr>
      <w:tr w:rsidR="009E582C" w:rsidTr="008539DA">
        <w:tc>
          <w:tcPr>
            <w:tcW w:w="1129" w:type="pct"/>
          </w:tcPr>
          <w:p w:rsidR="009E582C" w:rsidRPr="009E582C" w:rsidRDefault="009E582C" w:rsidP="009E582C">
            <w:pPr>
              <w:pStyle w:val="TableBodyText"/>
              <w:keepNext w:val="0"/>
              <w:keepLines w:val="0"/>
              <w:ind w:left="34"/>
              <w:jc w:val="left"/>
            </w:pPr>
            <w:r w:rsidRPr="009E582C">
              <w:t>Data availability:</w:t>
            </w:r>
          </w:p>
        </w:tc>
        <w:tc>
          <w:tcPr>
            <w:tcW w:w="3871" w:type="pct"/>
          </w:tcPr>
          <w:p w:rsidR="009E582C" w:rsidRPr="005C7D08" w:rsidRDefault="009E582C" w:rsidP="002169A9">
            <w:pPr>
              <w:pStyle w:val="TableBodyText"/>
              <w:tabs>
                <w:tab w:val="num" w:pos="340"/>
              </w:tabs>
              <w:ind w:hanging="6"/>
              <w:jc w:val="left"/>
              <w:rPr>
                <w:rFonts w:cs="Arial"/>
              </w:rPr>
            </w:pPr>
            <w:r w:rsidRPr="005C7D08">
              <w:rPr>
                <w:rFonts w:cs="Arial"/>
              </w:rPr>
              <w:t>2013</w:t>
            </w:r>
          </w:p>
          <w:p w:rsidR="009E582C" w:rsidRPr="005C7D08" w:rsidRDefault="009E582C" w:rsidP="002169A9">
            <w:pPr>
              <w:pStyle w:val="TableBodyText"/>
              <w:jc w:val="left"/>
              <w:rPr>
                <w:rFonts w:cs="Arial"/>
              </w:rPr>
            </w:pPr>
          </w:p>
        </w:tc>
      </w:tr>
      <w:tr w:rsidR="009E582C" w:rsidTr="008539DA">
        <w:tc>
          <w:tcPr>
            <w:tcW w:w="1129" w:type="pct"/>
          </w:tcPr>
          <w:p w:rsidR="009E582C" w:rsidRPr="009E582C" w:rsidRDefault="009E582C" w:rsidP="009E582C">
            <w:pPr>
              <w:pStyle w:val="TableBodyText"/>
              <w:keepNext w:val="0"/>
              <w:keepLines w:val="0"/>
              <w:ind w:left="34"/>
              <w:jc w:val="left"/>
            </w:pPr>
            <w:r w:rsidRPr="009E582C">
              <w:t>Cross tabulations provided:</w:t>
            </w:r>
          </w:p>
          <w:p w:rsidR="009E582C" w:rsidRPr="009E582C" w:rsidRDefault="009E582C" w:rsidP="009E582C">
            <w:pPr>
              <w:pStyle w:val="TableBodyText"/>
              <w:keepNext w:val="0"/>
              <w:keepLines w:val="0"/>
              <w:ind w:left="34"/>
              <w:jc w:val="left"/>
            </w:pPr>
          </w:p>
        </w:tc>
        <w:tc>
          <w:tcPr>
            <w:tcW w:w="3871" w:type="pct"/>
          </w:tcPr>
          <w:p w:rsidR="009E582C" w:rsidRPr="007D0E0D" w:rsidRDefault="009E582C" w:rsidP="002169A9">
            <w:pPr>
              <w:pStyle w:val="TableBodyText"/>
              <w:pBdr>
                <w:left w:val="single" w:sz="24" w:space="12" w:color="C0C0C0"/>
              </w:pBdr>
              <w:jc w:val="left"/>
              <w:rPr>
                <w:rFonts w:cs="Arial"/>
              </w:rPr>
            </w:pPr>
            <w:r w:rsidRPr="00807440">
              <w:rPr>
                <w:rFonts w:cs="Arial"/>
              </w:rPr>
              <w:t>Measure 6(a</w:t>
            </w:r>
            <w:r w:rsidRPr="00217E98">
              <w:rPr>
                <w:rFonts w:cs="Arial"/>
              </w:rPr>
              <w:t>) and 6(b)</w:t>
            </w:r>
            <w:r w:rsidRPr="00807440">
              <w:rPr>
                <w:rFonts w:cs="Arial"/>
              </w:rPr>
              <w:t>:</w:t>
            </w:r>
            <w:r>
              <w:rPr>
                <w:rFonts w:cs="Arial"/>
              </w:rPr>
              <w:t xml:space="preserve"> </w:t>
            </w:r>
            <w:r w:rsidRPr="00356142">
              <w:rPr>
                <w:rFonts w:cs="Arial"/>
              </w:rPr>
              <w:t>For each year level (3, 5, 7 and 9 — reported individually) by learning domain (reading, writing and numeracy — reported individually)</w:t>
            </w:r>
            <w:r>
              <w:rPr>
                <w:rFonts w:cs="Arial"/>
              </w:rPr>
              <w:t>, by</w:t>
            </w:r>
            <w:r w:rsidRPr="00356142">
              <w:rPr>
                <w:rFonts w:cs="Arial"/>
              </w:rPr>
              <w:t>:</w:t>
            </w:r>
          </w:p>
          <w:p w:rsidR="009E582C" w:rsidRPr="00356142" w:rsidRDefault="009E582C" w:rsidP="008576E5">
            <w:pPr>
              <w:pStyle w:val="TableBullet"/>
            </w:pPr>
            <w:r w:rsidRPr="005C7D08">
              <w:t xml:space="preserve">State and Territory, by </w:t>
            </w:r>
          </w:p>
          <w:p w:rsidR="009E582C" w:rsidRPr="007D0E0D" w:rsidRDefault="009E582C" w:rsidP="008576E5">
            <w:pPr>
              <w:pStyle w:val="TableBullet"/>
            </w:pPr>
            <w:r w:rsidRPr="007D0E0D">
              <w:t>Indigenous status, by</w:t>
            </w:r>
          </w:p>
          <w:p w:rsidR="009E582C" w:rsidRPr="00356142" w:rsidRDefault="009E582C" w:rsidP="008576E5">
            <w:pPr>
              <w:pStyle w:val="TableBullet"/>
            </w:pPr>
            <w:r w:rsidRPr="005C7D08">
              <w:t>Geolocation (MC</w:t>
            </w:r>
            <w:r w:rsidRPr="00356142">
              <w:t>EETYA geographical location classification)</w:t>
            </w:r>
          </w:p>
        </w:tc>
      </w:tr>
    </w:tbl>
    <w:p w:rsidR="002030DC" w:rsidRPr="003575E1" w:rsidRDefault="002030DC" w:rsidP="002030DC"/>
    <w:tbl>
      <w:tblPr>
        <w:tblW w:w="0" w:type="auto"/>
        <w:tblInd w:w="164" w:type="dxa"/>
        <w:tblBorders>
          <w:top w:val="single" w:sz="6" w:space="0" w:color="auto"/>
          <w:left w:val="single" w:sz="6" w:space="0" w:color="auto"/>
          <w:bottom w:val="single" w:sz="6" w:space="0" w:color="auto"/>
          <w:right w:val="single" w:sz="6" w:space="0" w:color="auto"/>
        </w:tblBorders>
        <w:tblLayout w:type="fixed"/>
        <w:tblCellMar>
          <w:left w:w="142" w:type="dxa"/>
          <w:right w:w="142" w:type="dxa"/>
        </w:tblCellMar>
        <w:tblLook w:val="0000" w:firstRow="0" w:lastRow="0" w:firstColumn="0" w:lastColumn="0" w:noHBand="0" w:noVBand="0"/>
      </w:tblPr>
      <w:tblGrid>
        <w:gridCol w:w="8771"/>
      </w:tblGrid>
      <w:tr w:rsidR="002030DC" w:rsidTr="00EF255E">
        <w:tc>
          <w:tcPr>
            <w:tcW w:w="8771" w:type="dxa"/>
            <w:tcBorders>
              <w:top w:val="single" w:sz="6" w:space="0" w:color="auto"/>
              <w:bottom w:val="nil"/>
            </w:tcBorders>
          </w:tcPr>
          <w:p w:rsidR="002030DC" w:rsidRDefault="002030DC" w:rsidP="00EF255E">
            <w:pPr>
              <w:pStyle w:val="BoxTitle"/>
            </w:pPr>
            <w:r>
              <w:rPr>
                <w:b w:val="0"/>
              </w:rPr>
              <w:t xml:space="preserve">Box </w:t>
            </w:r>
            <w:r>
              <w:rPr>
                <w:b w:val="0"/>
              </w:rPr>
              <w:fldChar w:fldCharType="begin"/>
            </w:r>
            <w:r>
              <w:rPr>
                <w:b w:val="0"/>
              </w:rPr>
              <w:instrText xml:space="preserve"> SEQ Box \* ARABIC </w:instrText>
            </w:r>
            <w:r>
              <w:rPr>
                <w:b w:val="0"/>
              </w:rPr>
              <w:fldChar w:fldCharType="separate"/>
            </w:r>
            <w:r w:rsidR="005F5618">
              <w:rPr>
                <w:b w:val="0"/>
                <w:noProof/>
              </w:rPr>
              <w:t>20</w:t>
            </w:r>
            <w:r>
              <w:rPr>
                <w:b w:val="0"/>
              </w:rPr>
              <w:fldChar w:fldCharType="end"/>
            </w:r>
            <w:r>
              <w:tab/>
              <w:t>Results</w:t>
            </w:r>
            <w:r w:rsidR="00FA3EE8">
              <w:t xml:space="preserve"> (</w:t>
            </w:r>
            <w:r w:rsidR="00630F68">
              <w:t>measure 6a)</w:t>
            </w:r>
          </w:p>
        </w:tc>
      </w:tr>
      <w:tr w:rsidR="002030DC" w:rsidTr="00EF255E">
        <w:trPr>
          <w:cantSplit/>
        </w:trPr>
        <w:tc>
          <w:tcPr>
            <w:tcW w:w="8771" w:type="dxa"/>
            <w:tcBorders>
              <w:top w:val="nil"/>
              <w:left w:val="single" w:sz="6" w:space="0" w:color="auto"/>
              <w:bottom w:val="nil"/>
              <w:right w:val="single" w:sz="6" w:space="0" w:color="auto"/>
            </w:tcBorders>
          </w:tcPr>
          <w:p w:rsidR="00630F68" w:rsidRDefault="00630F68" w:rsidP="00630F68">
            <w:pPr>
              <w:pStyle w:val="Box"/>
            </w:pPr>
            <w:r>
              <w:t xml:space="preserve">For this report, new data for this indicator are available for 2013. </w:t>
            </w:r>
          </w:p>
          <w:p w:rsidR="00630F68" w:rsidRDefault="00630F68" w:rsidP="00630F68">
            <w:pPr>
              <w:pStyle w:val="BoxListBullet"/>
            </w:pPr>
            <w:r>
              <w:t xml:space="preserve">Data for students who achieved at or above the national minimum standard are presented by State and Territory by Indigenous status in tables NEA.2.1–12. </w:t>
            </w:r>
          </w:p>
          <w:p w:rsidR="00630F68" w:rsidRDefault="00630F68" w:rsidP="00630F68">
            <w:pPr>
              <w:pStyle w:val="Box"/>
            </w:pPr>
            <w:r>
              <w:t>Historical data for 2012 are available in the 2012 NEA performance report. Data for 2011 are available in the 2011 NEA performance report. Data for 2010 are available in the 2010 NEA performance report</w:t>
            </w:r>
            <w:r w:rsidR="00DE4C4A">
              <w:t>. D</w:t>
            </w:r>
            <w:r>
              <w:t xml:space="preserve">ata for 2009 and 2008 are available in the 2009 NEA performance report. </w:t>
            </w:r>
          </w:p>
          <w:p w:rsidR="002030DC" w:rsidRDefault="00630F68" w:rsidP="00630F68">
            <w:pPr>
              <w:pStyle w:val="Box"/>
            </w:pPr>
            <w:r>
              <w:t>Apparent differences may not be statistically significant and relevant confidence intervals may be requested directly from the data provider. Different confidence intervals are required depending on the type of analysis. Confidence intervals for comparing data within years and across jurisdictions are different from confidence intervals for comparing data across years within and across jurisdictions.</w:t>
            </w:r>
          </w:p>
        </w:tc>
      </w:tr>
      <w:tr w:rsidR="002030DC" w:rsidTr="00EF255E">
        <w:trPr>
          <w:cantSplit/>
        </w:trPr>
        <w:tc>
          <w:tcPr>
            <w:tcW w:w="8771" w:type="dxa"/>
            <w:tcBorders>
              <w:top w:val="nil"/>
              <w:left w:val="single" w:sz="6" w:space="0" w:color="auto"/>
              <w:bottom w:val="single" w:sz="6" w:space="0" w:color="auto"/>
              <w:right w:val="single" w:sz="6" w:space="0" w:color="auto"/>
            </w:tcBorders>
          </w:tcPr>
          <w:p w:rsidR="002030DC" w:rsidRDefault="002030DC" w:rsidP="00EF255E">
            <w:pPr>
              <w:pStyle w:val="Box"/>
              <w:spacing w:before="0" w:line="120" w:lineRule="exact"/>
            </w:pPr>
          </w:p>
        </w:tc>
      </w:tr>
      <w:tr w:rsidR="002030DC" w:rsidRPr="000863A5" w:rsidTr="00EF255E">
        <w:tc>
          <w:tcPr>
            <w:tcW w:w="8771" w:type="dxa"/>
            <w:tcBorders>
              <w:top w:val="nil"/>
              <w:left w:val="nil"/>
              <w:bottom w:val="nil"/>
              <w:right w:val="nil"/>
            </w:tcBorders>
          </w:tcPr>
          <w:p w:rsidR="002030DC" w:rsidRPr="00626D32" w:rsidRDefault="002030DC" w:rsidP="00EF255E">
            <w:pPr>
              <w:pStyle w:val="BoxSpaceBelow"/>
            </w:pPr>
          </w:p>
        </w:tc>
      </w:tr>
    </w:tbl>
    <w:p w:rsidR="002030DC" w:rsidRDefault="002030DC" w:rsidP="002030DC">
      <w:pPr>
        <w:pStyle w:val="Heading4"/>
      </w:pPr>
      <w:r>
        <w:t>Attachment tables</w:t>
      </w:r>
      <w:r w:rsidR="004B02B8">
        <w:t xml:space="preserve"> (measure 6a)</w:t>
      </w:r>
    </w:p>
    <w:tbl>
      <w:tblPr>
        <w:tblW w:w="880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0"/>
        <w:gridCol w:w="6844"/>
      </w:tblGrid>
      <w:tr w:rsidR="000513EE" w:rsidRPr="008E7459" w:rsidTr="00EF255E">
        <w:trPr>
          <w:trHeight w:val="612"/>
        </w:trPr>
        <w:tc>
          <w:tcPr>
            <w:tcW w:w="1960" w:type="dxa"/>
            <w:shd w:val="clear" w:color="auto" w:fill="auto"/>
            <w:noWrap/>
            <w:hideMark/>
          </w:tcPr>
          <w:p w:rsidR="000513EE" w:rsidRPr="00FD1538" w:rsidRDefault="000513EE" w:rsidP="00DC0887">
            <w:pPr>
              <w:pStyle w:val="TableBodyText"/>
              <w:jc w:val="left"/>
              <w:rPr>
                <w:b/>
              </w:rPr>
            </w:pPr>
            <w:r w:rsidRPr="00FD1538">
              <w:rPr>
                <w:b/>
              </w:rPr>
              <w:t>Table NEA.2.1</w:t>
            </w:r>
          </w:p>
        </w:tc>
        <w:tc>
          <w:tcPr>
            <w:tcW w:w="6844" w:type="dxa"/>
            <w:shd w:val="clear" w:color="auto" w:fill="auto"/>
          </w:tcPr>
          <w:p w:rsidR="000513EE" w:rsidRPr="00BE3771" w:rsidRDefault="000513EE" w:rsidP="00DC0887">
            <w:pPr>
              <w:pStyle w:val="TableBodyText"/>
              <w:jc w:val="left"/>
            </w:pPr>
            <w:r w:rsidRPr="00BE3771">
              <w:t>Proportion of year 3 students who achieved at or above the national minimum standard for reading, by State and Territory, by Indigenous status, by geolocation, 2013 (per cent)</w:t>
            </w:r>
            <w:r w:rsidR="001714E9">
              <w:t xml:space="preserve"> </w:t>
            </w:r>
          </w:p>
        </w:tc>
      </w:tr>
      <w:tr w:rsidR="000513EE" w:rsidRPr="008E7459" w:rsidTr="00EF255E">
        <w:trPr>
          <w:trHeight w:val="612"/>
        </w:trPr>
        <w:tc>
          <w:tcPr>
            <w:tcW w:w="1960" w:type="dxa"/>
            <w:shd w:val="clear" w:color="auto" w:fill="auto"/>
            <w:noWrap/>
            <w:hideMark/>
          </w:tcPr>
          <w:p w:rsidR="000513EE" w:rsidRPr="00FD1538" w:rsidRDefault="000513EE" w:rsidP="00DC0887">
            <w:pPr>
              <w:pStyle w:val="TableBodyText"/>
              <w:jc w:val="left"/>
              <w:rPr>
                <w:b/>
              </w:rPr>
            </w:pPr>
            <w:r w:rsidRPr="00FD1538">
              <w:rPr>
                <w:b/>
              </w:rPr>
              <w:t>Table NEA.2.2</w:t>
            </w:r>
          </w:p>
        </w:tc>
        <w:tc>
          <w:tcPr>
            <w:tcW w:w="6844" w:type="dxa"/>
            <w:shd w:val="clear" w:color="auto" w:fill="auto"/>
          </w:tcPr>
          <w:p w:rsidR="000513EE" w:rsidRPr="00BE3771" w:rsidRDefault="000513EE" w:rsidP="00DC0887">
            <w:pPr>
              <w:pStyle w:val="TableBodyText"/>
              <w:jc w:val="left"/>
            </w:pPr>
            <w:r w:rsidRPr="00BE3771">
              <w:t>Proportion of year 3 students who achieved at or above the national minimum standard for writing, by State and Territory, by Indigenous status, by geolocation, 2013 (per cent)</w:t>
            </w:r>
            <w:r w:rsidR="001714E9">
              <w:t xml:space="preserve"> </w:t>
            </w:r>
          </w:p>
        </w:tc>
      </w:tr>
      <w:tr w:rsidR="000513EE" w:rsidRPr="008E7459" w:rsidTr="00EF255E">
        <w:trPr>
          <w:trHeight w:val="612"/>
        </w:trPr>
        <w:tc>
          <w:tcPr>
            <w:tcW w:w="1960" w:type="dxa"/>
            <w:shd w:val="clear" w:color="auto" w:fill="auto"/>
            <w:noWrap/>
          </w:tcPr>
          <w:p w:rsidR="000513EE" w:rsidRPr="00FD1538" w:rsidRDefault="000513EE" w:rsidP="00DC0887">
            <w:pPr>
              <w:pStyle w:val="TableBodyText"/>
              <w:jc w:val="left"/>
              <w:rPr>
                <w:b/>
              </w:rPr>
            </w:pPr>
            <w:r w:rsidRPr="00FD1538">
              <w:rPr>
                <w:b/>
              </w:rPr>
              <w:t>Table NEA.2.3</w:t>
            </w:r>
          </w:p>
        </w:tc>
        <w:tc>
          <w:tcPr>
            <w:tcW w:w="6844" w:type="dxa"/>
            <w:shd w:val="clear" w:color="auto" w:fill="auto"/>
          </w:tcPr>
          <w:p w:rsidR="000513EE" w:rsidRPr="00BE3771" w:rsidRDefault="000513EE" w:rsidP="00DC0887">
            <w:pPr>
              <w:pStyle w:val="TableBodyText"/>
              <w:jc w:val="left"/>
            </w:pPr>
            <w:r w:rsidRPr="00BE3771">
              <w:t>Proportion of year 3 students who achieved at or above the national minimum standard for numeracy, by State and Territory, by Indigenous status, by geolocation, 2013 (per cent)</w:t>
            </w:r>
            <w:r w:rsidR="001714E9">
              <w:t xml:space="preserve"> </w:t>
            </w:r>
          </w:p>
        </w:tc>
      </w:tr>
      <w:tr w:rsidR="000513EE" w:rsidRPr="008E7459" w:rsidTr="00EF255E">
        <w:trPr>
          <w:trHeight w:val="612"/>
        </w:trPr>
        <w:tc>
          <w:tcPr>
            <w:tcW w:w="1960" w:type="dxa"/>
            <w:shd w:val="clear" w:color="auto" w:fill="auto"/>
            <w:noWrap/>
          </w:tcPr>
          <w:p w:rsidR="000513EE" w:rsidRPr="00FD1538" w:rsidRDefault="000513EE" w:rsidP="00DC0887">
            <w:pPr>
              <w:pStyle w:val="TableBodyText"/>
              <w:jc w:val="left"/>
              <w:rPr>
                <w:b/>
              </w:rPr>
            </w:pPr>
            <w:r w:rsidRPr="00FD1538">
              <w:rPr>
                <w:b/>
              </w:rPr>
              <w:t>Table NEA.2.4</w:t>
            </w:r>
          </w:p>
        </w:tc>
        <w:tc>
          <w:tcPr>
            <w:tcW w:w="6844" w:type="dxa"/>
            <w:shd w:val="clear" w:color="auto" w:fill="auto"/>
          </w:tcPr>
          <w:p w:rsidR="000513EE" w:rsidRPr="00BE3771" w:rsidRDefault="000513EE" w:rsidP="00DC0887">
            <w:pPr>
              <w:pStyle w:val="TableBodyText"/>
              <w:jc w:val="left"/>
            </w:pPr>
            <w:r w:rsidRPr="00BE3771">
              <w:t>Proportion of year 5 students who achieved at or above the national minimum standard for reading, by State and Territory, by Indigenous status, by geolocation, 2013 (per cent)</w:t>
            </w:r>
            <w:r w:rsidR="001714E9">
              <w:t xml:space="preserve"> </w:t>
            </w:r>
          </w:p>
        </w:tc>
      </w:tr>
      <w:tr w:rsidR="000513EE" w:rsidRPr="008E7459" w:rsidTr="00EF255E">
        <w:trPr>
          <w:trHeight w:val="612"/>
        </w:trPr>
        <w:tc>
          <w:tcPr>
            <w:tcW w:w="1960" w:type="dxa"/>
            <w:shd w:val="clear" w:color="auto" w:fill="auto"/>
            <w:noWrap/>
          </w:tcPr>
          <w:p w:rsidR="000513EE" w:rsidRPr="00FD1538" w:rsidRDefault="000513EE" w:rsidP="00DC0887">
            <w:pPr>
              <w:pStyle w:val="TableBodyText"/>
              <w:jc w:val="left"/>
              <w:rPr>
                <w:b/>
              </w:rPr>
            </w:pPr>
            <w:r w:rsidRPr="00FD1538">
              <w:rPr>
                <w:b/>
              </w:rPr>
              <w:t>Table NEA.2.5</w:t>
            </w:r>
          </w:p>
        </w:tc>
        <w:tc>
          <w:tcPr>
            <w:tcW w:w="6844" w:type="dxa"/>
            <w:shd w:val="clear" w:color="auto" w:fill="auto"/>
          </w:tcPr>
          <w:p w:rsidR="000513EE" w:rsidRPr="00BE3771" w:rsidRDefault="000513EE" w:rsidP="00DC0887">
            <w:pPr>
              <w:pStyle w:val="TableBodyText"/>
              <w:jc w:val="left"/>
            </w:pPr>
            <w:r w:rsidRPr="00BE3771">
              <w:t>Proportion of year 5 students who achieved at or above the national minimum standard for writing, by State and Territory, by Indigenous status, by geolocation, 2013 (per cent)</w:t>
            </w:r>
            <w:r w:rsidR="001714E9">
              <w:t xml:space="preserve"> </w:t>
            </w:r>
          </w:p>
        </w:tc>
      </w:tr>
      <w:tr w:rsidR="000513EE" w:rsidRPr="008E7459" w:rsidTr="00EF255E">
        <w:trPr>
          <w:trHeight w:val="612"/>
        </w:trPr>
        <w:tc>
          <w:tcPr>
            <w:tcW w:w="1960" w:type="dxa"/>
            <w:shd w:val="clear" w:color="auto" w:fill="auto"/>
            <w:noWrap/>
          </w:tcPr>
          <w:p w:rsidR="000513EE" w:rsidRPr="00FD1538" w:rsidRDefault="000513EE" w:rsidP="00DC0887">
            <w:pPr>
              <w:pStyle w:val="TableBodyText"/>
              <w:jc w:val="left"/>
              <w:rPr>
                <w:b/>
              </w:rPr>
            </w:pPr>
            <w:r w:rsidRPr="00FD1538">
              <w:rPr>
                <w:b/>
              </w:rPr>
              <w:t>Table NEA.2.6</w:t>
            </w:r>
          </w:p>
        </w:tc>
        <w:tc>
          <w:tcPr>
            <w:tcW w:w="6844" w:type="dxa"/>
            <w:shd w:val="clear" w:color="auto" w:fill="auto"/>
          </w:tcPr>
          <w:p w:rsidR="000513EE" w:rsidRPr="00BE3771" w:rsidRDefault="000513EE" w:rsidP="00DC0887">
            <w:pPr>
              <w:pStyle w:val="TableBodyText"/>
              <w:jc w:val="left"/>
            </w:pPr>
            <w:r w:rsidRPr="00BE3771">
              <w:t>Proportion of year 5 students who achieved at or above the national minimum standard for numeracy, by State and Territory, by Indigenous status, by geolocation, 2013 (per cent)</w:t>
            </w:r>
            <w:r w:rsidR="001714E9">
              <w:t xml:space="preserve"> </w:t>
            </w:r>
          </w:p>
        </w:tc>
      </w:tr>
      <w:tr w:rsidR="000513EE" w:rsidRPr="008E7459" w:rsidTr="00EF255E">
        <w:trPr>
          <w:trHeight w:val="612"/>
        </w:trPr>
        <w:tc>
          <w:tcPr>
            <w:tcW w:w="1960" w:type="dxa"/>
            <w:shd w:val="clear" w:color="auto" w:fill="auto"/>
            <w:noWrap/>
          </w:tcPr>
          <w:p w:rsidR="000513EE" w:rsidRPr="00FD1538" w:rsidRDefault="000513EE" w:rsidP="00DC0887">
            <w:pPr>
              <w:pStyle w:val="TableBodyText"/>
              <w:jc w:val="left"/>
              <w:rPr>
                <w:b/>
              </w:rPr>
            </w:pPr>
            <w:r w:rsidRPr="00FD1538">
              <w:rPr>
                <w:b/>
              </w:rPr>
              <w:t>Table NEA.2.7</w:t>
            </w:r>
          </w:p>
        </w:tc>
        <w:tc>
          <w:tcPr>
            <w:tcW w:w="6844" w:type="dxa"/>
            <w:shd w:val="clear" w:color="auto" w:fill="auto"/>
          </w:tcPr>
          <w:p w:rsidR="000513EE" w:rsidRPr="00BE3771" w:rsidRDefault="000513EE" w:rsidP="00DC0887">
            <w:pPr>
              <w:pStyle w:val="TableBodyText"/>
              <w:jc w:val="left"/>
            </w:pPr>
            <w:r w:rsidRPr="00BE3771">
              <w:t>Proportion of year 7 students who achieved at or above the national minimum standard for reading, by State and Territory, by Indigenous status, by geolocation, 2013 (per cent)</w:t>
            </w:r>
            <w:r w:rsidR="001714E9">
              <w:t xml:space="preserve"> </w:t>
            </w:r>
          </w:p>
        </w:tc>
      </w:tr>
      <w:tr w:rsidR="000513EE" w:rsidRPr="008E7459" w:rsidTr="00EF255E">
        <w:trPr>
          <w:trHeight w:val="612"/>
        </w:trPr>
        <w:tc>
          <w:tcPr>
            <w:tcW w:w="1960" w:type="dxa"/>
            <w:shd w:val="clear" w:color="auto" w:fill="auto"/>
            <w:noWrap/>
          </w:tcPr>
          <w:p w:rsidR="000513EE" w:rsidRPr="00FD1538" w:rsidRDefault="000513EE" w:rsidP="00DC0887">
            <w:pPr>
              <w:pStyle w:val="TableBodyText"/>
              <w:jc w:val="left"/>
              <w:rPr>
                <w:b/>
              </w:rPr>
            </w:pPr>
            <w:r w:rsidRPr="00FD1538">
              <w:rPr>
                <w:b/>
              </w:rPr>
              <w:t>Table NEA.2.8</w:t>
            </w:r>
          </w:p>
        </w:tc>
        <w:tc>
          <w:tcPr>
            <w:tcW w:w="6844" w:type="dxa"/>
            <w:shd w:val="clear" w:color="auto" w:fill="auto"/>
          </w:tcPr>
          <w:p w:rsidR="000513EE" w:rsidRPr="00BE3771" w:rsidRDefault="000513EE" w:rsidP="00DC0887">
            <w:pPr>
              <w:pStyle w:val="TableBodyText"/>
              <w:jc w:val="left"/>
            </w:pPr>
            <w:r w:rsidRPr="00BE3771">
              <w:t>Proportion of year 7 students who achieved at or above the national minimum standard for writing, by State and Territory, by Indigenous status, by geolocation, 2013 (per cent)</w:t>
            </w:r>
            <w:r w:rsidR="001714E9">
              <w:t xml:space="preserve"> </w:t>
            </w:r>
          </w:p>
        </w:tc>
      </w:tr>
      <w:tr w:rsidR="000513EE" w:rsidRPr="008E7459" w:rsidTr="00EF255E">
        <w:trPr>
          <w:trHeight w:val="612"/>
        </w:trPr>
        <w:tc>
          <w:tcPr>
            <w:tcW w:w="1960" w:type="dxa"/>
            <w:shd w:val="clear" w:color="auto" w:fill="auto"/>
            <w:noWrap/>
          </w:tcPr>
          <w:p w:rsidR="000513EE" w:rsidRPr="00FD1538" w:rsidRDefault="000513EE" w:rsidP="00DC0887">
            <w:pPr>
              <w:pStyle w:val="TableBodyText"/>
              <w:jc w:val="left"/>
              <w:rPr>
                <w:b/>
              </w:rPr>
            </w:pPr>
            <w:r w:rsidRPr="00FD1538">
              <w:rPr>
                <w:b/>
              </w:rPr>
              <w:t>Table NEA.2.9</w:t>
            </w:r>
          </w:p>
        </w:tc>
        <w:tc>
          <w:tcPr>
            <w:tcW w:w="6844" w:type="dxa"/>
            <w:shd w:val="clear" w:color="auto" w:fill="auto"/>
          </w:tcPr>
          <w:p w:rsidR="000513EE" w:rsidRPr="00BE3771" w:rsidRDefault="000513EE" w:rsidP="00DC0887">
            <w:pPr>
              <w:pStyle w:val="TableBodyText"/>
              <w:jc w:val="left"/>
            </w:pPr>
            <w:r w:rsidRPr="00BE3771">
              <w:t>Proportion of year 7 students who achieved at or above the national minimum standard for numeracy, by State and Territory, by Indigenous status, by geolocation, 2013 (per cent)</w:t>
            </w:r>
            <w:r w:rsidR="001714E9">
              <w:t xml:space="preserve"> </w:t>
            </w:r>
          </w:p>
        </w:tc>
      </w:tr>
      <w:tr w:rsidR="000513EE" w:rsidRPr="008E7459" w:rsidTr="00EF255E">
        <w:trPr>
          <w:trHeight w:val="612"/>
        </w:trPr>
        <w:tc>
          <w:tcPr>
            <w:tcW w:w="1960" w:type="dxa"/>
            <w:shd w:val="clear" w:color="auto" w:fill="auto"/>
            <w:noWrap/>
          </w:tcPr>
          <w:p w:rsidR="000513EE" w:rsidRPr="00FD1538" w:rsidRDefault="000513EE" w:rsidP="00DC0887">
            <w:pPr>
              <w:pStyle w:val="TableBodyText"/>
              <w:jc w:val="left"/>
              <w:rPr>
                <w:b/>
              </w:rPr>
            </w:pPr>
            <w:r w:rsidRPr="00FD1538">
              <w:rPr>
                <w:b/>
              </w:rPr>
              <w:t>Table NEA.2.10</w:t>
            </w:r>
          </w:p>
        </w:tc>
        <w:tc>
          <w:tcPr>
            <w:tcW w:w="6844" w:type="dxa"/>
            <w:shd w:val="clear" w:color="auto" w:fill="auto"/>
          </w:tcPr>
          <w:p w:rsidR="000513EE" w:rsidRPr="00BE3771" w:rsidRDefault="000513EE" w:rsidP="00DC0887">
            <w:pPr>
              <w:pStyle w:val="TableBodyText"/>
              <w:jc w:val="left"/>
            </w:pPr>
            <w:r w:rsidRPr="00BE3771">
              <w:t>Proportion of year 9 students who achieved at or above the national minimum standard for reading, by State and Territory, by Indigenous status, by geolocation, 2013 (per cent)</w:t>
            </w:r>
            <w:r w:rsidR="001714E9">
              <w:t xml:space="preserve"> </w:t>
            </w:r>
          </w:p>
        </w:tc>
      </w:tr>
      <w:tr w:rsidR="000513EE" w:rsidRPr="008E7459" w:rsidTr="00EF255E">
        <w:trPr>
          <w:trHeight w:val="612"/>
        </w:trPr>
        <w:tc>
          <w:tcPr>
            <w:tcW w:w="1960" w:type="dxa"/>
            <w:shd w:val="clear" w:color="auto" w:fill="auto"/>
            <w:noWrap/>
          </w:tcPr>
          <w:p w:rsidR="000513EE" w:rsidRPr="00FD1538" w:rsidRDefault="000513EE" w:rsidP="00DC0887">
            <w:pPr>
              <w:pStyle w:val="TableBodyText"/>
              <w:jc w:val="left"/>
              <w:rPr>
                <w:b/>
              </w:rPr>
            </w:pPr>
            <w:r w:rsidRPr="00FD1538">
              <w:rPr>
                <w:b/>
              </w:rPr>
              <w:t>Table NEA.2.11</w:t>
            </w:r>
          </w:p>
        </w:tc>
        <w:tc>
          <w:tcPr>
            <w:tcW w:w="6844" w:type="dxa"/>
            <w:shd w:val="clear" w:color="auto" w:fill="auto"/>
          </w:tcPr>
          <w:p w:rsidR="000513EE" w:rsidRPr="00BE3771" w:rsidRDefault="000513EE" w:rsidP="00DC0887">
            <w:pPr>
              <w:pStyle w:val="TableBodyText"/>
              <w:jc w:val="left"/>
            </w:pPr>
            <w:r w:rsidRPr="00BE3771">
              <w:t>Proportion of year 9 students who achieved at or above the national minimum standard for writing, by State and Territory, by Indigenous status, by geolocation, 2013 (per cent)</w:t>
            </w:r>
            <w:r w:rsidR="001714E9">
              <w:t xml:space="preserve"> </w:t>
            </w:r>
          </w:p>
        </w:tc>
      </w:tr>
      <w:tr w:rsidR="000513EE" w:rsidRPr="008E7459" w:rsidTr="00EF255E">
        <w:trPr>
          <w:trHeight w:val="612"/>
        </w:trPr>
        <w:tc>
          <w:tcPr>
            <w:tcW w:w="1960" w:type="dxa"/>
            <w:shd w:val="clear" w:color="auto" w:fill="auto"/>
            <w:noWrap/>
          </w:tcPr>
          <w:p w:rsidR="000513EE" w:rsidRPr="00FD1538" w:rsidRDefault="000513EE" w:rsidP="00DC0887">
            <w:pPr>
              <w:pStyle w:val="TableBodyText"/>
              <w:jc w:val="left"/>
              <w:rPr>
                <w:b/>
              </w:rPr>
            </w:pPr>
            <w:r w:rsidRPr="00FD1538">
              <w:rPr>
                <w:b/>
              </w:rPr>
              <w:t>Table NEA.2.12</w:t>
            </w:r>
          </w:p>
        </w:tc>
        <w:tc>
          <w:tcPr>
            <w:tcW w:w="6844" w:type="dxa"/>
            <w:shd w:val="clear" w:color="auto" w:fill="auto"/>
          </w:tcPr>
          <w:p w:rsidR="000513EE" w:rsidRPr="00BE3771" w:rsidRDefault="000513EE" w:rsidP="00DC0887">
            <w:pPr>
              <w:pStyle w:val="TableBodyText"/>
              <w:jc w:val="left"/>
            </w:pPr>
            <w:r w:rsidRPr="00BE3771">
              <w:t>Proportion of year 9 students who achieved at or above the national minimum standard for numeracy, by State and Territory, by Indigenous status, by geolocation, 2013 (per cent)</w:t>
            </w:r>
            <w:r w:rsidR="001714E9">
              <w:t xml:space="preserve"> </w:t>
            </w:r>
          </w:p>
        </w:tc>
      </w:tr>
    </w:tbl>
    <w:p w:rsidR="002030DC" w:rsidRDefault="002030DC" w:rsidP="002030DC"/>
    <w:p w:rsidR="002030DC" w:rsidRDefault="002030DC" w:rsidP="002030DC">
      <w:pPr>
        <w:pStyle w:val="BoxSpaceAbove"/>
      </w:pPr>
    </w:p>
    <w:tbl>
      <w:tblPr>
        <w:tblW w:w="0" w:type="auto"/>
        <w:tblInd w:w="164" w:type="dxa"/>
        <w:tblBorders>
          <w:top w:val="single" w:sz="6" w:space="0" w:color="auto"/>
          <w:left w:val="single" w:sz="6" w:space="0" w:color="auto"/>
          <w:bottom w:val="single" w:sz="6" w:space="0" w:color="auto"/>
          <w:right w:val="single" w:sz="6" w:space="0" w:color="auto"/>
        </w:tblBorders>
        <w:tblLayout w:type="fixed"/>
        <w:tblCellMar>
          <w:left w:w="142" w:type="dxa"/>
          <w:right w:w="142" w:type="dxa"/>
        </w:tblCellMar>
        <w:tblLook w:val="0000" w:firstRow="0" w:lastRow="0" w:firstColumn="0" w:lastColumn="0" w:noHBand="0" w:noVBand="0"/>
      </w:tblPr>
      <w:tblGrid>
        <w:gridCol w:w="8771"/>
      </w:tblGrid>
      <w:tr w:rsidR="002030DC" w:rsidTr="00EF255E">
        <w:tc>
          <w:tcPr>
            <w:tcW w:w="8771" w:type="dxa"/>
            <w:tcBorders>
              <w:top w:val="single" w:sz="6" w:space="0" w:color="auto"/>
              <w:bottom w:val="nil"/>
            </w:tcBorders>
          </w:tcPr>
          <w:p w:rsidR="002030DC" w:rsidRDefault="002030DC" w:rsidP="00EF255E">
            <w:pPr>
              <w:pStyle w:val="BoxTitle"/>
            </w:pPr>
            <w:r>
              <w:rPr>
                <w:b w:val="0"/>
              </w:rPr>
              <w:t xml:space="preserve">Box </w:t>
            </w:r>
            <w:r>
              <w:rPr>
                <w:b w:val="0"/>
              </w:rPr>
              <w:fldChar w:fldCharType="begin"/>
            </w:r>
            <w:r>
              <w:rPr>
                <w:b w:val="0"/>
              </w:rPr>
              <w:instrText xml:space="preserve"> SEQ Box \* ARABIC </w:instrText>
            </w:r>
            <w:r>
              <w:rPr>
                <w:b w:val="0"/>
              </w:rPr>
              <w:fldChar w:fldCharType="separate"/>
            </w:r>
            <w:r w:rsidR="005F5618">
              <w:rPr>
                <w:b w:val="0"/>
                <w:noProof/>
              </w:rPr>
              <w:t>21</w:t>
            </w:r>
            <w:r>
              <w:rPr>
                <w:b w:val="0"/>
              </w:rPr>
              <w:fldChar w:fldCharType="end"/>
            </w:r>
            <w:r>
              <w:tab/>
              <w:t>Comment on data quality</w:t>
            </w:r>
            <w:r w:rsidR="00086772">
              <w:t xml:space="preserve"> (measure 6a)</w:t>
            </w:r>
          </w:p>
        </w:tc>
      </w:tr>
      <w:tr w:rsidR="002030DC" w:rsidTr="00EF255E">
        <w:trPr>
          <w:cantSplit/>
        </w:trPr>
        <w:tc>
          <w:tcPr>
            <w:tcW w:w="8771" w:type="dxa"/>
            <w:tcBorders>
              <w:top w:val="nil"/>
              <w:left w:val="single" w:sz="6" w:space="0" w:color="auto"/>
              <w:bottom w:val="nil"/>
              <w:right w:val="single" w:sz="6" w:space="0" w:color="auto"/>
            </w:tcBorders>
          </w:tcPr>
          <w:p w:rsidR="002030DC" w:rsidRDefault="00086772" w:rsidP="00EF255E">
            <w:pPr>
              <w:pStyle w:val="Box"/>
            </w:pPr>
            <w:r w:rsidRPr="00086772">
              <w:t>Details are included in the comment on data quality for NEA Indicator 2.</w:t>
            </w:r>
          </w:p>
        </w:tc>
      </w:tr>
      <w:tr w:rsidR="002030DC" w:rsidTr="00EF255E">
        <w:trPr>
          <w:cantSplit/>
        </w:trPr>
        <w:tc>
          <w:tcPr>
            <w:tcW w:w="8771" w:type="dxa"/>
            <w:tcBorders>
              <w:top w:val="nil"/>
              <w:left w:val="single" w:sz="6" w:space="0" w:color="auto"/>
              <w:bottom w:val="single" w:sz="6" w:space="0" w:color="auto"/>
              <w:right w:val="single" w:sz="6" w:space="0" w:color="auto"/>
            </w:tcBorders>
          </w:tcPr>
          <w:p w:rsidR="002030DC" w:rsidRDefault="002030DC" w:rsidP="00EF255E">
            <w:pPr>
              <w:pStyle w:val="Box"/>
              <w:spacing w:before="0" w:line="120" w:lineRule="exact"/>
            </w:pPr>
          </w:p>
        </w:tc>
      </w:tr>
      <w:tr w:rsidR="002030DC" w:rsidRPr="000863A5" w:rsidTr="00EF255E">
        <w:tc>
          <w:tcPr>
            <w:tcW w:w="8771" w:type="dxa"/>
            <w:tcBorders>
              <w:top w:val="nil"/>
              <w:left w:val="nil"/>
              <w:bottom w:val="nil"/>
              <w:right w:val="nil"/>
            </w:tcBorders>
          </w:tcPr>
          <w:p w:rsidR="002030DC" w:rsidRPr="00626D32" w:rsidRDefault="002030DC" w:rsidP="00EF255E">
            <w:pPr>
              <w:pStyle w:val="BoxSpaceBelow"/>
            </w:pPr>
          </w:p>
        </w:tc>
      </w:tr>
    </w:tbl>
    <w:p w:rsidR="00523E58" w:rsidRPr="003575E1" w:rsidRDefault="00523E58" w:rsidP="00523E58"/>
    <w:tbl>
      <w:tblPr>
        <w:tblW w:w="0" w:type="auto"/>
        <w:tblInd w:w="164" w:type="dxa"/>
        <w:tblBorders>
          <w:top w:val="single" w:sz="6" w:space="0" w:color="auto"/>
          <w:left w:val="single" w:sz="6" w:space="0" w:color="auto"/>
          <w:bottom w:val="single" w:sz="6" w:space="0" w:color="auto"/>
          <w:right w:val="single" w:sz="6" w:space="0" w:color="auto"/>
        </w:tblBorders>
        <w:tblLayout w:type="fixed"/>
        <w:tblCellMar>
          <w:left w:w="142" w:type="dxa"/>
          <w:right w:w="142" w:type="dxa"/>
        </w:tblCellMar>
        <w:tblLook w:val="0000" w:firstRow="0" w:lastRow="0" w:firstColumn="0" w:lastColumn="0" w:noHBand="0" w:noVBand="0"/>
      </w:tblPr>
      <w:tblGrid>
        <w:gridCol w:w="8771"/>
      </w:tblGrid>
      <w:tr w:rsidR="00523E58" w:rsidTr="00DC0887">
        <w:tc>
          <w:tcPr>
            <w:tcW w:w="8771" w:type="dxa"/>
            <w:tcBorders>
              <w:top w:val="single" w:sz="6" w:space="0" w:color="auto"/>
              <w:bottom w:val="nil"/>
            </w:tcBorders>
          </w:tcPr>
          <w:p w:rsidR="00523E58" w:rsidRDefault="00523E58" w:rsidP="00DC0887">
            <w:pPr>
              <w:pStyle w:val="BoxTitle"/>
            </w:pPr>
            <w:r>
              <w:rPr>
                <w:b w:val="0"/>
              </w:rPr>
              <w:t xml:space="preserve">Box </w:t>
            </w:r>
            <w:r>
              <w:rPr>
                <w:b w:val="0"/>
              </w:rPr>
              <w:fldChar w:fldCharType="begin"/>
            </w:r>
            <w:r>
              <w:rPr>
                <w:b w:val="0"/>
              </w:rPr>
              <w:instrText xml:space="preserve"> SEQ Box \* ARABIC </w:instrText>
            </w:r>
            <w:r>
              <w:rPr>
                <w:b w:val="0"/>
              </w:rPr>
              <w:fldChar w:fldCharType="separate"/>
            </w:r>
            <w:r w:rsidR="005F5618">
              <w:rPr>
                <w:b w:val="0"/>
                <w:noProof/>
              </w:rPr>
              <w:t>22</w:t>
            </w:r>
            <w:r>
              <w:rPr>
                <w:b w:val="0"/>
              </w:rPr>
              <w:fldChar w:fldCharType="end"/>
            </w:r>
            <w:r>
              <w:tab/>
              <w:t>Results (measure 6b)</w:t>
            </w:r>
          </w:p>
        </w:tc>
      </w:tr>
      <w:tr w:rsidR="00523E58" w:rsidTr="00DC0887">
        <w:trPr>
          <w:cantSplit/>
        </w:trPr>
        <w:tc>
          <w:tcPr>
            <w:tcW w:w="8771" w:type="dxa"/>
            <w:tcBorders>
              <w:top w:val="nil"/>
              <w:left w:val="single" w:sz="6" w:space="0" w:color="auto"/>
              <w:bottom w:val="nil"/>
              <w:right w:val="single" w:sz="6" w:space="0" w:color="auto"/>
            </w:tcBorders>
          </w:tcPr>
          <w:p w:rsidR="00AC2DFB" w:rsidRDefault="00AC2DFB" w:rsidP="00AC2DFB">
            <w:pPr>
              <w:pStyle w:val="Box"/>
            </w:pPr>
            <w:r>
              <w:t>For this report, new data for this indicator are available for 2013.</w:t>
            </w:r>
          </w:p>
          <w:p w:rsidR="00AC2DFB" w:rsidRDefault="00AC2DFB" w:rsidP="00AC2DFB">
            <w:pPr>
              <w:pStyle w:val="BoxListBullet"/>
            </w:pPr>
            <w:r w:rsidRPr="00AC2DFB">
              <w:t>Data for rates of participation by State and Territory, by Indigenous status, by geolocation, are presented in tables NEA.6(b).1–4</w:t>
            </w:r>
            <w:r>
              <w:t xml:space="preserve">. </w:t>
            </w:r>
          </w:p>
          <w:p w:rsidR="00AC2DFB" w:rsidRDefault="00AC2DFB" w:rsidP="00AC2DFB">
            <w:pPr>
              <w:pStyle w:val="BoxListBullet"/>
            </w:pPr>
            <w:r>
              <w:t>Data for student exemptions, absences and withdrawals by State and Territory, by Indigenous status, are presented in tables NEA.6(b).5–7.</w:t>
            </w:r>
          </w:p>
          <w:p w:rsidR="00523E58" w:rsidRDefault="00AC2DFB" w:rsidP="001E4775">
            <w:pPr>
              <w:pStyle w:val="Box"/>
            </w:pPr>
            <w:r>
              <w:t>Data for 2012 are available in the 2012 NEA performance report</w:t>
            </w:r>
            <w:r w:rsidR="00DE4C4A">
              <w:t>. D</w:t>
            </w:r>
            <w:r w:rsidRPr="00AC2DFB">
              <w:t>ata for 2011 are available in the 2011 NEA performance report. Data for 2010 and 2009 are available in the 2010 NEA performance report. Data for 2008 are available in the 2009 NEA performance report.</w:t>
            </w:r>
          </w:p>
        </w:tc>
      </w:tr>
      <w:tr w:rsidR="00523E58" w:rsidTr="00DC0887">
        <w:trPr>
          <w:cantSplit/>
        </w:trPr>
        <w:tc>
          <w:tcPr>
            <w:tcW w:w="8771" w:type="dxa"/>
            <w:tcBorders>
              <w:top w:val="nil"/>
              <w:left w:val="single" w:sz="6" w:space="0" w:color="auto"/>
              <w:bottom w:val="single" w:sz="6" w:space="0" w:color="auto"/>
              <w:right w:val="single" w:sz="6" w:space="0" w:color="auto"/>
            </w:tcBorders>
          </w:tcPr>
          <w:p w:rsidR="00523E58" w:rsidRDefault="00523E58" w:rsidP="00DC0887">
            <w:pPr>
              <w:pStyle w:val="Box"/>
              <w:spacing w:before="0" w:line="120" w:lineRule="exact"/>
            </w:pPr>
          </w:p>
        </w:tc>
      </w:tr>
      <w:tr w:rsidR="00523E58" w:rsidRPr="000863A5" w:rsidTr="00DC0887">
        <w:tc>
          <w:tcPr>
            <w:tcW w:w="8771" w:type="dxa"/>
            <w:tcBorders>
              <w:top w:val="nil"/>
              <w:left w:val="nil"/>
              <w:bottom w:val="nil"/>
              <w:right w:val="nil"/>
            </w:tcBorders>
          </w:tcPr>
          <w:p w:rsidR="00523E58" w:rsidRPr="00626D32" w:rsidRDefault="00523E58" w:rsidP="00DC0887">
            <w:pPr>
              <w:pStyle w:val="BoxSpaceBelow"/>
            </w:pPr>
          </w:p>
        </w:tc>
      </w:tr>
    </w:tbl>
    <w:p w:rsidR="00523E58" w:rsidRDefault="00523E58" w:rsidP="00523E58">
      <w:pPr>
        <w:pStyle w:val="Heading4"/>
      </w:pPr>
      <w:r>
        <w:t>Attachment tables</w:t>
      </w:r>
      <w:r w:rsidR="004B02B8">
        <w:t xml:space="preserve"> (measure 6b)</w:t>
      </w:r>
    </w:p>
    <w:tbl>
      <w:tblPr>
        <w:tblW w:w="880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0"/>
        <w:gridCol w:w="6804"/>
      </w:tblGrid>
      <w:tr w:rsidR="00C777BB" w:rsidRPr="008E7459" w:rsidTr="00D056A2">
        <w:trPr>
          <w:trHeight w:val="612"/>
        </w:trPr>
        <w:tc>
          <w:tcPr>
            <w:tcW w:w="2000" w:type="dxa"/>
            <w:shd w:val="clear" w:color="auto" w:fill="auto"/>
            <w:noWrap/>
          </w:tcPr>
          <w:p w:rsidR="00C777BB" w:rsidRPr="00D056A2" w:rsidRDefault="00C777BB" w:rsidP="00D056A2">
            <w:pPr>
              <w:pStyle w:val="TableBodyText"/>
              <w:jc w:val="left"/>
              <w:rPr>
                <w:b/>
              </w:rPr>
            </w:pPr>
            <w:r w:rsidRPr="00D056A2">
              <w:rPr>
                <w:b/>
              </w:rPr>
              <w:t>Table NIRA.6(b).1</w:t>
            </w:r>
          </w:p>
        </w:tc>
        <w:tc>
          <w:tcPr>
            <w:tcW w:w="6804" w:type="dxa"/>
            <w:shd w:val="clear" w:color="auto" w:fill="auto"/>
          </w:tcPr>
          <w:p w:rsidR="00C777BB" w:rsidRDefault="00C777BB">
            <w:pPr>
              <w:jc w:val="both"/>
              <w:rPr>
                <w:rFonts w:ascii="Arial" w:hAnsi="Arial" w:cs="Arial"/>
                <w:sz w:val="20"/>
                <w:szCs w:val="20"/>
              </w:rPr>
            </w:pPr>
            <w:r>
              <w:rPr>
                <w:rFonts w:ascii="Arial" w:hAnsi="Arial" w:cs="Arial"/>
                <w:sz w:val="20"/>
                <w:szCs w:val="20"/>
              </w:rPr>
              <w:t xml:space="preserve">Year 3 student participation in assessment, by Indigenous status, by geolocation, 2013 (per cent) </w:t>
            </w:r>
          </w:p>
        </w:tc>
      </w:tr>
      <w:tr w:rsidR="00C777BB" w:rsidRPr="008E7459" w:rsidTr="00D056A2">
        <w:trPr>
          <w:trHeight w:val="612"/>
        </w:trPr>
        <w:tc>
          <w:tcPr>
            <w:tcW w:w="2000" w:type="dxa"/>
            <w:shd w:val="clear" w:color="auto" w:fill="auto"/>
            <w:noWrap/>
          </w:tcPr>
          <w:p w:rsidR="00C777BB" w:rsidRPr="00D056A2" w:rsidRDefault="00C777BB" w:rsidP="00D056A2">
            <w:pPr>
              <w:pStyle w:val="TableBodyText"/>
              <w:jc w:val="left"/>
              <w:rPr>
                <w:b/>
              </w:rPr>
            </w:pPr>
            <w:r w:rsidRPr="00D056A2">
              <w:rPr>
                <w:b/>
              </w:rPr>
              <w:t>Table NIRA.6(b).2</w:t>
            </w:r>
          </w:p>
        </w:tc>
        <w:tc>
          <w:tcPr>
            <w:tcW w:w="6804" w:type="dxa"/>
            <w:shd w:val="clear" w:color="auto" w:fill="auto"/>
          </w:tcPr>
          <w:p w:rsidR="00C777BB" w:rsidRDefault="00C777BB">
            <w:pPr>
              <w:jc w:val="both"/>
              <w:rPr>
                <w:rFonts w:ascii="Arial" w:hAnsi="Arial" w:cs="Arial"/>
                <w:sz w:val="20"/>
                <w:szCs w:val="20"/>
              </w:rPr>
            </w:pPr>
            <w:r>
              <w:rPr>
                <w:rFonts w:ascii="Arial" w:hAnsi="Arial" w:cs="Arial"/>
                <w:sz w:val="20"/>
                <w:szCs w:val="20"/>
              </w:rPr>
              <w:t xml:space="preserve">Year 5 student participation in assessment, by Indigenous status, by geolocation, 2013 (per cent) </w:t>
            </w:r>
          </w:p>
        </w:tc>
      </w:tr>
      <w:tr w:rsidR="00C777BB" w:rsidRPr="008E7459" w:rsidTr="00D056A2">
        <w:trPr>
          <w:trHeight w:val="612"/>
        </w:trPr>
        <w:tc>
          <w:tcPr>
            <w:tcW w:w="2000" w:type="dxa"/>
            <w:shd w:val="clear" w:color="auto" w:fill="auto"/>
            <w:noWrap/>
          </w:tcPr>
          <w:p w:rsidR="00C777BB" w:rsidRPr="00D056A2" w:rsidRDefault="00C777BB" w:rsidP="00D056A2">
            <w:pPr>
              <w:pStyle w:val="TableBodyText"/>
              <w:jc w:val="left"/>
              <w:rPr>
                <w:b/>
              </w:rPr>
            </w:pPr>
            <w:r w:rsidRPr="00D056A2">
              <w:rPr>
                <w:b/>
              </w:rPr>
              <w:t>Table NIRA.6(b).3</w:t>
            </w:r>
          </w:p>
        </w:tc>
        <w:tc>
          <w:tcPr>
            <w:tcW w:w="6804" w:type="dxa"/>
            <w:shd w:val="clear" w:color="auto" w:fill="auto"/>
          </w:tcPr>
          <w:p w:rsidR="00C777BB" w:rsidRDefault="00C777BB">
            <w:pPr>
              <w:jc w:val="both"/>
              <w:rPr>
                <w:rFonts w:ascii="Arial" w:hAnsi="Arial" w:cs="Arial"/>
                <w:sz w:val="20"/>
                <w:szCs w:val="20"/>
              </w:rPr>
            </w:pPr>
            <w:r>
              <w:rPr>
                <w:rFonts w:ascii="Arial" w:hAnsi="Arial" w:cs="Arial"/>
                <w:sz w:val="20"/>
                <w:szCs w:val="20"/>
              </w:rPr>
              <w:t xml:space="preserve">Year 7 student participation in assessment, by Indigenous status, by geolocation, 2013 (per cent) </w:t>
            </w:r>
          </w:p>
        </w:tc>
      </w:tr>
      <w:tr w:rsidR="00C777BB" w:rsidRPr="008E7459" w:rsidTr="00D056A2">
        <w:trPr>
          <w:trHeight w:val="612"/>
        </w:trPr>
        <w:tc>
          <w:tcPr>
            <w:tcW w:w="2000" w:type="dxa"/>
            <w:shd w:val="clear" w:color="auto" w:fill="auto"/>
            <w:noWrap/>
          </w:tcPr>
          <w:p w:rsidR="00C777BB" w:rsidRPr="00D056A2" w:rsidRDefault="00C777BB" w:rsidP="00D056A2">
            <w:pPr>
              <w:pStyle w:val="TableBodyText"/>
              <w:jc w:val="left"/>
              <w:rPr>
                <w:b/>
              </w:rPr>
            </w:pPr>
            <w:r w:rsidRPr="00D056A2">
              <w:rPr>
                <w:b/>
              </w:rPr>
              <w:t>Table NIRA.6(b).4</w:t>
            </w:r>
          </w:p>
        </w:tc>
        <w:tc>
          <w:tcPr>
            <w:tcW w:w="6804" w:type="dxa"/>
            <w:shd w:val="clear" w:color="auto" w:fill="auto"/>
          </w:tcPr>
          <w:p w:rsidR="00C777BB" w:rsidRDefault="00C777BB">
            <w:pPr>
              <w:jc w:val="both"/>
              <w:rPr>
                <w:rFonts w:ascii="Arial" w:hAnsi="Arial" w:cs="Arial"/>
                <w:sz w:val="20"/>
                <w:szCs w:val="20"/>
              </w:rPr>
            </w:pPr>
            <w:r>
              <w:rPr>
                <w:rFonts w:ascii="Arial" w:hAnsi="Arial" w:cs="Arial"/>
                <w:sz w:val="20"/>
                <w:szCs w:val="20"/>
              </w:rPr>
              <w:t xml:space="preserve">Year 9 student participation in assessment, by Indigenous status, by geolocation, 2013 (per cent) </w:t>
            </w:r>
          </w:p>
        </w:tc>
      </w:tr>
      <w:tr w:rsidR="00C777BB" w:rsidRPr="008E7459" w:rsidTr="00D056A2">
        <w:trPr>
          <w:trHeight w:val="612"/>
        </w:trPr>
        <w:tc>
          <w:tcPr>
            <w:tcW w:w="2000" w:type="dxa"/>
            <w:shd w:val="clear" w:color="auto" w:fill="auto"/>
            <w:noWrap/>
          </w:tcPr>
          <w:p w:rsidR="00C777BB" w:rsidRPr="00D056A2" w:rsidRDefault="00C777BB" w:rsidP="00D056A2">
            <w:pPr>
              <w:pStyle w:val="TableBodyText"/>
              <w:jc w:val="left"/>
              <w:rPr>
                <w:b/>
              </w:rPr>
            </w:pPr>
            <w:r w:rsidRPr="00D056A2">
              <w:rPr>
                <w:b/>
              </w:rPr>
              <w:t>Table NIRA.6(b).5</w:t>
            </w:r>
          </w:p>
        </w:tc>
        <w:tc>
          <w:tcPr>
            <w:tcW w:w="6804" w:type="dxa"/>
            <w:shd w:val="clear" w:color="auto" w:fill="auto"/>
          </w:tcPr>
          <w:p w:rsidR="00C777BB" w:rsidRDefault="00C777BB">
            <w:pPr>
              <w:jc w:val="both"/>
              <w:rPr>
                <w:rFonts w:ascii="Arial" w:hAnsi="Arial" w:cs="Arial"/>
                <w:sz w:val="20"/>
                <w:szCs w:val="20"/>
              </w:rPr>
            </w:pPr>
            <w:r>
              <w:rPr>
                <w:rFonts w:ascii="Arial" w:hAnsi="Arial" w:cs="Arial"/>
                <w:sz w:val="20"/>
                <w:szCs w:val="20"/>
              </w:rPr>
              <w:t>Proportion of student exemptions, by Indigenous status, by State and Territory, 2013 (per cent)</w:t>
            </w:r>
          </w:p>
        </w:tc>
      </w:tr>
      <w:tr w:rsidR="00C777BB" w:rsidRPr="008E7459" w:rsidTr="00D056A2">
        <w:trPr>
          <w:trHeight w:val="612"/>
        </w:trPr>
        <w:tc>
          <w:tcPr>
            <w:tcW w:w="2000" w:type="dxa"/>
            <w:shd w:val="clear" w:color="auto" w:fill="auto"/>
            <w:noWrap/>
          </w:tcPr>
          <w:p w:rsidR="00C777BB" w:rsidRPr="00D056A2" w:rsidRDefault="00C777BB" w:rsidP="00D056A2">
            <w:pPr>
              <w:pStyle w:val="TableBodyText"/>
              <w:jc w:val="left"/>
              <w:rPr>
                <w:b/>
              </w:rPr>
            </w:pPr>
            <w:r w:rsidRPr="00D056A2">
              <w:rPr>
                <w:b/>
              </w:rPr>
              <w:t>Table NIRA.6(b).6</w:t>
            </w:r>
          </w:p>
        </w:tc>
        <w:tc>
          <w:tcPr>
            <w:tcW w:w="6804" w:type="dxa"/>
            <w:shd w:val="clear" w:color="auto" w:fill="auto"/>
          </w:tcPr>
          <w:p w:rsidR="00C777BB" w:rsidRDefault="00C777BB">
            <w:pPr>
              <w:jc w:val="both"/>
              <w:rPr>
                <w:rFonts w:ascii="Arial" w:hAnsi="Arial" w:cs="Arial"/>
                <w:sz w:val="20"/>
                <w:szCs w:val="20"/>
              </w:rPr>
            </w:pPr>
            <w:r>
              <w:rPr>
                <w:rFonts w:ascii="Arial" w:hAnsi="Arial" w:cs="Arial"/>
                <w:sz w:val="20"/>
                <w:szCs w:val="20"/>
              </w:rPr>
              <w:t>Proportion of student absences, by Indigenous status, by State and Territory, 2013 (per cent)</w:t>
            </w:r>
          </w:p>
        </w:tc>
      </w:tr>
      <w:tr w:rsidR="00C777BB" w:rsidRPr="008E7459" w:rsidTr="00D056A2">
        <w:trPr>
          <w:trHeight w:val="612"/>
        </w:trPr>
        <w:tc>
          <w:tcPr>
            <w:tcW w:w="2000" w:type="dxa"/>
            <w:shd w:val="clear" w:color="auto" w:fill="auto"/>
            <w:noWrap/>
          </w:tcPr>
          <w:p w:rsidR="00C777BB" w:rsidRPr="00D056A2" w:rsidRDefault="00C777BB" w:rsidP="00D056A2">
            <w:pPr>
              <w:pStyle w:val="TableBodyText"/>
              <w:jc w:val="left"/>
              <w:rPr>
                <w:b/>
              </w:rPr>
            </w:pPr>
            <w:r w:rsidRPr="00D056A2">
              <w:rPr>
                <w:b/>
              </w:rPr>
              <w:t>Table NIRA.6(b).7</w:t>
            </w:r>
          </w:p>
        </w:tc>
        <w:tc>
          <w:tcPr>
            <w:tcW w:w="6804" w:type="dxa"/>
            <w:shd w:val="clear" w:color="auto" w:fill="auto"/>
          </w:tcPr>
          <w:p w:rsidR="00C777BB" w:rsidRDefault="00C777BB">
            <w:pPr>
              <w:jc w:val="both"/>
              <w:rPr>
                <w:rFonts w:ascii="Arial" w:hAnsi="Arial" w:cs="Arial"/>
                <w:sz w:val="20"/>
                <w:szCs w:val="20"/>
              </w:rPr>
            </w:pPr>
            <w:r>
              <w:rPr>
                <w:rFonts w:ascii="Arial" w:hAnsi="Arial" w:cs="Arial"/>
                <w:sz w:val="20"/>
                <w:szCs w:val="20"/>
              </w:rPr>
              <w:t>Proportion of student withdrawals, by Indigenous status, by State and Territory, 2013 (per cent)</w:t>
            </w:r>
          </w:p>
        </w:tc>
      </w:tr>
    </w:tbl>
    <w:p w:rsidR="00523E58" w:rsidRDefault="00523E58" w:rsidP="00523E58"/>
    <w:p w:rsidR="00523E58" w:rsidRDefault="00523E58" w:rsidP="00523E58">
      <w:pPr>
        <w:pStyle w:val="BoxSpaceAbove"/>
      </w:pPr>
    </w:p>
    <w:tbl>
      <w:tblPr>
        <w:tblW w:w="0" w:type="auto"/>
        <w:tblInd w:w="164" w:type="dxa"/>
        <w:tblBorders>
          <w:top w:val="single" w:sz="6" w:space="0" w:color="auto"/>
          <w:left w:val="single" w:sz="6" w:space="0" w:color="auto"/>
          <w:bottom w:val="single" w:sz="6" w:space="0" w:color="auto"/>
          <w:right w:val="single" w:sz="6" w:space="0" w:color="auto"/>
        </w:tblBorders>
        <w:tblLayout w:type="fixed"/>
        <w:tblCellMar>
          <w:left w:w="142" w:type="dxa"/>
          <w:right w:w="142" w:type="dxa"/>
        </w:tblCellMar>
        <w:tblLook w:val="0000" w:firstRow="0" w:lastRow="0" w:firstColumn="0" w:lastColumn="0" w:noHBand="0" w:noVBand="0"/>
      </w:tblPr>
      <w:tblGrid>
        <w:gridCol w:w="8771"/>
      </w:tblGrid>
      <w:tr w:rsidR="00523E58" w:rsidTr="00DC0887">
        <w:tc>
          <w:tcPr>
            <w:tcW w:w="8771" w:type="dxa"/>
            <w:tcBorders>
              <w:top w:val="single" w:sz="6" w:space="0" w:color="auto"/>
              <w:bottom w:val="nil"/>
            </w:tcBorders>
          </w:tcPr>
          <w:p w:rsidR="00523E58" w:rsidRDefault="00523E58" w:rsidP="00DC0887">
            <w:pPr>
              <w:pStyle w:val="BoxTitle"/>
            </w:pPr>
            <w:r>
              <w:rPr>
                <w:b w:val="0"/>
              </w:rPr>
              <w:t xml:space="preserve">Box </w:t>
            </w:r>
            <w:r>
              <w:rPr>
                <w:b w:val="0"/>
              </w:rPr>
              <w:fldChar w:fldCharType="begin"/>
            </w:r>
            <w:r>
              <w:rPr>
                <w:b w:val="0"/>
              </w:rPr>
              <w:instrText xml:space="preserve"> SEQ Box \* ARABIC </w:instrText>
            </w:r>
            <w:r>
              <w:rPr>
                <w:b w:val="0"/>
              </w:rPr>
              <w:fldChar w:fldCharType="separate"/>
            </w:r>
            <w:r w:rsidR="005F5618">
              <w:rPr>
                <w:b w:val="0"/>
                <w:noProof/>
              </w:rPr>
              <w:t>23</w:t>
            </w:r>
            <w:r>
              <w:rPr>
                <w:b w:val="0"/>
              </w:rPr>
              <w:fldChar w:fldCharType="end"/>
            </w:r>
            <w:r>
              <w:tab/>
              <w:t>Comment on data quality (measure 6b)</w:t>
            </w:r>
          </w:p>
        </w:tc>
      </w:tr>
      <w:tr w:rsidR="00523E58" w:rsidTr="00DC0887">
        <w:trPr>
          <w:cantSplit/>
        </w:trPr>
        <w:tc>
          <w:tcPr>
            <w:tcW w:w="8771" w:type="dxa"/>
            <w:tcBorders>
              <w:top w:val="nil"/>
              <w:left w:val="single" w:sz="6" w:space="0" w:color="auto"/>
              <w:bottom w:val="nil"/>
              <w:right w:val="single" w:sz="6" w:space="0" w:color="auto"/>
            </w:tcBorders>
          </w:tcPr>
          <w:p w:rsidR="004B02B8" w:rsidRDefault="004B02B8" w:rsidP="004B02B8">
            <w:pPr>
              <w:pStyle w:val="Box"/>
            </w:pPr>
            <w:r>
              <w:t xml:space="preserve">The DQS for this indicator has been prepared by ACARA and is included in its original form in the section </w:t>
            </w:r>
            <w:r w:rsidR="00D779FE">
              <w:t xml:space="preserve">of </w:t>
            </w:r>
            <w:r>
              <w:t>this report title ‘Data Quality Statements’. Key points from the DQS are summarised below.</w:t>
            </w:r>
          </w:p>
          <w:p w:rsidR="004B02B8" w:rsidRPr="004B02B8" w:rsidRDefault="004B02B8" w:rsidP="004B02B8">
            <w:pPr>
              <w:pStyle w:val="BoxListBullet"/>
            </w:pPr>
            <w:r w:rsidRPr="004B02B8">
              <w:t>The data provide relevant information on the participation of year 3, 5, 7 and 9 students in national testing for the learning domains of reading, writing and numeracy.</w:t>
            </w:r>
          </w:p>
          <w:p w:rsidR="004B02B8" w:rsidRDefault="004B02B8" w:rsidP="004B02B8">
            <w:pPr>
              <w:pStyle w:val="BoxListBullet"/>
            </w:pPr>
            <w:r>
              <w:t>All data are collected annually. The most recent data available are for 2013.</w:t>
            </w:r>
          </w:p>
          <w:p w:rsidR="004B02B8" w:rsidRDefault="004B02B8" w:rsidP="004B02B8">
            <w:pPr>
              <w:pStyle w:val="BoxListBullet"/>
            </w:pPr>
            <w:r>
              <w:t>Data are available by State and Territory by Indigenous status by geolocation.</w:t>
            </w:r>
          </w:p>
          <w:p w:rsidR="004B02B8" w:rsidRDefault="004B02B8" w:rsidP="004B02B8">
            <w:pPr>
              <w:pStyle w:val="BoxListBullet"/>
            </w:pPr>
            <w:r>
              <w:t>Students are classified in four ways: assessed</w:t>
            </w:r>
            <w:r w:rsidR="00D779FE">
              <w:t>;</w:t>
            </w:r>
            <w:r>
              <w:t xml:space="preserve"> exempt</w:t>
            </w:r>
            <w:r w:rsidR="00D779FE">
              <w:t>;</w:t>
            </w:r>
            <w:r>
              <w:t xml:space="preserve"> absent</w:t>
            </w:r>
            <w:r w:rsidR="00D779FE">
              <w:t>;</w:t>
            </w:r>
            <w:r>
              <w:t xml:space="preserve"> and withdrawn. Exempt students are not assessed and are deemed not to have met the national minimum standard. Absent and withdrawn students are not assessed and are not included in the calculation. Data are provided on the proportion of students who were exempt, absent and withdrawn.</w:t>
            </w:r>
          </w:p>
          <w:p w:rsidR="004B02B8" w:rsidRDefault="004B02B8" w:rsidP="004B02B8">
            <w:pPr>
              <w:pStyle w:val="BoxListBullet"/>
            </w:pPr>
            <w:r>
              <w:t>Detailed explanatory notes are publicly available to assist in the interpretation.</w:t>
            </w:r>
          </w:p>
          <w:p w:rsidR="004B02B8" w:rsidRDefault="004B02B8" w:rsidP="004B02B8">
            <w:pPr>
              <w:pStyle w:val="BoxListBullet"/>
            </w:pPr>
            <w:r>
              <w:t>Additional data from the data source are available online.</w:t>
            </w:r>
          </w:p>
          <w:p w:rsidR="00523E58" w:rsidRDefault="004B02B8" w:rsidP="001E4775">
            <w:pPr>
              <w:pStyle w:val="Box"/>
            </w:pPr>
            <w:r w:rsidRPr="004B02B8">
              <w:t xml:space="preserve">The Steering Committee has no further issues </w:t>
            </w:r>
            <w:r w:rsidR="00D779FE">
              <w:t>to note for</w:t>
            </w:r>
            <w:r w:rsidRPr="004B02B8">
              <w:t xml:space="preserve"> this measure.</w:t>
            </w:r>
          </w:p>
        </w:tc>
      </w:tr>
      <w:tr w:rsidR="00523E58" w:rsidTr="00DC0887">
        <w:trPr>
          <w:cantSplit/>
        </w:trPr>
        <w:tc>
          <w:tcPr>
            <w:tcW w:w="8771" w:type="dxa"/>
            <w:tcBorders>
              <w:top w:val="nil"/>
              <w:left w:val="single" w:sz="6" w:space="0" w:color="auto"/>
              <w:bottom w:val="single" w:sz="6" w:space="0" w:color="auto"/>
              <w:right w:val="single" w:sz="6" w:space="0" w:color="auto"/>
            </w:tcBorders>
          </w:tcPr>
          <w:p w:rsidR="00523E58" w:rsidRDefault="00523E58" w:rsidP="00DC0887">
            <w:pPr>
              <w:pStyle w:val="Box"/>
              <w:spacing w:before="0" w:line="120" w:lineRule="exact"/>
            </w:pPr>
          </w:p>
        </w:tc>
      </w:tr>
      <w:tr w:rsidR="00523E58" w:rsidRPr="000863A5" w:rsidTr="00DC0887">
        <w:tc>
          <w:tcPr>
            <w:tcW w:w="8771" w:type="dxa"/>
            <w:tcBorders>
              <w:top w:val="nil"/>
              <w:left w:val="nil"/>
              <w:bottom w:val="nil"/>
              <w:right w:val="nil"/>
            </w:tcBorders>
          </w:tcPr>
          <w:p w:rsidR="00523E58" w:rsidRPr="00626D32" w:rsidRDefault="00523E58" w:rsidP="00DC0887">
            <w:pPr>
              <w:pStyle w:val="BoxSpaceBelow"/>
            </w:pPr>
          </w:p>
        </w:tc>
      </w:tr>
    </w:tbl>
    <w:p w:rsidR="00523E58" w:rsidRPr="003575E1" w:rsidRDefault="00523E58" w:rsidP="00523E58"/>
    <w:p w:rsidR="00117C12" w:rsidRPr="009E582C" w:rsidRDefault="00117C12" w:rsidP="009E582C">
      <w:pPr>
        <w:pStyle w:val="BodyText"/>
      </w:pPr>
      <w:r>
        <w:br w:type="page"/>
      </w:r>
    </w:p>
    <w:p w:rsidR="0035205B" w:rsidRDefault="0035205B" w:rsidP="0035205B">
      <w:pPr>
        <w:pStyle w:val="Heading3"/>
      </w:pPr>
      <w:bookmarkStart w:id="24" w:name="_Ref377566529"/>
      <w:r w:rsidRPr="00136727">
        <w:t xml:space="preserve">Performance </w:t>
      </w:r>
      <w:r>
        <w:t>indicator 7</w:t>
      </w:r>
      <w:r w:rsidRPr="00136727">
        <w:t xml:space="preserve">: </w:t>
      </w:r>
      <w:r w:rsidRPr="0035205B">
        <w:t>Attendance rates year 1 to year 10</w:t>
      </w:r>
      <w:bookmarkEnd w:id="24"/>
    </w:p>
    <w:p w:rsidR="00885408" w:rsidRPr="00885408" w:rsidRDefault="00885408" w:rsidP="00885408">
      <w:pPr>
        <w:pStyle w:val="BodyText"/>
      </w:pPr>
      <w:r w:rsidRPr="00885408">
        <w:t>[This indicator relates directly to PI 13 in the NIRA and PI 1 in the NEA]</w:t>
      </w:r>
    </w:p>
    <w:p w:rsidR="0035205B" w:rsidRPr="003A784E" w:rsidRDefault="0035205B" w:rsidP="0035205B">
      <w:pPr>
        <w:pStyle w:val="Subtitle"/>
      </w:pPr>
    </w:p>
    <w:tbl>
      <w:tblPr>
        <w:tblW w:w="5000" w:type="pct"/>
        <w:tblCellMar>
          <w:left w:w="0" w:type="dxa"/>
          <w:right w:w="0" w:type="dxa"/>
        </w:tblCellMar>
        <w:tblLook w:val="0000" w:firstRow="0" w:lastRow="0" w:firstColumn="0" w:lastColumn="0" w:noHBand="0" w:noVBand="0"/>
      </w:tblPr>
      <w:tblGrid>
        <w:gridCol w:w="1985"/>
        <w:gridCol w:w="6804"/>
      </w:tblGrid>
      <w:tr w:rsidR="009E582C" w:rsidTr="008539DA">
        <w:trPr>
          <w:trHeight w:val="823"/>
        </w:trPr>
        <w:tc>
          <w:tcPr>
            <w:tcW w:w="1129" w:type="pct"/>
            <w:shd w:val="clear" w:color="auto" w:fill="auto"/>
          </w:tcPr>
          <w:p w:rsidR="009E582C" w:rsidRPr="00D15139" w:rsidRDefault="009E582C" w:rsidP="00D15139">
            <w:pPr>
              <w:pStyle w:val="TableBodyText"/>
              <w:keepNext w:val="0"/>
              <w:keepLines w:val="0"/>
              <w:ind w:left="34"/>
              <w:jc w:val="left"/>
            </w:pPr>
            <w:r w:rsidRPr="00D15139">
              <w:t>Key amendments from previous cycle of reporting:</w:t>
            </w:r>
          </w:p>
          <w:p w:rsidR="009E582C" w:rsidRPr="00D15139" w:rsidRDefault="009E582C" w:rsidP="00D15139">
            <w:pPr>
              <w:pStyle w:val="TableBodyText"/>
              <w:keepNext w:val="0"/>
              <w:keepLines w:val="0"/>
              <w:ind w:left="34"/>
              <w:jc w:val="left"/>
            </w:pPr>
          </w:p>
        </w:tc>
        <w:tc>
          <w:tcPr>
            <w:tcW w:w="3871" w:type="pct"/>
            <w:shd w:val="clear" w:color="auto" w:fill="auto"/>
          </w:tcPr>
          <w:p w:rsidR="009E582C" w:rsidRPr="007D0E0D" w:rsidRDefault="009E582C" w:rsidP="002169A9">
            <w:pPr>
              <w:pStyle w:val="TableBodyText"/>
              <w:jc w:val="left"/>
              <w:rPr>
                <w:rFonts w:cs="Arial"/>
              </w:rPr>
            </w:pPr>
            <w:r w:rsidRPr="003E3506">
              <w:rPr>
                <w:rFonts w:cs="Arial"/>
              </w:rPr>
              <w:t>This indicator is unc</w:t>
            </w:r>
            <w:r w:rsidRPr="00807440">
              <w:rPr>
                <w:rFonts w:cs="Arial"/>
              </w:rPr>
              <w:t>hanged from the previous NEA</w:t>
            </w:r>
            <w:r>
              <w:rPr>
                <w:rFonts w:cs="Arial"/>
              </w:rPr>
              <w:t xml:space="preserve"> performance report</w:t>
            </w:r>
          </w:p>
        </w:tc>
      </w:tr>
      <w:tr w:rsidR="009E582C" w:rsidTr="008539DA">
        <w:tc>
          <w:tcPr>
            <w:tcW w:w="1129" w:type="pct"/>
          </w:tcPr>
          <w:p w:rsidR="009E582C" w:rsidRPr="00D15139" w:rsidRDefault="009E582C" w:rsidP="00D15139">
            <w:pPr>
              <w:pStyle w:val="TableBodyText"/>
              <w:keepNext w:val="0"/>
              <w:keepLines w:val="0"/>
              <w:ind w:left="34"/>
              <w:jc w:val="left"/>
            </w:pPr>
            <w:r w:rsidRPr="00D15139">
              <w:t>Outcomes:</w:t>
            </w:r>
          </w:p>
        </w:tc>
        <w:tc>
          <w:tcPr>
            <w:tcW w:w="3871" w:type="pct"/>
          </w:tcPr>
          <w:p w:rsidR="009E582C" w:rsidRPr="007D0E0D" w:rsidRDefault="009E582C" w:rsidP="002169A9">
            <w:pPr>
              <w:pStyle w:val="TableBodyText"/>
              <w:jc w:val="left"/>
              <w:rPr>
                <w:rFonts w:cs="Arial"/>
              </w:rPr>
            </w:pPr>
            <w:r w:rsidRPr="007D0E0D">
              <w:rPr>
                <w:rFonts w:cs="Arial"/>
              </w:rPr>
              <w:t>All children are engaged i</w:t>
            </w:r>
            <w:r w:rsidR="00694EF7">
              <w:rPr>
                <w:rFonts w:cs="Arial"/>
              </w:rPr>
              <w:t>n and benefiting from schooling</w:t>
            </w:r>
          </w:p>
          <w:p w:rsidR="009E582C" w:rsidRPr="003E3506" w:rsidRDefault="009E582C" w:rsidP="002169A9">
            <w:pPr>
              <w:pStyle w:val="TableBodyText"/>
              <w:jc w:val="left"/>
              <w:rPr>
                <w:rFonts w:cs="Arial"/>
              </w:rPr>
            </w:pPr>
          </w:p>
          <w:p w:rsidR="009E582C" w:rsidRDefault="009E582C" w:rsidP="002169A9">
            <w:pPr>
              <w:pStyle w:val="TableBodyText"/>
              <w:jc w:val="left"/>
              <w:rPr>
                <w:rFonts w:cs="Arial"/>
              </w:rPr>
            </w:pPr>
            <w:r w:rsidRPr="005C7D08">
              <w:rPr>
                <w:rFonts w:cs="Arial"/>
              </w:rPr>
              <w:t>Schooling promotes the social inclusion and reduces the educational disadvantage of children,</w:t>
            </w:r>
            <w:r w:rsidR="00694EF7">
              <w:rPr>
                <w:rFonts w:cs="Arial"/>
              </w:rPr>
              <w:t xml:space="preserve"> especially Indigenous children</w:t>
            </w:r>
          </w:p>
          <w:p w:rsidR="009E582C" w:rsidRPr="001C3B6C" w:rsidRDefault="009E582C" w:rsidP="002169A9">
            <w:pPr>
              <w:pStyle w:val="TableBodyText"/>
              <w:jc w:val="left"/>
              <w:rPr>
                <w:rFonts w:cs="Arial"/>
              </w:rPr>
            </w:pPr>
          </w:p>
        </w:tc>
      </w:tr>
      <w:tr w:rsidR="009E582C" w:rsidTr="008539DA">
        <w:tc>
          <w:tcPr>
            <w:tcW w:w="1129" w:type="pct"/>
          </w:tcPr>
          <w:p w:rsidR="009E582C" w:rsidRPr="00D15139" w:rsidRDefault="009E582C" w:rsidP="00D15139">
            <w:pPr>
              <w:pStyle w:val="TableBodyText"/>
              <w:keepNext w:val="0"/>
              <w:keepLines w:val="0"/>
              <w:ind w:left="34"/>
              <w:jc w:val="left"/>
            </w:pPr>
            <w:r w:rsidRPr="00D15139">
              <w:t>Measure:</w:t>
            </w:r>
          </w:p>
          <w:p w:rsidR="009E582C" w:rsidRPr="00D15139" w:rsidRDefault="009E582C" w:rsidP="00D15139">
            <w:pPr>
              <w:pStyle w:val="TableBodyText"/>
              <w:keepNext w:val="0"/>
              <w:keepLines w:val="0"/>
              <w:ind w:left="34"/>
              <w:jc w:val="left"/>
            </w:pPr>
          </w:p>
        </w:tc>
        <w:tc>
          <w:tcPr>
            <w:tcW w:w="3871" w:type="pct"/>
          </w:tcPr>
          <w:p w:rsidR="009E582C" w:rsidRDefault="009E582C" w:rsidP="002169A9">
            <w:pPr>
              <w:autoSpaceDE w:val="0"/>
              <w:autoSpaceDN w:val="0"/>
              <w:adjustRightInd w:val="0"/>
              <w:rPr>
                <w:rFonts w:ascii="Arial" w:hAnsi="Arial" w:cs="Arial"/>
                <w:sz w:val="20"/>
                <w:szCs w:val="20"/>
              </w:rPr>
            </w:pPr>
            <w:r w:rsidRPr="001C3B6C">
              <w:rPr>
                <w:rFonts w:ascii="Arial" w:hAnsi="Arial" w:cs="Arial"/>
                <w:sz w:val="20"/>
                <w:szCs w:val="20"/>
              </w:rPr>
              <w:t>The attendance rates for students in year</w:t>
            </w:r>
            <w:r w:rsidR="00694EF7">
              <w:rPr>
                <w:rFonts w:ascii="Arial" w:hAnsi="Arial" w:cs="Arial"/>
                <w:sz w:val="20"/>
                <w:szCs w:val="20"/>
              </w:rPr>
              <w:t>s 1 to 10, by Indigenous status</w:t>
            </w:r>
          </w:p>
          <w:p w:rsidR="009E582C" w:rsidRPr="006854C8" w:rsidRDefault="009E582C" w:rsidP="002169A9">
            <w:pPr>
              <w:autoSpaceDE w:val="0"/>
              <w:autoSpaceDN w:val="0"/>
              <w:adjustRightInd w:val="0"/>
              <w:rPr>
                <w:rFonts w:ascii="Arial" w:hAnsi="Arial" w:cs="Arial"/>
                <w:sz w:val="20"/>
                <w:szCs w:val="20"/>
              </w:rPr>
            </w:pPr>
            <w:r w:rsidRPr="006854C8">
              <w:rPr>
                <w:rFonts w:ascii="Arial" w:hAnsi="Arial" w:cs="Arial"/>
                <w:sz w:val="20"/>
                <w:szCs w:val="20"/>
              </w:rPr>
              <w:t>The measure is defined as:</w:t>
            </w:r>
          </w:p>
          <w:p w:rsidR="009E582C" w:rsidRPr="006854C8" w:rsidRDefault="009E582C" w:rsidP="008576E5">
            <w:pPr>
              <w:pStyle w:val="TableBullet"/>
            </w:pPr>
            <w:r w:rsidRPr="006854C8">
              <w:rPr>
                <w:i/>
              </w:rPr>
              <w:t xml:space="preserve">numerator — </w:t>
            </w:r>
            <w:r w:rsidRPr="006854C8">
              <w:t>aggregate number of actual days in attendance in the collection period, for children in years 1–10 (children enrolled full time only)</w:t>
            </w:r>
          </w:p>
          <w:p w:rsidR="009E582C" w:rsidRPr="006854C8" w:rsidRDefault="009E582C" w:rsidP="008576E5">
            <w:pPr>
              <w:pStyle w:val="TableBullet"/>
            </w:pPr>
            <w:r w:rsidRPr="006854C8">
              <w:rPr>
                <w:i/>
              </w:rPr>
              <w:t xml:space="preserve">denominator — </w:t>
            </w:r>
            <w:r w:rsidRPr="006854C8">
              <w:t>aggregate number of possible days for attendance in the collection period, for children in years 1–10 (children enrolled full time only)</w:t>
            </w:r>
          </w:p>
          <w:p w:rsidR="009E582C" w:rsidRPr="007D0E0D" w:rsidRDefault="009E582C" w:rsidP="002169A9">
            <w:pPr>
              <w:pStyle w:val="TableBodyText"/>
              <w:jc w:val="left"/>
              <w:rPr>
                <w:rFonts w:cs="Arial"/>
                <w:i/>
              </w:rPr>
            </w:pPr>
            <w:r>
              <w:rPr>
                <w:rFonts w:cs="Arial"/>
              </w:rPr>
              <w:t>and is presented</w:t>
            </w:r>
            <w:r w:rsidRPr="006854C8">
              <w:rPr>
                <w:rFonts w:cs="Arial"/>
              </w:rPr>
              <w:t xml:space="preserve"> as a </w:t>
            </w:r>
            <w:r w:rsidRPr="006854C8">
              <w:rPr>
                <w:rFonts w:cs="Arial"/>
                <w:i/>
              </w:rPr>
              <w:t xml:space="preserve">rate </w:t>
            </w:r>
            <w:r w:rsidRPr="007D0E0D">
              <w:rPr>
                <w:rFonts w:cs="Arial"/>
                <w:i/>
              </w:rPr>
              <w:t>per 100 possible days of attendance</w:t>
            </w:r>
          </w:p>
          <w:p w:rsidR="009E582C" w:rsidRPr="005C7D08" w:rsidRDefault="009E582C" w:rsidP="002169A9">
            <w:pPr>
              <w:pStyle w:val="TableBodyText"/>
              <w:jc w:val="left"/>
              <w:rPr>
                <w:rFonts w:cs="Arial"/>
              </w:rPr>
            </w:pPr>
          </w:p>
        </w:tc>
      </w:tr>
      <w:tr w:rsidR="009E582C" w:rsidTr="008539DA">
        <w:tc>
          <w:tcPr>
            <w:tcW w:w="1129" w:type="pct"/>
          </w:tcPr>
          <w:p w:rsidR="009E582C" w:rsidRPr="00D15139" w:rsidRDefault="009E582C" w:rsidP="00D15139">
            <w:pPr>
              <w:pStyle w:val="TableBodyText"/>
              <w:keepNext w:val="0"/>
              <w:keepLines w:val="0"/>
              <w:ind w:left="34"/>
              <w:jc w:val="left"/>
            </w:pPr>
            <w:r w:rsidRPr="00D15139">
              <w:t>Data source:</w:t>
            </w:r>
          </w:p>
          <w:p w:rsidR="009E582C" w:rsidRPr="00D15139" w:rsidRDefault="009E582C" w:rsidP="00D15139">
            <w:pPr>
              <w:pStyle w:val="TableBodyText"/>
              <w:keepNext w:val="0"/>
              <w:keepLines w:val="0"/>
              <w:ind w:left="34"/>
              <w:jc w:val="left"/>
            </w:pPr>
          </w:p>
        </w:tc>
        <w:tc>
          <w:tcPr>
            <w:tcW w:w="3871" w:type="pct"/>
          </w:tcPr>
          <w:p w:rsidR="009E582C" w:rsidRPr="007D0E0D" w:rsidRDefault="009E582C" w:rsidP="002169A9">
            <w:pPr>
              <w:autoSpaceDE w:val="0"/>
              <w:autoSpaceDN w:val="0"/>
              <w:adjustRightInd w:val="0"/>
              <w:rPr>
                <w:rStyle w:val="TableBodyTextChar"/>
                <w:rFonts w:cs="Arial"/>
                <w:sz w:val="20"/>
                <w:szCs w:val="20"/>
              </w:rPr>
            </w:pPr>
            <w:r w:rsidRPr="006854C8">
              <w:rPr>
                <w:rFonts w:ascii="Arial" w:hAnsi="Arial" w:cs="Arial"/>
                <w:sz w:val="20"/>
                <w:szCs w:val="20"/>
                <w:u w:val="single"/>
              </w:rPr>
              <w:t>National Schools Attendance Collection</w:t>
            </w:r>
            <w:r w:rsidRPr="006854C8">
              <w:rPr>
                <w:rFonts w:ascii="Arial" w:hAnsi="Arial" w:cs="Arial"/>
                <w:sz w:val="20"/>
                <w:szCs w:val="20"/>
              </w:rPr>
              <w:t xml:space="preserve"> (NSAC). Data are </w:t>
            </w:r>
            <w:r>
              <w:rPr>
                <w:rFonts w:ascii="Arial" w:hAnsi="Arial" w:cs="Arial"/>
                <w:sz w:val="20"/>
                <w:szCs w:val="20"/>
              </w:rPr>
              <w:t>collected</w:t>
            </w:r>
            <w:r w:rsidRPr="006854C8">
              <w:rPr>
                <w:rFonts w:ascii="Arial" w:hAnsi="Arial" w:cs="Arial"/>
                <w:sz w:val="20"/>
                <w:szCs w:val="20"/>
              </w:rPr>
              <w:t xml:space="preserve"> annually</w:t>
            </w:r>
          </w:p>
          <w:p w:rsidR="009E582C" w:rsidRPr="005C7D08" w:rsidRDefault="009E582C" w:rsidP="002169A9">
            <w:pPr>
              <w:pStyle w:val="TableBodyText"/>
              <w:jc w:val="left"/>
              <w:rPr>
                <w:rFonts w:cs="Arial"/>
              </w:rPr>
            </w:pPr>
          </w:p>
        </w:tc>
      </w:tr>
      <w:tr w:rsidR="009E582C" w:rsidTr="008539DA">
        <w:tc>
          <w:tcPr>
            <w:tcW w:w="1129" w:type="pct"/>
          </w:tcPr>
          <w:p w:rsidR="009E582C" w:rsidRPr="00D15139" w:rsidRDefault="009E582C" w:rsidP="00D15139">
            <w:pPr>
              <w:pStyle w:val="TableBodyText"/>
              <w:keepNext w:val="0"/>
              <w:keepLines w:val="0"/>
              <w:ind w:left="34"/>
              <w:jc w:val="left"/>
            </w:pPr>
            <w:r w:rsidRPr="00D15139">
              <w:t>Data provider:</w:t>
            </w:r>
          </w:p>
          <w:p w:rsidR="009E582C" w:rsidRPr="00D15139" w:rsidRDefault="009E582C" w:rsidP="00D15139">
            <w:pPr>
              <w:pStyle w:val="TableBodyText"/>
              <w:keepNext w:val="0"/>
              <w:keepLines w:val="0"/>
              <w:ind w:left="34"/>
              <w:jc w:val="left"/>
            </w:pPr>
          </w:p>
        </w:tc>
        <w:tc>
          <w:tcPr>
            <w:tcW w:w="3871" w:type="pct"/>
          </w:tcPr>
          <w:p w:rsidR="009E582C" w:rsidRPr="001C3B6C" w:rsidRDefault="009E582C" w:rsidP="002169A9">
            <w:pPr>
              <w:pStyle w:val="TableBodyText"/>
              <w:jc w:val="left"/>
              <w:rPr>
                <w:rFonts w:cs="Arial"/>
              </w:rPr>
            </w:pPr>
            <w:r w:rsidRPr="005C7D08">
              <w:rPr>
                <w:rFonts w:cs="Arial"/>
              </w:rPr>
              <w:t>ACARA</w:t>
            </w:r>
          </w:p>
        </w:tc>
      </w:tr>
      <w:tr w:rsidR="009E582C" w:rsidTr="008539DA">
        <w:tc>
          <w:tcPr>
            <w:tcW w:w="1129" w:type="pct"/>
          </w:tcPr>
          <w:p w:rsidR="009E582C" w:rsidRPr="00D15139" w:rsidRDefault="009E582C" w:rsidP="00D15139">
            <w:pPr>
              <w:pStyle w:val="TableBodyText"/>
              <w:keepNext w:val="0"/>
              <w:keepLines w:val="0"/>
              <w:ind w:left="34"/>
              <w:jc w:val="left"/>
            </w:pPr>
            <w:r w:rsidRPr="00D15139">
              <w:t>Data availability:</w:t>
            </w:r>
          </w:p>
          <w:p w:rsidR="009E582C" w:rsidRPr="00D15139" w:rsidRDefault="009E582C" w:rsidP="00D15139">
            <w:pPr>
              <w:pStyle w:val="TableBodyText"/>
              <w:keepNext w:val="0"/>
              <w:keepLines w:val="0"/>
              <w:ind w:left="34"/>
              <w:jc w:val="left"/>
            </w:pPr>
          </w:p>
        </w:tc>
        <w:tc>
          <w:tcPr>
            <w:tcW w:w="3871" w:type="pct"/>
          </w:tcPr>
          <w:p w:rsidR="009E582C" w:rsidRPr="001C3B6C" w:rsidRDefault="009E582C" w:rsidP="002169A9">
            <w:pPr>
              <w:pStyle w:val="TableBodyText"/>
              <w:jc w:val="left"/>
              <w:rPr>
                <w:rFonts w:cs="Arial"/>
              </w:rPr>
            </w:pPr>
            <w:r w:rsidRPr="005C7D08">
              <w:rPr>
                <w:rFonts w:cs="Arial"/>
              </w:rPr>
              <w:t>2013</w:t>
            </w:r>
          </w:p>
        </w:tc>
      </w:tr>
      <w:tr w:rsidR="009E582C" w:rsidTr="008539DA">
        <w:tc>
          <w:tcPr>
            <w:tcW w:w="1129" w:type="pct"/>
          </w:tcPr>
          <w:p w:rsidR="009E582C" w:rsidRPr="00D15139" w:rsidRDefault="009E582C" w:rsidP="00D15139">
            <w:pPr>
              <w:pStyle w:val="TableBodyText"/>
              <w:keepNext w:val="0"/>
              <w:keepLines w:val="0"/>
              <w:ind w:left="34"/>
              <w:jc w:val="left"/>
            </w:pPr>
            <w:r w:rsidRPr="00D15139">
              <w:t>Cross tabulations provided:</w:t>
            </w:r>
          </w:p>
          <w:p w:rsidR="009E582C" w:rsidRPr="00D15139" w:rsidRDefault="009E582C" w:rsidP="00D15139">
            <w:pPr>
              <w:pStyle w:val="TableBodyText"/>
              <w:keepNext w:val="0"/>
              <w:keepLines w:val="0"/>
              <w:ind w:left="34"/>
              <w:jc w:val="left"/>
            </w:pPr>
          </w:p>
        </w:tc>
        <w:tc>
          <w:tcPr>
            <w:tcW w:w="3871" w:type="pct"/>
          </w:tcPr>
          <w:p w:rsidR="009E582C" w:rsidRPr="006854C8" w:rsidRDefault="009E582C" w:rsidP="002169A9">
            <w:pPr>
              <w:pStyle w:val="TableBodyText"/>
              <w:jc w:val="left"/>
              <w:rPr>
                <w:rFonts w:cs="Arial"/>
                <w:iCs/>
              </w:rPr>
            </w:pPr>
            <w:r w:rsidRPr="006854C8">
              <w:rPr>
                <w:rFonts w:cs="Arial"/>
                <w:iCs/>
              </w:rPr>
              <w:t>State and Territory, by school sector, by year level, by</w:t>
            </w:r>
          </w:p>
          <w:p w:rsidR="009E582C" w:rsidRPr="001C3B6C" w:rsidRDefault="009E582C" w:rsidP="008576E5">
            <w:pPr>
              <w:pStyle w:val="TableBullet"/>
            </w:pPr>
            <w:r w:rsidRPr="006854C8">
              <w:t xml:space="preserve"> Indigenous status</w:t>
            </w:r>
          </w:p>
        </w:tc>
      </w:tr>
    </w:tbl>
    <w:p w:rsidR="0035205B" w:rsidRPr="003575E1" w:rsidRDefault="0035205B" w:rsidP="0035205B"/>
    <w:tbl>
      <w:tblPr>
        <w:tblW w:w="0" w:type="auto"/>
        <w:tblInd w:w="164" w:type="dxa"/>
        <w:tblBorders>
          <w:top w:val="single" w:sz="6" w:space="0" w:color="auto"/>
          <w:left w:val="single" w:sz="6" w:space="0" w:color="auto"/>
          <w:bottom w:val="single" w:sz="6" w:space="0" w:color="auto"/>
          <w:right w:val="single" w:sz="6" w:space="0" w:color="auto"/>
        </w:tblBorders>
        <w:tblLayout w:type="fixed"/>
        <w:tblCellMar>
          <w:left w:w="142" w:type="dxa"/>
          <w:right w:w="142" w:type="dxa"/>
        </w:tblCellMar>
        <w:tblLook w:val="0000" w:firstRow="0" w:lastRow="0" w:firstColumn="0" w:lastColumn="0" w:noHBand="0" w:noVBand="0"/>
      </w:tblPr>
      <w:tblGrid>
        <w:gridCol w:w="8771"/>
      </w:tblGrid>
      <w:tr w:rsidR="00162BCC" w:rsidTr="00EF255E">
        <w:tc>
          <w:tcPr>
            <w:tcW w:w="8771" w:type="dxa"/>
            <w:tcBorders>
              <w:top w:val="single" w:sz="6" w:space="0" w:color="auto"/>
              <w:bottom w:val="nil"/>
            </w:tcBorders>
          </w:tcPr>
          <w:p w:rsidR="00162BCC" w:rsidRDefault="00162BCC" w:rsidP="00EF255E">
            <w:pPr>
              <w:pStyle w:val="BoxTitle"/>
            </w:pPr>
            <w:r>
              <w:rPr>
                <w:b w:val="0"/>
              </w:rPr>
              <w:t xml:space="preserve">Box </w:t>
            </w:r>
            <w:r>
              <w:rPr>
                <w:b w:val="0"/>
              </w:rPr>
              <w:fldChar w:fldCharType="begin"/>
            </w:r>
            <w:r>
              <w:rPr>
                <w:b w:val="0"/>
              </w:rPr>
              <w:instrText xml:space="preserve"> SEQ Box \* ARABIC </w:instrText>
            </w:r>
            <w:r>
              <w:rPr>
                <w:b w:val="0"/>
              </w:rPr>
              <w:fldChar w:fldCharType="separate"/>
            </w:r>
            <w:r w:rsidR="005F5618">
              <w:rPr>
                <w:b w:val="0"/>
                <w:noProof/>
              </w:rPr>
              <w:t>24</w:t>
            </w:r>
            <w:r>
              <w:rPr>
                <w:b w:val="0"/>
              </w:rPr>
              <w:fldChar w:fldCharType="end"/>
            </w:r>
            <w:r>
              <w:tab/>
              <w:t>Results</w:t>
            </w:r>
          </w:p>
        </w:tc>
      </w:tr>
      <w:tr w:rsidR="00162BCC" w:rsidTr="00EF255E">
        <w:trPr>
          <w:cantSplit/>
        </w:trPr>
        <w:tc>
          <w:tcPr>
            <w:tcW w:w="8771" w:type="dxa"/>
            <w:tcBorders>
              <w:top w:val="nil"/>
              <w:left w:val="single" w:sz="6" w:space="0" w:color="auto"/>
              <w:bottom w:val="nil"/>
              <w:right w:val="single" w:sz="6" w:space="0" w:color="auto"/>
            </w:tcBorders>
          </w:tcPr>
          <w:p w:rsidR="00F60567" w:rsidRDefault="00F60567" w:rsidP="00F60567">
            <w:pPr>
              <w:pStyle w:val="Box"/>
            </w:pPr>
            <w:r>
              <w:t xml:space="preserve">For this report, new data for this indicator are available for 2013. </w:t>
            </w:r>
          </w:p>
          <w:p w:rsidR="00F60567" w:rsidRDefault="00F60567" w:rsidP="00F60567">
            <w:pPr>
              <w:pStyle w:val="BoxListBullet"/>
            </w:pPr>
            <w:r>
              <w:t>Data on the rate of school attendance are presented by State and Territory by Indigenous status in tables NEA.1.4–6.</w:t>
            </w:r>
          </w:p>
          <w:p w:rsidR="00162BCC" w:rsidRDefault="00F60567" w:rsidP="001E4775">
            <w:pPr>
              <w:pStyle w:val="Box"/>
            </w:pPr>
            <w:r>
              <w:t>Historical data for 2012 are available in the 2012 NEA performance report. Data for 2011 are available in the 2011 NEA performance report. Data for 2010, 2009 and 2008 are available in the 2010 NEA performance report</w:t>
            </w:r>
            <w:r w:rsidR="0038398F">
              <w:t>. Data for</w:t>
            </w:r>
            <w:r>
              <w:t xml:space="preserve"> 2007 are available </w:t>
            </w:r>
            <w:r w:rsidR="001E4775">
              <w:t xml:space="preserve">in </w:t>
            </w:r>
            <w:r>
              <w:t>the 2009 NEA performance report.</w:t>
            </w:r>
          </w:p>
        </w:tc>
      </w:tr>
      <w:tr w:rsidR="00162BCC" w:rsidTr="00EF255E">
        <w:trPr>
          <w:cantSplit/>
        </w:trPr>
        <w:tc>
          <w:tcPr>
            <w:tcW w:w="8771" w:type="dxa"/>
            <w:tcBorders>
              <w:top w:val="nil"/>
              <w:left w:val="single" w:sz="6" w:space="0" w:color="auto"/>
              <w:bottom w:val="single" w:sz="6" w:space="0" w:color="auto"/>
              <w:right w:val="single" w:sz="6" w:space="0" w:color="auto"/>
            </w:tcBorders>
          </w:tcPr>
          <w:p w:rsidR="00162BCC" w:rsidRDefault="00162BCC" w:rsidP="00EF255E">
            <w:pPr>
              <w:pStyle w:val="Box"/>
              <w:spacing w:before="0" w:line="120" w:lineRule="exact"/>
            </w:pPr>
          </w:p>
        </w:tc>
      </w:tr>
      <w:tr w:rsidR="00162BCC" w:rsidRPr="000863A5" w:rsidTr="00EF255E">
        <w:tc>
          <w:tcPr>
            <w:tcW w:w="8771" w:type="dxa"/>
            <w:tcBorders>
              <w:top w:val="nil"/>
              <w:left w:val="nil"/>
              <w:bottom w:val="nil"/>
              <w:right w:val="nil"/>
            </w:tcBorders>
          </w:tcPr>
          <w:p w:rsidR="00162BCC" w:rsidRPr="00626D32" w:rsidRDefault="00162BCC" w:rsidP="00EF255E">
            <w:pPr>
              <w:pStyle w:val="BoxSpaceBelow"/>
            </w:pPr>
          </w:p>
        </w:tc>
      </w:tr>
    </w:tbl>
    <w:p w:rsidR="00162BCC" w:rsidRDefault="00162BCC" w:rsidP="00162BCC">
      <w:pPr>
        <w:pStyle w:val="Heading4"/>
      </w:pPr>
      <w:r>
        <w:t>Attachment tables</w:t>
      </w:r>
    </w:p>
    <w:tbl>
      <w:tblPr>
        <w:tblW w:w="880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0"/>
        <w:gridCol w:w="6844"/>
      </w:tblGrid>
      <w:tr w:rsidR="00E62E7D" w:rsidRPr="008E7459" w:rsidTr="00E62E7D">
        <w:trPr>
          <w:trHeight w:val="612"/>
        </w:trPr>
        <w:tc>
          <w:tcPr>
            <w:tcW w:w="1960" w:type="dxa"/>
            <w:shd w:val="clear" w:color="auto" w:fill="auto"/>
            <w:noWrap/>
            <w:hideMark/>
          </w:tcPr>
          <w:p w:rsidR="00E62E7D" w:rsidRPr="00E62E7D" w:rsidRDefault="00E62E7D" w:rsidP="00E62E7D">
            <w:pPr>
              <w:pStyle w:val="TableBodyText"/>
              <w:jc w:val="left"/>
              <w:rPr>
                <w:b/>
              </w:rPr>
            </w:pPr>
            <w:r w:rsidRPr="00E62E7D">
              <w:rPr>
                <w:b/>
              </w:rPr>
              <w:t>Table NEA.1.4</w:t>
            </w:r>
          </w:p>
        </w:tc>
        <w:tc>
          <w:tcPr>
            <w:tcW w:w="6844" w:type="dxa"/>
            <w:shd w:val="clear" w:color="auto" w:fill="auto"/>
          </w:tcPr>
          <w:p w:rsidR="00E62E7D" w:rsidRPr="00644DFD" w:rsidRDefault="00E62E7D" w:rsidP="00E62E7D">
            <w:pPr>
              <w:pStyle w:val="TableBodyText"/>
              <w:jc w:val="left"/>
            </w:pPr>
            <w:r w:rsidRPr="00644DFD">
              <w:t>Student attendance rates, government sch</w:t>
            </w:r>
            <w:r>
              <w:t>ools, by Indigenous status, 2013</w:t>
            </w:r>
            <w:r w:rsidRPr="00644DFD">
              <w:t xml:space="preserve"> (per cent)</w:t>
            </w:r>
          </w:p>
        </w:tc>
      </w:tr>
      <w:tr w:rsidR="00E62E7D" w:rsidRPr="008E7459" w:rsidTr="00E62E7D">
        <w:trPr>
          <w:trHeight w:val="612"/>
        </w:trPr>
        <w:tc>
          <w:tcPr>
            <w:tcW w:w="1960" w:type="dxa"/>
            <w:shd w:val="clear" w:color="auto" w:fill="auto"/>
            <w:noWrap/>
          </w:tcPr>
          <w:p w:rsidR="00E62E7D" w:rsidRPr="00E62E7D" w:rsidRDefault="00E62E7D" w:rsidP="00E62E7D">
            <w:pPr>
              <w:pStyle w:val="TableBodyText"/>
              <w:jc w:val="left"/>
              <w:rPr>
                <w:b/>
              </w:rPr>
            </w:pPr>
            <w:r w:rsidRPr="00E62E7D">
              <w:rPr>
                <w:b/>
              </w:rPr>
              <w:t>Table NEA.1.5</w:t>
            </w:r>
          </w:p>
        </w:tc>
        <w:tc>
          <w:tcPr>
            <w:tcW w:w="6844" w:type="dxa"/>
            <w:shd w:val="clear" w:color="auto" w:fill="auto"/>
          </w:tcPr>
          <w:p w:rsidR="00E62E7D" w:rsidRPr="00644DFD" w:rsidRDefault="00E62E7D" w:rsidP="00E62E7D">
            <w:pPr>
              <w:pStyle w:val="TableBodyText"/>
              <w:jc w:val="left"/>
            </w:pPr>
            <w:r w:rsidRPr="00644DFD">
              <w:t>Student attendance rates, independent sch</w:t>
            </w:r>
            <w:r>
              <w:t>ools, by Indigenous status, 2013</w:t>
            </w:r>
            <w:r w:rsidRPr="00644DFD">
              <w:t xml:space="preserve"> (per cent)</w:t>
            </w:r>
          </w:p>
        </w:tc>
      </w:tr>
      <w:tr w:rsidR="00E62E7D" w:rsidRPr="008E7459" w:rsidTr="00E62E7D">
        <w:trPr>
          <w:trHeight w:val="612"/>
        </w:trPr>
        <w:tc>
          <w:tcPr>
            <w:tcW w:w="1960" w:type="dxa"/>
            <w:shd w:val="clear" w:color="auto" w:fill="auto"/>
            <w:noWrap/>
            <w:hideMark/>
          </w:tcPr>
          <w:p w:rsidR="00E62E7D" w:rsidRPr="00E62E7D" w:rsidRDefault="00E62E7D" w:rsidP="00E62E7D">
            <w:pPr>
              <w:pStyle w:val="TableBodyText"/>
              <w:jc w:val="left"/>
              <w:rPr>
                <w:b/>
              </w:rPr>
            </w:pPr>
            <w:r w:rsidRPr="00E62E7D">
              <w:rPr>
                <w:b/>
              </w:rPr>
              <w:t>Table NEA.1.6</w:t>
            </w:r>
          </w:p>
        </w:tc>
        <w:tc>
          <w:tcPr>
            <w:tcW w:w="6844" w:type="dxa"/>
            <w:shd w:val="clear" w:color="auto" w:fill="auto"/>
          </w:tcPr>
          <w:p w:rsidR="00E62E7D" w:rsidRDefault="00E62E7D" w:rsidP="00E62E7D">
            <w:pPr>
              <w:pStyle w:val="TableBodyText"/>
              <w:jc w:val="left"/>
            </w:pPr>
            <w:r w:rsidRPr="00644DFD">
              <w:t>Student attendance rates, Catholic schools, b</w:t>
            </w:r>
            <w:r>
              <w:t>y Indigenous status, 2013</w:t>
            </w:r>
            <w:r w:rsidRPr="00644DFD">
              <w:t xml:space="preserve"> (per cent)</w:t>
            </w:r>
          </w:p>
        </w:tc>
      </w:tr>
    </w:tbl>
    <w:p w:rsidR="00162BCC" w:rsidRDefault="00162BCC" w:rsidP="00162BCC"/>
    <w:p w:rsidR="00162BCC" w:rsidRDefault="00162BCC" w:rsidP="00162BCC">
      <w:pPr>
        <w:pStyle w:val="BoxSpaceAbove"/>
      </w:pPr>
    </w:p>
    <w:tbl>
      <w:tblPr>
        <w:tblW w:w="0" w:type="auto"/>
        <w:tblInd w:w="164" w:type="dxa"/>
        <w:tblBorders>
          <w:top w:val="single" w:sz="6" w:space="0" w:color="auto"/>
          <w:left w:val="single" w:sz="6" w:space="0" w:color="auto"/>
          <w:bottom w:val="single" w:sz="6" w:space="0" w:color="auto"/>
          <w:right w:val="single" w:sz="6" w:space="0" w:color="auto"/>
        </w:tblBorders>
        <w:tblLayout w:type="fixed"/>
        <w:tblCellMar>
          <w:left w:w="142" w:type="dxa"/>
          <w:right w:w="142" w:type="dxa"/>
        </w:tblCellMar>
        <w:tblLook w:val="0000" w:firstRow="0" w:lastRow="0" w:firstColumn="0" w:lastColumn="0" w:noHBand="0" w:noVBand="0"/>
      </w:tblPr>
      <w:tblGrid>
        <w:gridCol w:w="8771"/>
      </w:tblGrid>
      <w:tr w:rsidR="00162BCC" w:rsidTr="00EF255E">
        <w:tc>
          <w:tcPr>
            <w:tcW w:w="8771" w:type="dxa"/>
            <w:tcBorders>
              <w:top w:val="single" w:sz="6" w:space="0" w:color="auto"/>
              <w:bottom w:val="nil"/>
            </w:tcBorders>
          </w:tcPr>
          <w:p w:rsidR="00162BCC" w:rsidRDefault="00162BCC" w:rsidP="00EF255E">
            <w:pPr>
              <w:pStyle w:val="BoxTitle"/>
            </w:pPr>
            <w:r>
              <w:rPr>
                <w:b w:val="0"/>
              </w:rPr>
              <w:t xml:space="preserve">Box </w:t>
            </w:r>
            <w:r>
              <w:rPr>
                <w:b w:val="0"/>
              </w:rPr>
              <w:fldChar w:fldCharType="begin"/>
            </w:r>
            <w:r>
              <w:rPr>
                <w:b w:val="0"/>
              </w:rPr>
              <w:instrText xml:space="preserve"> SEQ Box \* ARABIC </w:instrText>
            </w:r>
            <w:r>
              <w:rPr>
                <w:b w:val="0"/>
              </w:rPr>
              <w:fldChar w:fldCharType="separate"/>
            </w:r>
            <w:r w:rsidR="005F5618">
              <w:rPr>
                <w:b w:val="0"/>
                <w:noProof/>
              </w:rPr>
              <w:t>25</w:t>
            </w:r>
            <w:r>
              <w:rPr>
                <w:b w:val="0"/>
              </w:rPr>
              <w:fldChar w:fldCharType="end"/>
            </w:r>
            <w:r>
              <w:tab/>
              <w:t>Comment on data quality</w:t>
            </w:r>
          </w:p>
        </w:tc>
      </w:tr>
      <w:tr w:rsidR="00162BCC" w:rsidTr="00EF255E">
        <w:trPr>
          <w:cantSplit/>
        </w:trPr>
        <w:tc>
          <w:tcPr>
            <w:tcW w:w="8771" w:type="dxa"/>
            <w:tcBorders>
              <w:top w:val="nil"/>
              <w:left w:val="single" w:sz="6" w:space="0" w:color="auto"/>
              <w:bottom w:val="nil"/>
              <w:right w:val="single" w:sz="6" w:space="0" w:color="auto"/>
            </w:tcBorders>
          </w:tcPr>
          <w:p w:rsidR="00162BCC" w:rsidRDefault="00886DB0" w:rsidP="00EF255E">
            <w:pPr>
              <w:pStyle w:val="Box"/>
            </w:pPr>
            <w:r w:rsidRPr="00886DB0">
              <w:t>Details are included in the comment on data quality for NEA Indicator 1.</w:t>
            </w:r>
          </w:p>
        </w:tc>
      </w:tr>
      <w:tr w:rsidR="00162BCC" w:rsidTr="00EF255E">
        <w:trPr>
          <w:cantSplit/>
        </w:trPr>
        <w:tc>
          <w:tcPr>
            <w:tcW w:w="8771" w:type="dxa"/>
            <w:tcBorders>
              <w:top w:val="nil"/>
              <w:left w:val="single" w:sz="6" w:space="0" w:color="auto"/>
              <w:bottom w:val="single" w:sz="6" w:space="0" w:color="auto"/>
              <w:right w:val="single" w:sz="6" w:space="0" w:color="auto"/>
            </w:tcBorders>
          </w:tcPr>
          <w:p w:rsidR="00162BCC" w:rsidRDefault="00162BCC" w:rsidP="00EF255E">
            <w:pPr>
              <w:pStyle w:val="Box"/>
              <w:spacing w:before="0" w:line="120" w:lineRule="exact"/>
            </w:pPr>
          </w:p>
        </w:tc>
      </w:tr>
      <w:tr w:rsidR="00162BCC" w:rsidRPr="000863A5" w:rsidTr="00EF255E">
        <w:tc>
          <w:tcPr>
            <w:tcW w:w="8771" w:type="dxa"/>
            <w:tcBorders>
              <w:top w:val="nil"/>
              <w:left w:val="nil"/>
              <w:bottom w:val="nil"/>
              <w:right w:val="nil"/>
            </w:tcBorders>
          </w:tcPr>
          <w:p w:rsidR="00162BCC" w:rsidRPr="00626D32" w:rsidRDefault="00162BCC" w:rsidP="00EF255E">
            <w:pPr>
              <w:pStyle w:val="BoxSpaceBelow"/>
            </w:pPr>
          </w:p>
        </w:tc>
      </w:tr>
    </w:tbl>
    <w:p w:rsidR="00162BCC" w:rsidRPr="003575E1" w:rsidRDefault="00162BCC" w:rsidP="00162BCC"/>
    <w:p w:rsidR="00117C12" w:rsidRDefault="00117C12" w:rsidP="0042643C">
      <w:pPr>
        <w:pStyle w:val="BodyText"/>
      </w:pPr>
      <w:r>
        <w:br w:type="page"/>
      </w:r>
    </w:p>
    <w:p w:rsidR="0035205B" w:rsidRDefault="0035205B" w:rsidP="0035205B">
      <w:pPr>
        <w:pStyle w:val="Heading3"/>
      </w:pPr>
      <w:bookmarkStart w:id="25" w:name="_Ref377566533"/>
      <w:r w:rsidRPr="00136727">
        <w:t xml:space="preserve">Performance </w:t>
      </w:r>
      <w:r>
        <w:t>indicator 8</w:t>
      </w:r>
      <w:r w:rsidRPr="00136727">
        <w:t xml:space="preserve">: </w:t>
      </w:r>
      <w:r w:rsidRPr="0035205B">
        <w:t>Attainment of year 12 or equivalent</w:t>
      </w:r>
      <w:bookmarkEnd w:id="25"/>
    </w:p>
    <w:p w:rsidR="00885408" w:rsidRPr="00885408" w:rsidRDefault="00885408" w:rsidP="00885408">
      <w:pPr>
        <w:pStyle w:val="BodyText"/>
        <w:keepNext/>
      </w:pPr>
      <w:r w:rsidRPr="00885408">
        <w:t>[This indicator relates to PI 12 in the NIRA and PI 4 in the NEA]</w:t>
      </w:r>
    </w:p>
    <w:p w:rsidR="0035205B" w:rsidRPr="003A784E" w:rsidRDefault="0035205B" w:rsidP="00885408">
      <w:pPr>
        <w:pStyle w:val="Subtitle"/>
      </w:pPr>
    </w:p>
    <w:tbl>
      <w:tblPr>
        <w:tblW w:w="5000" w:type="pct"/>
        <w:tblCellMar>
          <w:left w:w="0" w:type="dxa"/>
          <w:right w:w="0" w:type="dxa"/>
        </w:tblCellMar>
        <w:tblLook w:val="0000" w:firstRow="0" w:lastRow="0" w:firstColumn="0" w:lastColumn="0" w:noHBand="0" w:noVBand="0"/>
      </w:tblPr>
      <w:tblGrid>
        <w:gridCol w:w="1985"/>
        <w:gridCol w:w="6804"/>
      </w:tblGrid>
      <w:tr w:rsidR="00D15139" w:rsidTr="008539DA">
        <w:trPr>
          <w:trHeight w:val="823"/>
        </w:trPr>
        <w:tc>
          <w:tcPr>
            <w:tcW w:w="1129" w:type="pct"/>
            <w:shd w:val="clear" w:color="auto" w:fill="auto"/>
          </w:tcPr>
          <w:p w:rsidR="00D15139" w:rsidRPr="002249D4" w:rsidRDefault="00D15139" w:rsidP="00885408">
            <w:pPr>
              <w:pStyle w:val="TableBodyText"/>
              <w:jc w:val="left"/>
              <w:rPr>
                <w:rFonts w:cs="Arial"/>
              </w:rPr>
            </w:pPr>
            <w:r w:rsidRPr="002249D4">
              <w:rPr>
                <w:rFonts w:cs="Arial"/>
              </w:rPr>
              <w:t>Key amendments from previous cycle of reporting:</w:t>
            </w:r>
          </w:p>
          <w:p w:rsidR="00D15139" w:rsidRPr="002249D4" w:rsidRDefault="00D15139" w:rsidP="00885408">
            <w:pPr>
              <w:pStyle w:val="TableBodyText"/>
              <w:jc w:val="left"/>
              <w:rPr>
                <w:rFonts w:cs="Arial"/>
              </w:rPr>
            </w:pPr>
          </w:p>
        </w:tc>
        <w:tc>
          <w:tcPr>
            <w:tcW w:w="3871" w:type="pct"/>
            <w:shd w:val="clear" w:color="auto" w:fill="auto"/>
          </w:tcPr>
          <w:p w:rsidR="00D15139" w:rsidRPr="002249D4" w:rsidRDefault="00D15139" w:rsidP="00885408">
            <w:pPr>
              <w:pStyle w:val="TableBodyText"/>
              <w:jc w:val="left"/>
              <w:rPr>
                <w:rFonts w:cs="Arial"/>
              </w:rPr>
            </w:pPr>
            <w:r w:rsidRPr="002249D4">
              <w:rPr>
                <w:rFonts w:cs="Arial"/>
              </w:rPr>
              <w:t>Historical data have been supplied for additional disaggregation by remoteness</w:t>
            </w:r>
          </w:p>
        </w:tc>
      </w:tr>
      <w:tr w:rsidR="00D15139" w:rsidTr="008539DA">
        <w:tc>
          <w:tcPr>
            <w:tcW w:w="1129" w:type="pct"/>
          </w:tcPr>
          <w:p w:rsidR="00D15139" w:rsidRPr="007D0E0D" w:rsidRDefault="00D15139" w:rsidP="00885408">
            <w:pPr>
              <w:pStyle w:val="TableBodyText"/>
              <w:jc w:val="left"/>
              <w:rPr>
                <w:rFonts w:cs="Arial"/>
              </w:rPr>
            </w:pPr>
            <w:r w:rsidRPr="007D0E0D">
              <w:rPr>
                <w:rFonts w:cs="Arial"/>
              </w:rPr>
              <w:t>Outcomes:</w:t>
            </w:r>
          </w:p>
          <w:p w:rsidR="00D15139" w:rsidRPr="005C7D08" w:rsidRDefault="00D15139" w:rsidP="00885408">
            <w:pPr>
              <w:pStyle w:val="TableBodyText"/>
              <w:jc w:val="left"/>
              <w:rPr>
                <w:rFonts w:cs="Arial"/>
              </w:rPr>
            </w:pPr>
          </w:p>
        </w:tc>
        <w:tc>
          <w:tcPr>
            <w:tcW w:w="3871" w:type="pct"/>
          </w:tcPr>
          <w:p w:rsidR="00D15139" w:rsidRPr="005C7D08" w:rsidRDefault="00D15139" w:rsidP="00885408">
            <w:pPr>
              <w:pStyle w:val="TableBodyText"/>
              <w:tabs>
                <w:tab w:val="num" w:pos="340"/>
              </w:tabs>
              <w:ind w:hanging="6"/>
              <w:jc w:val="left"/>
              <w:rPr>
                <w:rFonts w:cs="Arial"/>
              </w:rPr>
            </w:pPr>
            <w:r w:rsidRPr="005C7D08">
              <w:rPr>
                <w:rFonts w:cs="Arial"/>
              </w:rPr>
              <w:t>Young people make a successful transition from s</w:t>
            </w:r>
            <w:r w:rsidR="00694EF7">
              <w:rPr>
                <w:rFonts w:cs="Arial"/>
              </w:rPr>
              <w:t>chool to work and further study</w:t>
            </w:r>
          </w:p>
          <w:p w:rsidR="00D15139" w:rsidRPr="005C7D08" w:rsidRDefault="00D15139" w:rsidP="00885408">
            <w:pPr>
              <w:pStyle w:val="TableBodyText"/>
              <w:jc w:val="left"/>
              <w:rPr>
                <w:rFonts w:cs="Arial"/>
              </w:rPr>
            </w:pPr>
          </w:p>
          <w:p w:rsidR="00D15139" w:rsidRPr="005C7D08" w:rsidRDefault="00D15139" w:rsidP="00885408">
            <w:pPr>
              <w:pStyle w:val="TableBodyText"/>
              <w:jc w:val="left"/>
              <w:rPr>
                <w:rFonts w:cs="Arial"/>
              </w:rPr>
            </w:pPr>
            <w:r w:rsidRPr="005C7D08">
              <w:rPr>
                <w:rFonts w:cs="Arial"/>
              </w:rPr>
              <w:t>Schooling promotes the social inclusion and reduces the educational disadvantage of children, especially</w:t>
            </w:r>
            <w:r w:rsidR="00694EF7">
              <w:rPr>
                <w:rFonts w:cs="Arial"/>
              </w:rPr>
              <w:t xml:space="preserve"> Indigenous children</w:t>
            </w:r>
            <w:r w:rsidRPr="005C7D08">
              <w:rPr>
                <w:rFonts w:cs="Arial"/>
              </w:rPr>
              <w:t xml:space="preserve"> </w:t>
            </w:r>
          </w:p>
          <w:p w:rsidR="00D15139" w:rsidRPr="00C665A3" w:rsidRDefault="00D15139" w:rsidP="00885408">
            <w:pPr>
              <w:pStyle w:val="TableBodyText"/>
              <w:jc w:val="left"/>
              <w:rPr>
                <w:rFonts w:cs="Arial"/>
              </w:rPr>
            </w:pPr>
          </w:p>
        </w:tc>
      </w:tr>
      <w:tr w:rsidR="00D15139" w:rsidTr="008539DA">
        <w:tc>
          <w:tcPr>
            <w:tcW w:w="1129" w:type="pct"/>
          </w:tcPr>
          <w:p w:rsidR="00D15139" w:rsidRPr="007D0E0D" w:rsidRDefault="00D15139" w:rsidP="00885408">
            <w:pPr>
              <w:pStyle w:val="TableBodyText"/>
              <w:jc w:val="left"/>
              <w:rPr>
                <w:rFonts w:cs="Arial"/>
              </w:rPr>
            </w:pPr>
            <w:r w:rsidRPr="007D0E0D">
              <w:rPr>
                <w:rFonts w:cs="Arial"/>
              </w:rPr>
              <w:t>Measure</w:t>
            </w:r>
            <w:r>
              <w:rPr>
                <w:rFonts w:cs="Arial"/>
              </w:rPr>
              <w:t>s</w:t>
            </w:r>
            <w:r w:rsidRPr="00356142">
              <w:rPr>
                <w:rFonts w:cs="Arial"/>
              </w:rPr>
              <w:t>:</w:t>
            </w:r>
          </w:p>
        </w:tc>
        <w:tc>
          <w:tcPr>
            <w:tcW w:w="3871" w:type="pct"/>
          </w:tcPr>
          <w:p w:rsidR="00D15139" w:rsidRPr="005C7D08" w:rsidRDefault="00D15139" w:rsidP="00885408">
            <w:pPr>
              <w:pStyle w:val="TableBodyText"/>
              <w:tabs>
                <w:tab w:val="num" w:pos="340"/>
              </w:tabs>
              <w:ind w:hanging="6"/>
              <w:jc w:val="left"/>
              <w:rPr>
                <w:rFonts w:cs="Arial"/>
              </w:rPr>
            </w:pPr>
            <w:r w:rsidRPr="005C7D08">
              <w:rPr>
                <w:rFonts w:cs="Arial"/>
              </w:rPr>
              <w:t>There are two measures for this indicator:</w:t>
            </w:r>
          </w:p>
          <w:p w:rsidR="00D15139" w:rsidRPr="005C7D08" w:rsidRDefault="00D15139" w:rsidP="00885408">
            <w:pPr>
              <w:pStyle w:val="TableBodyText"/>
              <w:jc w:val="left"/>
              <w:rPr>
                <w:rFonts w:cs="Arial"/>
              </w:rPr>
            </w:pPr>
          </w:p>
          <w:p w:rsidR="00D15139" w:rsidRPr="005C7D08" w:rsidRDefault="00D15139" w:rsidP="00885408">
            <w:pPr>
              <w:pStyle w:val="TableBodyText"/>
              <w:jc w:val="left"/>
              <w:rPr>
                <w:rFonts w:cs="Arial"/>
              </w:rPr>
            </w:pPr>
            <w:r w:rsidRPr="005C7D08">
              <w:rPr>
                <w:rFonts w:cs="Arial"/>
              </w:rPr>
              <w:t>Measure 8(a): Proportion of the 20−24 year old population having attained at least a Year 12 or equivalent or Australian Qualifications Framework (AQF) Certificate level II or above, by Indigenous status</w:t>
            </w:r>
          </w:p>
          <w:p w:rsidR="00D15139" w:rsidRPr="00C665A3" w:rsidRDefault="00D15139" w:rsidP="00885408">
            <w:pPr>
              <w:pStyle w:val="TableBodyText"/>
              <w:jc w:val="left"/>
              <w:rPr>
                <w:rFonts w:cs="Arial"/>
              </w:rPr>
            </w:pPr>
          </w:p>
          <w:p w:rsidR="00D15139" w:rsidRPr="005C7D08" w:rsidRDefault="00D15139" w:rsidP="00885408">
            <w:pPr>
              <w:pStyle w:val="TableBodyText"/>
              <w:jc w:val="left"/>
              <w:rPr>
                <w:rFonts w:cs="Arial"/>
              </w:rPr>
            </w:pPr>
            <w:r w:rsidRPr="005C7D08">
              <w:rPr>
                <w:rFonts w:cs="Arial"/>
              </w:rPr>
              <w:t>Measure 8(b): Year 12 certification, by Indigenous status</w:t>
            </w:r>
          </w:p>
          <w:p w:rsidR="00D15139" w:rsidRPr="00C665A3" w:rsidRDefault="00D15139" w:rsidP="00885408">
            <w:pPr>
              <w:pStyle w:val="TableBodyText"/>
              <w:jc w:val="left"/>
              <w:rPr>
                <w:rFonts w:cs="Arial"/>
              </w:rPr>
            </w:pPr>
          </w:p>
        </w:tc>
      </w:tr>
      <w:tr w:rsidR="00D15139" w:rsidTr="008539DA">
        <w:tc>
          <w:tcPr>
            <w:tcW w:w="1129" w:type="pct"/>
          </w:tcPr>
          <w:p w:rsidR="00D15139" w:rsidRPr="003E3506" w:rsidRDefault="00D15139" w:rsidP="00885408">
            <w:pPr>
              <w:pStyle w:val="TableBodyText"/>
              <w:jc w:val="left"/>
              <w:rPr>
                <w:rFonts w:cs="Arial"/>
              </w:rPr>
            </w:pPr>
            <w:r w:rsidRPr="007D0E0D">
              <w:rPr>
                <w:rFonts w:cs="Arial"/>
              </w:rPr>
              <w:t>Mea</w:t>
            </w:r>
            <w:r w:rsidRPr="003E3506">
              <w:rPr>
                <w:rFonts w:cs="Arial"/>
              </w:rPr>
              <w:t>sure 8(a)</w:t>
            </w:r>
          </w:p>
        </w:tc>
        <w:tc>
          <w:tcPr>
            <w:tcW w:w="3871" w:type="pct"/>
          </w:tcPr>
          <w:p w:rsidR="00D15139" w:rsidRPr="003E3506" w:rsidRDefault="00D15139" w:rsidP="00885408">
            <w:pPr>
              <w:pStyle w:val="TableBodyText"/>
              <w:jc w:val="left"/>
              <w:rPr>
                <w:rFonts w:cs="Arial"/>
              </w:rPr>
            </w:pPr>
            <w:r w:rsidRPr="003E3506">
              <w:rPr>
                <w:rFonts w:cs="Arial"/>
              </w:rPr>
              <w:t>Proportion of the 20–24 year old population having attained at least a Year 12 or equivalent or AQF Certificate II or above , by Indigenous status</w:t>
            </w:r>
          </w:p>
          <w:p w:rsidR="00D15139" w:rsidRPr="003E3506" w:rsidRDefault="00D15139" w:rsidP="00885408">
            <w:pPr>
              <w:pStyle w:val="TableBodyText"/>
              <w:jc w:val="left"/>
              <w:rPr>
                <w:rFonts w:cs="Arial"/>
              </w:rPr>
            </w:pPr>
          </w:p>
          <w:p w:rsidR="00D15139" w:rsidRPr="003E3506" w:rsidRDefault="00D15139" w:rsidP="00885408">
            <w:pPr>
              <w:pStyle w:val="TableBodyText"/>
              <w:jc w:val="left"/>
              <w:rPr>
                <w:rFonts w:cs="Arial"/>
              </w:rPr>
            </w:pPr>
            <w:r w:rsidRPr="003E3506">
              <w:rPr>
                <w:rFonts w:cs="Arial"/>
              </w:rPr>
              <w:t>The measure is defined as:</w:t>
            </w:r>
          </w:p>
          <w:p w:rsidR="00D15139" w:rsidRPr="003E3506" w:rsidRDefault="00D15139" w:rsidP="00885408">
            <w:pPr>
              <w:pStyle w:val="TableBullet"/>
              <w:rPr>
                <w:rFonts w:cs="Arial"/>
                <w:szCs w:val="24"/>
              </w:rPr>
            </w:pPr>
            <w:r w:rsidRPr="003E3506">
              <w:rPr>
                <w:rFonts w:cs="Arial"/>
                <w:i/>
              </w:rPr>
              <w:t>Numerator</w:t>
            </w:r>
            <w:r w:rsidRPr="003E3506">
              <w:rPr>
                <w:rFonts w:cs="Arial"/>
              </w:rPr>
              <w:t xml:space="preserve"> — people aged 20–24 years who have completed year 12 or equivalent or whose level of highest non</w:t>
            </w:r>
            <w:r w:rsidR="00D119D7">
              <w:rPr>
                <w:rFonts w:cs="Arial"/>
              </w:rPr>
              <w:noBreakHyphen/>
            </w:r>
            <w:r w:rsidRPr="003E3506">
              <w:rPr>
                <w:rFonts w:cs="Arial"/>
              </w:rPr>
              <w:t>school qualification is at AQF Certificate II or equivalent or above</w:t>
            </w:r>
          </w:p>
          <w:p w:rsidR="00D15139" w:rsidRPr="003E3506" w:rsidRDefault="00D15139" w:rsidP="00885408">
            <w:pPr>
              <w:pStyle w:val="TableBullet"/>
              <w:rPr>
                <w:rFonts w:cs="Arial"/>
                <w:szCs w:val="24"/>
              </w:rPr>
            </w:pPr>
            <w:r w:rsidRPr="003E3506">
              <w:rPr>
                <w:rFonts w:cs="Arial"/>
                <w:i/>
              </w:rPr>
              <w:t>Denominator</w:t>
            </w:r>
            <w:r w:rsidRPr="003E3506">
              <w:rPr>
                <w:rFonts w:cs="Arial"/>
              </w:rPr>
              <w:t xml:space="preserve"> — total population of people aged 20–24 years </w:t>
            </w:r>
          </w:p>
          <w:p w:rsidR="00D15139" w:rsidRPr="003E3506" w:rsidRDefault="00D15139" w:rsidP="00885408">
            <w:pPr>
              <w:pStyle w:val="TableBodyText"/>
              <w:jc w:val="left"/>
              <w:rPr>
                <w:rFonts w:cs="Arial"/>
              </w:rPr>
            </w:pPr>
            <w:r w:rsidRPr="003E3506">
              <w:rPr>
                <w:rFonts w:cs="Arial"/>
              </w:rPr>
              <w:t xml:space="preserve">and is presented as a </w:t>
            </w:r>
            <w:r w:rsidRPr="003E3506">
              <w:rPr>
                <w:rFonts w:cs="Arial"/>
                <w:i/>
              </w:rPr>
              <w:t>rate per 100 population</w:t>
            </w:r>
          </w:p>
          <w:p w:rsidR="00D15139" w:rsidRPr="003E3506" w:rsidRDefault="00D15139" w:rsidP="00885408">
            <w:pPr>
              <w:pStyle w:val="TableBodyText"/>
              <w:jc w:val="left"/>
              <w:rPr>
                <w:rFonts w:cs="Arial"/>
              </w:rPr>
            </w:pPr>
          </w:p>
          <w:p w:rsidR="00D15139" w:rsidRPr="003E3506" w:rsidRDefault="00D15139" w:rsidP="00885408">
            <w:pPr>
              <w:pStyle w:val="TableBodyText"/>
              <w:jc w:val="left"/>
              <w:rPr>
                <w:rFonts w:cs="Arial"/>
              </w:rPr>
            </w:pPr>
            <w:r w:rsidRPr="003E3506">
              <w:rPr>
                <w:rFonts w:cs="Arial"/>
              </w:rPr>
              <w:t xml:space="preserve">Census and SEW data: </w:t>
            </w:r>
            <w:r>
              <w:rPr>
                <w:rFonts w:cs="Arial"/>
              </w:rPr>
              <w:t>p</w:t>
            </w:r>
            <w:r w:rsidRPr="003E3506">
              <w:rPr>
                <w:rFonts w:cs="Arial"/>
              </w:rPr>
              <w:t>ersons whose</w:t>
            </w:r>
            <w:r>
              <w:rPr>
                <w:rFonts w:cs="Arial"/>
              </w:rPr>
              <w:t xml:space="preserve"> highest</w:t>
            </w:r>
            <w:r w:rsidRPr="003E3506">
              <w:rPr>
                <w:rFonts w:cs="Arial"/>
              </w:rPr>
              <w:t xml:space="preserve"> level of </w:t>
            </w:r>
            <w:r>
              <w:rPr>
                <w:rFonts w:cs="Arial"/>
              </w:rPr>
              <w:t>attainment</w:t>
            </w:r>
            <w:r w:rsidR="00D119D7">
              <w:rPr>
                <w:rFonts w:cs="Arial"/>
              </w:rPr>
              <w:t xml:space="preserve"> </w:t>
            </w:r>
            <w:r w:rsidRPr="003E3506">
              <w:rPr>
                <w:rFonts w:cs="Arial"/>
              </w:rPr>
              <w:t>is determined to be certificate level but is not able to be further defined (</w:t>
            </w:r>
            <w:r>
              <w:rPr>
                <w:rFonts w:cs="Arial"/>
              </w:rPr>
              <w:t xml:space="preserve">ie </w:t>
            </w:r>
            <w:r w:rsidRPr="003E3506">
              <w:rPr>
                <w:rFonts w:cs="Arial"/>
              </w:rPr>
              <w:t xml:space="preserve">Certificate not further defined </w:t>
            </w:r>
            <w:r>
              <w:rPr>
                <w:rFonts w:cs="Arial"/>
              </w:rPr>
              <w:t>[</w:t>
            </w:r>
            <w:r w:rsidRPr="003E3506">
              <w:rPr>
                <w:rFonts w:cs="Arial"/>
              </w:rPr>
              <w:t>nfd</w:t>
            </w:r>
            <w:r>
              <w:rPr>
                <w:rFonts w:cs="Arial"/>
              </w:rPr>
              <w:t>]</w:t>
            </w:r>
            <w:r w:rsidRPr="003E3506">
              <w:rPr>
                <w:rFonts w:cs="Arial"/>
              </w:rPr>
              <w:t xml:space="preserve">) </w:t>
            </w:r>
            <w:r>
              <w:rPr>
                <w:rFonts w:cs="Arial"/>
              </w:rPr>
              <w:t>are</w:t>
            </w:r>
            <w:r w:rsidRPr="003E3506">
              <w:rPr>
                <w:rFonts w:cs="Arial"/>
              </w:rPr>
              <w:t xml:space="preserve"> assumed to have attained below Certificate level II and </w:t>
            </w:r>
            <w:r>
              <w:rPr>
                <w:rFonts w:cs="Arial"/>
              </w:rPr>
              <w:t>are therefore not included in</w:t>
            </w:r>
            <w:r w:rsidR="00694EF7">
              <w:rPr>
                <w:rFonts w:cs="Arial"/>
              </w:rPr>
              <w:t xml:space="preserve"> the numerator</w:t>
            </w:r>
          </w:p>
          <w:p w:rsidR="00D15139" w:rsidRPr="003E3506" w:rsidRDefault="00D15139" w:rsidP="00885408">
            <w:pPr>
              <w:pStyle w:val="TableBodyText"/>
              <w:jc w:val="left"/>
              <w:rPr>
                <w:rFonts w:cs="Arial"/>
              </w:rPr>
            </w:pPr>
          </w:p>
          <w:p w:rsidR="00D15139" w:rsidRPr="003E3506" w:rsidRDefault="00D15139" w:rsidP="00885408">
            <w:pPr>
              <w:pStyle w:val="TableBodyText"/>
              <w:jc w:val="left"/>
              <w:rPr>
                <w:rFonts w:cs="Arial"/>
              </w:rPr>
            </w:pPr>
            <w:r>
              <w:rPr>
                <w:rFonts w:cs="Arial"/>
              </w:rPr>
              <w:t>SEW data: p</w:t>
            </w:r>
            <w:r w:rsidRPr="003E3506">
              <w:rPr>
                <w:rFonts w:cs="Arial"/>
              </w:rPr>
              <w:t>eople whose</w:t>
            </w:r>
            <w:r>
              <w:rPr>
                <w:rFonts w:cs="Arial"/>
              </w:rPr>
              <w:t xml:space="preserve"> highest</w:t>
            </w:r>
            <w:r w:rsidRPr="003E3506">
              <w:rPr>
                <w:rFonts w:cs="Arial"/>
              </w:rPr>
              <w:t xml:space="preserve"> level of </w:t>
            </w:r>
            <w:r>
              <w:rPr>
                <w:rFonts w:cs="Arial"/>
              </w:rPr>
              <w:t>attainment</w:t>
            </w:r>
            <w:r w:rsidRPr="003E3506">
              <w:rPr>
                <w:rFonts w:cs="Arial"/>
              </w:rPr>
              <w:t xml:space="preserve"> cannot be determined are assumed to have attained below Certificate II </w:t>
            </w:r>
            <w:r>
              <w:rPr>
                <w:rFonts w:cs="Arial"/>
              </w:rPr>
              <w:t xml:space="preserve">and are therefore not included in </w:t>
            </w:r>
            <w:r w:rsidR="00694EF7">
              <w:rPr>
                <w:rFonts w:cs="Arial"/>
              </w:rPr>
              <w:t>the numerator</w:t>
            </w:r>
          </w:p>
          <w:p w:rsidR="00D15139" w:rsidRPr="003E3506" w:rsidRDefault="00D15139" w:rsidP="00885408">
            <w:pPr>
              <w:pStyle w:val="TableBodyText"/>
              <w:jc w:val="left"/>
              <w:rPr>
                <w:rFonts w:cs="Arial"/>
              </w:rPr>
            </w:pPr>
          </w:p>
          <w:p w:rsidR="00D15139" w:rsidRPr="003E3506" w:rsidRDefault="00D15139" w:rsidP="00885408">
            <w:pPr>
              <w:pStyle w:val="TableBodyText"/>
              <w:jc w:val="left"/>
              <w:rPr>
                <w:rFonts w:cs="Arial"/>
              </w:rPr>
            </w:pPr>
            <w:r>
              <w:rPr>
                <w:rFonts w:cs="Arial"/>
              </w:rPr>
              <w:t>Census data:</w:t>
            </w:r>
            <w:r w:rsidRPr="003E3506">
              <w:rPr>
                <w:rFonts w:cs="Arial"/>
              </w:rPr>
              <w:t xml:space="preserve"> people whose educational attainment is not stated </w:t>
            </w:r>
            <w:r>
              <w:rPr>
                <w:rFonts w:cs="Arial"/>
              </w:rPr>
              <w:t>or inadeq</w:t>
            </w:r>
            <w:r w:rsidR="00694EF7">
              <w:rPr>
                <w:rFonts w:cs="Arial"/>
              </w:rPr>
              <w:t>uately described are excluded</w:t>
            </w:r>
          </w:p>
          <w:p w:rsidR="00D15139" w:rsidRPr="003E3506" w:rsidRDefault="00D15139" w:rsidP="00885408">
            <w:pPr>
              <w:pStyle w:val="TableBodyText"/>
              <w:jc w:val="left"/>
              <w:rPr>
                <w:rFonts w:cs="Arial"/>
              </w:rPr>
            </w:pPr>
          </w:p>
        </w:tc>
      </w:tr>
      <w:tr w:rsidR="00D15139" w:rsidTr="008539DA">
        <w:tc>
          <w:tcPr>
            <w:tcW w:w="1129" w:type="pct"/>
          </w:tcPr>
          <w:p w:rsidR="00D15139" w:rsidRPr="003E3506" w:rsidRDefault="00D15139" w:rsidP="00885408">
            <w:pPr>
              <w:pStyle w:val="TableBodyText"/>
              <w:jc w:val="left"/>
              <w:rPr>
                <w:rFonts w:cs="Arial"/>
              </w:rPr>
            </w:pPr>
            <w:r w:rsidRPr="007D0E0D">
              <w:rPr>
                <w:rFonts w:cs="Arial"/>
              </w:rPr>
              <w:t xml:space="preserve">Measure </w:t>
            </w:r>
            <w:r w:rsidRPr="003E3506">
              <w:rPr>
                <w:rFonts w:cs="Arial"/>
              </w:rPr>
              <w:t>8(b)</w:t>
            </w:r>
          </w:p>
        </w:tc>
        <w:tc>
          <w:tcPr>
            <w:tcW w:w="3871" w:type="pct"/>
          </w:tcPr>
          <w:p w:rsidR="00D15139" w:rsidRPr="005C7D08" w:rsidRDefault="00D15139" w:rsidP="00885408">
            <w:pPr>
              <w:pStyle w:val="TableBodyText"/>
              <w:tabs>
                <w:tab w:val="num" w:pos="340"/>
              </w:tabs>
              <w:ind w:left="34"/>
              <w:jc w:val="left"/>
              <w:rPr>
                <w:rFonts w:cs="Arial"/>
                <w:u w:val="single"/>
              </w:rPr>
            </w:pPr>
            <w:r w:rsidRPr="005C7D08">
              <w:rPr>
                <w:rFonts w:cs="Arial"/>
                <w:u w:val="single"/>
              </w:rPr>
              <w:t>Measure yet to be developed</w:t>
            </w:r>
          </w:p>
          <w:p w:rsidR="00D15139" w:rsidRPr="005C7D08" w:rsidRDefault="00D15139" w:rsidP="00885408">
            <w:pPr>
              <w:pStyle w:val="TableBodyText"/>
              <w:jc w:val="left"/>
              <w:rPr>
                <w:rFonts w:cs="Arial"/>
                <w:u w:val="single"/>
              </w:rPr>
            </w:pPr>
          </w:p>
        </w:tc>
      </w:tr>
      <w:tr w:rsidR="00D15139" w:rsidTr="008539DA">
        <w:tc>
          <w:tcPr>
            <w:tcW w:w="1129" w:type="pct"/>
          </w:tcPr>
          <w:p w:rsidR="00D15139" w:rsidRPr="005C7D08" w:rsidRDefault="00D15139" w:rsidP="00885408">
            <w:pPr>
              <w:pStyle w:val="TableBodyText"/>
              <w:tabs>
                <w:tab w:val="num" w:pos="340"/>
              </w:tabs>
              <w:ind w:hanging="6"/>
              <w:jc w:val="left"/>
              <w:rPr>
                <w:rFonts w:cs="Arial"/>
              </w:rPr>
            </w:pPr>
            <w:r w:rsidRPr="007D0E0D">
              <w:rPr>
                <w:rFonts w:cs="Arial"/>
              </w:rPr>
              <w:t xml:space="preserve">Data source </w:t>
            </w:r>
            <w:r w:rsidRPr="007D0E0D">
              <w:rPr>
                <w:rFonts w:cs="Arial"/>
              </w:rPr>
              <w:br/>
              <w:t xml:space="preserve">(Measure </w:t>
            </w:r>
            <w:r w:rsidRPr="005C7D08">
              <w:rPr>
                <w:rFonts w:cs="Arial"/>
              </w:rPr>
              <w:t>8(a)):</w:t>
            </w:r>
          </w:p>
        </w:tc>
        <w:tc>
          <w:tcPr>
            <w:tcW w:w="3871" w:type="pct"/>
          </w:tcPr>
          <w:p w:rsidR="00D15139" w:rsidRDefault="00D15139" w:rsidP="00885408">
            <w:pPr>
              <w:pStyle w:val="TableBodyText"/>
              <w:tabs>
                <w:tab w:val="num" w:pos="340"/>
              </w:tabs>
              <w:ind w:hanging="6"/>
              <w:jc w:val="left"/>
              <w:rPr>
                <w:rFonts w:cs="Arial"/>
                <w:u w:val="single"/>
              </w:rPr>
            </w:pPr>
            <w:r w:rsidRPr="005C7D08">
              <w:rPr>
                <w:rFonts w:cs="Arial"/>
                <w:u w:val="single"/>
              </w:rPr>
              <w:t>Main data collection</w:t>
            </w:r>
          </w:p>
          <w:p w:rsidR="00CA236B" w:rsidRPr="005C7D08" w:rsidRDefault="00CA236B" w:rsidP="00885408">
            <w:pPr>
              <w:pStyle w:val="TableBodyText"/>
              <w:tabs>
                <w:tab w:val="num" w:pos="340"/>
              </w:tabs>
              <w:ind w:hanging="6"/>
              <w:jc w:val="left"/>
              <w:rPr>
                <w:rFonts w:cs="Arial"/>
                <w:u w:val="single"/>
              </w:rPr>
            </w:pPr>
          </w:p>
          <w:p w:rsidR="00D15139" w:rsidRPr="005C7D08" w:rsidRDefault="00D15139" w:rsidP="00885408">
            <w:pPr>
              <w:pStyle w:val="TableBodyText"/>
              <w:jc w:val="left"/>
              <w:rPr>
                <w:rFonts w:cs="Arial"/>
              </w:rPr>
            </w:pPr>
            <w:r w:rsidRPr="005C7D08">
              <w:rPr>
                <w:rFonts w:cs="Arial"/>
                <w:i/>
              </w:rPr>
              <w:t>Numerator and denominator</w:t>
            </w:r>
            <w:r w:rsidRPr="005C7D08">
              <w:rPr>
                <w:rFonts w:cs="Arial"/>
              </w:rPr>
              <w:t xml:space="preserve"> — (Indigenous status) </w:t>
            </w:r>
            <w:r w:rsidRPr="005C7D08">
              <w:rPr>
                <w:rFonts w:cs="Arial"/>
                <w:u w:val="single"/>
              </w:rPr>
              <w:t>Census of Population and Housing</w:t>
            </w:r>
            <w:r w:rsidRPr="005C7D08">
              <w:rPr>
                <w:rFonts w:cs="Arial"/>
              </w:rPr>
              <w:t xml:space="preserve"> (Census). D</w:t>
            </w:r>
            <w:r w:rsidR="00694EF7">
              <w:rPr>
                <w:rFonts w:cs="Arial"/>
              </w:rPr>
              <w:t>ata are available every 5 years</w:t>
            </w:r>
          </w:p>
          <w:p w:rsidR="00D15139" w:rsidRPr="005C7D08" w:rsidRDefault="00D15139" w:rsidP="00885408">
            <w:pPr>
              <w:pStyle w:val="TableBodyText"/>
              <w:jc w:val="left"/>
              <w:rPr>
                <w:rFonts w:cs="Arial"/>
              </w:rPr>
            </w:pPr>
          </w:p>
          <w:p w:rsidR="00D15139" w:rsidRDefault="00D15139" w:rsidP="00885408">
            <w:pPr>
              <w:pStyle w:val="TableBodyText"/>
              <w:jc w:val="left"/>
              <w:rPr>
                <w:rFonts w:cs="Arial"/>
                <w:u w:val="single"/>
              </w:rPr>
            </w:pPr>
            <w:r w:rsidRPr="005C7D08">
              <w:rPr>
                <w:rFonts w:cs="Arial"/>
                <w:u w:val="single"/>
              </w:rPr>
              <w:t>Supplementary data collection</w:t>
            </w:r>
          </w:p>
          <w:p w:rsidR="00CA236B" w:rsidRPr="005C7D08" w:rsidRDefault="00CA236B" w:rsidP="00885408">
            <w:pPr>
              <w:pStyle w:val="TableBodyText"/>
              <w:jc w:val="left"/>
              <w:rPr>
                <w:rFonts w:cs="Arial"/>
                <w:u w:val="single"/>
              </w:rPr>
            </w:pPr>
          </w:p>
          <w:p w:rsidR="00D15139" w:rsidRPr="005C7D08" w:rsidRDefault="00D15139" w:rsidP="00885408">
            <w:pPr>
              <w:pStyle w:val="TableBodyText"/>
              <w:jc w:val="left"/>
              <w:rPr>
                <w:rFonts w:cs="Arial"/>
              </w:rPr>
            </w:pPr>
            <w:r w:rsidRPr="005C7D08">
              <w:rPr>
                <w:rFonts w:cs="Arial"/>
                <w:i/>
              </w:rPr>
              <w:t>Numerator and denominator</w:t>
            </w:r>
            <w:r w:rsidRPr="005C7D08">
              <w:rPr>
                <w:rFonts w:cs="Arial"/>
              </w:rPr>
              <w:t xml:space="preserve"> — </w:t>
            </w:r>
          </w:p>
          <w:p w:rsidR="00D15139" w:rsidRPr="005C7D08" w:rsidRDefault="00D15139" w:rsidP="00885408">
            <w:pPr>
              <w:pStyle w:val="TableBodyText"/>
              <w:jc w:val="left"/>
              <w:rPr>
                <w:rFonts w:cs="Arial"/>
              </w:rPr>
            </w:pPr>
            <w:r w:rsidRPr="005C7D08">
              <w:rPr>
                <w:rFonts w:cs="Arial"/>
              </w:rPr>
              <w:t xml:space="preserve">(Indigenous) ABS </w:t>
            </w:r>
            <w:r w:rsidRPr="005C7D08">
              <w:rPr>
                <w:rFonts w:cs="Arial"/>
                <w:u w:val="single"/>
              </w:rPr>
              <w:t>National Aboriginal and Torres Strait Islander Social Survey</w:t>
            </w:r>
            <w:r w:rsidRPr="005C7D08">
              <w:rPr>
                <w:rFonts w:cs="Arial"/>
              </w:rPr>
              <w:t xml:space="preserve"> (NATSISS) and NATSIHS component of the </w:t>
            </w:r>
            <w:r w:rsidRPr="005C7D08">
              <w:rPr>
                <w:rFonts w:cs="Arial"/>
                <w:u w:val="single"/>
              </w:rPr>
              <w:t>Australian Aboriginal and Torres Strait Islander Health Survey</w:t>
            </w:r>
            <w:r w:rsidRPr="005C7D08">
              <w:rPr>
                <w:rFonts w:cs="Arial"/>
              </w:rPr>
              <w:t xml:space="preserve"> (AATSIHS) – Data are availabl</w:t>
            </w:r>
            <w:r w:rsidR="00694EF7">
              <w:rPr>
                <w:rFonts w:cs="Arial"/>
              </w:rPr>
              <w:t>e on a rotating 3</w:t>
            </w:r>
            <w:r w:rsidR="00D119D7">
              <w:rPr>
                <w:rFonts w:cs="Arial"/>
              </w:rPr>
              <w:noBreakHyphen/>
            </w:r>
            <w:r w:rsidR="00694EF7">
              <w:rPr>
                <w:rFonts w:cs="Arial"/>
              </w:rPr>
              <w:t>yearly cycle</w:t>
            </w:r>
          </w:p>
          <w:p w:rsidR="00D15139" w:rsidRPr="005C7D08" w:rsidRDefault="00D15139" w:rsidP="00885408">
            <w:pPr>
              <w:pStyle w:val="TableBodyText"/>
              <w:jc w:val="left"/>
              <w:rPr>
                <w:rFonts w:cs="Arial"/>
              </w:rPr>
            </w:pPr>
            <w:r w:rsidRPr="005C7D08">
              <w:rPr>
                <w:rFonts w:cs="Arial"/>
              </w:rPr>
              <w:t>(Non</w:t>
            </w:r>
            <w:r w:rsidR="00D119D7">
              <w:rPr>
                <w:rFonts w:cs="Arial"/>
              </w:rPr>
              <w:noBreakHyphen/>
            </w:r>
            <w:r w:rsidRPr="005C7D08">
              <w:rPr>
                <w:rFonts w:cs="Arial"/>
              </w:rPr>
              <w:t xml:space="preserve">Indigenous) ABS </w:t>
            </w:r>
            <w:r w:rsidRPr="005C7D08">
              <w:rPr>
                <w:rFonts w:cs="Arial"/>
                <w:u w:val="single"/>
              </w:rPr>
              <w:t>Survey of Education and Work</w:t>
            </w:r>
            <w:r w:rsidRPr="005C7D08">
              <w:rPr>
                <w:rFonts w:cs="Arial"/>
              </w:rPr>
              <w:t xml:space="preserve"> (SEW</w:t>
            </w:r>
            <w:r w:rsidR="00694EF7">
              <w:rPr>
                <w:rFonts w:cs="Arial"/>
              </w:rPr>
              <w:t>) — Data are available annually</w:t>
            </w:r>
          </w:p>
          <w:p w:rsidR="00D15139" w:rsidRPr="005C7D08" w:rsidRDefault="00D15139" w:rsidP="00885408">
            <w:pPr>
              <w:pStyle w:val="TableBodyText"/>
              <w:jc w:val="left"/>
              <w:rPr>
                <w:rFonts w:cs="Arial"/>
              </w:rPr>
            </w:pPr>
          </w:p>
        </w:tc>
      </w:tr>
      <w:tr w:rsidR="00D15139" w:rsidTr="008539DA">
        <w:tc>
          <w:tcPr>
            <w:tcW w:w="1129" w:type="pct"/>
          </w:tcPr>
          <w:p w:rsidR="00D15139" w:rsidRPr="005C7D08" w:rsidRDefault="00D15139" w:rsidP="00885408">
            <w:pPr>
              <w:pStyle w:val="TableBodyText"/>
              <w:tabs>
                <w:tab w:val="num" w:pos="340"/>
              </w:tabs>
              <w:ind w:hanging="6"/>
              <w:jc w:val="left"/>
              <w:rPr>
                <w:rFonts w:cs="Arial"/>
              </w:rPr>
            </w:pPr>
            <w:r w:rsidRPr="007D0E0D">
              <w:rPr>
                <w:rFonts w:cs="Arial"/>
              </w:rPr>
              <w:t xml:space="preserve">Data provider (measure </w:t>
            </w:r>
            <w:r w:rsidRPr="005C7D08">
              <w:rPr>
                <w:rFonts w:cs="Arial"/>
              </w:rPr>
              <w:t>8(a)):</w:t>
            </w:r>
          </w:p>
          <w:p w:rsidR="00D15139" w:rsidRPr="005C7D08" w:rsidRDefault="00D15139" w:rsidP="00885408">
            <w:pPr>
              <w:pStyle w:val="TableBodyText"/>
              <w:jc w:val="left"/>
              <w:rPr>
                <w:rFonts w:cs="Arial"/>
              </w:rPr>
            </w:pPr>
          </w:p>
        </w:tc>
        <w:tc>
          <w:tcPr>
            <w:tcW w:w="3871" w:type="pct"/>
          </w:tcPr>
          <w:p w:rsidR="00D15139" w:rsidRPr="005C7D08" w:rsidRDefault="00D15139" w:rsidP="00885408">
            <w:pPr>
              <w:pStyle w:val="TableBodyText"/>
              <w:tabs>
                <w:tab w:val="num" w:pos="340"/>
              </w:tabs>
              <w:ind w:hanging="6"/>
              <w:jc w:val="left"/>
              <w:rPr>
                <w:rFonts w:cs="Arial"/>
              </w:rPr>
            </w:pPr>
            <w:r w:rsidRPr="005C7D08">
              <w:rPr>
                <w:rFonts w:cs="Arial"/>
              </w:rPr>
              <w:t>ABS</w:t>
            </w:r>
          </w:p>
        </w:tc>
      </w:tr>
      <w:tr w:rsidR="00D15139" w:rsidTr="008539DA">
        <w:tc>
          <w:tcPr>
            <w:tcW w:w="1129" w:type="pct"/>
          </w:tcPr>
          <w:p w:rsidR="00D15139" w:rsidRPr="005C7D08" w:rsidRDefault="00D15139" w:rsidP="00885408">
            <w:pPr>
              <w:pStyle w:val="TableBodyText"/>
              <w:tabs>
                <w:tab w:val="num" w:pos="340"/>
              </w:tabs>
              <w:ind w:hanging="6"/>
              <w:jc w:val="left"/>
              <w:rPr>
                <w:rFonts w:cs="Arial"/>
              </w:rPr>
            </w:pPr>
            <w:r w:rsidRPr="007D0E0D">
              <w:rPr>
                <w:rFonts w:cs="Arial"/>
              </w:rPr>
              <w:t>Data availability</w:t>
            </w:r>
            <w:r w:rsidRPr="007D0E0D">
              <w:rPr>
                <w:rFonts w:cs="Arial"/>
              </w:rPr>
              <w:br/>
              <w:t xml:space="preserve">(measure </w:t>
            </w:r>
            <w:r w:rsidRPr="005C7D08">
              <w:rPr>
                <w:rFonts w:cs="Arial"/>
              </w:rPr>
              <w:t>8(a)):</w:t>
            </w:r>
          </w:p>
        </w:tc>
        <w:tc>
          <w:tcPr>
            <w:tcW w:w="3871" w:type="pct"/>
          </w:tcPr>
          <w:p w:rsidR="00D15139" w:rsidRPr="005C7D08" w:rsidRDefault="00D15139" w:rsidP="00885408">
            <w:pPr>
              <w:pStyle w:val="TableBodyText"/>
              <w:tabs>
                <w:tab w:val="num" w:pos="340"/>
              </w:tabs>
              <w:ind w:hanging="6"/>
              <w:jc w:val="left"/>
              <w:rPr>
                <w:rFonts w:cs="Arial"/>
                <w:u w:val="single"/>
              </w:rPr>
            </w:pPr>
            <w:r w:rsidRPr="005C7D08">
              <w:rPr>
                <w:rFonts w:cs="Arial"/>
                <w:u w:val="single"/>
              </w:rPr>
              <w:t>Main data collection</w:t>
            </w:r>
          </w:p>
          <w:p w:rsidR="00D15139" w:rsidRPr="002E2093" w:rsidRDefault="00D15139" w:rsidP="00885408">
            <w:pPr>
              <w:pStyle w:val="TableBodyText"/>
              <w:jc w:val="left"/>
              <w:rPr>
                <w:rFonts w:cs="Arial"/>
              </w:rPr>
            </w:pPr>
            <w:r w:rsidRPr="005C7D08">
              <w:rPr>
                <w:rFonts w:cs="Arial"/>
              </w:rPr>
              <w:t>2011 and 2006 — Census (remoteness only – all other Census data provided in the 2011</w:t>
            </w:r>
            <w:r w:rsidR="00D119D7">
              <w:rPr>
                <w:rFonts w:cs="Arial"/>
              </w:rPr>
              <w:noBreakHyphen/>
            </w:r>
            <w:r w:rsidRPr="005C7D08">
              <w:rPr>
                <w:rFonts w:cs="Arial"/>
              </w:rPr>
              <w:t xml:space="preserve">12 </w:t>
            </w:r>
            <w:r w:rsidRPr="002E2093">
              <w:rPr>
                <w:rFonts w:cs="Arial"/>
              </w:rPr>
              <w:t>NIRA report)</w:t>
            </w:r>
          </w:p>
          <w:p w:rsidR="00D15139" w:rsidRPr="005C7D08" w:rsidRDefault="00D15139" w:rsidP="00885408">
            <w:pPr>
              <w:pStyle w:val="TableBodyText"/>
              <w:jc w:val="left"/>
              <w:rPr>
                <w:rFonts w:cs="Arial"/>
              </w:rPr>
            </w:pPr>
          </w:p>
          <w:p w:rsidR="00D15139" w:rsidRPr="002E2093" w:rsidRDefault="00D15139" w:rsidP="00885408">
            <w:pPr>
              <w:pStyle w:val="TableBodyText"/>
              <w:jc w:val="left"/>
              <w:rPr>
                <w:rFonts w:cs="Arial"/>
                <w:u w:val="single"/>
              </w:rPr>
            </w:pPr>
            <w:r w:rsidRPr="005C7D08">
              <w:rPr>
                <w:rFonts w:cs="Arial"/>
                <w:u w:val="single"/>
              </w:rPr>
              <w:t>Supplementary data collection</w:t>
            </w:r>
          </w:p>
          <w:p w:rsidR="00D15139" w:rsidRDefault="00D15139" w:rsidP="00885408">
            <w:pPr>
              <w:pStyle w:val="TableBodyText"/>
              <w:jc w:val="left"/>
              <w:rPr>
                <w:rFonts w:cs="Arial"/>
              </w:rPr>
            </w:pPr>
            <w:r w:rsidRPr="00807440">
              <w:rPr>
                <w:rFonts w:cs="Arial"/>
              </w:rPr>
              <w:t>2012</w:t>
            </w:r>
            <w:r w:rsidR="00D119D7">
              <w:rPr>
                <w:rFonts w:cs="Arial"/>
              </w:rPr>
              <w:noBreakHyphen/>
            </w:r>
            <w:r w:rsidRPr="00807440">
              <w:rPr>
                <w:rFonts w:cs="Arial"/>
              </w:rPr>
              <w:t>13 (Indigenous) — NATSIHS co</w:t>
            </w:r>
            <w:r w:rsidRPr="002E2093">
              <w:rPr>
                <w:rFonts w:cs="Arial"/>
              </w:rPr>
              <w:t xml:space="preserve">mponent of the AATSIHS </w:t>
            </w:r>
          </w:p>
          <w:p w:rsidR="00D15139" w:rsidRDefault="00D15139" w:rsidP="00885408">
            <w:pPr>
              <w:pStyle w:val="TableBodyText"/>
              <w:jc w:val="left"/>
              <w:rPr>
                <w:rFonts w:cs="Arial"/>
              </w:rPr>
            </w:pPr>
            <w:r w:rsidRPr="00807440">
              <w:rPr>
                <w:rFonts w:cs="Arial"/>
              </w:rPr>
              <w:t>2012 (non</w:t>
            </w:r>
            <w:r w:rsidR="00D119D7">
              <w:rPr>
                <w:rFonts w:cs="Arial"/>
              </w:rPr>
              <w:noBreakHyphen/>
            </w:r>
            <w:r w:rsidRPr="00807440">
              <w:rPr>
                <w:rFonts w:cs="Arial"/>
              </w:rPr>
              <w:t>Indigenous) — S</w:t>
            </w:r>
            <w:r w:rsidRPr="002E2093">
              <w:rPr>
                <w:rFonts w:cs="Arial"/>
              </w:rPr>
              <w:t xml:space="preserve">EW </w:t>
            </w:r>
          </w:p>
          <w:p w:rsidR="00D15139" w:rsidRPr="002E2093" w:rsidRDefault="00D15139" w:rsidP="00885408">
            <w:pPr>
              <w:pStyle w:val="TableBodyText"/>
              <w:jc w:val="left"/>
              <w:rPr>
                <w:rFonts w:cs="Arial"/>
              </w:rPr>
            </w:pPr>
            <w:r w:rsidRPr="00807440">
              <w:rPr>
                <w:rFonts w:cs="Arial"/>
              </w:rPr>
              <w:t xml:space="preserve">2008 NATSISS </w:t>
            </w:r>
            <w:r w:rsidRPr="002E2093">
              <w:rPr>
                <w:rFonts w:cs="Arial"/>
              </w:rPr>
              <w:t>(remoteness data resupplied to provide comparable time series</w:t>
            </w:r>
            <w:r>
              <w:rPr>
                <w:rFonts w:cs="Arial"/>
              </w:rPr>
              <w:t xml:space="preserve"> </w:t>
            </w:r>
            <w:r>
              <w:t>— remoteness data not available from the SEW for non</w:t>
            </w:r>
            <w:r>
              <w:noBreakHyphen/>
              <w:t>Indigenous comparisons)</w:t>
            </w:r>
          </w:p>
          <w:p w:rsidR="00D15139" w:rsidRPr="005C7D08" w:rsidRDefault="00D15139" w:rsidP="00885408">
            <w:pPr>
              <w:pStyle w:val="TableBodyText"/>
              <w:jc w:val="left"/>
              <w:rPr>
                <w:rFonts w:cs="Arial"/>
              </w:rPr>
            </w:pPr>
          </w:p>
        </w:tc>
      </w:tr>
      <w:tr w:rsidR="00D15139" w:rsidTr="008539DA">
        <w:tc>
          <w:tcPr>
            <w:tcW w:w="1129" w:type="pct"/>
          </w:tcPr>
          <w:p w:rsidR="00D15139" w:rsidRPr="005C7D08" w:rsidRDefault="00D15139" w:rsidP="00885408">
            <w:pPr>
              <w:pStyle w:val="TableBodyText"/>
              <w:tabs>
                <w:tab w:val="num" w:pos="340"/>
              </w:tabs>
              <w:ind w:hanging="6"/>
              <w:jc w:val="left"/>
              <w:rPr>
                <w:rFonts w:cs="Arial"/>
              </w:rPr>
            </w:pPr>
            <w:r w:rsidRPr="007D0E0D">
              <w:rPr>
                <w:rFonts w:cs="Arial"/>
              </w:rPr>
              <w:t>Cross tabulations provided</w:t>
            </w:r>
            <w:r w:rsidRPr="007D0E0D">
              <w:rPr>
                <w:rFonts w:cs="Arial"/>
              </w:rPr>
              <w:br/>
              <w:t xml:space="preserve">(measure </w:t>
            </w:r>
            <w:r w:rsidRPr="005C7D08">
              <w:rPr>
                <w:rFonts w:cs="Arial"/>
              </w:rPr>
              <w:t>8(a)):</w:t>
            </w:r>
          </w:p>
        </w:tc>
        <w:tc>
          <w:tcPr>
            <w:tcW w:w="3871" w:type="pct"/>
          </w:tcPr>
          <w:p w:rsidR="00D15139" w:rsidRPr="005C7D08" w:rsidRDefault="00D15139" w:rsidP="00885408">
            <w:pPr>
              <w:pStyle w:val="TableBodyText"/>
              <w:tabs>
                <w:tab w:val="num" w:pos="340"/>
              </w:tabs>
              <w:ind w:hanging="6"/>
              <w:jc w:val="left"/>
              <w:rPr>
                <w:rFonts w:cs="Arial"/>
              </w:rPr>
            </w:pPr>
            <w:r w:rsidRPr="005C7D08">
              <w:rPr>
                <w:rFonts w:cs="Arial"/>
              </w:rPr>
              <w:t>State and Territory, by:</w:t>
            </w:r>
          </w:p>
          <w:p w:rsidR="00D15139" w:rsidRPr="005C7D08" w:rsidRDefault="00D15139" w:rsidP="00885408">
            <w:pPr>
              <w:pStyle w:val="TableBullet"/>
              <w:rPr>
                <w:rFonts w:cs="Arial"/>
                <w:szCs w:val="24"/>
              </w:rPr>
            </w:pPr>
            <w:r w:rsidRPr="005C7D08">
              <w:rPr>
                <w:rFonts w:cs="Arial"/>
              </w:rPr>
              <w:t>Indigenous status</w:t>
            </w:r>
          </w:p>
          <w:p w:rsidR="00D15139" w:rsidRPr="005C7D08" w:rsidRDefault="00D15139" w:rsidP="00885408">
            <w:pPr>
              <w:pStyle w:val="TableBullet"/>
              <w:rPr>
                <w:rFonts w:cs="Arial"/>
                <w:szCs w:val="24"/>
              </w:rPr>
            </w:pPr>
            <w:r w:rsidRPr="005C7D08">
              <w:rPr>
                <w:rFonts w:cs="Arial"/>
              </w:rPr>
              <w:t>Indigenous status by remoteness (Census only) (2011 based on ASGS, previous years data based on ASGC)</w:t>
            </w:r>
          </w:p>
          <w:p w:rsidR="00D15139" w:rsidRPr="005C7D08" w:rsidRDefault="00D15139" w:rsidP="00885408">
            <w:pPr>
              <w:pStyle w:val="TableBodyText"/>
              <w:jc w:val="left"/>
              <w:rPr>
                <w:rFonts w:cs="Arial"/>
              </w:rPr>
            </w:pPr>
          </w:p>
          <w:p w:rsidR="00D15139" w:rsidRPr="005C7D08" w:rsidRDefault="00D15139" w:rsidP="00885408">
            <w:pPr>
              <w:pStyle w:val="TableBodyText"/>
              <w:tabs>
                <w:tab w:val="num" w:pos="340"/>
              </w:tabs>
              <w:ind w:hanging="6"/>
              <w:jc w:val="left"/>
              <w:rPr>
                <w:rFonts w:cs="Arial"/>
              </w:rPr>
            </w:pPr>
            <w:r w:rsidRPr="005C7D08">
              <w:rPr>
                <w:rFonts w:cs="Arial"/>
              </w:rPr>
              <w:t>National, by:</w:t>
            </w:r>
          </w:p>
          <w:p w:rsidR="00D15139" w:rsidRPr="002E2093" w:rsidRDefault="00D15139" w:rsidP="00885408">
            <w:pPr>
              <w:pStyle w:val="TableBullet"/>
              <w:rPr>
                <w:rFonts w:cs="Arial"/>
                <w:szCs w:val="24"/>
              </w:rPr>
            </w:pPr>
            <w:r w:rsidRPr="005C7D08">
              <w:rPr>
                <w:rFonts w:cs="Arial"/>
              </w:rPr>
              <w:t>Indigenous status by remoteness (survey data only) (2011 based on ASGS, previous years data based on ASGC)</w:t>
            </w:r>
          </w:p>
        </w:tc>
      </w:tr>
    </w:tbl>
    <w:p w:rsidR="0035205B" w:rsidRPr="00D15139" w:rsidRDefault="0035205B" w:rsidP="0035205B"/>
    <w:tbl>
      <w:tblPr>
        <w:tblW w:w="0" w:type="auto"/>
        <w:tblInd w:w="164" w:type="dxa"/>
        <w:tblBorders>
          <w:top w:val="single" w:sz="6" w:space="0" w:color="auto"/>
          <w:left w:val="single" w:sz="6" w:space="0" w:color="auto"/>
          <w:bottom w:val="single" w:sz="6" w:space="0" w:color="auto"/>
          <w:right w:val="single" w:sz="6" w:space="0" w:color="auto"/>
        </w:tblBorders>
        <w:tblLayout w:type="fixed"/>
        <w:tblCellMar>
          <w:left w:w="142" w:type="dxa"/>
          <w:right w:w="142" w:type="dxa"/>
        </w:tblCellMar>
        <w:tblLook w:val="0000" w:firstRow="0" w:lastRow="0" w:firstColumn="0" w:lastColumn="0" w:noHBand="0" w:noVBand="0"/>
      </w:tblPr>
      <w:tblGrid>
        <w:gridCol w:w="8771"/>
      </w:tblGrid>
      <w:tr w:rsidR="00162BCC" w:rsidTr="00EF255E">
        <w:tc>
          <w:tcPr>
            <w:tcW w:w="8771" w:type="dxa"/>
            <w:tcBorders>
              <w:top w:val="single" w:sz="6" w:space="0" w:color="auto"/>
              <w:bottom w:val="nil"/>
            </w:tcBorders>
          </w:tcPr>
          <w:p w:rsidR="00162BCC" w:rsidRDefault="00162BCC" w:rsidP="00EF255E">
            <w:pPr>
              <w:pStyle w:val="BoxTitle"/>
            </w:pPr>
            <w:r>
              <w:rPr>
                <w:b w:val="0"/>
              </w:rPr>
              <w:t xml:space="preserve">Box </w:t>
            </w:r>
            <w:r>
              <w:rPr>
                <w:b w:val="0"/>
              </w:rPr>
              <w:fldChar w:fldCharType="begin"/>
            </w:r>
            <w:r>
              <w:rPr>
                <w:b w:val="0"/>
              </w:rPr>
              <w:instrText xml:space="preserve"> SEQ Box \* ARABIC </w:instrText>
            </w:r>
            <w:r>
              <w:rPr>
                <w:b w:val="0"/>
              </w:rPr>
              <w:fldChar w:fldCharType="separate"/>
            </w:r>
            <w:r w:rsidR="005F5618">
              <w:rPr>
                <w:b w:val="0"/>
                <w:noProof/>
              </w:rPr>
              <w:t>26</w:t>
            </w:r>
            <w:r>
              <w:rPr>
                <w:b w:val="0"/>
              </w:rPr>
              <w:fldChar w:fldCharType="end"/>
            </w:r>
            <w:r>
              <w:tab/>
              <w:t>Results</w:t>
            </w:r>
          </w:p>
        </w:tc>
      </w:tr>
      <w:tr w:rsidR="00162BCC" w:rsidTr="00EF255E">
        <w:trPr>
          <w:cantSplit/>
        </w:trPr>
        <w:tc>
          <w:tcPr>
            <w:tcW w:w="8771" w:type="dxa"/>
            <w:tcBorders>
              <w:top w:val="nil"/>
              <w:left w:val="single" w:sz="6" w:space="0" w:color="auto"/>
              <w:bottom w:val="nil"/>
              <w:right w:val="single" w:sz="6" w:space="0" w:color="auto"/>
            </w:tcBorders>
          </w:tcPr>
          <w:p w:rsidR="00827665" w:rsidRDefault="00827665" w:rsidP="00827665">
            <w:pPr>
              <w:pStyle w:val="Box"/>
            </w:pPr>
            <w:r>
              <w:t>For this report, new supplementary data are available for measure (a). Data presented relate to 2012</w:t>
            </w:r>
            <w:r>
              <w:noBreakHyphen/>
              <w:t>13.</w:t>
            </w:r>
          </w:p>
          <w:p w:rsidR="00827665" w:rsidRDefault="00827665" w:rsidP="00827665">
            <w:pPr>
              <w:pStyle w:val="BoxListBullet"/>
            </w:pPr>
            <w:r w:rsidRPr="00827665">
              <w:t xml:space="preserve">Data by State and Territory by Indigenous status </w:t>
            </w:r>
            <w:r w:rsidR="001E4775" w:rsidRPr="00827665">
              <w:t xml:space="preserve">are presented </w:t>
            </w:r>
            <w:r w:rsidRPr="00827665">
              <w:t>in table NEA.4.2.</w:t>
            </w:r>
          </w:p>
          <w:p w:rsidR="00827665" w:rsidRDefault="00827665" w:rsidP="00827665">
            <w:pPr>
              <w:pStyle w:val="BoxListBullet"/>
            </w:pPr>
            <w:r>
              <w:t>Data by Indigenous status, by remoteness are presented in table NEA.8.1</w:t>
            </w:r>
          </w:p>
          <w:p w:rsidR="00827665" w:rsidRDefault="00827665" w:rsidP="00827665">
            <w:pPr>
              <w:pStyle w:val="Box"/>
            </w:pPr>
            <w:r>
              <w:t xml:space="preserve">Additional historical data for State and Territory, by Indigenous status by remoteness have been supplied. </w:t>
            </w:r>
          </w:p>
          <w:p w:rsidR="00827665" w:rsidRDefault="001E4775" w:rsidP="00827665">
            <w:pPr>
              <w:pStyle w:val="BoxListBullet"/>
            </w:pPr>
            <w:r>
              <w:t>Census d</w:t>
            </w:r>
            <w:r w:rsidR="00827665">
              <w:t xml:space="preserve">ata for 2011 and 2006 </w:t>
            </w:r>
            <w:r w:rsidR="007B02E6">
              <w:t>are presented in tables NEA.8.2</w:t>
            </w:r>
            <w:r w:rsidR="00F40769">
              <w:t>–</w:t>
            </w:r>
            <w:r w:rsidR="007B02E6">
              <w:t>3</w:t>
            </w:r>
          </w:p>
          <w:p w:rsidR="00827665" w:rsidRDefault="00F23EBD" w:rsidP="00827665">
            <w:pPr>
              <w:pStyle w:val="BoxListBullet"/>
            </w:pPr>
            <w:r>
              <w:t>NATSISS d</w:t>
            </w:r>
            <w:r w:rsidR="00827665">
              <w:t>ata for 2008 (Indigenous only) are presented in table NEA.8.4.</w:t>
            </w:r>
          </w:p>
          <w:p w:rsidR="00162BCC" w:rsidRDefault="00827665" w:rsidP="001E4775">
            <w:pPr>
              <w:pStyle w:val="Box"/>
            </w:pPr>
            <w:r>
              <w:t xml:space="preserve">Historical 2011 Census </w:t>
            </w:r>
            <w:r w:rsidR="001E4775">
              <w:t xml:space="preserve">data </w:t>
            </w:r>
            <w:r w:rsidR="00487879">
              <w:t>are available in the 2012 NEA performance report</w:t>
            </w:r>
            <w:r>
              <w:t>. Baseline 2006 Census data are available in the 2008 NEA performance report.</w:t>
            </w:r>
          </w:p>
        </w:tc>
      </w:tr>
      <w:tr w:rsidR="00162BCC" w:rsidTr="00EF255E">
        <w:trPr>
          <w:cantSplit/>
        </w:trPr>
        <w:tc>
          <w:tcPr>
            <w:tcW w:w="8771" w:type="dxa"/>
            <w:tcBorders>
              <w:top w:val="nil"/>
              <w:left w:val="single" w:sz="6" w:space="0" w:color="auto"/>
              <w:bottom w:val="single" w:sz="6" w:space="0" w:color="auto"/>
              <w:right w:val="single" w:sz="6" w:space="0" w:color="auto"/>
            </w:tcBorders>
          </w:tcPr>
          <w:p w:rsidR="00162BCC" w:rsidRDefault="00162BCC" w:rsidP="00EF255E">
            <w:pPr>
              <w:pStyle w:val="Box"/>
              <w:spacing w:before="0" w:line="120" w:lineRule="exact"/>
            </w:pPr>
          </w:p>
        </w:tc>
      </w:tr>
      <w:tr w:rsidR="00162BCC" w:rsidRPr="000863A5" w:rsidTr="00EF255E">
        <w:tc>
          <w:tcPr>
            <w:tcW w:w="8771" w:type="dxa"/>
            <w:tcBorders>
              <w:top w:val="nil"/>
              <w:left w:val="nil"/>
              <w:bottom w:val="nil"/>
              <w:right w:val="nil"/>
            </w:tcBorders>
          </w:tcPr>
          <w:p w:rsidR="00162BCC" w:rsidRPr="00626D32" w:rsidRDefault="00162BCC" w:rsidP="00EF255E">
            <w:pPr>
              <w:pStyle w:val="BoxSpaceBelow"/>
            </w:pPr>
          </w:p>
        </w:tc>
      </w:tr>
    </w:tbl>
    <w:p w:rsidR="00162BCC" w:rsidRDefault="00162BCC" w:rsidP="00162BCC">
      <w:pPr>
        <w:pStyle w:val="Heading4"/>
      </w:pPr>
      <w:r>
        <w:t>Attachment tables</w:t>
      </w:r>
    </w:p>
    <w:tbl>
      <w:tblPr>
        <w:tblW w:w="880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0"/>
        <w:gridCol w:w="6844"/>
      </w:tblGrid>
      <w:tr w:rsidR="006824E1" w:rsidRPr="008E7459" w:rsidTr="00EF255E">
        <w:trPr>
          <w:trHeight w:val="612"/>
        </w:trPr>
        <w:tc>
          <w:tcPr>
            <w:tcW w:w="1960" w:type="dxa"/>
            <w:shd w:val="clear" w:color="auto" w:fill="auto"/>
            <w:noWrap/>
            <w:hideMark/>
          </w:tcPr>
          <w:p w:rsidR="006824E1" w:rsidRPr="00FC2322" w:rsidRDefault="006824E1" w:rsidP="00DC0887">
            <w:pPr>
              <w:pStyle w:val="TableBodyText"/>
              <w:jc w:val="left"/>
              <w:rPr>
                <w:b/>
              </w:rPr>
            </w:pPr>
            <w:r w:rsidRPr="00FC2322">
              <w:rPr>
                <w:b/>
              </w:rPr>
              <w:t>Table NEA.4.2</w:t>
            </w:r>
          </w:p>
        </w:tc>
        <w:tc>
          <w:tcPr>
            <w:tcW w:w="6844" w:type="dxa"/>
            <w:shd w:val="clear" w:color="auto" w:fill="auto"/>
          </w:tcPr>
          <w:p w:rsidR="006824E1" w:rsidRPr="00B01FCA" w:rsidRDefault="006824E1" w:rsidP="00DC0887">
            <w:pPr>
              <w:pStyle w:val="TableBodyText"/>
              <w:jc w:val="left"/>
            </w:pPr>
            <w:r w:rsidRPr="00B01FCA">
              <w:t>Proportion, relative standard error, and confidence intervals of young people aged 20–24 years who have completed year 12 (or equivalent) or gained a qualification at AQF Certificate II level or above, by Indigenous status, 2012</w:t>
            </w:r>
            <w:r w:rsidR="009F5EB6">
              <w:noBreakHyphen/>
            </w:r>
            <w:r w:rsidRPr="00B01FCA">
              <w:t>13</w:t>
            </w:r>
            <w:r w:rsidR="001714E9">
              <w:t xml:space="preserve"> </w:t>
            </w:r>
          </w:p>
        </w:tc>
      </w:tr>
      <w:tr w:rsidR="006824E1" w:rsidRPr="008E7459" w:rsidTr="00EF255E">
        <w:trPr>
          <w:trHeight w:val="612"/>
        </w:trPr>
        <w:tc>
          <w:tcPr>
            <w:tcW w:w="1960" w:type="dxa"/>
            <w:shd w:val="clear" w:color="auto" w:fill="auto"/>
            <w:noWrap/>
            <w:hideMark/>
          </w:tcPr>
          <w:p w:rsidR="006824E1" w:rsidRPr="006824E1" w:rsidRDefault="006824E1" w:rsidP="006824E1">
            <w:pPr>
              <w:pStyle w:val="TableBodyText"/>
              <w:jc w:val="left"/>
              <w:rPr>
                <w:rFonts w:cs="Arial"/>
                <w:b/>
                <w:bCs/>
              </w:rPr>
            </w:pPr>
            <w:r>
              <w:rPr>
                <w:b/>
              </w:rPr>
              <w:t>Table NEA.8</w:t>
            </w:r>
            <w:r w:rsidRPr="006824E1">
              <w:rPr>
                <w:b/>
              </w:rPr>
              <w:t>.</w:t>
            </w:r>
            <w:r>
              <w:rPr>
                <w:b/>
              </w:rPr>
              <w:t>1</w:t>
            </w:r>
          </w:p>
        </w:tc>
        <w:tc>
          <w:tcPr>
            <w:tcW w:w="6844" w:type="dxa"/>
            <w:shd w:val="clear" w:color="auto" w:fill="auto"/>
          </w:tcPr>
          <w:p w:rsidR="006824E1" w:rsidRPr="00F879DD" w:rsidRDefault="006824E1" w:rsidP="006824E1">
            <w:pPr>
              <w:pStyle w:val="TableBodyText"/>
              <w:jc w:val="left"/>
            </w:pPr>
            <w:r w:rsidRPr="00F879DD">
              <w:t>Proportion of the 20–24 year old population having attained at least a year 12 or equivalent or AQF Certificate II or above, by Indigenous status, by remoteness 2012</w:t>
            </w:r>
            <w:r w:rsidR="009F5EB6">
              <w:noBreakHyphen/>
            </w:r>
            <w:r w:rsidRPr="00F879DD">
              <w:t>13</w:t>
            </w:r>
          </w:p>
        </w:tc>
      </w:tr>
      <w:tr w:rsidR="006824E1" w:rsidRPr="008E7459" w:rsidTr="00EF255E">
        <w:trPr>
          <w:trHeight w:val="612"/>
        </w:trPr>
        <w:tc>
          <w:tcPr>
            <w:tcW w:w="1960" w:type="dxa"/>
            <w:shd w:val="clear" w:color="auto" w:fill="auto"/>
            <w:noWrap/>
          </w:tcPr>
          <w:p w:rsidR="006824E1" w:rsidRPr="006824E1" w:rsidRDefault="006824E1" w:rsidP="006824E1">
            <w:pPr>
              <w:pStyle w:val="TableBodyText"/>
              <w:jc w:val="left"/>
              <w:rPr>
                <w:rFonts w:cs="Arial"/>
                <w:b/>
                <w:bCs/>
              </w:rPr>
            </w:pPr>
            <w:r w:rsidRPr="006824E1">
              <w:rPr>
                <w:b/>
              </w:rPr>
              <w:t>Table NEA.</w:t>
            </w:r>
            <w:r>
              <w:rPr>
                <w:b/>
              </w:rPr>
              <w:t xml:space="preserve"> 8</w:t>
            </w:r>
            <w:r w:rsidRPr="006824E1">
              <w:rPr>
                <w:b/>
              </w:rPr>
              <w:t>.</w:t>
            </w:r>
            <w:r>
              <w:rPr>
                <w:b/>
              </w:rPr>
              <w:t>2</w:t>
            </w:r>
          </w:p>
        </w:tc>
        <w:tc>
          <w:tcPr>
            <w:tcW w:w="6844" w:type="dxa"/>
            <w:shd w:val="clear" w:color="auto" w:fill="auto"/>
          </w:tcPr>
          <w:p w:rsidR="006824E1" w:rsidRPr="00F879DD" w:rsidRDefault="006824E1" w:rsidP="006824E1">
            <w:pPr>
              <w:pStyle w:val="TableBodyText"/>
              <w:jc w:val="left"/>
            </w:pPr>
            <w:r w:rsidRPr="00F879DD">
              <w:t>Proportion of the 20–24 year old population having attained at least a year 12 or equivalent or AQF Certificate II or above, by Indigenous status, by remoteness 2011</w:t>
            </w:r>
          </w:p>
        </w:tc>
      </w:tr>
      <w:tr w:rsidR="006824E1" w:rsidRPr="008E7459" w:rsidTr="00EF255E">
        <w:trPr>
          <w:trHeight w:val="612"/>
        </w:trPr>
        <w:tc>
          <w:tcPr>
            <w:tcW w:w="1960" w:type="dxa"/>
            <w:shd w:val="clear" w:color="auto" w:fill="auto"/>
            <w:noWrap/>
          </w:tcPr>
          <w:p w:rsidR="006824E1" w:rsidRPr="006824E1" w:rsidRDefault="006824E1" w:rsidP="006824E1">
            <w:pPr>
              <w:pStyle w:val="TableBodyText"/>
              <w:jc w:val="left"/>
              <w:rPr>
                <w:rFonts w:cs="Arial"/>
                <w:b/>
                <w:bCs/>
              </w:rPr>
            </w:pPr>
            <w:r w:rsidRPr="006824E1">
              <w:rPr>
                <w:b/>
              </w:rPr>
              <w:t>Table NEA.</w:t>
            </w:r>
            <w:r>
              <w:rPr>
                <w:b/>
              </w:rPr>
              <w:t xml:space="preserve"> 8</w:t>
            </w:r>
            <w:r w:rsidRPr="006824E1">
              <w:rPr>
                <w:b/>
              </w:rPr>
              <w:t>.</w:t>
            </w:r>
            <w:r>
              <w:rPr>
                <w:b/>
              </w:rPr>
              <w:t>3</w:t>
            </w:r>
          </w:p>
        </w:tc>
        <w:tc>
          <w:tcPr>
            <w:tcW w:w="6844" w:type="dxa"/>
            <w:shd w:val="clear" w:color="auto" w:fill="auto"/>
          </w:tcPr>
          <w:p w:rsidR="006824E1" w:rsidRPr="00F879DD" w:rsidRDefault="006824E1" w:rsidP="006824E1">
            <w:pPr>
              <w:pStyle w:val="TableBodyText"/>
              <w:jc w:val="left"/>
            </w:pPr>
            <w:r w:rsidRPr="00F879DD">
              <w:t>Proportion of the 20–24 year old population having attained at least a year 12 or equivalent or AQF Certificate II or above, by Indigenous status, by remoteness 2006</w:t>
            </w:r>
          </w:p>
        </w:tc>
      </w:tr>
      <w:tr w:rsidR="006824E1" w:rsidRPr="008E7459" w:rsidTr="00EF255E">
        <w:trPr>
          <w:trHeight w:val="612"/>
        </w:trPr>
        <w:tc>
          <w:tcPr>
            <w:tcW w:w="1960" w:type="dxa"/>
            <w:shd w:val="clear" w:color="auto" w:fill="auto"/>
            <w:noWrap/>
          </w:tcPr>
          <w:p w:rsidR="006824E1" w:rsidRPr="006824E1" w:rsidRDefault="006824E1" w:rsidP="006824E1">
            <w:pPr>
              <w:pStyle w:val="TableBodyText"/>
              <w:jc w:val="left"/>
              <w:rPr>
                <w:rFonts w:cs="Arial"/>
                <w:b/>
                <w:bCs/>
              </w:rPr>
            </w:pPr>
            <w:r w:rsidRPr="006824E1">
              <w:rPr>
                <w:b/>
              </w:rPr>
              <w:t>Table NEA.</w:t>
            </w:r>
            <w:r>
              <w:rPr>
                <w:b/>
              </w:rPr>
              <w:t xml:space="preserve"> 8</w:t>
            </w:r>
            <w:r w:rsidRPr="006824E1">
              <w:rPr>
                <w:b/>
              </w:rPr>
              <w:t>.</w:t>
            </w:r>
            <w:r>
              <w:rPr>
                <w:b/>
              </w:rPr>
              <w:t>4</w:t>
            </w:r>
          </w:p>
        </w:tc>
        <w:tc>
          <w:tcPr>
            <w:tcW w:w="6844" w:type="dxa"/>
            <w:shd w:val="clear" w:color="auto" w:fill="auto"/>
          </w:tcPr>
          <w:p w:rsidR="006824E1" w:rsidRDefault="006824E1" w:rsidP="006824E1">
            <w:pPr>
              <w:pStyle w:val="TableBodyText"/>
              <w:jc w:val="left"/>
            </w:pPr>
            <w:r w:rsidRPr="00F879DD">
              <w:t>Proportion of the 20–24 year old population having attained at least a year 12 or equivalent or AQF Certificate II or above, by Indigenous status, by remoteness 2008</w:t>
            </w:r>
          </w:p>
        </w:tc>
      </w:tr>
    </w:tbl>
    <w:p w:rsidR="00162BCC" w:rsidRDefault="00162BCC" w:rsidP="00162BCC"/>
    <w:p w:rsidR="00162BCC" w:rsidRDefault="00162BCC" w:rsidP="00162BCC">
      <w:pPr>
        <w:pStyle w:val="BoxSpaceAbove"/>
      </w:pPr>
    </w:p>
    <w:tbl>
      <w:tblPr>
        <w:tblW w:w="0" w:type="auto"/>
        <w:tblInd w:w="164" w:type="dxa"/>
        <w:tblBorders>
          <w:top w:val="single" w:sz="6" w:space="0" w:color="auto"/>
          <w:left w:val="single" w:sz="6" w:space="0" w:color="auto"/>
          <w:bottom w:val="single" w:sz="6" w:space="0" w:color="auto"/>
          <w:right w:val="single" w:sz="6" w:space="0" w:color="auto"/>
        </w:tblBorders>
        <w:tblLayout w:type="fixed"/>
        <w:tblCellMar>
          <w:left w:w="142" w:type="dxa"/>
          <w:right w:w="142" w:type="dxa"/>
        </w:tblCellMar>
        <w:tblLook w:val="0000" w:firstRow="0" w:lastRow="0" w:firstColumn="0" w:lastColumn="0" w:noHBand="0" w:noVBand="0"/>
      </w:tblPr>
      <w:tblGrid>
        <w:gridCol w:w="8771"/>
      </w:tblGrid>
      <w:tr w:rsidR="00162BCC" w:rsidTr="00EF255E">
        <w:tc>
          <w:tcPr>
            <w:tcW w:w="8771" w:type="dxa"/>
            <w:tcBorders>
              <w:top w:val="single" w:sz="6" w:space="0" w:color="auto"/>
              <w:bottom w:val="nil"/>
            </w:tcBorders>
          </w:tcPr>
          <w:p w:rsidR="00162BCC" w:rsidRDefault="00162BCC" w:rsidP="00EF255E">
            <w:pPr>
              <w:pStyle w:val="BoxTitle"/>
            </w:pPr>
            <w:r>
              <w:rPr>
                <w:b w:val="0"/>
              </w:rPr>
              <w:t xml:space="preserve">Box </w:t>
            </w:r>
            <w:r>
              <w:rPr>
                <w:b w:val="0"/>
              </w:rPr>
              <w:fldChar w:fldCharType="begin"/>
            </w:r>
            <w:r>
              <w:rPr>
                <w:b w:val="0"/>
              </w:rPr>
              <w:instrText xml:space="preserve"> SEQ Box \* ARABIC </w:instrText>
            </w:r>
            <w:r>
              <w:rPr>
                <w:b w:val="0"/>
              </w:rPr>
              <w:fldChar w:fldCharType="separate"/>
            </w:r>
            <w:r w:rsidR="005F5618">
              <w:rPr>
                <w:b w:val="0"/>
                <w:noProof/>
              </w:rPr>
              <w:t>27</w:t>
            </w:r>
            <w:r>
              <w:rPr>
                <w:b w:val="0"/>
              </w:rPr>
              <w:fldChar w:fldCharType="end"/>
            </w:r>
            <w:r>
              <w:tab/>
              <w:t>Comment on data quality</w:t>
            </w:r>
          </w:p>
        </w:tc>
      </w:tr>
      <w:tr w:rsidR="00162BCC" w:rsidTr="00EF255E">
        <w:trPr>
          <w:cantSplit/>
        </w:trPr>
        <w:tc>
          <w:tcPr>
            <w:tcW w:w="8771" w:type="dxa"/>
            <w:tcBorders>
              <w:top w:val="nil"/>
              <w:left w:val="single" w:sz="6" w:space="0" w:color="auto"/>
              <w:bottom w:val="nil"/>
              <w:right w:val="single" w:sz="6" w:space="0" w:color="auto"/>
            </w:tcBorders>
          </w:tcPr>
          <w:p w:rsidR="00162BCC" w:rsidRDefault="00056C84" w:rsidP="00EF255E">
            <w:pPr>
              <w:pStyle w:val="Box"/>
            </w:pPr>
            <w:r w:rsidRPr="00056C84">
              <w:t>Details are included in the comment on data quality for NEA Indicator 4.</w:t>
            </w:r>
          </w:p>
        </w:tc>
      </w:tr>
      <w:tr w:rsidR="00162BCC" w:rsidTr="00EF255E">
        <w:trPr>
          <w:cantSplit/>
        </w:trPr>
        <w:tc>
          <w:tcPr>
            <w:tcW w:w="8771" w:type="dxa"/>
            <w:tcBorders>
              <w:top w:val="nil"/>
              <w:left w:val="single" w:sz="6" w:space="0" w:color="auto"/>
              <w:bottom w:val="single" w:sz="6" w:space="0" w:color="auto"/>
              <w:right w:val="single" w:sz="6" w:space="0" w:color="auto"/>
            </w:tcBorders>
          </w:tcPr>
          <w:p w:rsidR="00162BCC" w:rsidRDefault="00162BCC" w:rsidP="00EF255E">
            <w:pPr>
              <w:pStyle w:val="Box"/>
              <w:spacing w:before="0" w:line="120" w:lineRule="exact"/>
            </w:pPr>
          </w:p>
        </w:tc>
      </w:tr>
      <w:tr w:rsidR="00162BCC" w:rsidRPr="000863A5" w:rsidTr="00EF255E">
        <w:tc>
          <w:tcPr>
            <w:tcW w:w="8771" w:type="dxa"/>
            <w:tcBorders>
              <w:top w:val="nil"/>
              <w:left w:val="nil"/>
              <w:bottom w:val="nil"/>
              <w:right w:val="nil"/>
            </w:tcBorders>
          </w:tcPr>
          <w:p w:rsidR="00162BCC" w:rsidRPr="00626D32" w:rsidRDefault="00162BCC" w:rsidP="00EF255E">
            <w:pPr>
              <w:pStyle w:val="BoxSpaceBelow"/>
            </w:pPr>
          </w:p>
        </w:tc>
      </w:tr>
    </w:tbl>
    <w:p w:rsidR="00162BCC" w:rsidRPr="003575E1" w:rsidRDefault="00162BCC" w:rsidP="00162BCC"/>
    <w:p w:rsidR="00D67B06" w:rsidRDefault="00D67B06">
      <w:pPr>
        <w:sectPr w:rsidR="00D67B06" w:rsidSect="00897D1B">
          <w:headerReference w:type="even" r:id="rId8"/>
          <w:headerReference w:type="default" r:id="rId9"/>
          <w:footerReference w:type="even" r:id="rId10"/>
          <w:footerReference w:type="default" r:id="rId11"/>
          <w:headerReference w:type="first" r:id="rId12"/>
          <w:footerReference w:type="first" r:id="rId13"/>
          <w:pgSz w:w="11907" w:h="16840" w:code="9"/>
          <w:pgMar w:top="1985" w:right="1304" w:bottom="1418" w:left="1814" w:header="1701" w:footer="567" w:gutter="0"/>
          <w:pgNumType w:start="1" w:chapSep="period"/>
          <w:cols w:space="720"/>
        </w:sectPr>
      </w:pPr>
    </w:p>
    <w:p w:rsidR="00440197" w:rsidRPr="00B6009B" w:rsidRDefault="00E25BC6" w:rsidP="00D67B06">
      <w:pPr>
        <w:pStyle w:val="Heading2"/>
        <w:spacing w:before="100" w:beforeAutospacing="1"/>
      </w:pPr>
      <w:r w:rsidRPr="00B6009B">
        <w:t>Data quality statements</w:t>
      </w:r>
    </w:p>
    <w:p w:rsidR="00FF5970" w:rsidRPr="00B6009B" w:rsidRDefault="00FF5970" w:rsidP="00FF5970">
      <w:pPr>
        <w:pStyle w:val="BodyText"/>
        <w:rPr>
          <w:u w:val="single"/>
        </w:rPr>
      </w:pPr>
      <w:r w:rsidRPr="00B6009B">
        <w:t xml:space="preserve">This attachment includes copies of all DQSs as provided by the data providers. </w:t>
      </w:r>
      <w:r w:rsidRPr="00B6009B">
        <w:rPr>
          <w:u w:val="single"/>
        </w:rPr>
        <w:t>The Steering Committee has not made any amendments to the content of these DQSs.</w:t>
      </w:r>
    </w:p>
    <w:p w:rsidR="00FF5970" w:rsidRPr="00B6009B" w:rsidRDefault="00FF5970" w:rsidP="00FF5970">
      <w:pPr>
        <w:pStyle w:val="BodyText"/>
      </w:pPr>
      <w:r w:rsidRPr="00B6009B">
        <w:t>Table</w:t>
      </w:r>
      <w:r w:rsidR="00966FAA" w:rsidRPr="00B6009B">
        <w:t> </w:t>
      </w:r>
      <w:r w:rsidR="006B20F6">
        <w:rPr>
          <w:highlight w:val="yellow"/>
        </w:rPr>
        <w:fldChar w:fldCharType="begin"/>
      </w:r>
      <w:r w:rsidR="006B20F6">
        <w:rPr>
          <w:highlight w:val="yellow"/>
        </w:rPr>
        <w:instrText xml:space="preserve"> LINK Word.Document.12 "\\\\mel_1\\groups\\Monitor\\09 National Agreement Report\\02 NAR Report WIP\\2013 NAR Report - Ed and training\\2013 NAR first draft\\NEA\\NEA 2013 first draft for CA.docx" "OLE_LINK15" \a \t </w:instrText>
      </w:r>
      <w:r w:rsidR="006B20F6">
        <w:rPr>
          <w:highlight w:val="yellow"/>
        </w:rPr>
        <w:fldChar w:fldCharType="separate"/>
      </w:r>
      <w:r w:rsidR="006B20F6">
        <w:t>11</w:t>
      </w:r>
      <w:r w:rsidR="006B20F6">
        <w:rPr>
          <w:highlight w:val="yellow"/>
        </w:rPr>
        <w:fldChar w:fldCharType="end"/>
      </w:r>
      <w:r w:rsidR="006B20F6">
        <w:t xml:space="preserve"> </w:t>
      </w:r>
      <w:r w:rsidRPr="00B6009B">
        <w:t>lists each performance target in the NEA and the page reference for the associated DQS.</w:t>
      </w:r>
    </w:p>
    <w:p w:rsidR="00FF5970" w:rsidRPr="00B6009B" w:rsidRDefault="00FF5970" w:rsidP="00FF5970">
      <w:pPr>
        <w:pStyle w:val="BodyText"/>
      </w:pPr>
      <w:r w:rsidRPr="00B6009B">
        <w:t>Table</w:t>
      </w:r>
      <w:r w:rsidR="00966FAA" w:rsidRPr="00B6009B">
        <w:t> </w:t>
      </w:r>
      <w:r w:rsidR="006B20F6">
        <w:rPr>
          <w:highlight w:val="yellow"/>
        </w:rPr>
        <w:fldChar w:fldCharType="begin"/>
      </w:r>
      <w:r w:rsidR="006B20F6">
        <w:rPr>
          <w:highlight w:val="yellow"/>
        </w:rPr>
        <w:instrText xml:space="preserve"> LINK Word.Document.12 "\\\\mel_1\\groups\\Monitor\\09 National Agreement Report\\02 NAR Report WIP\\2013 NAR Report - Ed and training\\2013 NAR first draft\\NEA\\NEA 2013 first draft for CA.docx" "OLE_LINK17" \a \t </w:instrText>
      </w:r>
      <w:r w:rsidR="006B20F6">
        <w:rPr>
          <w:highlight w:val="yellow"/>
        </w:rPr>
        <w:fldChar w:fldCharType="separate"/>
      </w:r>
      <w:r w:rsidR="006B20F6">
        <w:t>12</w:t>
      </w:r>
      <w:r w:rsidR="006B20F6">
        <w:rPr>
          <w:highlight w:val="yellow"/>
        </w:rPr>
        <w:fldChar w:fldCharType="end"/>
      </w:r>
      <w:r w:rsidRPr="00B6009B">
        <w:t xml:space="preserve"> lists each performance indicator in the NEA and the page reference for the associated DQS.</w:t>
      </w:r>
    </w:p>
    <w:p w:rsidR="00E25BC6" w:rsidRPr="00B6009B" w:rsidRDefault="00FF5970" w:rsidP="00FF5970">
      <w:pPr>
        <w:pStyle w:val="BodyText"/>
      </w:pPr>
      <w:r w:rsidRPr="00B6009B">
        <w:t>Table</w:t>
      </w:r>
      <w:r w:rsidR="00966FAA" w:rsidRPr="00B6009B">
        <w:t> </w:t>
      </w:r>
      <w:r w:rsidR="00455B56" w:rsidRPr="00B6009B">
        <w:rPr>
          <w:highlight w:val="yellow"/>
        </w:rPr>
        <w:fldChar w:fldCharType="begin"/>
      </w:r>
      <w:r w:rsidR="00455B56" w:rsidRPr="00B6009B">
        <w:rPr>
          <w:highlight w:val="yellow"/>
        </w:rPr>
        <w:instrText xml:space="preserve"> LINK Word.Document.12 "\\\\mel_1\\groups\\Monitor\\09 National Agreement Report\\02 NAR Report WIP\\2013 NAR Report - Ed and training\\2013 NAR first draft\\NEA\\NEA 2013 first draft for CA new template.docx" "OLE_LINK22" \a \t </w:instrText>
      </w:r>
      <w:r w:rsidR="00455B56" w:rsidRPr="00B6009B">
        <w:rPr>
          <w:highlight w:val="yellow"/>
        </w:rPr>
        <w:fldChar w:fldCharType="separate"/>
      </w:r>
      <w:r w:rsidR="006B20F6">
        <w:fldChar w:fldCharType="begin"/>
      </w:r>
      <w:r w:rsidR="006B20F6">
        <w:instrText xml:space="preserve"> LINK Word.Document.12 "\\\\mel_1\\groups\\Monitor\\09 National Agreement Report\\02 NAR Report WIP\\2013 NAR Report - Ed and training\\2013 NAR first draft\\NEA\\NEA 2013 first draft for CA.docx" "OLE_LINK22" \a \t </w:instrText>
      </w:r>
      <w:r w:rsidR="006B20F6">
        <w:fldChar w:fldCharType="separate"/>
      </w:r>
      <w:r w:rsidR="006B20F6">
        <w:t>13</w:t>
      </w:r>
      <w:r w:rsidR="006B20F6">
        <w:fldChar w:fldCharType="end"/>
      </w:r>
      <w:r w:rsidR="00455B56" w:rsidRPr="00B6009B">
        <w:rPr>
          <w:highlight w:val="yellow"/>
        </w:rPr>
        <w:fldChar w:fldCharType="end"/>
      </w:r>
      <w:r w:rsidRPr="00B6009B">
        <w:t xml:space="preserve"> lists each education related performance indicator in the NIRA and the page reference for the associated DQS.</w:t>
      </w:r>
    </w:p>
    <w:p w:rsidR="00FF5970" w:rsidRPr="00B6009B" w:rsidRDefault="00FF5970" w:rsidP="00FF5970">
      <w:pPr>
        <w:pStyle w:val="TableTitle"/>
      </w:pPr>
      <w:r w:rsidRPr="00B6009B">
        <w:rPr>
          <w:b w:val="0"/>
        </w:rPr>
        <w:t xml:space="preserve">Table </w:t>
      </w:r>
      <w:bookmarkStart w:id="26" w:name="OLE_LINK15"/>
      <w:r w:rsidRPr="00B6009B">
        <w:rPr>
          <w:b w:val="0"/>
        </w:rPr>
        <w:fldChar w:fldCharType="begin"/>
      </w:r>
      <w:r w:rsidRPr="00B6009B">
        <w:rPr>
          <w:b w:val="0"/>
        </w:rPr>
        <w:instrText xml:space="preserve"> SEQ Table \* ARABIC </w:instrText>
      </w:r>
      <w:r w:rsidRPr="00B6009B">
        <w:rPr>
          <w:b w:val="0"/>
        </w:rPr>
        <w:fldChar w:fldCharType="separate"/>
      </w:r>
      <w:r w:rsidR="005F5618">
        <w:rPr>
          <w:b w:val="0"/>
          <w:noProof/>
        </w:rPr>
        <w:t>11</w:t>
      </w:r>
      <w:r w:rsidRPr="00B6009B">
        <w:rPr>
          <w:b w:val="0"/>
        </w:rPr>
        <w:fldChar w:fldCharType="end"/>
      </w:r>
      <w:bookmarkEnd w:id="26"/>
      <w:r w:rsidRPr="00B6009B">
        <w:tab/>
        <w:t>Data Quality Statements for performance targets in the National Education Agreement</w:t>
      </w:r>
      <w:r w:rsidRPr="00B6009B">
        <w:rPr>
          <w:rStyle w:val="NoteLabel"/>
          <w:b/>
        </w:rPr>
        <w:t>a</w:t>
      </w:r>
    </w:p>
    <w:tbl>
      <w:tblPr>
        <w:tblW w:w="5000" w:type="pct"/>
        <w:tblCellMar>
          <w:left w:w="0" w:type="dxa"/>
          <w:right w:w="0" w:type="dxa"/>
        </w:tblCellMar>
        <w:tblLook w:val="0000" w:firstRow="0" w:lastRow="0" w:firstColumn="0" w:lastColumn="0" w:noHBand="0" w:noVBand="0"/>
      </w:tblPr>
      <w:tblGrid>
        <w:gridCol w:w="6267"/>
        <w:gridCol w:w="2522"/>
      </w:tblGrid>
      <w:tr w:rsidR="001A5777" w:rsidRPr="00B6009B" w:rsidTr="00FF5970">
        <w:tc>
          <w:tcPr>
            <w:tcW w:w="3565" w:type="pct"/>
            <w:tcBorders>
              <w:top w:val="single" w:sz="6" w:space="0" w:color="auto"/>
              <w:bottom w:val="single" w:sz="6" w:space="0" w:color="auto"/>
            </w:tcBorders>
            <w:shd w:val="clear" w:color="auto" w:fill="auto"/>
          </w:tcPr>
          <w:p w:rsidR="00FF5970" w:rsidRPr="00B6009B" w:rsidRDefault="00FF5970" w:rsidP="009E6DDD">
            <w:pPr>
              <w:pStyle w:val="TableColumnHeading"/>
              <w:jc w:val="left"/>
            </w:pPr>
            <w:r w:rsidRPr="00B6009B">
              <w:t>Performance target</w:t>
            </w:r>
          </w:p>
        </w:tc>
        <w:tc>
          <w:tcPr>
            <w:tcW w:w="1435" w:type="pct"/>
            <w:tcBorders>
              <w:top w:val="single" w:sz="6" w:space="0" w:color="auto"/>
              <w:bottom w:val="single" w:sz="6" w:space="0" w:color="auto"/>
            </w:tcBorders>
            <w:shd w:val="clear" w:color="auto" w:fill="auto"/>
          </w:tcPr>
          <w:p w:rsidR="00FF5970" w:rsidRPr="00B6009B" w:rsidRDefault="00FF5970" w:rsidP="009E6DDD">
            <w:pPr>
              <w:pStyle w:val="TableColumnHeading"/>
              <w:ind w:right="28"/>
            </w:pPr>
            <w:r w:rsidRPr="00182D59">
              <w:t>Page number in this report</w:t>
            </w:r>
          </w:p>
        </w:tc>
      </w:tr>
      <w:tr w:rsidR="00B6009B" w:rsidRPr="00B6009B" w:rsidTr="00FF5970">
        <w:tc>
          <w:tcPr>
            <w:tcW w:w="3565" w:type="pct"/>
            <w:tcBorders>
              <w:top w:val="single" w:sz="6" w:space="0" w:color="auto"/>
            </w:tcBorders>
          </w:tcPr>
          <w:p w:rsidR="00FF5970" w:rsidRPr="00B6009B" w:rsidRDefault="00FF5970" w:rsidP="009E6DDD">
            <w:pPr>
              <w:pStyle w:val="TableBodyText"/>
              <w:ind w:left="340" w:hanging="340"/>
              <w:jc w:val="left"/>
            </w:pPr>
            <w:r w:rsidRPr="00B6009B">
              <w:t xml:space="preserve">A. </w:t>
            </w:r>
            <w:r w:rsidRPr="00B6009B">
              <w:tab/>
              <w:t>Lift the Year 12 or equivalent or Certificate II attainment rate to 90 per cent by 2015</w:t>
            </w:r>
          </w:p>
          <w:p w:rsidR="00FF5970" w:rsidRPr="00B6009B" w:rsidRDefault="00FF5970" w:rsidP="009E6DDD">
            <w:pPr>
              <w:pStyle w:val="TableBodyText"/>
              <w:jc w:val="left"/>
            </w:pPr>
          </w:p>
        </w:tc>
        <w:tc>
          <w:tcPr>
            <w:tcW w:w="1435" w:type="pct"/>
            <w:tcBorders>
              <w:top w:val="single" w:sz="6" w:space="0" w:color="auto"/>
            </w:tcBorders>
          </w:tcPr>
          <w:p w:rsidR="00FF5970" w:rsidRPr="008B5ADC" w:rsidRDefault="008B5ADC" w:rsidP="009E6DDD">
            <w:pPr>
              <w:pStyle w:val="TableUnitsRow"/>
              <w:ind w:right="28"/>
            </w:pPr>
            <w:r w:rsidRPr="008B5ADC">
              <w:fldChar w:fldCharType="begin"/>
            </w:r>
            <w:r w:rsidRPr="008B5ADC">
              <w:instrText xml:space="preserve"> PAGEREF _Ref381717644 \h </w:instrText>
            </w:r>
            <w:r w:rsidRPr="008B5ADC">
              <w:fldChar w:fldCharType="separate"/>
            </w:r>
            <w:r w:rsidR="005F5618">
              <w:rPr>
                <w:noProof/>
              </w:rPr>
              <w:t>239</w:t>
            </w:r>
            <w:r w:rsidRPr="008B5ADC">
              <w:fldChar w:fldCharType="end"/>
            </w:r>
            <w:r w:rsidR="00F36C4F">
              <w:t xml:space="preserve">, </w:t>
            </w:r>
            <w:r w:rsidR="00F36C4F">
              <w:fldChar w:fldCharType="begin"/>
            </w:r>
            <w:r w:rsidR="00F36C4F">
              <w:instrText xml:space="preserve"> PAGEREF _Ref381717996 \h </w:instrText>
            </w:r>
            <w:r w:rsidR="00F36C4F">
              <w:fldChar w:fldCharType="separate"/>
            </w:r>
            <w:r w:rsidR="005F5618">
              <w:rPr>
                <w:noProof/>
              </w:rPr>
              <w:t>247</w:t>
            </w:r>
            <w:r w:rsidR="00F36C4F">
              <w:fldChar w:fldCharType="end"/>
            </w:r>
          </w:p>
        </w:tc>
      </w:tr>
      <w:tr w:rsidR="001A5777" w:rsidRPr="00B6009B" w:rsidTr="00FF5970">
        <w:tc>
          <w:tcPr>
            <w:tcW w:w="3565" w:type="pct"/>
          </w:tcPr>
          <w:p w:rsidR="00FF5970" w:rsidRPr="00B6009B" w:rsidRDefault="00FF5970" w:rsidP="009E6DDD">
            <w:pPr>
              <w:pStyle w:val="TableBodyText"/>
              <w:ind w:left="340" w:hanging="340"/>
              <w:jc w:val="left"/>
            </w:pPr>
            <w:r w:rsidRPr="00B6009B">
              <w:t xml:space="preserve">B. </w:t>
            </w:r>
            <w:r w:rsidRPr="00B6009B">
              <w:tab/>
              <w:t>Lift the Year 12 or equivalent or Certificate III attainment rate to 90 per cent by 2020</w:t>
            </w:r>
          </w:p>
          <w:p w:rsidR="00FF5970" w:rsidRPr="00B6009B" w:rsidRDefault="00FF5970" w:rsidP="009E6DDD">
            <w:pPr>
              <w:pStyle w:val="TableBodyText"/>
              <w:jc w:val="left"/>
            </w:pPr>
          </w:p>
        </w:tc>
        <w:tc>
          <w:tcPr>
            <w:tcW w:w="1435" w:type="pct"/>
          </w:tcPr>
          <w:p w:rsidR="00FF5970" w:rsidRPr="00B6009B" w:rsidRDefault="008B5ADC" w:rsidP="009E6DDD">
            <w:pPr>
              <w:pStyle w:val="TableBodyText"/>
              <w:ind w:right="28"/>
            </w:pPr>
            <w:r>
              <w:fldChar w:fldCharType="begin"/>
            </w:r>
            <w:r>
              <w:instrText xml:space="preserve"> PAGEREF _Ref381717644 \h </w:instrText>
            </w:r>
            <w:r>
              <w:fldChar w:fldCharType="separate"/>
            </w:r>
            <w:r w:rsidR="005F5618">
              <w:rPr>
                <w:noProof/>
              </w:rPr>
              <w:t>239</w:t>
            </w:r>
            <w:r>
              <w:fldChar w:fldCharType="end"/>
            </w:r>
            <w:r w:rsidR="00F36C4F">
              <w:t xml:space="preserve">, </w:t>
            </w:r>
            <w:r w:rsidR="00F36C4F">
              <w:fldChar w:fldCharType="begin"/>
            </w:r>
            <w:r w:rsidR="00F36C4F">
              <w:instrText xml:space="preserve"> PAGEREF _Ref381717996 \h </w:instrText>
            </w:r>
            <w:r w:rsidR="00F36C4F">
              <w:fldChar w:fldCharType="separate"/>
            </w:r>
            <w:r w:rsidR="005F5618">
              <w:rPr>
                <w:noProof/>
              </w:rPr>
              <w:t>247</w:t>
            </w:r>
            <w:r w:rsidR="00F36C4F">
              <w:fldChar w:fldCharType="end"/>
            </w:r>
          </w:p>
        </w:tc>
      </w:tr>
      <w:tr w:rsidR="001A5777" w:rsidRPr="00B6009B" w:rsidTr="00FF5970">
        <w:tc>
          <w:tcPr>
            <w:tcW w:w="3565" w:type="pct"/>
          </w:tcPr>
          <w:p w:rsidR="00FF5970" w:rsidRPr="00B6009B" w:rsidRDefault="00FF5970" w:rsidP="009E6DDD">
            <w:pPr>
              <w:pStyle w:val="TableBodyText"/>
              <w:ind w:left="346" w:hanging="340"/>
              <w:jc w:val="left"/>
            </w:pPr>
            <w:r w:rsidRPr="00B6009B">
              <w:t>C.</w:t>
            </w:r>
            <w:r w:rsidRPr="00B6009B">
              <w:tab/>
              <w:t>Halve the gap for Indigenous students in reading, writing and numeracy by 2018.</w:t>
            </w:r>
          </w:p>
          <w:p w:rsidR="00FF5970" w:rsidRPr="00B6009B" w:rsidRDefault="00FF5970" w:rsidP="009E6DDD">
            <w:pPr>
              <w:pStyle w:val="TableBodyText"/>
              <w:jc w:val="left"/>
            </w:pPr>
          </w:p>
        </w:tc>
        <w:tc>
          <w:tcPr>
            <w:tcW w:w="1435" w:type="pct"/>
          </w:tcPr>
          <w:p w:rsidR="00FF5970" w:rsidRPr="00B6009B" w:rsidRDefault="008B5ADC" w:rsidP="009E6DDD">
            <w:pPr>
              <w:pStyle w:val="TableBodyText"/>
              <w:ind w:right="28"/>
            </w:pPr>
            <w:r>
              <w:fldChar w:fldCharType="begin"/>
            </w:r>
            <w:r>
              <w:instrText xml:space="preserve"> PAGEREF _Ref381717658 \h </w:instrText>
            </w:r>
            <w:r>
              <w:fldChar w:fldCharType="separate"/>
            </w:r>
            <w:r w:rsidR="005F5618">
              <w:rPr>
                <w:noProof/>
              </w:rPr>
              <w:t>235</w:t>
            </w:r>
            <w:r>
              <w:fldChar w:fldCharType="end"/>
            </w:r>
          </w:p>
        </w:tc>
      </w:tr>
      <w:tr w:rsidR="001A5777" w:rsidRPr="00B6009B" w:rsidTr="00FF5970">
        <w:tc>
          <w:tcPr>
            <w:tcW w:w="3565" w:type="pct"/>
            <w:tcBorders>
              <w:bottom w:val="single" w:sz="6" w:space="0" w:color="auto"/>
            </w:tcBorders>
            <w:shd w:val="clear" w:color="auto" w:fill="auto"/>
          </w:tcPr>
          <w:p w:rsidR="00FF5970" w:rsidRPr="00B6009B" w:rsidRDefault="00FF5970" w:rsidP="009E6DDD">
            <w:pPr>
              <w:pStyle w:val="TableBodyText"/>
              <w:ind w:left="346" w:hanging="340"/>
              <w:jc w:val="left"/>
            </w:pPr>
            <w:r w:rsidRPr="00B6009B">
              <w:t xml:space="preserve">D. </w:t>
            </w:r>
            <w:r w:rsidRPr="00B6009B">
              <w:tab/>
              <w:t>At least halve the gap for Indigenous students in Year 12 or equivalent attainment rates by 2020</w:t>
            </w:r>
          </w:p>
          <w:p w:rsidR="00E51C81" w:rsidRPr="00B6009B" w:rsidRDefault="00E51C81" w:rsidP="009E6DDD">
            <w:pPr>
              <w:pStyle w:val="TableBodyText"/>
              <w:ind w:left="346" w:hanging="340"/>
              <w:jc w:val="left"/>
            </w:pPr>
          </w:p>
        </w:tc>
        <w:tc>
          <w:tcPr>
            <w:tcW w:w="1435" w:type="pct"/>
            <w:tcBorders>
              <w:bottom w:val="single" w:sz="6" w:space="0" w:color="auto"/>
            </w:tcBorders>
            <w:shd w:val="clear" w:color="auto" w:fill="auto"/>
          </w:tcPr>
          <w:p w:rsidR="00FF5970" w:rsidRPr="00B6009B" w:rsidRDefault="008B5ADC" w:rsidP="009E6DDD">
            <w:pPr>
              <w:pStyle w:val="TableBodyText"/>
              <w:ind w:right="28"/>
            </w:pPr>
            <w:r>
              <w:fldChar w:fldCharType="begin"/>
            </w:r>
            <w:r>
              <w:instrText xml:space="preserve"> PAGEREF _Ref381717644 \h </w:instrText>
            </w:r>
            <w:r>
              <w:fldChar w:fldCharType="separate"/>
            </w:r>
            <w:r w:rsidR="005F5618">
              <w:rPr>
                <w:noProof/>
              </w:rPr>
              <w:t>239</w:t>
            </w:r>
            <w:r>
              <w:fldChar w:fldCharType="end"/>
            </w:r>
            <w:r w:rsidR="00F36C4F">
              <w:t xml:space="preserve">, </w:t>
            </w:r>
            <w:r w:rsidR="00F36C4F">
              <w:fldChar w:fldCharType="begin"/>
            </w:r>
            <w:r w:rsidR="00F36C4F">
              <w:instrText xml:space="preserve"> PAGEREF _Ref381717996 \h </w:instrText>
            </w:r>
            <w:r w:rsidR="00F36C4F">
              <w:fldChar w:fldCharType="separate"/>
            </w:r>
            <w:r w:rsidR="005F5618">
              <w:rPr>
                <w:noProof/>
              </w:rPr>
              <w:t>247</w:t>
            </w:r>
            <w:r w:rsidR="00F36C4F">
              <w:fldChar w:fldCharType="end"/>
            </w:r>
          </w:p>
        </w:tc>
      </w:tr>
    </w:tbl>
    <w:p w:rsidR="00FF5970" w:rsidRPr="00B6009B" w:rsidRDefault="00FF5970" w:rsidP="00FF5970">
      <w:pPr>
        <w:pStyle w:val="Note"/>
      </w:pPr>
      <w:r w:rsidRPr="00B6009B">
        <w:rPr>
          <w:rStyle w:val="NoteLabel"/>
        </w:rPr>
        <w:t>a</w:t>
      </w:r>
      <w:r w:rsidRPr="00B6009B">
        <w:t xml:space="preserve"> The performance indicators are presented in this table using the direct wording from pp. 9–10 of the NEA (COAG 2012a). This does not necessarily reflect the measures used to report against the indicators in this report.</w:t>
      </w:r>
    </w:p>
    <w:p w:rsidR="009E6DDD" w:rsidRPr="0058716C" w:rsidRDefault="009E6DDD" w:rsidP="009E6DDD">
      <w:pPr>
        <w:pStyle w:val="TableTitle"/>
      </w:pPr>
      <w:r w:rsidRPr="0058716C">
        <w:rPr>
          <w:b w:val="0"/>
        </w:rPr>
        <w:t xml:space="preserve">Table </w:t>
      </w:r>
      <w:bookmarkStart w:id="27" w:name="OLE_LINK17"/>
      <w:r w:rsidRPr="0058716C">
        <w:rPr>
          <w:b w:val="0"/>
        </w:rPr>
        <w:fldChar w:fldCharType="begin"/>
      </w:r>
      <w:r w:rsidRPr="0058716C">
        <w:rPr>
          <w:b w:val="0"/>
        </w:rPr>
        <w:instrText xml:space="preserve"> SEQ Table \* ARABIC </w:instrText>
      </w:r>
      <w:r w:rsidRPr="0058716C">
        <w:rPr>
          <w:b w:val="0"/>
        </w:rPr>
        <w:fldChar w:fldCharType="separate"/>
      </w:r>
      <w:r w:rsidR="005F5618">
        <w:rPr>
          <w:b w:val="0"/>
          <w:noProof/>
        </w:rPr>
        <w:t>12</w:t>
      </w:r>
      <w:r w:rsidRPr="0058716C">
        <w:rPr>
          <w:b w:val="0"/>
        </w:rPr>
        <w:fldChar w:fldCharType="end"/>
      </w:r>
      <w:bookmarkEnd w:id="27"/>
      <w:r w:rsidRPr="0058716C">
        <w:tab/>
        <w:t>Data Quality Statements for performance indicators in the National Education Agreement</w:t>
      </w:r>
      <w:r w:rsidRPr="0058716C">
        <w:rPr>
          <w:rStyle w:val="NoteLabel"/>
          <w:b/>
        </w:rPr>
        <w:t>a</w:t>
      </w:r>
    </w:p>
    <w:tbl>
      <w:tblPr>
        <w:tblW w:w="5000" w:type="pct"/>
        <w:tblCellMar>
          <w:left w:w="0" w:type="dxa"/>
          <w:right w:w="0" w:type="dxa"/>
        </w:tblCellMar>
        <w:tblLook w:val="0000" w:firstRow="0" w:lastRow="0" w:firstColumn="0" w:lastColumn="0" w:noHBand="0" w:noVBand="0"/>
      </w:tblPr>
      <w:tblGrid>
        <w:gridCol w:w="6379"/>
        <w:gridCol w:w="2410"/>
      </w:tblGrid>
      <w:tr w:rsidR="001A5777" w:rsidRPr="0058716C" w:rsidTr="00E51C81">
        <w:tc>
          <w:tcPr>
            <w:tcW w:w="3629" w:type="pct"/>
            <w:tcBorders>
              <w:top w:val="single" w:sz="6" w:space="0" w:color="auto"/>
              <w:bottom w:val="single" w:sz="6" w:space="0" w:color="auto"/>
            </w:tcBorders>
            <w:shd w:val="clear" w:color="auto" w:fill="auto"/>
          </w:tcPr>
          <w:p w:rsidR="009E6DDD" w:rsidRPr="0058716C" w:rsidRDefault="009E6DDD" w:rsidP="009E6DDD">
            <w:pPr>
              <w:pStyle w:val="TableColumnHeading"/>
              <w:jc w:val="left"/>
            </w:pPr>
            <w:r w:rsidRPr="0058716C">
              <w:t>Performance indicator</w:t>
            </w:r>
          </w:p>
        </w:tc>
        <w:tc>
          <w:tcPr>
            <w:tcW w:w="1371" w:type="pct"/>
            <w:tcBorders>
              <w:top w:val="single" w:sz="6" w:space="0" w:color="auto"/>
              <w:bottom w:val="single" w:sz="6" w:space="0" w:color="auto"/>
            </w:tcBorders>
            <w:shd w:val="clear" w:color="auto" w:fill="auto"/>
          </w:tcPr>
          <w:p w:rsidR="009E6DDD" w:rsidRPr="0058716C" w:rsidRDefault="009E6DDD" w:rsidP="009E6DDD">
            <w:pPr>
              <w:pStyle w:val="TableColumnHeading"/>
              <w:ind w:right="28"/>
            </w:pPr>
            <w:r w:rsidRPr="001A5954">
              <w:t>Page number in this report</w:t>
            </w:r>
          </w:p>
        </w:tc>
      </w:tr>
      <w:tr w:rsidR="0058716C" w:rsidRPr="0058716C" w:rsidTr="00E51C81">
        <w:tc>
          <w:tcPr>
            <w:tcW w:w="3629" w:type="pct"/>
            <w:tcBorders>
              <w:top w:val="single" w:sz="6" w:space="0" w:color="auto"/>
            </w:tcBorders>
          </w:tcPr>
          <w:p w:rsidR="009E6DDD" w:rsidRPr="0058716C" w:rsidRDefault="009E6DDD" w:rsidP="009E6DDD">
            <w:pPr>
              <w:pStyle w:val="TableBodyText"/>
              <w:ind w:left="340" w:hanging="340"/>
              <w:jc w:val="left"/>
            </w:pPr>
            <w:r w:rsidRPr="0058716C">
              <w:t xml:space="preserve">1. </w:t>
            </w:r>
            <w:r w:rsidRPr="0058716C">
              <w:tab/>
              <w:t>The rate of student attendance at school</w:t>
            </w:r>
          </w:p>
          <w:p w:rsidR="009E6DDD" w:rsidRPr="0058716C" w:rsidRDefault="009E6DDD" w:rsidP="009E6DDD">
            <w:pPr>
              <w:pStyle w:val="TableBodyText"/>
              <w:jc w:val="left"/>
            </w:pPr>
          </w:p>
        </w:tc>
        <w:tc>
          <w:tcPr>
            <w:tcW w:w="1371" w:type="pct"/>
            <w:tcBorders>
              <w:top w:val="single" w:sz="6" w:space="0" w:color="auto"/>
            </w:tcBorders>
          </w:tcPr>
          <w:p w:rsidR="009E6DDD" w:rsidRPr="008B5ADC" w:rsidRDefault="008B5ADC" w:rsidP="009E6DDD">
            <w:pPr>
              <w:pStyle w:val="TableUnitsRow"/>
              <w:ind w:right="28"/>
            </w:pPr>
            <w:r>
              <w:fldChar w:fldCharType="begin"/>
            </w:r>
            <w:r>
              <w:instrText xml:space="preserve"> PAGEREF _Ref381717863 \h </w:instrText>
            </w:r>
            <w:r>
              <w:fldChar w:fldCharType="separate"/>
            </w:r>
            <w:r w:rsidR="005F5618">
              <w:rPr>
                <w:noProof/>
              </w:rPr>
              <w:t>231</w:t>
            </w:r>
            <w:r>
              <w:fldChar w:fldCharType="end"/>
            </w:r>
          </w:p>
        </w:tc>
      </w:tr>
      <w:tr w:rsidR="001A5777" w:rsidRPr="0058716C" w:rsidTr="00E51C81">
        <w:tc>
          <w:tcPr>
            <w:tcW w:w="3629" w:type="pct"/>
          </w:tcPr>
          <w:p w:rsidR="009E6DDD" w:rsidRPr="0058716C" w:rsidRDefault="009E6DDD" w:rsidP="009E6DDD">
            <w:pPr>
              <w:pStyle w:val="TableBodyText"/>
              <w:ind w:left="340" w:hanging="340"/>
              <w:jc w:val="left"/>
            </w:pPr>
            <w:r w:rsidRPr="0058716C">
              <w:t xml:space="preserve">2. </w:t>
            </w:r>
            <w:r w:rsidRPr="0058716C">
              <w:tab/>
              <w:t>Literacy and numeracy achievement of Year 3, 5, 7 and 9 students in national testing.</w:t>
            </w:r>
          </w:p>
          <w:p w:rsidR="00E51C81" w:rsidRPr="0058716C" w:rsidRDefault="00E51C81" w:rsidP="009E6DDD">
            <w:pPr>
              <w:pStyle w:val="TableBodyText"/>
              <w:ind w:left="340" w:hanging="340"/>
              <w:jc w:val="left"/>
            </w:pPr>
          </w:p>
        </w:tc>
        <w:tc>
          <w:tcPr>
            <w:tcW w:w="1371" w:type="pct"/>
          </w:tcPr>
          <w:p w:rsidR="009E6DDD" w:rsidRPr="0058716C" w:rsidRDefault="008B5ADC" w:rsidP="009E6DDD">
            <w:pPr>
              <w:pStyle w:val="TableBodyText"/>
              <w:ind w:right="28"/>
            </w:pPr>
            <w:r>
              <w:fldChar w:fldCharType="begin"/>
            </w:r>
            <w:r>
              <w:instrText xml:space="preserve"> PAGEREF _Ref381717658 \h </w:instrText>
            </w:r>
            <w:r>
              <w:fldChar w:fldCharType="separate"/>
            </w:r>
            <w:r w:rsidR="005F5618">
              <w:rPr>
                <w:noProof/>
              </w:rPr>
              <w:t>235</w:t>
            </w:r>
            <w:r>
              <w:fldChar w:fldCharType="end"/>
            </w:r>
          </w:p>
        </w:tc>
      </w:tr>
      <w:tr w:rsidR="001A5777" w:rsidRPr="0058716C" w:rsidTr="00E51C81">
        <w:tc>
          <w:tcPr>
            <w:tcW w:w="3629" w:type="pct"/>
          </w:tcPr>
          <w:p w:rsidR="009E6DDD" w:rsidRPr="0058716C" w:rsidRDefault="009E6DDD" w:rsidP="009E6DDD">
            <w:pPr>
              <w:pStyle w:val="TableBodyText"/>
              <w:ind w:left="360" w:hanging="354"/>
              <w:jc w:val="left"/>
            </w:pPr>
            <w:r w:rsidRPr="0058716C">
              <w:t xml:space="preserve">3. </w:t>
            </w:r>
            <w:r w:rsidRPr="0058716C">
              <w:tab/>
              <w:t>The proportion of students in the bottom and top levels of performance in international testing</w:t>
            </w:r>
          </w:p>
          <w:p w:rsidR="00E51C81" w:rsidRPr="0058716C" w:rsidRDefault="00E51C81" w:rsidP="009E6DDD">
            <w:pPr>
              <w:pStyle w:val="TableBodyText"/>
              <w:ind w:left="360" w:hanging="354"/>
              <w:jc w:val="left"/>
            </w:pPr>
          </w:p>
        </w:tc>
        <w:tc>
          <w:tcPr>
            <w:tcW w:w="1371" w:type="pct"/>
          </w:tcPr>
          <w:p w:rsidR="009E6DDD" w:rsidRPr="0058716C" w:rsidRDefault="008B5ADC" w:rsidP="009E6DDD">
            <w:pPr>
              <w:pStyle w:val="TableBodyText"/>
              <w:ind w:right="28"/>
            </w:pPr>
            <w:r>
              <w:fldChar w:fldCharType="begin"/>
            </w:r>
            <w:r>
              <w:instrText xml:space="preserve"> PAGEREF _Ref381717912 \h </w:instrText>
            </w:r>
            <w:r>
              <w:fldChar w:fldCharType="separate"/>
            </w:r>
            <w:r w:rsidR="005F5618">
              <w:rPr>
                <w:noProof/>
              </w:rPr>
              <w:t>237</w:t>
            </w:r>
            <w:r>
              <w:fldChar w:fldCharType="end"/>
            </w:r>
          </w:p>
        </w:tc>
      </w:tr>
      <w:tr w:rsidR="001A5777" w:rsidRPr="0058716C" w:rsidTr="00E51C81">
        <w:tc>
          <w:tcPr>
            <w:tcW w:w="3629" w:type="pct"/>
          </w:tcPr>
          <w:p w:rsidR="009E6DDD" w:rsidRPr="0058716C" w:rsidRDefault="009E6DDD" w:rsidP="009E6DDD">
            <w:pPr>
              <w:pStyle w:val="TableBodyText"/>
              <w:ind w:left="346" w:hanging="340"/>
              <w:jc w:val="left"/>
            </w:pPr>
            <w:r w:rsidRPr="0058716C">
              <w:t>4.</w:t>
            </w:r>
            <w:r w:rsidRPr="0058716C">
              <w:tab/>
              <w:t xml:space="preserve">The proportion of young people who have attained at least a year 12 or equivalent or AQF Certificate Level II/III or above </w:t>
            </w:r>
          </w:p>
          <w:p w:rsidR="00E51C81" w:rsidRPr="0058716C" w:rsidRDefault="00E51C81" w:rsidP="009E6DDD">
            <w:pPr>
              <w:pStyle w:val="TableBodyText"/>
              <w:ind w:left="346" w:hanging="340"/>
              <w:jc w:val="left"/>
            </w:pPr>
          </w:p>
        </w:tc>
        <w:tc>
          <w:tcPr>
            <w:tcW w:w="1371" w:type="pct"/>
          </w:tcPr>
          <w:p w:rsidR="009E6DDD" w:rsidRPr="0058716C" w:rsidRDefault="008B5ADC" w:rsidP="009E6DDD">
            <w:pPr>
              <w:pStyle w:val="TableBodyText"/>
              <w:ind w:right="28"/>
            </w:pPr>
            <w:r>
              <w:fldChar w:fldCharType="begin"/>
            </w:r>
            <w:r>
              <w:instrText xml:space="preserve"> PAGEREF _Ref381717644 \h </w:instrText>
            </w:r>
            <w:r>
              <w:fldChar w:fldCharType="separate"/>
            </w:r>
            <w:r w:rsidR="005F5618">
              <w:rPr>
                <w:noProof/>
              </w:rPr>
              <w:t>239</w:t>
            </w:r>
            <w:r>
              <w:fldChar w:fldCharType="end"/>
            </w:r>
            <w:r>
              <w:t xml:space="preserve">, </w:t>
            </w:r>
            <w:r>
              <w:fldChar w:fldCharType="begin"/>
            </w:r>
            <w:r>
              <w:instrText xml:space="preserve"> PAGEREF _Ref381717996 \h </w:instrText>
            </w:r>
            <w:r>
              <w:fldChar w:fldCharType="separate"/>
            </w:r>
            <w:r w:rsidR="005F5618">
              <w:rPr>
                <w:noProof/>
              </w:rPr>
              <w:t>247</w:t>
            </w:r>
            <w:r>
              <w:fldChar w:fldCharType="end"/>
            </w:r>
          </w:p>
        </w:tc>
      </w:tr>
      <w:tr w:rsidR="001A5777" w:rsidRPr="0058716C" w:rsidTr="00E51C81">
        <w:tc>
          <w:tcPr>
            <w:tcW w:w="3629" w:type="pct"/>
            <w:tcBorders>
              <w:bottom w:val="single" w:sz="6" w:space="0" w:color="auto"/>
            </w:tcBorders>
            <w:shd w:val="clear" w:color="auto" w:fill="auto"/>
          </w:tcPr>
          <w:p w:rsidR="009E6DDD" w:rsidRPr="0058716C" w:rsidRDefault="009E6DDD" w:rsidP="009E6DDD">
            <w:pPr>
              <w:pStyle w:val="TableBodyText"/>
              <w:ind w:left="346" w:hanging="340"/>
              <w:jc w:val="left"/>
            </w:pPr>
            <w:r w:rsidRPr="0058716C">
              <w:t xml:space="preserve">5. </w:t>
            </w:r>
            <w:r w:rsidRPr="0058716C">
              <w:tab/>
              <w:t>The proportion of young people participating in post</w:t>
            </w:r>
            <w:r w:rsidRPr="0058716C">
              <w:noBreakHyphen/>
              <w:t>school education, training or employment.</w:t>
            </w:r>
          </w:p>
          <w:p w:rsidR="00E51C81" w:rsidRPr="0058716C" w:rsidRDefault="00E51C81" w:rsidP="009E6DDD">
            <w:pPr>
              <w:pStyle w:val="TableBodyText"/>
              <w:ind w:left="346" w:hanging="340"/>
              <w:jc w:val="left"/>
            </w:pPr>
          </w:p>
        </w:tc>
        <w:tc>
          <w:tcPr>
            <w:tcW w:w="1371" w:type="pct"/>
            <w:tcBorders>
              <w:bottom w:val="single" w:sz="6" w:space="0" w:color="auto"/>
            </w:tcBorders>
            <w:shd w:val="clear" w:color="auto" w:fill="auto"/>
          </w:tcPr>
          <w:p w:rsidR="009E6DDD" w:rsidRPr="0058716C" w:rsidRDefault="008B5ADC" w:rsidP="009E6DDD">
            <w:pPr>
              <w:pStyle w:val="TableBodyText"/>
              <w:ind w:right="28"/>
            </w:pPr>
            <w:r>
              <w:fldChar w:fldCharType="begin"/>
            </w:r>
            <w:r>
              <w:instrText xml:space="preserve"> PAGEREF _Ref381717932 \h </w:instrText>
            </w:r>
            <w:r>
              <w:fldChar w:fldCharType="separate"/>
            </w:r>
            <w:r w:rsidR="005F5618">
              <w:rPr>
                <w:noProof/>
              </w:rPr>
              <w:t>242</w:t>
            </w:r>
            <w:r>
              <w:fldChar w:fldCharType="end"/>
            </w:r>
            <w:r>
              <w:t xml:space="preserve">, </w:t>
            </w:r>
            <w:r>
              <w:fldChar w:fldCharType="begin"/>
            </w:r>
            <w:r>
              <w:instrText xml:space="preserve"> PAGEREF _Ref381717996 \h </w:instrText>
            </w:r>
            <w:r>
              <w:fldChar w:fldCharType="separate"/>
            </w:r>
            <w:r w:rsidR="005F5618">
              <w:rPr>
                <w:noProof/>
              </w:rPr>
              <w:t>247</w:t>
            </w:r>
            <w:r>
              <w:fldChar w:fldCharType="end"/>
            </w:r>
          </w:p>
        </w:tc>
      </w:tr>
    </w:tbl>
    <w:p w:rsidR="009E6DDD" w:rsidRPr="0058716C" w:rsidRDefault="009E6DDD" w:rsidP="009E6DDD">
      <w:pPr>
        <w:pStyle w:val="Note"/>
      </w:pPr>
      <w:r w:rsidRPr="0058716C">
        <w:rPr>
          <w:rStyle w:val="NoteLabel"/>
        </w:rPr>
        <w:t>a</w:t>
      </w:r>
      <w:r w:rsidRPr="0058716C">
        <w:t xml:space="preserve"> The performance indicators are presented in this table using the direct wording from pp.</w:t>
      </w:r>
      <w:r w:rsidR="00966FAA" w:rsidRPr="0058716C">
        <w:t> </w:t>
      </w:r>
      <w:r w:rsidRPr="0058716C">
        <w:t>9–10 of the NEA (COAG 2012b). This does not necessarily reflect the measures used to report against the indicators in this report.</w:t>
      </w:r>
    </w:p>
    <w:p w:rsidR="00E51C81" w:rsidRPr="0058716C" w:rsidRDefault="00E51C81" w:rsidP="00E51C81">
      <w:pPr>
        <w:pStyle w:val="TableTitle"/>
      </w:pPr>
      <w:r w:rsidRPr="0058716C">
        <w:rPr>
          <w:b w:val="0"/>
        </w:rPr>
        <w:t xml:space="preserve">Table </w:t>
      </w:r>
      <w:bookmarkStart w:id="28" w:name="OLE_LINK22"/>
      <w:r w:rsidRPr="0058716C">
        <w:rPr>
          <w:b w:val="0"/>
        </w:rPr>
        <w:fldChar w:fldCharType="begin"/>
      </w:r>
      <w:r w:rsidRPr="0058716C">
        <w:rPr>
          <w:b w:val="0"/>
        </w:rPr>
        <w:instrText xml:space="preserve"> SEQ Table \* ARABIC </w:instrText>
      </w:r>
      <w:r w:rsidRPr="0058716C">
        <w:rPr>
          <w:b w:val="0"/>
        </w:rPr>
        <w:fldChar w:fldCharType="separate"/>
      </w:r>
      <w:r w:rsidR="005F5618">
        <w:rPr>
          <w:b w:val="0"/>
          <w:noProof/>
        </w:rPr>
        <w:t>13</w:t>
      </w:r>
      <w:r w:rsidRPr="0058716C">
        <w:rPr>
          <w:b w:val="0"/>
        </w:rPr>
        <w:fldChar w:fldCharType="end"/>
      </w:r>
      <w:bookmarkEnd w:id="28"/>
      <w:r w:rsidRPr="0058716C">
        <w:tab/>
        <w:t>Data Quality Statements for related performance indicators in the National Indigenous Reform Agreement</w:t>
      </w:r>
      <w:r w:rsidRPr="0058716C">
        <w:rPr>
          <w:rStyle w:val="NoteLabel"/>
          <w:b/>
        </w:rPr>
        <w:t>a</w:t>
      </w:r>
    </w:p>
    <w:tbl>
      <w:tblPr>
        <w:tblW w:w="5000" w:type="pct"/>
        <w:tblCellMar>
          <w:left w:w="0" w:type="dxa"/>
          <w:right w:w="0" w:type="dxa"/>
        </w:tblCellMar>
        <w:tblLook w:val="0000" w:firstRow="0" w:lastRow="0" w:firstColumn="0" w:lastColumn="0" w:noHBand="0" w:noVBand="0"/>
      </w:tblPr>
      <w:tblGrid>
        <w:gridCol w:w="6379"/>
        <w:gridCol w:w="2410"/>
      </w:tblGrid>
      <w:tr w:rsidR="001A5777" w:rsidRPr="0058716C" w:rsidTr="00E51C81">
        <w:tc>
          <w:tcPr>
            <w:tcW w:w="3629" w:type="pct"/>
            <w:tcBorders>
              <w:top w:val="single" w:sz="6" w:space="0" w:color="auto"/>
              <w:bottom w:val="single" w:sz="6" w:space="0" w:color="auto"/>
            </w:tcBorders>
            <w:shd w:val="clear" w:color="auto" w:fill="auto"/>
          </w:tcPr>
          <w:p w:rsidR="00E51C81" w:rsidRPr="0058716C" w:rsidRDefault="00E51C81" w:rsidP="00510A51">
            <w:pPr>
              <w:pStyle w:val="TableColumnHeading"/>
              <w:jc w:val="left"/>
            </w:pPr>
            <w:r w:rsidRPr="0058716C">
              <w:t>Performance indicator</w:t>
            </w:r>
          </w:p>
        </w:tc>
        <w:tc>
          <w:tcPr>
            <w:tcW w:w="1371" w:type="pct"/>
            <w:tcBorders>
              <w:top w:val="single" w:sz="6" w:space="0" w:color="auto"/>
              <w:bottom w:val="single" w:sz="6" w:space="0" w:color="auto"/>
            </w:tcBorders>
            <w:shd w:val="clear" w:color="auto" w:fill="auto"/>
          </w:tcPr>
          <w:p w:rsidR="00E51C81" w:rsidRPr="001A5954" w:rsidRDefault="00E51C81" w:rsidP="00510A51">
            <w:pPr>
              <w:pStyle w:val="TableColumnHeading"/>
              <w:ind w:right="28"/>
            </w:pPr>
            <w:r w:rsidRPr="001A5954">
              <w:t>Page number in this report</w:t>
            </w:r>
          </w:p>
        </w:tc>
      </w:tr>
      <w:tr w:rsidR="0058716C" w:rsidRPr="0058716C" w:rsidTr="00E51C81">
        <w:tc>
          <w:tcPr>
            <w:tcW w:w="3629" w:type="pct"/>
            <w:tcBorders>
              <w:top w:val="single" w:sz="6" w:space="0" w:color="auto"/>
            </w:tcBorders>
          </w:tcPr>
          <w:p w:rsidR="008E220A" w:rsidRPr="0058716C" w:rsidRDefault="008E220A" w:rsidP="00510A51">
            <w:pPr>
              <w:pStyle w:val="TableBodyText"/>
              <w:ind w:left="340" w:hanging="340"/>
              <w:jc w:val="left"/>
            </w:pPr>
            <w:r w:rsidRPr="0058716C">
              <w:t xml:space="preserve">6. </w:t>
            </w:r>
            <w:r w:rsidRPr="0058716C">
              <w:tab/>
              <w:t>Percentage of students at or above the national minimum standard in reading, writing and numeracy for years 3, 5, 7, 9</w:t>
            </w:r>
          </w:p>
          <w:p w:rsidR="008E220A" w:rsidRPr="0058716C" w:rsidRDefault="008E220A" w:rsidP="00510A51">
            <w:pPr>
              <w:pStyle w:val="TableBodyText"/>
              <w:ind w:left="284" w:hanging="284"/>
              <w:jc w:val="left"/>
            </w:pPr>
          </w:p>
        </w:tc>
        <w:tc>
          <w:tcPr>
            <w:tcW w:w="1371" w:type="pct"/>
            <w:tcBorders>
              <w:top w:val="single" w:sz="6" w:space="0" w:color="auto"/>
            </w:tcBorders>
          </w:tcPr>
          <w:p w:rsidR="008E220A" w:rsidRPr="008B5ADC" w:rsidRDefault="008B5ADC" w:rsidP="00510A51">
            <w:pPr>
              <w:pStyle w:val="TableUnitsRow"/>
              <w:ind w:right="28"/>
            </w:pPr>
            <w:r>
              <w:fldChar w:fldCharType="begin"/>
            </w:r>
            <w:r>
              <w:instrText xml:space="preserve"> PAGEREF _Ref381717658 \h </w:instrText>
            </w:r>
            <w:r>
              <w:fldChar w:fldCharType="separate"/>
            </w:r>
            <w:r w:rsidR="005F5618">
              <w:rPr>
                <w:noProof/>
              </w:rPr>
              <w:t>235</w:t>
            </w:r>
            <w:r>
              <w:fldChar w:fldCharType="end"/>
            </w:r>
            <w:r>
              <w:t xml:space="preserve">, </w:t>
            </w:r>
            <w:r>
              <w:fldChar w:fldCharType="begin"/>
            </w:r>
            <w:r>
              <w:instrText xml:space="preserve"> PAGEREF _Ref381717961 \h </w:instrText>
            </w:r>
            <w:r>
              <w:fldChar w:fldCharType="separate"/>
            </w:r>
            <w:r w:rsidR="005F5618">
              <w:rPr>
                <w:noProof/>
              </w:rPr>
              <w:t>245</w:t>
            </w:r>
            <w:r>
              <w:fldChar w:fldCharType="end"/>
            </w:r>
          </w:p>
        </w:tc>
      </w:tr>
      <w:tr w:rsidR="001A5777" w:rsidRPr="0058716C" w:rsidTr="00E51C81">
        <w:tc>
          <w:tcPr>
            <w:tcW w:w="3629" w:type="pct"/>
          </w:tcPr>
          <w:p w:rsidR="008E220A" w:rsidRPr="0058716C" w:rsidRDefault="008E220A" w:rsidP="00510A51">
            <w:pPr>
              <w:pStyle w:val="TableBodyText"/>
              <w:ind w:left="284" w:hanging="278"/>
              <w:jc w:val="left"/>
            </w:pPr>
            <w:r w:rsidRPr="0058716C">
              <w:t xml:space="preserve">7. </w:t>
            </w:r>
            <w:r w:rsidRPr="0058716C">
              <w:tab/>
              <w:t>Attendance rates, Year 1 to Year 10</w:t>
            </w:r>
          </w:p>
          <w:p w:rsidR="008E220A" w:rsidRPr="0058716C" w:rsidRDefault="008E220A" w:rsidP="00510A51">
            <w:pPr>
              <w:pStyle w:val="TableBodyText"/>
              <w:ind w:left="284" w:hanging="278"/>
              <w:jc w:val="left"/>
            </w:pPr>
          </w:p>
        </w:tc>
        <w:tc>
          <w:tcPr>
            <w:tcW w:w="1371" w:type="pct"/>
          </w:tcPr>
          <w:p w:rsidR="008E220A" w:rsidRPr="0058716C" w:rsidRDefault="008B5ADC" w:rsidP="00510A51">
            <w:pPr>
              <w:pStyle w:val="TableBodyText"/>
              <w:ind w:right="28"/>
            </w:pPr>
            <w:r>
              <w:fldChar w:fldCharType="begin"/>
            </w:r>
            <w:r>
              <w:instrText xml:space="preserve"> PAGEREF _Ref381717863 \h </w:instrText>
            </w:r>
            <w:r>
              <w:fldChar w:fldCharType="separate"/>
            </w:r>
            <w:r w:rsidR="005F5618">
              <w:rPr>
                <w:noProof/>
              </w:rPr>
              <w:t>231</w:t>
            </w:r>
            <w:r>
              <w:fldChar w:fldCharType="end"/>
            </w:r>
          </w:p>
        </w:tc>
      </w:tr>
      <w:tr w:rsidR="001A5777" w:rsidRPr="0058716C" w:rsidTr="00E51C81">
        <w:tc>
          <w:tcPr>
            <w:tcW w:w="3629" w:type="pct"/>
            <w:tcBorders>
              <w:bottom w:val="single" w:sz="6" w:space="0" w:color="auto"/>
            </w:tcBorders>
            <w:shd w:val="clear" w:color="auto" w:fill="auto"/>
          </w:tcPr>
          <w:p w:rsidR="008E220A" w:rsidRPr="0058716C" w:rsidRDefault="008E220A" w:rsidP="00510A51">
            <w:pPr>
              <w:pStyle w:val="TableBodyText"/>
              <w:ind w:left="346" w:hanging="340"/>
              <w:jc w:val="left"/>
            </w:pPr>
            <w:r w:rsidRPr="0058716C">
              <w:t xml:space="preserve">8. </w:t>
            </w:r>
            <w:r w:rsidRPr="0058716C">
              <w:tab/>
              <w:t>Attainment of year 12 or equivalent</w:t>
            </w:r>
          </w:p>
          <w:p w:rsidR="008E220A" w:rsidRPr="0058716C" w:rsidRDefault="008E220A" w:rsidP="00510A51">
            <w:pPr>
              <w:pStyle w:val="TableBodyText"/>
              <w:jc w:val="left"/>
            </w:pPr>
          </w:p>
        </w:tc>
        <w:tc>
          <w:tcPr>
            <w:tcW w:w="1371" w:type="pct"/>
            <w:tcBorders>
              <w:bottom w:val="single" w:sz="6" w:space="0" w:color="auto"/>
            </w:tcBorders>
            <w:shd w:val="clear" w:color="auto" w:fill="auto"/>
          </w:tcPr>
          <w:p w:rsidR="008E220A" w:rsidRPr="0058716C" w:rsidRDefault="008B5ADC" w:rsidP="00510A51">
            <w:pPr>
              <w:pStyle w:val="TableBodyText"/>
              <w:ind w:right="28"/>
            </w:pPr>
            <w:r>
              <w:fldChar w:fldCharType="begin"/>
            </w:r>
            <w:r>
              <w:instrText xml:space="preserve"> PAGEREF _Ref381717644 \h </w:instrText>
            </w:r>
            <w:r>
              <w:fldChar w:fldCharType="separate"/>
            </w:r>
            <w:r w:rsidR="005F5618">
              <w:rPr>
                <w:noProof/>
              </w:rPr>
              <w:t>239</w:t>
            </w:r>
            <w:r>
              <w:fldChar w:fldCharType="end"/>
            </w:r>
            <w:r>
              <w:t xml:space="preserve">, </w:t>
            </w:r>
            <w:r>
              <w:fldChar w:fldCharType="begin"/>
            </w:r>
            <w:r>
              <w:instrText xml:space="preserve"> PAGEREF _Ref381717996 \h </w:instrText>
            </w:r>
            <w:r>
              <w:fldChar w:fldCharType="separate"/>
            </w:r>
            <w:r w:rsidR="005F5618">
              <w:rPr>
                <w:noProof/>
              </w:rPr>
              <w:t>247</w:t>
            </w:r>
            <w:r>
              <w:fldChar w:fldCharType="end"/>
            </w:r>
          </w:p>
        </w:tc>
      </w:tr>
    </w:tbl>
    <w:p w:rsidR="009E6DDD" w:rsidRPr="0058716C" w:rsidRDefault="00E51C81" w:rsidP="00E51C81">
      <w:pPr>
        <w:pStyle w:val="Note"/>
      </w:pPr>
      <w:r w:rsidRPr="0058716C">
        <w:rPr>
          <w:rStyle w:val="NoteLabel"/>
        </w:rPr>
        <w:t>a</w:t>
      </w:r>
      <w:r w:rsidRPr="0058716C">
        <w:t xml:space="preserve"> Performance indicators are presented in this table using the direct wording for the performance indicators in the revised NIRA (COAG 2012b). This does not necessarily reflect the measures used to report against the indicators in this report.</w:t>
      </w:r>
    </w:p>
    <w:p w:rsidR="008B5ADC" w:rsidRDefault="008B5ADC">
      <w:r>
        <w:br w:type="page"/>
      </w:r>
    </w:p>
    <w:p w:rsidR="003F0E99" w:rsidRPr="00582C12" w:rsidRDefault="003F0E99" w:rsidP="008B5ADC">
      <w:pPr>
        <w:pStyle w:val="Heading3"/>
      </w:pPr>
      <w:bookmarkStart w:id="29" w:name="_Ref357174347"/>
      <w:bookmarkStart w:id="30" w:name="_Ref381717863"/>
      <w:r w:rsidRPr="008B5ADC">
        <w:rPr>
          <w:rStyle w:val="Heading3Char"/>
          <w:b/>
        </w:rPr>
        <w:t xml:space="preserve">Data quality statement — </w:t>
      </w:r>
      <w:bookmarkEnd w:id="29"/>
      <w:r w:rsidRPr="008B5ADC">
        <w:rPr>
          <w:rStyle w:val="Heading3Char"/>
          <w:b/>
        </w:rPr>
        <w:t>Indicator 1 and 7: The rate of student attendance at school</w:t>
      </w:r>
      <w:r w:rsidR="005272F6" w:rsidRPr="00582C12">
        <w:t xml:space="preserve"> </w:t>
      </w:r>
      <w:bookmarkEnd w:id="30"/>
    </w:p>
    <w:p w:rsidR="003F0E99" w:rsidRPr="003F0E99" w:rsidRDefault="003F0E99" w:rsidP="003F0E99">
      <w:pPr>
        <w:keepNext/>
        <w:spacing w:before="360" w:line="80" w:lineRule="exact"/>
        <w:rPr>
          <w:szCs w:val="20"/>
        </w:rPr>
      </w:pPr>
    </w:p>
    <w:tbl>
      <w:tblPr>
        <w:tblW w:w="8931" w:type="dxa"/>
        <w:tblInd w:w="-34" w:type="dxa"/>
        <w:tblLook w:val="01E0" w:firstRow="1" w:lastRow="1" w:firstColumn="1" w:lastColumn="1" w:noHBand="0" w:noVBand="0"/>
      </w:tblPr>
      <w:tblGrid>
        <w:gridCol w:w="1984"/>
        <w:gridCol w:w="6947"/>
      </w:tblGrid>
      <w:tr w:rsidR="003F0E99" w:rsidRPr="003F0E99" w:rsidTr="003F0E99">
        <w:tc>
          <w:tcPr>
            <w:tcW w:w="1984" w:type="dxa"/>
            <w:hideMark/>
          </w:tcPr>
          <w:p w:rsidR="003F0E99" w:rsidRPr="003F0E99" w:rsidRDefault="003F0E99" w:rsidP="003F0E99">
            <w:pPr>
              <w:rPr>
                <w:rFonts w:ascii="Arial" w:hAnsi="Arial" w:cs="Arial"/>
                <w:b/>
                <w:sz w:val="20"/>
                <w:szCs w:val="20"/>
              </w:rPr>
            </w:pPr>
            <w:r w:rsidRPr="003F0E99">
              <w:rPr>
                <w:rFonts w:ascii="Arial" w:hAnsi="Arial" w:cs="Arial"/>
                <w:b/>
                <w:sz w:val="20"/>
                <w:szCs w:val="20"/>
              </w:rPr>
              <w:t>Target/Outcome</w:t>
            </w:r>
          </w:p>
        </w:tc>
        <w:tc>
          <w:tcPr>
            <w:tcW w:w="6947" w:type="dxa"/>
          </w:tcPr>
          <w:p w:rsidR="003F0E99" w:rsidRDefault="00222C4C" w:rsidP="00A47644">
            <w:pPr>
              <w:pStyle w:val="TableBodyText"/>
              <w:jc w:val="both"/>
            </w:pPr>
            <w:r w:rsidRPr="008E7459">
              <w:rPr>
                <w:rFonts w:cs="Arial"/>
              </w:rPr>
              <w:t xml:space="preserve">As </w:t>
            </w:r>
            <w:r w:rsidRPr="008E7459">
              <w:t>stated in the relevant National Agreement – National Education Agreement (NEA)</w:t>
            </w:r>
          </w:p>
          <w:p w:rsidR="00CA42F3" w:rsidRPr="003F0E99" w:rsidRDefault="00CA42F3" w:rsidP="00A47644">
            <w:pPr>
              <w:pStyle w:val="TableBodyText"/>
              <w:jc w:val="both"/>
            </w:pPr>
          </w:p>
        </w:tc>
      </w:tr>
      <w:tr w:rsidR="003F0E99" w:rsidRPr="003F0E99" w:rsidTr="003F0E99">
        <w:tc>
          <w:tcPr>
            <w:tcW w:w="1984" w:type="dxa"/>
            <w:hideMark/>
          </w:tcPr>
          <w:p w:rsidR="003F0E99" w:rsidRPr="003F0E99" w:rsidRDefault="003F0E99" w:rsidP="003F0E99">
            <w:pPr>
              <w:rPr>
                <w:rFonts w:ascii="Arial" w:hAnsi="Arial" w:cs="Arial"/>
                <w:b/>
                <w:sz w:val="20"/>
                <w:szCs w:val="20"/>
              </w:rPr>
            </w:pPr>
            <w:r w:rsidRPr="003F0E99">
              <w:rPr>
                <w:rFonts w:ascii="Arial" w:hAnsi="Arial" w:cs="Arial"/>
                <w:b/>
                <w:sz w:val="20"/>
                <w:szCs w:val="20"/>
              </w:rPr>
              <w:t>Indicator</w:t>
            </w:r>
          </w:p>
        </w:tc>
        <w:tc>
          <w:tcPr>
            <w:tcW w:w="6947" w:type="dxa"/>
          </w:tcPr>
          <w:p w:rsidR="003F0E99" w:rsidRDefault="00222C4C" w:rsidP="00A47644">
            <w:pPr>
              <w:pStyle w:val="TableBodyText"/>
              <w:jc w:val="both"/>
            </w:pPr>
            <w:r w:rsidRPr="00222C4C">
              <w:t>As stated in the relevant National Agreement – NEA Indicator 1: ‘The rate of student attendance at school’.</w:t>
            </w:r>
          </w:p>
          <w:p w:rsidR="00CA42F3" w:rsidRPr="003F0E99" w:rsidRDefault="00CA42F3" w:rsidP="00A47644">
            <w:pPr>
              <w:pStyle w:val="TableBodyText"/>
              <w:jc w:val="both"/>
            </w:pPr>
          </w:p>
        </w:tc>
      </w:tr>
      <w:tr w:rsidR="00974668" w:rsidRPr="003F0E99" w:rsidTr="004C6774">
        <w:trPr>
          <w:trHeight w:val="3667"/>
        </w:trPr>
        <w:tc>
          <w:tcPr>
            <w:tcW w:w="1984" w:type="dxa"/>
            <w:hideMark/>
          </w:tcPr>
          <w:p w:rsidR="00974668" w:rsidRPr="003F0E99" w:rsidRDefault="00974668" w:rsidP="003F0E99">
            <w:pPr>
              <w:rPr>
                <w:rFonts w:ascii="Arial" w:hAnsi="Arial" w:cs="Arial"/>
                <w:b/>
                <w:sz w:val="20"/>
                <w:szCs w:val="20"/>
              </w:rPr>
            </w:pPr>
            <w:r w:rsidRPr="003F0E99">
              <w:rPr>
                <w:rFonts w:ascii="Arial" w:hAnsi="Arial" w:cs="Arial"/>
                <w:b/>
                <w:sz w:val="20"/>
                <w:szCs w:val="20"/>
              </w:rPr>
              <w:t>Measure (computation)</w:t>
            </w:r>
          </w:p>
        </w:tc>
        <w:tc>
          <w:tcPr>
            <w:tcW w:w="6947" w:type="dxa"/>
          </w:tcPr>
          <w:p w:rsidR="00974668" w:rsidRDefault="00974668" w:rsidP="00A47644">
            <w:pPr>
              <w:pStyle w:val="TableBodyText"/>
              <w:jc w:val="both"/>
            </w:pPr>
            <w:r w:rsidRPr="00100F64">
              <w:rPr>
                <w:b/>
              </w:rPr>
              <w:t>The student attendance rate (per cent)</w:t>
            </w:r>
            <w:r>
              <w:t xml:space="preserve"> — (the numerator/the denominator)*100 (rounded to the nearest whole number), by year level for years 1</w:t>
            </w:r>
            <w:r>
              <w:noBreakHyphen/>
              <w:t>10 and ungraded students, State and Territory, sector, sex, and Indigenous status.</w:t>
            </w:r>
          </w:p>
          <w:p w:rsidR="00974668" w:rsidRDefault="00974668" w:rsidP="00A47644">
            <w:pPr>
              <w:pStyle w:val="TableBullet"/>
              <w:jc w:val="both"/>
              <w:rPr>
                <w:i/>
              </w:rPr>
            </w:pPr>
            <w:r w:rsidRPr="008A61ED">
              <w:rPr>
                <w:i/>
              </w:rPr>
              <w:t>Numerator</w:t>
            </w:r>
            <w:r>
              <w:t xml:space="preserve"> (Actual_Day_Attendance): the number of actual full time equivalent student days attended by full time students.</w:t>
            </w:r>
          </w:p>
          <w:p w:rsidR="00974668" w:rsidRDefault="00974668" w:rsidP="00A47644">
            <w:pPr>
              <w:pStyle w:val="TableBullet"/>
              <w:jc w:val="both"/>
              <w:rPr>
                <w:szCs w:val="24"/>
              </w:rPr>
            </w:pPr>
            <w:r w:rsidRPr="008A61ED">
              <w:rPr>
                <w:i/>
              </w:rPr>
              <w:t>Denominator</w:t>
            </w:r>
            <w:r>
              <w:t xml:space="preserve"> (Possible_Day_Attendance): the number of possible student days attended by full time students. </w:t>
            </w:r>
          </w:p>
          <w:p w:rsidR="00974668" w:rsidRDefault="00974668" w:rsidP="00A47644">
            <w:pPr>
              <w:pStyle w:val="TableBodyText"/>
              <w:jc w:val="both"/>
            </w:pPr>
            <w:r>
              <w:t>Notes:</w:t>
            </w:r>
          </w:p>
          <w:p w:rsidR="00974668" w:rsidRDefault="00974668" w:rsidP="00A47644">
            <w:pPr>
              <w:pStyle w:val="TableBullet"/>
              <w:numPr>
                <w:ilvl w:val="0"/>
                <w:numId w:val="18"/>
              </w:numPr>
              <w:jc w:val="both"/>
            </w:pPr>
            <w:r>
              <w:t xml:space="preserve">Indigenous status refers to those who identify as Aboriginal but not Torres Strait </w:t>
            </w:r>
            <w:r w:rsidRPr="008B4C23">
              <w:t>Islander</w:t>
            </w:r>
            <w:r>
              <w:t xml:space="preserve"> origin, or Torres Strait Islander but not Aboriginal origin, or Both Aboriginal and Torres Strait Islander origin.</w:t>
            </w:r>
          </w:p>
          <w:p w:rsidR="00974668" w:rsidRPr="003F0E99" w:rsidRDefault="00974668" w:rsidP="00A47644">
            <w:pPr>
              <w:pStyle w:val="TableBullet"/>
              <w:numPr>
                <w:ilvl w:val="0"/>
                <w:numId w:val="18"/>
              </w:numPr>
              <w:jc w:val="both"/>
            </w:pPr>
            <w:r>
              <w:t>Non Indigenous status refers to those who identify themselves as Non Indigenous or where it is unknown/not stated.</w:t>
            </w:r>
          </w:p>
        </w:tc>
      </w:tr>
      <w:tr w:rsidR="00974668" w:rsidRPr="003F0E99" w:rsidTr="00974668">
        <w:trPr>
          <w:trHeight w:val="360"/>
        </w:trPr>
        <w:tc>
          <w:tcPr>
            <w:tcW w:w="1984" w:type="dxa"/>
            <w:hideMark/>
          </w:tcPr>
          <w:p w:rsidR="00974668" w:rsidRPr="003F0E99" w:rsidRDefault="00974668" w:rsidP="003F0E99">
            <w:pPr>
              <w:rPr>
                <w:rFonts w:ascii="Arial" w:hAnsi="Arial" w:cs="Arial"/>
                <w:b/>
                <w:sz w:val="20"/>
                <w:szCs w:val="20"/>
              </w:rPr>
            </w:pPr>
            <w:r w:rsidRPr="003F0E99">
              <w:rPr>
                <w:rFonts w:ascii="Arial" w:hAnsi="Arial" w:cs="Arial"/>
                <w:b/>
                <w:sz w:val="20"/>
                <w:szCs w:val="20"/>
              </w:rPr>
              <w:t>Data source/s</w:t>
            </w:r>
          </w:p>
        </w:tc>
        <w:tc>
          <w:tcPr>
            <w:tcW w:w="6947" w:type="dxa"/>
          </w:tcPr>
          <w:p w:rsidR="00974668" w:rsidRPr="003F0E99" w:rsidRDefault="00974668" w:rsidP="00A47644">
            <w:pPr>
              <w:pStyle w:val="TableBodyText"/>
              <w:tabs>
                <w:tab w:val="left" w:pos="1335"/>
              </w:tabs>
              <w:jc w:val="both"/>
            </w:pPr>
            <w:r>
              <w:t>2013</w:t>
            </w:r>
            <w:r w:rsidRPr="00222C4C">
              <w:t xml:space="preserve"> ACARA National Student Attendance Data Collection (unpublished)</w:t>
            </w:r>
          </w:p>
        </w:tc>
      </w:tr>
      <w:tr w:rsidR="00974668" w:rsidRPr="003F0E99" w:rsidTr="00974668">
        <w:trPr>
          <w:trHeight w:val="2832"/>
        </w:trPr>
        <w:tc>
          <w:tcPr>
            <w:tcW w:w="1984" w:type="dxa"/>
            <w:hideMark/>
          </w:tcPr>
          <w:p w:rsidR="00974668" w:rsidRPr="003F0E99" w:rsidRDefault="00974668" w:rsidP="003F0E99">
            <w:pPr>
              <w:rPr>
                <w:rFonts w:ascii="Arial" w:hAnsi="Arial" w:cs="Arial"/>
                <w:b/>
                <w:sz w:val="20"/>
                <w:szCs w:val="20"/>
              </w:rPr>
            </w:pPr>
            <w:r w:rsidRPr="003F0E99">
              <w:rPr>
                <w:rFonts w:ascii="Arial" w:hAnsi="Arial" w:cs="Arial"/>
                <w:b/>
                <w:sz w:val="20"/>
                <w:szCs w:val="20"/>
              </w:rPr>
              <w:t>Institutional environment</w:t>
            </w:r>
          </w:p>
        </w:tc>
        <w:tc>
          <w:tcPr>
            <w:tcW w:w="6947" w:type="dxa"/>
          </w:tcPr>
          <w:p w:rsidR="00974668" w:rsidRDefault="00974668" w:rsidP="00A47644">
            <w:pPr>
              <w:pStyle w:val="TableBodyText"/>
              <w:jc w:val="both"/>
            </w:pPr>
            <w:r>
              <w:t>ACARA collects the data from individual data providers: Departments of Education in each state / territory, for the government sector and the Australian Government Department of Education for the non</w:t>
            </w:r>
            <w:r>
              <w:noBreakHyphen/>
              <w:t xml:space="preserve">government sector. </w:t>
            </w:r>
          </w:p>
          <w:p w:rsidR="00974668" w:rsidRDefault="00974668" w:rsidP="00A47644">
            <w:pPr>
              <w:pStyle w:val="TableBodyText"/>
              <w:jc w:val="both"/>
            </w:pPr>
            <w:r>
              <w:t>Individual data providers collect information from schools under the relevant legislation/agreement in each state/territory and sector.</w:t>
            </w:r>
          </w:p>
          <w:p w:rsidR="00974668" w:rsidRDefault="00974668" w:rsidP="00A47644">
            <w:pPr>
              <w:pStyle w:val="TableBodyText"/>
              <w:jc w:val="both"/>
            </w:pPr>
            <w:r>
              <w:t>Summaries of key points from individual data providers’ Data Quality Statements are provided in appendix 1.</w:t>
            </w:r>
          </w:p>
          <w:p w:rsidR="00974668" w:rsidRPr="003F0E99" w:rsidRDefault="00974668" w:rsidP="00A47644">
            <w:pPr>
              <w:pStyle w:val="TableBodyText"/>
              <w:jc w:val="both"/>
            </w:pPr>
            <w:r>
              <w:t>Note that at time of data submission, ACARA has not received a DQS for the Northern Territory Education Department and the Australian Government Department of Education.</w:t>
            </w:r>
          </w:p>
        </w:tc>
      </w:tr>
      <w:tr w:rsidR="00974668" w:rsidRPr="003F0E99" w:rsidTr="003F0E99">
        <w:tc>
          <w:tcPr>
            <w:tcW w:w="1984" w:type="dxa"/>
          </w:tcPr>
          <w:p w:rsidR="00974668" w:rsidRPr="003F0E99" w:rsidRDefault="00974668" w:rsidP="003F0E99">
            <w:pPr>
              <w:rPr>
                <w:rFonts w:ascii="Arial" w:hAnsi="Arial" w:cs="Arial"/>
                <w:b/>
                <w:sz w:val="20"/>
                <w:szCs w:val="20"/>
              </w:rPr>
            </w:pPr>
            <w:r w:rsidRPr="003F0E99">
              <w:rPr>
                <w:rFonts w:ascii="Arial" w:hAnsi="Arial" w:cs="Arial"/>
                <w:b/>
                <w:sz w:val="20"/>
                <w:szCs w:val="20"/>
              </w:rPr>
              <w:t>Relevance</w:t>
            </w:r>
          </w:p>
          <w:p w:rsidR="00974668" w:rsidRPr="003F0E99" w:rsidRDefault="00974668" w:rsidP="003F0E99">
            <w:pPr>
              <w:rPr>
                <w:rFonts w:ascii="Arial" w:hAnsi="Arial" w:cs="Arial"/>
                <w:b/>
                <w:sz w:val="20"/>
                <w:szCs w:val="20"/>
              </w:rPr>
            </w:pPr>
          </w:p>
        </w:tc>
        <w:tc>
          <w:tcPr>
            <w:tcW w:w="6947" w:type="dxa"/>
          </w:tcPr>
          <w:p w:rsidR="00974668" w:rsidRDefault="00974668" w:rsidP="00A47644">
            <w:pPr>
              <w:pStyle w:val="TableBodyText"/>
              <w:jc w:val="both"/>
            </w:pPr>
            <w:r>
              <w:t>Data represents student attendance rates (per cent) for all schools in all sectors in Austr</w:t>
            </w:r>
            <w:r w:rsidR="00F249F7">
              <w:t>alia by Year level for Years 1</w:t>
            </w:r>
            <w:r w:rsidR="00556489">
              <w:noBreakHyphen/>
            </w:r>
            <w:r>
              <w:t xml:space="preserve">10 and primary/secondary ungraded students, State and Territory, Sex, and Indigenous status. </w:t>
            </w:r>
          </w:p>
          <w:p w:rsidR="00974668" w:rsidRDefault="00974668" w:rsidP="00A47644">
            <w:pPr>
              <w:pStyle w:val="TableBodyText"/>
              <w:jc w:val="both"/>
            </w:pPr>
            <w:r>
              <w:t>Sex and Indigenous status are defined as per the ACARA Data Standards Manual: Student Background Characteristics.</w:t>
            </w:r>
          </w:p>
          <w:p w:rsidR="00974668" w:rsidRDefault="00974668" w:rsidP="00A47644">
            <w:pPr>
              <w:pStyle w:val="TableBodyText"/>
              <w:jc w:val="both"/>
            </w:pPr>
            <w:r>
              <w:t xml:space="preserve">The collection period for the government sector was Semester 1 in 2013 for each state / territory. Please note that Tasmania falls into this category for the first time as they now run on a 4 term year consistent with the rest of the nation. </w:t>
            </w:r>
          </w:p>
          <w:p w:rsidR="00974668" w:rsidRDefault="00974668" w:rsidP="00A47644">
            <w:pPr>
              <w:pStyle w:val="TableBodyText"/>
              <w:jc w:val="both"/>
            </w:pPr>
            <w:r>
              <w:t>Please note that the collection period for the non</w:t>
            </w:r>
            <w:r>
              <w:noBreakHyphen/>
              <w:t>government sector is now consistent with the government sector and is no longer 20 consecutive school days in May.</w:t>
            </w:r>
          </w:p>
          <w:p w:rsidR="00974668" w:rsidRPr="003F0E99" w:rsidRDefault="00974668" w:rsidP="00A47644">
            <w:pPr>
              <w:pStyle w:val="TableBodyText"/>
              <w:jc w:val="both"/>
            </w:pPr>
            <w:r>
              <w:t>Please note that actual dates of Semester 1 may vary between state/territory.</w:t>
            </w:r>
          </w:p>
        </w:tc>
      </w:tr>
      <w:tr w:rsidR="00974668" w:rsidRPr="003F0E99" w:rsidTr="004C6774">
        <w:trPr>
          <w:trHeight w:val="909"/>
        </w:trPr>
        <w:tc>
          <w:tcPr>
            <w:tcW w:w="1984" w:type="dxa"/>
          </w:tcPr>
          <w:p w:rsidR="00974668" w:rsidRPr="003F0E99" w:rsidRDefault="00974668" w:rsidP="003F0E99">
            <w:pPr>
              <w:rPr>
                <w:rFonts w:ascii="Arial" w:hAnsi="Arial" w:cs="Arial"/>
                <w:b/>
                <w:sz w:val="20"/>
                <w:szCs w:val="20"/>
              </w:rPr>
            </w:pPr>
            <w:r w:rsidRPr="003F0E99">
              <w:rPr>
                <w:rFonts w:ascii="Arial" w:hAnsi="Arial" w:cs="Arial"/>
                <w:b/>
                <w:sz w:val="20"/>
                <w:szCs w:val="20"/>
              </w:rPr>
              <w:t>Timeliness</w:t>
            </w:r>
          </w:p>
          <w:p w:rsidR="00974668" w:rsidRPr="003F0E99" w:rsidRDefault="00974668" w:rsidP="003F0E99">
            <w:pPr>
              <w:rPr>
                <w:rFonts w:ascii="Arial" w:hAnsi="Arial" w:cs="Arial"/>
                <w:b/>
                <w:sz w:val="20"/>
                <w:szCs w:val="20"/>
              </w:rPr>
            </w:pPr>
          </w:p>
        </w:tc>
        <w:tc>
          <w:tcPr>
            <w:tcW w:w="6947" w:type="dxa"/>
          </w:tcPr>
          <w:p w:rsidR="00974668" w:rsidRPr="003F0E99" w:rsidRDefault="00974668" w:rsidP="00A47644">
            <w:pPr>
              <w:pStyle w:val="TableBodyText"/>
              <w:jc w:val="both"/>
            </w:pPr>
            <w:r w:rsidRPr="00E314C3">
              <w:rPr>
                <w:rFonts w:cs="Arial"/>
              </w:rPr>
              <w:t>ACARA requests aggregate data, from data providers, in March of the year following the collection period. E.g. For the 2013 collection, the data was requested in March 2014.</w:t>
            </w:r>
          </w:p>
        </w:tc>
      </w:tr>
      <w:tr w:rsidR="00974668" w:rsidRPr="003F0E99" w:rsidTr="004C6774">
        <w:trPr>
          <w:trHeight w:val="11185"/>
        </w:trPr>
        <w:tc>
          <w:tcPr>
            <w:tcW w:w="1984" w:type="dxa"/>
          </w:tcPr>
          <w:p w:rsidR="00974668" w:rsidRPr="003F0E99" w:rsidRDefault="00974668" w:rsidP="003F0E99">
            <w:pPr>
              <w:rPr>
                <w:rFonts w:ascii="Arial" w:hAnsi="Arial" w:cs="Arial"/>
                <w:b/>
                <w:sz w:val="20"/>
                <w:szCs w:val="20"/>
              </w:rPr>
            </w:pPr>
            <w:r w:rsidRPr="003F0E99">
              <w:rPr>
                <w:rFonts w:ascii="Arial" w:hAnsi="Arial" w:cs="Arial"/>
                <w:b/>
                <w:sz w:val="20"/>
                <w:szCs w:val="20"/>
              </w:rPr>
              <w:t>Accuracy</w:t>
            </w:r>
          </w:p>
          <w:p w:rsidR="00974668" w:rsidRPr="003F0E99" w:rsidRDefault="00974668" w:rsidP="003F0E99">
            <w:pPr>
              <w:rPr>
                <w:rFonts w:ascii="Arial" w:hAnsi="Arial" w:cs="Arial"/>
                <w:b/>
                <w:sz w:val="20"/>
                <w:szCs w:val="20"/>
              </w:rPr>
            </w:pPr>
          </w:p>
        </w:tc>
        <w:tc>
          <w:tcPr>
            <w:tcW w:w="6947" w:type="dxa"/>
          </w:tcPr>
          <w:p w:rsidR="00974668" w:rsidRDefault="00974668" w:rsidP="00A47644">
            <w:pPr>
              <w:pStyle w:val="TableBodyText"/>
              <w:jc w:val="both"/>
            </w:pPr>
            <w:r>
              <w:t>Attendance data are collected through various school management systems at the school, before then being collated into a central database by Departments of Education in each state / territory and by the Australian Government Department of Education for the government and non</w:t>
            </w:r>
            <w:r>
              <w:noBreakHyphen/>
              <w:t xml:space="preserve">government systems respectively. </w:t>
            </w:r>
          </w:p>
          <w:p w:rsidR="00974668" w:rsidRDefault="00974668" w:rsidP="00A47644">
            <w:pPr>
              <w:pStyle w:val="TableBodyText"/>
              <w:jc w:val="both"/>
            </w:pPr>
          </w:p>
          <w:p w:rsidR="0060546D" w:rsidRDefault="00974668" w:rsidP="00A47644">
            <w:pPr>
              <w:pStyle w:val="TableBodyText"/>
              <w:jc w:val="both"/>
            </w:pPr>
            <w:r>
              <w:t>In the data collection template design and data dictionary supplied to the individual data providers it was instructed the following for Indigenous/non</w:t>
            </w:r>
            <w:r>
              <w:noBreakHyphen/>
              <w:t>Indigenous:</w:t>
            </w:r>
          </w:p>
          <w:p w:rsidR="00974668" w:rsidRDefault="00974668" w:rsidP="00A47644">
            <w:pPr>
              <w:pStyle w:val="TableBullet"/>
              <w:numPr>
                <w:ilvl w:val="0"/>
                <w:numId w:val="20"/>
              </w:numPr>
              <w:jc w:val="both"/>
            </w:pPr>
            <w:r>
              <w:t xml:space="preserve">Aboriginal </w:t>
            </w:r>
            <w:r w:rsidR="00556489">
              <w:noBreakHyphen/>
            </w:r>
            <w:r>
              <w:t xml:space="preserve"> </w:t>
            </w:r>
            <w:r w:rsidRPr="00E314C3">
              <w:rPr>
                <w:b/>
              </w:rPr>
              <w:t>Indigenous</w:t>
            </w:r>
          </w:p>
          <w:p w:rsidR="00974668" w:rsidRDefault="00974668" w:rsidP="00A47644">
            <w:pPr>
              <w:pStyle w:val="TableBullet"/>
              <w:numPr>
                <w:ilvl w:val="0"/>
                <w:numId w:val="20"/>
              </w:numPr>
              <w:jc w:val="both"/>
            </w:pPr>
            <w:r>
              <w:t xml:space="preserve">Torres Strait Islander </w:t>
            </w:r>
            <w:r w:rsidR="00556489">
              <w:noBreakHyphen/>
            </w:r>
            <w:r>
              <w:t xml:space="preserve"> </w:t>
            </w:r>
            <w:r w:rsidRPr="00E314C3">
              <w:rPr>
                <w:b/>
              </w:rPr>
              <w:t>Indigenous</w:t>
            </w:r>
          </w:p>
          <w:p w:rsidR="00974668" w:rsidRDefault="00974668" w:rsidP="00A47644">
            <w:pPr>
              <w:pStyle w:val="TableBullet"/>
              <w:numPr>
                <w:ilvl w:val="0"/>
                <w:numId w:val="20"/>
              </w:numPr>
              <w:jc w:val="both"/>
            </w:pPr>
            <w:r>
              <w:t xml:space="preserve">Aboriginal and Torres Strait Islander </w:t>
            </w:r>
            <w:r w:rsidR="00556489">
              <w:noBreakHyphen/>
            </w:r>
            <w:r>
              <w:t xml:space="preserve"> </w:t>
            </w:r>
            <w:r w:rsidRPr="00E314C3">
              <w:rPr>
                <w:b/>
              </w:rPr>
              <w:t>Indigenous</w:t>
            </w:r>
          </w:p>
          <w:p w:rsidR="00974668" w:rsidRPr="00E314C3" w:rsidRDefault="00974668" w:rsidP="00A47644">
            <w:pPr>
              <w:pStyle w:val="TableBullet"/>
              <w:numPr>
                <w:ilvl w:val="0"/>
                <w:numId w:val="20"/>
              </w:numPr>
              <w:jc w:val="both"/>
              <w:rPr>
                <w:b/>
              </w:rPr>
            </w:pPr>
            <w:r>
              <w:t xml:space="preserve">Not Aboriginal &amp; Torres Strait Islander – </w:t>
            </w:r>
            <w:r w:rsidRPr="00E314C3">
              <w:rPr>
                <w:b/>
              </w:rPr>
              <w:t>Non</w:t>
            </w:r>
            <w:r w:rsidRPr="00E314C3">
              <w:rPr>
                <w:b/>
              </w:rPr>
              <w:noBreakHyphen/>
              <w:t>Indigenous</w:t>
            </w:r>
          </w:p>
          <w:p w:rsidR="00974668" w:rsidRDefault="00974668" w:rsidP="00A47644">
            <w:pPr>
              <w:pStyle w:val="TableBullet"/>
              <w:numPr>
                <w:ilvl w:val="0"/>
                <w:numId w:val="21"/>
              </w:numPr>
              <w:jc w:val="both"/>
            </w:pPr>
            <w:r>
              <w:t xml:space="preserve">No response – </w:t>
            </w:r>
            <w:r w:rsidRPr="00E314C3">
              <w:rPr>
                <w:b/>
              </w:rPr>
              <w:t>Non</w:t>
            </w:r>
            <w:r w:rsidRPr="00E314C3">
              <w:rPr>
                <w:b/>
              </w:rPr>
              <w:noBreakHyphen/>
              <w:t>Indigenous</w:t>
            </w:r>
          </w:p>
          <w:p w:rsidR="00974668" w:rsidRDefault="00974668" w:rsidP="00A47644">
            <w:pPr>
              <w:pStyle w:val="TableBodyText"/>
              <w:jc w:val="both"/>
            </w:pPr>
            <w:r>
              <w:t>Data has not been collected this year on the proportion of unstated/unknown as in previous years. This is to provide consistency across states and territories with the treatment of no responses.</w:t>
            </w:r>
          </w:p>
          <w:p w:rsidR="00974668" w:rsidRDefault="00974668" w:rsidP="00A47644">
            <w:pPr>
              <w:pStyle w:val="TableBodyText"/>
              <w:jc w:val="both"/>
            </w:pPr>
            <w:r>
              <w:t>Please note that student attendance data are not always captured consistently by schools.</w:t>
            </w:r>
          </w:p>
          <w:p w:rsidR="00974668" w:rsidRDefault="00974668" w:rsidP="00A47644">
            <w:pPr>
              <w:pStyle w:val="TableBodyText"/>
              <w:jc w:val="both"/>
            </w:pPr>
            <w:r>
              <w:t>The below only relates to ACARAs activities in relation to the accuracy of collation. ACARA has taken necessary steps to ensure that the collated data are accurately based on the data provided. Data providers were requested to provide data in predefined templates.</w:t>
            </w:r>
          </w:p>
          <w:p w:rsidR="00974668" w:rsidRDefault="00974668" w:rsidP="00A47644">
            <w:pPr>
              <w:pStyle w:val="TableBullet"/>
              <w:jc w:val="both"/>
            </w:pPr>
            <w:r>
              <w:t>ACARA has undertaken rigorous internal quality assurance processes to ensure the collated data are accurately reflective of the source datasets.</w:t>
            </w:r>
          </w:p>
          <w:p w:rsidR="00974668" w:rsidRDefault="00974668" w:rsidP="00A47644">
            <w:pPr>
              <w:pStyle w:val="TableBullet"/>
              <w:jc w:val="both"/>
            </w:pPr>
            <w:r>
              <w:t xml:space="preserve">ACARA has derived the </w:t>
            </w:r>
            <w:proofErr w:type="spellStart"/>
            <w:r>
              <w:t>Rate_Percent</w:t>
            </w:r>
            <w:proofErr w:type="spellEnd"/>
            <w:r>
              <w:t xml:space="preserve"> (called </w:t>
            </w:r>
            <w:proofErr w:type="spellStart"/>
            <w:r>
              <w:t>Derived_Rate_Percent</w:t>
            </w:r>
            <w:proofErr w:type="spellEnd"/>
            <w:r>
              <w:t xml:space="preserve">) using the provided data fields and compared to the supplied </w:t>
            </w:r>
            <w:proofErr w:type="spellStart"/>
            <w:r>
              <w:t>Rate_Percent</w:t>
            </w:r>
            <w:proofErr w:type="spellEnd"/>
            <w:r>
              <w:t>:</w:t>
            </w:r>
          </w:p>
          <w:p w:rsidR="00974668" w:rsidRDefault="00974668" w:rsidP="00A47644">
            <w:pPr>
              <w:pStyle w:val="TableBodyText"/>
              <w:numPr>
                <w:ilvl w:val="0"/>
                <w:numId w:val="19"/>
              </w:numPr>
              <w:spacing w:before="30" w:after="30" w:line="240" w:lineRule="auto"/>
              <w:ind w:hanging="183"/>
              <w:jc w:val="both"/>
            </w:pPr>
            <w:r>
              <w:t>Actual_Day_Attendance</w:t>
            </w:r>
          </w:p>
          <w:p w:rsidR="00974668" w:rsidRDefault="00974668" w:rsidP="00A47644">
            <w:pPr>
              <w:pStyle w:val="TableBodyText"/>
              <w:numPr>
                <w:ilvl w:val="0"/>
                <w:numId w:val="19"/>
              </w:numPr>
              <w:spacing w:before="30" w:after="30" w:line="240" w:lineRule="auto"/>
              <w:ind w:hanging="183"/>
              <w:jc w:val="both"/>
            </w:pPr>
            <w:r>
              <w:t>Possible_Day_Attendance</w:t>
            </w:r>
          </w:p>
          <w:p w:rsidR="00974668" w:rsidRDefault="00974668" w:rsidP="00A47644">
            <w:pPr>
              <w:pStyle w:val="TableBodyText"/>
              <w:numPr>
                <w:ilvl w:val="0"/>
                <w:numId w:val="19"/>
              </w:numPr>
              <w:spacing w:before="30" w:after="30" w:line="240" w:lineRule="auto"/>
              <w:ind w:hanging="183"/>
              <w:jc w:val="both"/>
            </w:pPr>
            <w:proofErr w:type="spellStart"/>
            <w:r>
              <w:t>Rate_Percent</w:t>
            </w:r>
            <w:proofErr w:type="spellEnd"/>
            <w:r>
              <w:t xml:space="preserve">. </w:t>
            </w:r>
          </w:p>
          <w:p w:rsidR="00974668" w:rsidRDefault="00974668" w:rsidP="00A47644">
            <w:pPr>
              <w:pStyle w:val="TableBullet"/>
              <w:jc w:val="both"/>
            </w:pPr>
            <w:r>
              <w:t xml:space="preserve">Whenever the </w:t>
            </w:r>
            <w:proofErr w:type="spellStart"/>
            <w:r>
              <w:t>Derived_Rate_Percent</w:t>
            </w:r>
            <w:proofErr w:type="spellEnd"/>
            <w:r>
              <w:t xml:space="preserve"> figure is not equal to the </w:t>
            </w:r>
            <w:proofErr w:type="spellStart"/>
            <w:r>
              <w:t>Rate_Percent</w:t>
            </w:r>
            <w:proofErr w:type="spellEnd"/>
            <w:r>
              <w:t xml:space="preserve"> figure (as supplied), ACARA will report the </w:t>
            </w:r>
            <w:proofErr w:type="spellStart"/>
            <w:r>
              <w:t>Derived_Rate_Percent</w:t>
            </w:r>
            <w:proofErr w:type="spellEnd"/>
            <w:r>
              <w:t xml:space="preserve"> figure.</w:t>
            </w:r>
          </w:p>
          <w:p w:rsidR="00974668" w:rsidRDefault="00974668" w:rsidP="00A47644">
            <w:pPr>
              <w:pStyle w:val="TableBullet"/>
              <w:jc w:val="both"/>
            </w:pPr>
            <w:r>
              <w:t>ACARA has computed sums of related fields to ensure they add up for consistency/integrity of data. E.g. The sum of male year sevens and female year sevens should equal the value enters for all of year seven.</w:t>
            </w:r>
          </w:p>
          <w:p w:rsidR="00974668" w:rsidRDefault="00974668" w:rsidP="00A47644">
            <w:pPr>
              <w:pStyle w:val="TableBullet"/>
              <w:jc w:val="both"/>
            </w:pPr>
            <w:r>
              <w:t>Whenever the computed sums do not equal ACARA notify the data provider applicable for feedback on what are the correct values.</w:t>
            </w:r>
          </w:p>
          <w:p w:rsidR="00974668" w:rsidRDefault="00974668" w:rsidP="00A47644">
            <w:pPr>
              <w:pStyle w:val="TableBullet"/>
              <w:jc w:val="both"/>
            </w:pPr>
            <w:r>
              <w:t>ACARA has consistently applied and adopted this treatment across the 2012 National Student Attendance Data Collection.</w:t>
            </w:r>
          </w:p>
          <w:p w:rsidR="00974668" w:rsidRPr="003F0E99" w:rsidRDefault="00974668" w:rsidP="00A47644">
            <w:pPr>
              <w:pStyle w:val="TableBullet"/>
              <w:jc w:val="both"/>
            </w:pPr>
            <w:r>
              <w:t xml:space="preserve">ACARA has provided feedback to data providers and sought confirmation and approval on discrepancies in </w:t>
            </w:r>
            <w:proofErr w:type="spellStart"/>
            <w:r>
              <w:t>Derived_Rate_Percent</w:t>
            </w:r>
            <w:proofErr w:type="spellEnd"/>
            <w:r>
              <w:t xml:space="preserve"> and computed sums.</w:t>
            </w:r>
          </w:p>
        </w:tc>
      </w:tr>
      <w:tr w:rsidR="00974668" w:rsidRPr="003F0E99" w:rsidTr="003F0E99">
        <w:tc>
          <w:tcPr>
            <w:tcW w:w="1984" w:type="dxa"/>
          </w:tcPr>
          <w:p w:rsidR="00974668" w:rsidRPr="003F0E99" w:rsidRDefault="00974668" w:rsidP="003F0E99">
            <w:pPr>
              <w:rPr>
                <w:rFonts w:ascii="Arial" w:hAnsi="Arial" w:cs="Arial"/>
                <w:b/>
                <w:sz w:val="20"/>
                <w:szCs w:val="20"/>
              </w:rPr>
            </w:pPr>
            <w:r w:rsidRPr="003F0E99">
              <w:rPr>
                <w:rFonts w:ascii="Arial" w:hAnsi="Arial" w:cs="Arial"/>
                <w:b/>
                <w:sz w:val="20"/>
                <w:szCs w:val="20"/>
              </w:rPr>
              <w:t>Coherence</w:t>
            </w:r>
          </w:p>
          <w:p w:rsidR="00974668" w:rsidRPr="003F0E99" w:rsidRDefault="00974668" w:rsidP="003F0E99">
            <w:pPr>
              <w:rPr>
                <w:rFonts w:ascii="Arial" w:hAnsi="Arial" w:cs="Arial"/>
                <w:b/>
                <w:sz w:val="20"/>
                <w:szCs w:val="20"/>
              </w:rPr>
            </w:pPr>
          </w:p>
        </w:tc>
        <w:tc>
          <w:tcPr>
            <w:tcW w:w="6947" w:type="dxa"/>
          </w:tcPr>
          <w:p w:rsidR="00974668" w:rsidRDefault="00974668" w:rsidP="00A47644">
            <w:pPr>
              <w:pStyle w:val="TableBodyText"/>
              <w:jc w:val="both"/>
            </w:pPr>
            <w:r w:rsidRPr="00E314C3">
              <w:t>Methodologies and counting rules vary between state / territory and sector; therefore data cannot be compared across state / territory or across school sectors but comparisons over time (2007 to 2013) within a state / territory and sector can be made. Since 2007, data have generally been collected consistently by each state / territory and sector except for NT where the data source changed in 2012, SA where the reporting period changed to Semester 1 in 2009, TAS when the reporting period changed to Semester 1 in 2013 an</w:t>
            </w:r>
            <w:r>
              <w:t>d the Non</w:t>
            </w:r>
            <w:r>
              <w:noBreakHyphen/>
            </w:r>
            <w:r w:rsidRPr="00E314C3">
              <w:t>Government sector when the reporting period changed to Semester 1 in 2013.</w:t>
            </w:r>
          </w:p>
          <w:p w:rsidR="00974668" w:rsidRPr="003F0E99" w:rsidRDefault="00974668" w:rsidP="00A47644">
            <w:pPr>
              <w:pStyle w:val="TableBodyText"/>
              <w:jc w:val="both"/>
            </w:pPr>
          </w:p>
        </w:tc>
      </w:tr>
      <w:tr w:rsidR="00974668" w:rsidRPr="003F0E99" w:rsidTr="004C6774">
        <w:trPr>
          <w:trHeight w:val="1544"/>
        </w:trPr>
        <w:tc>
          <w:tcPr>
            <w:tcW w:w="1984" w:type="dxa"/>
          </w:tcPr>
          <w:p w:rsidR="00974668" w:rsidRPr="003F0E99" w:rsidRDefault="00974668" w:rsidP="009C3B52">
            <w:pPr>
              <w:rPr>
                <w:rFonts w:ascii="Arial" w:hAnsi="Arial" w:cs="Arial"/>
                <w:b/>
                <w:sz w:val="20"/>
                <w:szCs w:val="20"/>
              </w:rPr>
            </w:pPr>
            <w:r w:rsidRPr="003F0E99">
              <w:rPr>
                <w:rFonts w:ascii="Arial" w:hAnsi="Arial" w:cs="Arial"/>
                <w:b/>
                <w:sz w:val="20"/>
                <w:szCs w:val="20"/>
              </w:rPr>
              <w:t>Interpretability</w:t>
            </w:r>
          </w:p>
          <w:p w:rsidR="00974668" w:rsidRPr="003F0E99" w:rsidRDefault="00974668" w:rsidP="003F0E99">
            <w:pPr>
              <w:rPr>
                <w:rFonts w:ascii="Arial" w:hAnsi="Arial" w:cs="Arial"/>
                <w:b/>
                <w:sz w:val="20"/>
                <w:szCs w:val="20"/>
              </w:rPr>
            </w:pPr>
          </w:p>
        </w:tc>
        <w:tc>
          <w:tcPr>
            <w:tcW w:w="6947" w:type="dxa"/>
          </w:tcPr>
          <w:p w:rsidR="00974668" w:rsidRPr="003F0E99" w:rsidRDefault="00974668" w:rsidP="00A47644">
            <w:pPr>
              <w:pStyle w:val="TableBodyText"/>
              <w:jc w:val="both"/>
            </w:pPr>
            <w:r w:rsidRPr="008E7459">
              <w:t xml:space="preserve">Further information on the differences in methodologies and counting rules between state / territory and sector can be found in the </w:t>
            </w:r>
            <w:r w:rsidRPr="008E7459">
              <w:rPr>
                <w:i/>
              </w:rPr>
              <w:t>National Report on Schooling in</w:t>
            </w:r>
            <w:r w:rsidRPr="008E7459">
              <w:t xml:space="preserve"> </w:t>
            </w:r>
            <w:r w:rsidRPr="008E7459">
              <w:rPr>
                <w:i/>
              </w:rPr>
              <w:t>Australia</w:t>
            </w:r>
            <w:r w:rsidRPr="008E7459">
              <w:t xml:space="preserve"> – Explanatory notes for studen</w:t>
            </w:r>
            <w:r>
              <w:t>t attendance data. Note the 2013</w:t>
            </w:r>
            <w:r w:rsidRPr="008E7459">
              <w:t xml:space="preserve"> report is not yet available, however the</w:t>
            </w:r>
            <w:r>
              <w:t xml:space="preserve"> 2012,</w:t>
            </w:r>
            <w:r w:rsidRPr="008E7459">
              <w:t xml:space="preserve"> 2011 and 2010 reports may be used as there have been minor or no changes to methodologies and counting rules during this time period.</w:t>
            </w:r>
          </w:p>
        </w:tc>
      </w:tr>
      <w:tr w:rsidR="00974668" w:rsidRPr="003F0E99" w:rsidTr="003F0E99">
        <w:tc>
          <w:tcPr>
            <w:tcW w:w="1984" w:type="dxa"/>
          </w:tcPr>
          <w:p w:rsidR="00974668" w:rsidRPr="003F0E99" w:rsidRDefault="00974668" w:rsidP="009C3B52">
            <w:pPr>
              <w:rPr>
                <w:rFonts w:ascii="Arial" w:hAnsi="Arial" w:cs="Arial"/>
                <w:b/>
                <w:sz w:val="20"/>
                <w:szCs w:val="20"/>
              </w:rPr>
            </w:pPr>
            <w:r w:rsidRPr="009C3B52">
              <w:rPr>
                <w:rFonts w:ascii="Arial" w:hAnsi="Arial" w:cs="Arial"/>
                <w:b/>
                <w:sz w:val="20"/>
                <w:szCs w:val="20"/>
              </w:rPr>
              <w:t>Accessibility</w:t>
            </w:r>
          </w:p>
        </w:tc>
        <w:tc>
          <w:tcPr>
            <w:tcW w:w="6947" w:type="dxa"/>
          </w:tcPr>
          <w:p w:rsidR="00974668" w:rsidRPr="008E7459" w:rsidRDefault="00974668" w:rsidP="00A47644">
            <w:pPr>
              <w:pStyle w:val="TableBodyText"/>
              <w:jc w:val="both"/>
              <w:rPr>
                <w:b/>
                <w:i/>
              </w:rPr>
            </w:pPr>
            <w:r w:rsidRPr="008E7459">
              <w:t>Data in this format were yet to be published by ACARA, however the da</w:t>
            </w:r>
            <w:r>
              <w:t>ta will be published in the 2013</w:t>
            </w:r>
            <w:r w:rsidRPr="008E7459">
              <w:t xml:space="preserve"> National Report on Schooling in Australia. </w:t>
            </w:r>
          </w:p>
          <w:p w:rsidR="00974668" w:rsidRPr="008E7459" w:rsidRDefault="00974668" w:rsidP="00A47644">
            <w:pPr>
              <w:pStyle w:val="TableBodyText"/>
              <w:jc w:val="both"/>
              <w:rPr>
                <w:b/>
                <w:i/>
              </w:rPr>
            </w:pPr>
            <w:r w:rsidRPr="008E7459">
              <w:t>Each state / territory and sector publishes variations of their data through their own websites / publications.</w:t>
            </w:r>
          </w:p>
          <w:p w:rsidR="00974668" w:rsidRPr="003F0E99" w:rsidRDefault="00974668" w:rsidP="00A47644">
            <w:pPr>
              <w:pStyle w:val="TableBodyText"/>
              <w:jc w:val="both"/>
            </w:pPr>
            <w:r w:rsidRPr="008E7459">
              <w:t>For further information please contact info@acara.edu.au.</w:t>
            </w:r>
          </w:p>
        </w:tc>
      </w:tr>
    </w:tbl>
    <w:p w:rsidR="004C6774" w:rsidRDefault="004C6774" w:rsidP="004C6774">
      <w:pPr>
        <w:pStyle w:val="Heading4"/>
      </w:pPr>
      <w:bookmarkStart w:id="31" w:name="_Ref381717759"/>
      <w:r w:rsidRPr="004C6774">
        <w:t>Appendix 1</w:t>
      </w:r>
    </w:p>
    <w:p w:rsidR="004C6774" w:rsidRDefault="004C6774" w:rsidP="004C6774">
      <w:pPr>
        <w:pStyle w:val="BodyText"/>
      </w:pPr>
      <w:r>
        <w:t>The below summarises the key points from each individual data providers’ data quality statements:</w:t>
      </w:r>
    </w:p>
    <w:p w:rsidR="004C6774" w:rsidRDefault="004C6774" w:rsidP="004C6774">
      <w:pPr>
        <w:pStyle w:val="ListBullet"/>
      </w:pPr>
      <w:r>
        <w:t>New South Wales</w:t>
      </w:r>
    </w:p>
    <w:p w:rsidR="004C6774" w:rsidRDefault="004C6774" w:rsidP="004C6774">
      <w:pPr>
        <w:pStyle w:val="ListBullet2"/>
      </w:pPr>
      <w:r>
        <w:t xml:space="preserve">Data, for full time students who are included on the final return, were collected from schools in July 2013, with most schools using OASIS to record and report absence data, which were then extracted into a central database. </w:t>
      </w:r>
    </w:p>
    <w:p w:rsidR="004C6774" w:rsidRDefault="004C6774" w:rsidP="004C6774">
      <w:pPr>
        <w:pStyle w:val="ListBullet2"/>
      </w:pPr>
      <w:r>
        <w:t xml:space="preserve">Only full day absences were reported and students who change schools in the same term were counted at both schools but absences were recorded and attributed to the school where the absence was incurred. All Schools for Specific Purposes (SSPs), Intensive English Centres (IECs) and Distance Education Schools/Centres (DECs) are excluded from the collection. </w:t>
      </w:r>
    </w:p>
    <w:p w:rsidR="004C6774" w:rsidRDefault="004C6774" w:rsidP="004C6774">
      <w:pPr>
        <w:pStyle w:val="ListBullet"/>
      </w:pPr>
      <w:r>
        <w:t>Victoria</w:t>
      </w:r>
    </w:p>
    <w:p w:rsidR="004C6774" w:rsidRDefault="004C6774" w:rsidP="004C6774">
      <w:pPr>
        <w:pStyle w:val="ListBullet2"/>
      </w:pPr>
      <w:r>
        <w:t>Data were recorded by schools and stored in the school’s software package, then collected and stored by the Department in CASES21. Note, although the majority of schools are using CASES21, there is a small proportion of schools that are using different software packages which may result in a small degree of inconsistency in the data.</w:t>
      </w:r>
    </w:p>
    <w:p w:rsidR="004C6774" w:rsidRDefault="004C6774" w:rsidP="004C6774">
      <w:pPr>
        <w:pStyle w:val="ListBullet"/>
      </w:pPr>
      <w:r>
        <w:t>Queensland</w:t>
      </w:r>
    </w:p>
    <w:p w:rsidR="004C6774" w:rsidRDefault="004C6774" w:rsidP="004C6774">
      <w:pPr>
        <w:pStyle w:val="ListBullet2"/>
      </w:pPr>
      <w:r>
        <w:t>Data, for full time students enrolled for the first semester in 2013, were collected as part of the August state Census collection and stored in the OneSchool information management system.</w:t>
      </w:r>
    </w:p>
    <w:p w:rsidR="004C6774" w:rsidRDefault="004C6774" w:rsidP="004C6774">
      <w:pPr>
        <w:pStyle w:val="ListBullet"/>
      </w:pPr>
      <w:r>
        <w:t>Western Australia</w:t>
      </w:r>
    </w:p>
    <w:p w:rsidR="004C6774" w:rsidRDefault="004C6774" w:rsidP="004C6774">
      <w:pPr>
        <w:pStyle w:val="ListBullet2"/>
      </w:pPr>
      <w:r>
        <w:t>Data were uploaded into the Student Attendance Reporting (SAR) database by schools. Schools can correct and resubmit their data.</w:t>
      </w:r>
    </w:p>
    <w:p w:rsidR="004C6774" w:rsidRDefault="004C6774" w:rsidP="004C6774">
      <w:pPr>
        <w:pStyle w:val="ListBullet"/>
      </w:pPr>
      <w:r>
        <w:t>South Australia</w:t>
      </w:r>
    </w:p>
    <w:p w:rsidR="004C6774" w:rsidRDefault="004C6774" w:rsidP="004C6774">
      <w:pPr>
        <w:pStyle w:val="ListBullet2"/>
      </w:pPr>
      <w:r>
        <w:t xml:space="preserve">All SA government sites use the same collection and data storage system. </w:t>
      </w:r>
      <w:r w:rsidR="00F249F7">
        <w:t>A snapshot of the data was</w:t>
      </w:r>
      <w:r>
        <w:t xml:space="preserve"> taken as part of the Term 3 Annual Census Collection. </w:t>
      </w:r>
    </w:p>
    <w:p w:rsidR="004C6774" w:rsidRDefault="004C6774" w:rsidP="004C6774">
      <w:pPr>
        <w:pStyle w:val="ListBullet"/>
      </w:pPr>
      <w:r>
        <w:t>Tasmania</w:t>
      </w:r>
    </w:p>
    <w:p w:rsidR="004C6774" w:rsidRDefault="004C6774" w:rsidP="004C6774">
      <w:pPr>
        <w:pStyle w:val="ListBullet2"/>
      </w:pPr>
      <w:r>
        <w:t>Data were collected daily from schools, via the school’s student management system, and stored in a central data repository.</w:t>
      </w:r>
    </w:p>
    <w:p w:rsidR="004C6774" w:rsidRDefault="004C6774" w:rsidP="004C6774">
      <w:pPr>
        <w:pStyle w:val="ListBullet2"/>
      </w:pPr>
      <w:r>
        <w:t>Data for the numerator were sourced from the absence records database while the data for the denominator were sourced from the midyear Enrolment Census database. The different data sources may have resulted i</w:t>
      </w:r>
      <w:r w:rsidR="00F249F7">
        <w:t>n some minor under</w:t>
      </w:r>
      <w:r>
        <w:t xml:space="preserve"> or over counts, however, this makes no material difference to the aggregated percentage. </w:t>
      </w:r>
    </w:p>
    <w:p w:rsidR="004C6774" w:rsidRDefault="004C6774" w:rsidP="004C6774">
      <w:pPr>
        <w:pStyle w:val="ListBullet"/>
      </w:pPr>
      <w:r>
        <w:t>Australian Capital Territory</w:t>
      </w:r>
    </w:p>
    <w:p w:rsidR="004C6774" w:rsidRDefault="004C6774" w:rsidP="004C6774">
      <w:pPr>
        <w:pStyle w:val="ListBullet2"/>
      </w:pPr>
      <w:r>
        <w:t xml:space="preserve">Data were collected through the electronic school management systems at individual schools. Data from each school were then collated into a central database. </w:t>
      </w:r>
    </w:p>
    <w:p w:rsidR="004C6774" w:rsidRDefault="004C6774" w:rsidP="004C6774">
      <w:pPr>
        <w:pStyle w:val="ListBullet2"/>
      </w:pPr>
      <w:r>
        <w:t>Half day attendances were recorded for primary schools and data for high school attendance were recorded for each teaching period.</w:t>
      </w:r>
    </w:p>
    <w:p w:rsidR="004C6774" w:rsidRDefault="004C6774" w:rsidP="004C6774">
      <w:pPr>
        <w:pStyle w:val="ListBullet"/>
      </w:pPr>
      <w:r>
        <w:t>Northern Territory</w:t>
      </w:r>
    </w:p>
    <w:p w:rsidR="004C6774" w:rsidRDefault="004C6774" w:rsidP="004C6774">
      <w:pPr>
        <w:pStyle w:val="ListBullet2"/>
      </w:pPr>
      <w:r>
        <w:t xml:space="preserve">At time of data submission to the Steering Committee for the Review of Government Service Provision, ACARA has not received data quality information for the Northern Territory Department of Education. </w:t>
      </w:r>
    </w:p>
    <w:p w:rsidR="004C6774" w:rsidRDefault="004C6774" w:rsidP="004C6774">
      <w:pPr>
        <w:pStyle w:val="ListBullet"/>
      </w:pPr>
      <w:r>
        <w:t>Australia Government Department of Education</w:t>
      </w:r>
    </w:p>
    <w:p w:rsidR="002A77C3" w:rsidRDefault="004C6774" w:rsidP="004C6774">
      <w:pPr>
        <w:pStyle w:val="ListBullet2"/>
      </w:pPr>
      <w:r>
        <w:t xml:space="preserve">At time of data submission to the Steering Committee for the Review of Government Service Provision, ACARA has not received data quality information for the Australia Government Department of Education. </w:t>
      </w:r>
    </w:p>
    <w:p w:rsidR="00C45B93" w:rsidRDefault="00C45B93" w:rsidP="004C6774">
      <w:pPr>
        <w:pStyle w:val="ListBullet2"/>
      </w:pPr>
      <w:r>
        <w:br w:type="page"/>
      </w:r>
    </w:p>
    <w:p w:rsidR="003F0E99" w:rsidRPr="003F0E99" w:rsidRDefault="003F0E99" w:rsidP="001A5D6A">
      <w:pPr>
        <w:pStyle w:val="Heading3"/>
      </w:pPr>
      <w:bookmarkStart w:id="32" w:name="_Ref381717658"/>
      <w:bookmarkEnd w:id="31"/>
      <w:r w:rsidRPr="003F0E99">
        <w:t>Data quality statement — Performance target</w:t>
      </w:r>
      <w:r>
        <w:t xml:space="preserve"> (c) and Indicator 2 and 6(a): </w:t>
      </w:r>
      <w:r w:rsidRPr="003F0E99">
        <w:t>Literacy and numeracy achievement of Year 3, 5, 7 and 9 students in national testing.</w:t>
      </w:r>
      <w:bookmarkEnd w:id="32"/>
    </w:p>
    <w:p w:rsidR="003F0E99" w:rsidRPr="003F0E99" w:rsidRDefault="003F0E99" w:rsidP="003F0E99">
      <w:pPr>
        <w:keepNext/>
        <w:spacing w:before="360" w:line="80" w:lineRule="exact"/>
        <w:rPr>
          <w:szCs w:val="20"/>
        </w:rPr>
      </w:pPr>
    </w:p>
    <w:tbl>
      <w:tblPr>
        <w:tblW w:w="8931" w:type="dxa"/>
        <w:tblInd w:w="-34" w:type="dxa"/>
        <w:tblLook w:val="01E0" w:firstRow="1" w:lastRow="1" w:firstColumn="1" w:lastColumn="1" w:noHBand="0" w:noVBand="0"/>
      </w:tblPr>
      <w:tblGrid>
        <w:gridCol w:w="1984"/>
        <w:gridCol w:w="6947"/>
      </w:tblGrid>
      <w:tr w:rsidR="003F0E99" w:rsidRPr="003F0E99" w:rsidTr="0012085B">
        <w:trPr>
          <w:trHeight w:val="1414"/>
        </w:trPr>
        <w:tc>
          <w:tcPr>
            <w:tcW w:w="1984" w:type="dxa"/>
            <w:hideMark/>
          </w:tcPr>
          <w:p w:rsidR="003F0E99" w:rsidRPr="003F0E99" w:rsidRDefault="003F0E99" w:rsidP="003F0E99">
            <w:pPr>
              <w:rPr>
                <w:rFonts w:ascii="Arial" w:hAnsi="Arial" w:cs="Arial"/>
                <w:b/>
                <w:sz w:val="20"/>
                <w:szCs w:val="20"/>
              </w:rPr>
            </w:pPr>
            <w:r w:rsidRPr="003F0E99">
              <w:rPr>
                <w:rFonts w:ascii="Arial" w:hAnsi="Arial" w:cs="Arial"/>
                <w:b/>
                <w:sz w:val="20"/>
                <w:szCs w:val="20"/>
              </w:rPr>
              <w:t>Target/Outcome</w:t>
            </w:r>
          </w:p>
        </w:tc>
        <w:tc>
          <w:tcPr>
            <w:tcW w:w="6947" w:type="dxa"/>
          </w:tcPr>
          <w:p w:rsidR="00A61AC1" w:rsidRDefault="00A61AC1" w:rsidP="00A47644">
            <w:pPr>
              <w:pStyle w:val="TableBodyText"/>
              <w:jc w:val="both"/>
            </w:pPr>
            <w:r w:rsidRPr="00A61AC1">
              <w:t>Young people are meeting basic literacy and numeracy standards, and overall levels of literacy and numeracy achievement are improving</w:t>
            </w:r>
          </w:p>
          <w:p w:rsidR="00A61AC1" w:rsidRPr="00A61AC1" w:rsidRDefault="00A61AC1" w:rsidP="00A47644">
            <w:pPr>
              <w:pStyle w:val="TableBodyText"/>
              <w:jc w:val="both"/>
            </w:pPr>
          </w:p>
          <w:p w:rsidR="009C3B52" w:rsidRPr="003F0E99" w:rsidRDefault="00A61AC1" w:rsidP="0012085B">
            <w:pPr>
              <w:pStyle w:val="TableBodyText"/>
              <w:jc w:val="both"/>
            </w:pPr>
            <w:r w:rsidRPr="00A61AC1">
              <w:t>Schooling promotes the social inclusion and reduces the educational disadvantage of children, especially Indigenous children</w:t>
            </w:r>
          </w:p>
        </w:tc>
      </w:tr>
      <w:tr w:rsidR="003F0E99" w:rsidRPr="003F0E99" w:rsidTr="003F0E99">
        <w:tc>
          <w:tcPr>
            <w:tcW w:w="1984" w:type="dxa"/>
            <w:hideMark/>
          </w:tcPr>
          <w:p w:rsidR="003F0E99" w:rsidRPr="003F0E99" w:rsidRDefault="003F0E99" w:rsidP="003F0E99">
            <w:pPr>
              <w:rPr>
                <w:rFonts w:ascii="Arial" w:hAnsi="Arial" w:cs="Arial"/>
                <w:b/>
                <w:sz w:val="20"/>
                <w:szCs w:val="20"/>
              </w:rPr>
            </w:pPr>
            <w:r w:rsidRPr="003F0E99">
              <w:rPr>
                <w:rFonts w:ascii="Arial" w:hAnsi="Arial" w:cs="Arial"/>
                <w:b/>
                <w:sz w:val="20"/>
                <w:szCs w:val="20"/>
              </w:rPr>
              <w:t>Indicator</w:t>
            </w:r>
          </w:p>
        </w:tc>
        <w:tc>
          <w:tcPr>
            <w:tcW w:w="6947" w:type="dxa"/>
          </w:tcPr>
          <w:p w:rsidR="00A61AC1" w:rsidRDefault="00A61AC1" w:rsidP="00A47644">
            <w:pPr>
              <w:pStyle w:val="TableBodyText"/>
              <w:jc w:val="both"/>
            </w:pPr>
            <w:r>
              <w:t>NEA Indicator 2 (Literacy and numeracy achievement of Year 3, 5, 7 and 9 students in national testing):</w:t>
            </w:r>
          </w:p>
          <w:p w:rsidR="00A61AC1" w:rsidRDefault="00A61AC1" w:rsidP="00A47644">
            <w:pPr>
              <w:pStyle w:val="TableBullet"/>
              <w:jc w:val="both"/>
            </w:pPr>
            <w:r>
              <w:t>Proportion of students who achieved at or above the national minimum standard</w:t>
            </w:r>
          </w:p>
          <w:p w:rsidR="003F0E99" w:rsidRDefault="00A61AC1" w:rsidP="00A47644">
            <w:pPr>
              <w:pStyle w:val="TableBullet"/>
              <w:jc w:val="both"/>
            </w:pPr>
            <w:r>
              <w:t>NAPLAN mean scale scores</w:t>
            </w:r>
          </w:p>
          <w:p w:rsidR="009C3B52" w:rsidRPr="003F0E99" w:rsidRDefault="009C3B52" w:rsidP="00A47644">
            <w:pPr>
              <w:pStyle w:val="TableBodyText"/>
              <w:jc w:val="both"/>
            </w:pPr>
          </w:p>
        </w:tc>
      </w:tr>
      <w:tr w:rsidR="003F0E99" w:rsidRPr="003F0E99" w:rsidTr="0012085B">
        <w:trPr>
          <w:trHeight w:val="3142"/>
        </w:trPr>
        <w:tc>
          <w:tcPr>
            <w:tcW w:w="1984" w:type="dxa"/>
            <w:hideMark/>
          </w:tcPr>
          <w:p w:rsidR="003F0E99" w:rsidRPr="003F0E99" w:rsidRDefault="003F0E99" w:rsidP="003F0E99">
            <w:pPr>
              <w:rPr>
                <w:rFonts w:ascii="Arial" w:hAnsi="Arial" w:cs="Arial"/>
                <w:b/>
                <w:sz w:val="20"/>
                <w:szCs w:val="20"/>
              </w:rPr>
            </w:pPr>
            <w:r w:rsidRPr="003F0E99">
              <w:rPr>
                <w:rFonts w:ascii="Arial" w:hAnsi="Arial" w:cs="Arial"/>
                <w:b/>
                <w:sz w:val="20"/>
                <w:szCs w:val="20"/>
              </w:rPr>
              <w:t>Measure (computation)</w:t>
            </w:r>
          </w:p>
        </w:tc>
        <w:tc>
          <w:tcPr>
            <w:tcW w:w="6947" w:type="dxa"/>
          </w:tcPr>
          <w:p w:rsidR="00A61AC1" w:rsidRPr="00A61AC1" w:rsidRDefault="009D6EC2" w:rsidP="00A47644">
            <w:pPr>
              <w:pStyle w:val="TableBodyText"/>
              <w:jc w:val="both"/>
              <w:rPr>
                <w:rFonts w:cs="Arial"/>
              </w:rPr>
            </w:pPr>
            <w:r>
              <w:rPr>
                <w:rFonts w:cs="Arial"/>
                <w:b/>
              </w:rPr>
              <w:t>Indicator 2 (a) and (c) —</w:t>
            </w:r>
            <w:r w:rsidR="00A61AC1" w:rsidRPr="00A61AC1">
              <w:rPr>
                <w:rFonts w:cs="Arial"/>
              </w:rPr>
              <w:t xml:space="preserve"> Proportion of students who achieved at or above the national minimum standard:</w:t>
            </w:r>
          </w:p>
          <w:p w:rsidR="00A61AC1" w:rsidRPr="00A61AC1" w:rsidRDefault="009D6EC2" w:rsidP="00A47644">
            <w:pPr>
              <w:pStyle w:val="TableBullet"/>
              <w:jc w:val="both"/>
              <w:rPr>
                <w:i/>
              </w:rPr>
            </w:pPr>
            <w:r w:rsidRPr="00BB7A91">
              <w:rPr>
                <w:i/>
              </w:rPr>
              <w:t>Numerator:</w:t>
            </w:r>
            <w:r w:rsidR="00A61AC1" w:rsidRPr="00A61AC1">
              <w:t xml:space="preserve"> count of students who achieved at or above the national minimum standard.</w:t>
            </w:r>
          </w:p>
          <w:p w:rsidR="00A61AC1" w:rsidRPr="00A61AC1" w:rsidRDefault="009D6EC2" w:rsidP="00A47644">
            <w:pPr>
              <w:pStyle w:val="TableBullet"/>
              <w:jc w:val="both"/>
              <w:rPr>
                <w:szCs w:val="24"/>
              </w:rPr>
            </w:pPr>
            <w:r w:rsidRPr="00BB7A91">
              <w:rPr>
                <w:i/>
              </w:rPr>
              <w:t>Denominator:</w:t>
            </w:r>
            <w:r w:rsidR="00A61AC1" w:rsidRPr="00A61AC1">
              <w:t xml:space="preserve"> total count of students who were present, absent, withdrawn or exempt under 2013 NAPLAN.</w:t>
            </w:r>
          </w:p>
          <w:p w:rsidR="00A61AC1" w:rsidRPr="00A61AC1" w:rsidRDefault="00A61AC1" w:rsidP="00A47644">
            <w:pPr>
              <w:pStyle w:val="TableBodyText"/>
              <w:jc w:val="both"/>
              <w:rPr>
                <w:rFonts w:cs="Arial"/>
              </w:rPr>
            </w:pPr>
            <w:r w:rsidRPr="00A61AC1">
              <w:rPr>
                <w:rFonts w:cs="Arial"/>
              </w:rPr>
              <w:t>Rate or proportion: (the numerator/the denominator)*100 (rounded to 1 decimal place)</w:t>
            </w:r>
          </w:p>
          <w:p w:rsidR="00A61AC1" w:rsidRDefault="00A61AC1" w:rsidP="00A47644">
            <w:pPr>
              <w:pStyle w:val="TableBodyText"/>
              <w:jc w:val="both"/>
              <w:rPr>
                <w:rFonts w:cs="Arial"/>
              </w:rPr>
            </w:pPr>
          </w:p>
          <w:p w:rsidR="009C3B52" w:rsidRPr="003F0E99" w:rsidRDefault="00317B67" w:rsidP="0012085B">
            <w:pPr>
              <w:pStyle w:val="TableBodyText"/>
              <w:jc w:val="both"/>
              <w:rPr>
                <w:rFonts w:cs="Arial"/>
              </w:rPr>
            </w:pPr>
            <w:r>
              <w:rPr>
                <w:rFonts w:cs="Arial"/>
                <w:b/>
              </w:rPr>
              <w:t xml:space="preserve">Indicator 2 (b) and (d) </w:t>
            </w:r>
            <w:r>
              <w:rPr>
                <w:rFonts w:cs="Arial"/>
              </w:rPr>
              <w:t xml:space="preserve">— </w:t>
            </w:r>
            <w:r w:rsidR="00A61AC1" w:rsidRPr="00A61AC1">
              <w:rPr>
                <w:rFonts w:cs="Arial"/>
              </w:rPr>
              <w:t>NAPLAN mean scale scores in reading, writing and numeracy for Years 3, 5, 7 and 9 by State/Territory, by geo</w:t>
            </w:r>
            <w:r w:rsidR="009F5EB6">
              <w:rPr>
                <w:rFonts w:cs="Arial"/>
              </w:rPr>
              <w:noBreakHyphen/>
            </w:r>
            <w:r w:rsidR="00A61AC1" w:rsidRPr="00A61AC1">
              <w:rPr>
                <w:rFonts w:cs="Arial"/>
              </w:rPr>
              <w:t>location, by indigenous status, and by parental education and parental occupation.</w:t>
            </w:r>
          </w:p>
        </w:tc>
      </w:tr>
      <w:tr w:rsidR="003F0E99" w:rsidRPr="003F0E99" w:rsidTr="00A47644">
        <w:trPr>
          <w:trHeight w:val="395"/>
        </w:trPr>
        <w:tc>
          <w:tcPr>
            <w:tcW w:w="1984" w:type="dxa"/>
            <w:hideMark/>
          </w:tcPr>
          <w:p w:rsidR="003F0E99" w:rsidRPr="003F0E99" w:rsidRDefault="003F0E99" w:rsidP="003F0E99">
            <w:pPr>
              <w:rPr>
                <w:rFonts w:ascii="Arial" w:hAnsi="Arial" w:cs="Arial"/>
                <w:b/>
                <w:sz w:val="20"/>
                <w:szCs w:val="20"/>
              </w:rPr>
            </w:pPr>
            <w:r w:rsidRPr="003F0E99">
              <w:rPr>
                <w:rFonts w:ascii="Arial" w:hAnsi="Arial" w:cs="Arial"/>
                <w:b/>
                <w:sz w:val="20"/>
                <w:szCs w:val="20"/>
              </w:rPr>
              <w:t>Data source/s</w:t>
            </w:r>
          </w:p>
        </w:tc>
        <w:tc>
          <w:tcPr>
            <w:tcW w:w="6947" w:type="dxa"/>
          </w:tcPr>
          <w:p w:rsidR="009C3B52" w:rsidRPr="003F0E99" w:rsidRDefault="00A61AC1" w:rsidP="00A47644">
            <w:pPr>
              <w:pStyle w:val="TableBodyText"/>
              <w:jc w:val="both"/>
              <w:rPr>
                <w:rFonts w:cs="Arial"/>
              </w:rPr>
            </w:pPr>
            <w:r w:rsidRPr="00A61AC1">
              <w:rPr>
                <w:rFonts w:cs="Arial"/>
              </w:rPr>
              <w:t>2013 NAPLAN (published).</w:t>
            </w:r>
          </w:p>
        </w:tc>
      </w:tr>
      <w:tr w:rsidR="003F0E99" w:rsidRPr="003F0E99" w:rsidTr="00A47644">
        <w:trPr>
          <w:trHeight w:val="1409"/>
        </w:trPr>
        <w:tc>
          <w:tcPr>
            <w:tcW w:w="1984" w:type="dxa"/>
            <w:hideMark/>
          </w:tcPr>
          <w:p w:rsidR="003F0E99" w:rsidRPr="003F0E99" w:rsidRDefault="003F0E99" w:rsidP="003F0E99">
            <w:pPr>
              <w:rPr>
                <w:rFonts w:ascii="Arial" w:hAnsi="Arial" w:cs="Arial"/>
                <w:b/>
                <w:sz w:val="20"/>
                <w:szCs w:val="20"/>
              </w:rPr>
            </w:pPr>
            <w:r w:rsidRPr="003F0E99">
              <w:rPr>
                <w:rFonts w:ascii="Arial" w:hAnsi="Arial" w:cs="Arial"/>
                <w:b/>
                <w:sz w:val="20"/>
                <w:szCs w:val="20"/>
              </w:rPr>
              <w:t>Institutional environment</w:t>
            </w:r>
          </w:p>
        </w:tc>
        <w:tc>
          <w:tcPr>
            <w:tcW w:w="6947" w:type="dxa"/>
          </w:tcPr>
          <w:p w:rsidR="00A61AC1" w:rsidRPr="00A61AC1" w:rsidRDefault="00A61AC1" w:rsidP="00A47644">
            <w:pPr>
              <w:pStyle w:val="TableBodyText"/>
              <w:jc w:val="both"/>
              <w:rPr>
                <w:rFonts w:cs="Arial"/>
              </w:rPr>
            </w:pPr>
            <w:r w:rsidRPr="00A61AC1">
              <w:rPr>
                <w:rFonts w:cs="Arial"/>
              </w:rPr>
              <w:t>Data collectors: Individual schools send these data under established protocols to the Test Administration Authorities for the states and territories.</w:t>
            </w:r>
          </w:p>
          <w:p w:rsidR="00A61AC1" w:rsidRPr="00A61AC1" w:rsidRDefault="00A61AC1" w:rsidP="00A47644">
            <w:pPr>
              <w:pStyle w:val="TableBodyText"/>
              <w:jc w:val="both"/>
              <w:rPr>
                <w:rFonts w:cs="Arial"/>
              </w:rPr>
            </w:pPr>
            <w:r w:rsidRPr="00A61AC1">
              <w:rPr>
                <w:rFonts w:cs="Arial"/>
              </w:rPr>
              <w:t>Collection authority: ACARA Act 2008</w:t>
            </w:r>
          </w:p>
          <w:p w:rsidR="009C3B52" w:rsidRPr="003F0E99" w:rsidRDefault="00A61AC1" w:rsidP="00A47644">
            <w:pPr>
              <w:pStyle w:val="TableBodyText"/>
              <w:jc w:val="both"/>
              <w:rPr>
                <w:rFonts w:cs="Arial"/>
              </w:rPr>
            </w:pPr>
            <w:r w:rsidRPr="00A61AC1">
              <w:rPr>
                <w:rFonts w:cs="Arial"/>
              </w:rPr>
              <w:t>Data compiler: Australian Council for Educational Research (ACER).</w:t>
            </w:r>
          </w:p>
        </w:tc>
      </w:tr>
      <w:tr w:rsidR="003F0E99" w:rsidRPr="003F0E99" w:rsidTr="0012085B">
        <w:trPr>
          <w:trHeight w:val="2690"/>
        </w:trPr>
        <w:tc>
          <w:tcPr>
            <w:tcW w:w="1984" w:type="dxa"/>
          </w:tcPr>
          <w:p w:rsidR="003F0E99" w:rsidRPr="003F0E99" w:rsidRDefault="003F0E99" w:rsidP="003F0E99">
            <w:pPr>
              <w:rPr>
                <w:rFonts w:ascii="Arial" w:hAnsi="Arial" w:cs="Arial"/>
                <w:b/>
                <w:sz w:val="20"/>
                <w:szCs w:val="20"/>
              </w:rPr>
            </w:pPr>
            <w:r w:rsidRPr="003F0E99">
              <w:rPr>
                <w:rFonts w:ascii="Arial" w:hAnsi="Arial" w:cs="Arial"/>
                <w:b/>
                <w:sz w:val="20"/>
                <w:szCs w:val="20"/>
              </w:rPr>
              <w:t>Relevance</w:t>
            </w:r>
          </w:p>
          <w:p w:rsidR="003F0E99" w:rsidRPr="003F0E99" w:rsidRDefault="003F0E99" w:rsidP="003F0E99">
            <w:pPr>
              <w:rPr>
                <w:rFonts w:ascii="Arial" w:hAnsi="Arial" w:cs="Arial"/>
                <w:b/>
                <w:sz w:val="20"/>
                <w:szCs w:val="20"/>
              </w:rPr>
            </w:pPr>
          </w:p>
        </w:tc>
        <w:tc>
          <w:tcPr>
            <w:tcW w:w="6947" w:type="dxa"/>
          </w:tcPr>
          <w:p w:rsidR="00A61AC1" w:rsidRPr="00A61AC1" w:rsidRDefault="00A61AC1" w:rsidP="00A47644">
            <w:pPr>
              <w:pStyle w:val="TableBodyText"/>
              <w:jc w:val="both"/>
              <w:rPr>
                <w:rFonts w:cs="Arial"/>
              </w:rPr>
            </w:pPr>
            <w:r w:rsidRPr="00A61AC1">
              <w:rPr>
                <w:rFonts w:cs="Arial"/>
              </w:rPr>
              <w:t>Level of geography: Data are available at National and State / Territory levels, by parental education and parental occupation levels, or by Indigenous status or geographic location</w:t>
            </w:r>
          </w:p>
          <w:p w:rsidR="00A61AC1" w:rsidRPr="00A61AC1" w:rsidRDefault="00A61AC1" w:rsidP="00A47644">
            <w:pPr>
              <w:pStyle w:val="TableBodyText"/>
              <w:jc w:val="both"/>
              <w:rPr>
                <w:rFonts w:cs="Arial"/>
              </w:rPr>
            </w:pPr>
            <w:r w:rsidRPr="00A61AC1">
              <w:rPr>
                <w:rFonts w:cs="Arial"/>
              </w:rPr>
              <w:t>Data completeness: Yes.</w:t>
            </w:r>
          </w:p>
          <w:p w:rsidR="00A61AC1" w:rsidRPr="00A61AC1" w:rsidRDefault="00A61AC1" w:rsidP="00A47644">
            <w:pPr>
              <w:pStyle w:val="TableBodyText"/>
              <w:jc w:val="both"/>
              <w:rPr>
                <w:rFonts w:cs="Arial"/>
              </w:rPr>
            </w:pPr>
            <w:r w:rsidRPr="00A61AC1">
              <w:rPr>
                <w:rFonts w:cs="Arial"/>
              </w:rPr>
              <w:t>Numerator/denominator source: The numerator and denominator are compiled from a single source, provided by our contractor ACER.</w:t>
            </w:r>
          </w:p>
          <w:p w:rsidR="00A61AC1" w:rsidRPr="00A61AC1" w:rsidRDefault="00A61AC1" w:rsidP="00A47644">
            <w:pPr>
              <w:pStyle w:val="TableBodyText"/>
              <w:jc w:val="both"/>
              <w:rPr>
                <w:rFonts w:cs="Arial"/>
              </w:rPr>
            </w:pPr>
            <w:r w:rsidRPr="00A61AC1">
              <w:rPr>
                <w:rFonts w:cs="Arial"/>
              </w:rPr>
              <w:t>For education indicators, are all types of schools, universities, technical colleges/TAFEs and correspondence schools included? Schools included are those whose students sit NAPLAN tests.</w:t>
            </w:r>
          </w:p>
          <w:p w:rsidR="009C3B52" w:rsidRPr="003F0E99" w:rsidRDefault="00A61AC1" w:rsidP="0012085B">
            <w:pPr>
              <w:pStyle w:val="TableBodyText"/>
              <w:jc w:val="both"/>
              <w:rPr>
                <w:rFonts w:cs="Arial"/>
              </w:rPr>
            </w:pPr>
            <w:r w:rsidRPr="00A61AC1">
              <w:rPr>
                <w:rFonts w:cs="Arial"/>
              </w:rPr>
              <w:t>Have standard classifications been used? Yes.</w:t>
            </w:r>
          </w:p>
        </w:tc>
      </w:tr>
      <w:tr w:rsidR="003F0E99" w:rsidRPr="003F0E99" w:rsidTr="003F0E99">
        <w:tc>
          <w:tcPr>
            <w:tcW w:w="1984" w:type="dxa"/>
          </w:tcPr>
          <w:p w:rsidR="003F0E99" w:rsidRPr="003F0E99" w:rsidRDefault="003F0E99" w:rsidP="003F0E99">
            <w:pPr>
              <w:rPr>
                <w:rFonts w:ascii="Arial" w:hAnsi="Arial" w:cs="Arial"/>
                <w:b/>
                <w:sz w:val="20"/>
                <w:szCs w:val="20"/>
              </w:rPr>
            </w:pPr>
            <w:r w:rsidRPr="003F0E99">
              <w:rPr>
                <w:rFonts w:ascii="Arial" w:hAnsi="Arial" w:cs="Arial"/>
                <w:b/>
                <w:sz w:val="20"/>
                <w:szCs w:val="20"/>
              </w:rPr>
              <w:t>Timeliness</w:t>
            </w:r>
          </w:p>
          <w:p w:rsidR="003F0E99" w:rsidRPr="003F0E99" w:rsidRDefault="003F0E99" w:rsidP="003F0E99">
            <w:pPr>
              <w:rPr>
                <w:rFonts w:ascii="Arial" w:hAnsi="Arial" w:cs="Arial"/>
                <w:b/>
                <w:sz w:val="20"/>
                <w:szCs w:val="20"/>
              </w:rPr>
            </w:pPr>
          </w:p>
        </w:tc>
        <w:tc>
          <w:tcPr>
            <w:tcW w:w="6947" w:type="dxa"/>
          </w:tcPr>
          <w:p w:rsidR="00A61AC1" w:rsidRPr="00A61AC1" w:rsidRDefault="00A61AC1" w:rsidP="00A47644">
            <w:pPr>
              <w:pStyle w:val="TableBodyText"/>
              <w:jc w:val="both"/>
              <w:rPr>
                <w:rFonts w:cs="Arial"/>
              </w:rPr>
            </w:pPr>
            <w:r w:rsidRPr="00A61AC1">
              <w:rPr>
                <w:rFonts w:cs="Arial"/>
              </w:rPr>
              <w:t>Collection interval/s: The NAPLAN tests are conducted annually.</w:t>
            </w:r>
          </w:p>
          <w:p w:rsidR="009C3B52" w:rsidRPr="003F0E99" w:rsidRDefault="00A61AC1" w:rsidP="00A47644">
            <w:pPr>
              <w:pStyle w:val="TableBodyText"/>
              <w:jc w:val="both"/>
              <w:rPr>
                <w:rFonts w:cs="Arial"/>
              </w:rPr>
            </w:pPr>
            <w:r w:rsidRPr="00A61AC1">
              <w:rPr>
                <w:rFonts w:cs="Arial"/>
              </w:rPr>
              <w:t>Data available: The National Report: Achievement in Reading, Writing, Language Conventions and Numeracy 2013, as released by Ministers</w:t>
            </w:r>
            <w:r>
              <w:rPr>
                <w:rFonts w:cs="Arial"/>
              </w:rPr>
              <w:t xml:space="preserve"> </w:t>
            </w:r>
            <w:r w:rsidRPr="00A61AC1">
              <w:rPr>
                <w:rFonts w:cs="Arial"/>
              </w:rPr>
              <w:t>on 13</w:t>
            </w:r>
            <w:r w:rsidR="009F5EB6">
              <w:rPr>
                <w:rFonts w:cs="Arial"/>
              </w:rPr>
              <w:t> </w:t>
            </w:r>
            <w:r w:rsidRPr="00A61AC1">
              <w:rPr>
                <w:rFonts w:cs="Arial"/>
              </w:rPr>
              <w:t>December 2013</w:t>
            </w:r>
          </w:p>
        </w:tc>
      </w:tr>
      <w:tr w:rsidR="003F0E99" w:rsidRPr="003F0E99" w:rsidTr="003F0E99">
        <w:tc>
          <w:tcPr>
            <w:tcW w:w="1984" w:type="dxa"/>
          </w:tcPr>
          <w:p w:rsidR="003F0E99" w:rsidRPr="003F0E99" w:rsidRDefault="003F0E99" w:rsidP="003F0E99">
            <w:pPr>
              <w:rPr>
                <w:rFonts w:ascii="Arial" w:hAnsi="Arial" w:cs="Arial"/>
                <w:b/>
                <w:sz w:val="20"/>
                <w:szCs w:val="20"/>
              </w:rPr>
            </w:pPr>
            <w:r w:rsidRPr="003F0E99">
              <w:rPr>
                <w:rFonts w:ascii="Arial" w:hAnsi="Arial" w:cs="Arial"/>
                <w:b/>
                <w:sz w:val="20"/>
                <w:szCs w:val="20"/>
              </w:rPr>
              <w:t>Accuracy</w:t>
            </w:r>
          </w:p>
          <w:p w:rsidR="003F0E99" w:rsidRPr="003F0E99" w:rsidRDefault="003F0E99" w:rsidP="003F0E99">
            <w:pPr>
              <w:rPr>
                <w:rFonts w:ascii="Arial" w:hAnsi="Arial" w:cs="Arial"/>
                <w:b/>
                <w:sz w:val="20"/>
                <w:szCs w:val="20"/>
              </w:rPr>
            </w:pPr>
          </w:p>
        </w:tc>
        <w:tc>
          <w:tcPr>
            <w:tcW w:w="6947" w:type="dxa"/>
          </w:tcPr>
          <w:p w:rsidR="00A61AC1" w:rsidRDefault="00A61AC1" w:rsidP="00A47644">
            <w:pPr>
              <w:pStyle w:val="TableBodyText"/>
              <w:jc w:val="both"/>
            </w:pPr>
            <w:r>
              <w:t>Method of collection: By Test Administration Authorities and provided to our contractor ACER for analysis. Results are then provided to ACARA.</w:t>
            </w:r>
          </w:p>
          <w:p w:rsidR="00A61AC1" w:rsidRDefault="00A61AC1" w:rsidP="00A47644">
            <w:pPr>
              <w:pStyle w:val="TableBodyText"/>
              <w:jc w:val="both"/>
            </w:pPr>
            <w:r>
              <w:t>Data adjustments: Raw NAPLAN scores are converted to scaled scores.</w:t>
            </w:r>
          </w:p>
          <w:p w:rsidR="00A61AC1" w:rsidRDefault="00A61AC1" w:rsidP="00A47644">
            <w:pPr>
              <w:pStyle w:val="TableBodyText"/>
              <w:jc w:val="both"/>
            </w:pPr>
            <w:r>
              <w:t>Sample/collection size: The collection size is a census of NAPLAN participating years (3, 5, 7 &amp; 9).</w:t>
            </w:r>
          </w:p>
          <w:p w:rsidR="00A61AC1" w:rsidRDefault="00A61AC1" w:rsidP="00A47644">
            <w:pPr>
              <w:pStyle w:val="TableBodyText"/>
              <w:jc w:val="both"/>
            </w:pPr>
            <w:r>
              <w:t>Known issues: Confidence intervals should be considered when ranking jurisdictions. The confidence intervals used to compare jurisdictions within a calendar year are not the same confidence intervals used to compare across calendar years.</w:t>
            </w:r>
          </w:p>
          <w:p w:rsidR="00A61AC1" w:rsidRDefault="00A61AC1" w:rsidP="00A47644">
            <w:pPr>
              <w:pStyle w:val="TableBodyText"/>
              <w:jc w:val="both"/>
            </w:pPr>
            <w:r>
              <w:t>Year to year change: Caution should be exercised when using the data to measure small changes from year to year; 95 per cent confidence intervals have been provided to the Steering Committee for the Review of Government Service Provision.</w:t>
            </w:r>
          </w:p>
          <w:p w:rsidR="003F0E99" w:rsidRDefault="00A61AC1" w:rsidP="00A47644">
            <w:pPr>
              <w:pStyle w:val="TableBodyText"/>
              <w:jc w:val="both"/>
            </w:pPr>
            <w:r>
              <w:t>Is the data being used attitudinal or data? Data</w:t>
            </w:r>
          </w:p>
          <w:p w:rsidR="009C3B52" w:rsidRPr="003F0E99" w:rsidRDefault="009C3B52" w:rsidP="00A47644">
            <w:pPr>
              <w:pStyle w:val="TableBodyText"/>
              <w:jc w:val="both"/>
            </w:pPr>
          </w:p>
        </w:tc>
      </w:tr>
      <w:tr w:rsidR="003F0E99" w:rsidRPr="003F0E99" w:rsidTr="003F0E99">
        <w:tc>
          <w:tcPr>
            <w:tcW w:w="1984" w:type="dxa"/>
          </w:tcPr>
          <w:p w:rsidR="003F0E99" w:rsidRPr="003F0E99" w:rsidRDefault="003F0E99" w:rsidP="003F0E99">
            <w:pPr>
              <w:rPr>
                <w:rFonts w:ascii="Arial" w:hAnsi="Arial" w:cs="Arial"/>
                <w:b/>
                <w:sz w:val="20"/>
                <w:szCs w:val="20"/>
              </w:rPr>
            </w:pPr>
            <w:r w:rsidRPr="003F0E99">
              <w:rPr>
                <w:rFonts w:ascii="Arial" w:hAnsi="Arial" w:cs="Arial"/>
                <w:b/>
                <w:sz w:val="20"/>
                <w:szCs w:val="20"/>
              </w:rPr>
              <w:t>Coherence</w:t>
            </w:r>
          </w:p>
          <w:p w:rsidR="003F0E99" w:rsidRPr="003F0E99" w:rsidRDefault="003F0E99" w:rsidP="003F0E99">
            <w:pPr>
              <w:rPr>
                <w:rFonts w:ascii="Arial" w:hAnsi="Arial" w:cs="Arial"/>
                <w:b/>
                <w:sz w:val="20"/>
                <w:szCs w:val="20"/>
              </w:rPr>
            </w:pPr>
          </w:p>
        </w:tc>
        <w:tc>
          <w:tcPr>
            <w:tcW w:w="6947" w:type="dxa"/>
          </w:tcPr>
          <w:p w:rsidR="00F85BC0" w:rsidRDefault="00A61AC1" w:rsidP="00A47644">
            <w:pPr>
              <w:pStyle w:val="TableBodyText"/>
              <w:jc w:val="both"/>
            </w:pPr>
            <w:r>
              <w:t>Consistency over time: NAPLAN results are collected in a consistent manner annually. The numerator and denominator are compiled from a single source, provided by our contractor ACER. The data are consistent with data supplie</w:t>
            </w:r>
            <w:r w:rsidR="00F85BC0">
              <w:t>d in previous reporting rounds.</w:t>
            </w:r>
          </w:p>
          <w:p w:rsidR="003F0E99" w:rsidRDefault="00A61AC1" w:rsidP="00A47644">
            <w:pPr>
              <w:pStyle w:val="TableBodyText"/>
              <w:jc w:val="both"/>
            </w:pPr>
            <w:r>
              <w:t>Jurisdiction estimate calculation: Yes.</w:t>
            </w:r>
          </w:p>
          <w:p w:rsidR="009C3B52" w:rsidRPr="003F0E99" w:rsidRDefault="009C3B52" w:rsidP="00A47644">
            <w:pPr>
              <w:pStyle w:val="TableBodyText"/>
              <w:jc w:val="both"/>
            </w:pPr>
          </w:p>
        </w:tc>
      </w:tr>
      <w:tr w:rsidR="009C3B52" w:rsidRPr="003F0E99" w:rsidTr="003F0E99">
        <w:tc>
          <w:tcPr>
            <w:tcW w:w="1984" w:type="dxa"/>
          </w:tcPr>
          <w:p w:rsidR="009C3B52" w:rsidRPr="003F0E99" w:rsidRDefault="009C3B52" w:rsidP="00915C74">
            <w:pPr>
              <w:rPr>
                <w:rFonts w:ascii="Arial" w:hAnsi="Arial" w:cs="Arial"/>
                <w:b/>
                <w:sz w:val="20"/>
                <w:szCs w:val="20"/>
              </w:rPr>
            </w:pPr>
            <w:r w:rsidRPr="003F0E99">
              <w:rPr>
                <w:rFonts w:ascii="Arial" w:hAnsi="Arial" w:cs="Arial"/>
                <w:b/>
                <w:sz w:val="20"/>
                <w:szCs w:val="20"/>
              </w:rPr>
              <w:t>Interpretability</w:t>
            </w:r>
          </w:p>
          <w:p w:rsidR="009C3B52" w:rsidRPr="003F0E99" w:rsidRDefault="009C3B52" w:rsidP="00915C74">
            <w:pPr>
              <w:rPr>
                <w:rFonts w:ascii="Arial" w:hAnsi="Arial" w:cs="Arial"/>
                <w:b/>
                <w:sz w:val="20"/>
                <w:szCs w:val="20"/>
              </w:rPr>
            </w:pPr>
          </w:p>
        </w:tc>
        <w:tc>
          <w:tcPr>
            <w:tcW w:w="6947" w:type="dxa"/>
          </w:tcPr>
          <w:p w:rsidR="00BC4474" w:rsidRDefault="009C3B52" w:rsidP="00A47644">
            <w:pPr>
              <w:pStyle w:val="TableBodyText"/>
              <w:jc w:val="both"/>
              <w:rPr>
                <w:rFonts w:cs="Arial"/>
              </w:rPr>
            </w:pPr>
            <w:r w:rsidRPr="00A61AC1">
              <w:rPr>
                <w:rFonts w:cs="Arial"/>
              </w:rPr>
              <w:t>Other supporting information: FAQs on</w:t>
            </w:r>
          </w:p>
          <w:p w:rsidR="009C3B52" w:rsidRPr="00A61AC1" w:rsidRDefault="009C3B52" w:rsidP="00A47644">
            <w:pPr>
              <w:pStyle w:val="TableBodyText"/>
              <w:jc w:val="both"/>
              <w:rPr>
                <w:rFonts w:cs="Arial"/>
              </w:rPr>
            </w:pPr>
            <w:r w:rsidRPr="00A61AC1">
              <w:rPr>
                <w:rFonts w:cs="Arial"/>
              </w:rPr>
              <w:t>(</w:t>
            </w:r>
            <w:hyperlink r:id="rId14" w:history="1">
              <w:r w:rsidRPr="004D0295">
                <w:rPr>
                  <w:rFonts w:cs="Arial"/>
                </w:rPr>
                <w:t>http://www.nap.edu.au/information/faqs/faqs.html</w:t>
              </w:r>
            </w:hyperlink>
            <w:r w:rsidRPr="00A61AC1">
              <w:rPr>
                <w:rFonts w:cs="Arial"/>
              </w:rPr>
              <w:t>)</w:t>
            </w:r>
          </w:p>
          <w:p w:rsidR="009C3B52" w:rsidRPr="00A61AC1" w:rsidRDefault="009C3B52" w:rsidP="00A47644">
            <w:pPr>
              <w:pStyle w:val="TableBodyText"/>
              <w:jc w:val="both"/>
              <w:rPr>
                <w:rFonts w:cs="Arial"/>
              </w:rPr>
            </w:pPr>
            <w:r w:rsidRPr="00A61AC1">
              <w:rPr>
                <w:rFonts w:cs="Arial"/>
              </w:rPr>
              <w:t>Socioeconomic status derivation: N/A</w:t>
            </w:r>
          </w:p>
          <w:p w:rsidR="009C3B52" w:rsidRDefault="009C3B52" w:rsidP="00A47644">
            <w:pPr>
              <w:pStyle w:val="TableBodyText"/>
              <w:jc w:val="both"/>
              <w:rPr>
                <w:rFonts w:cs="Arial"/>
              </w:rPr>
            </w:pPr>
            <w:r w:rsidRPr="00A61AC1">
              <w:rPr>
                <w:rFonts w:cs="Arial"/>
              </w:rPr>
              <w:t>Socioeconomic status quintiles derivation: N/A</w:t>
            </w:r>
          </w:p>
          <w:p w:rsidR="009C3B52" w:rsidRPr="003F0E99" w:rsidRDefault="009C3B52" w:rsidP="00A47644">
            <w:pPr>
              <w:pStyle w:val="TableBodyText"/>
              <w:jc w:val="both"/>
              <w:rPr>
                <w:rFonts w:cs="Arial"/>
              </w:rPr>
            </w:pPr>
          </w:p>
        </w:tc>
      </w:tr>
      <w:tr w:rsidR="009C3B52" w:rsidRPr="003F0E99" w:rsidTr="003F0E99">
        <w:tc>
          <w:tcPr>
            <w:tcW w:w="1984" w:type="dxa"/>
          </w:tcPr>
          <w:p w:rsidR="009C3B52" w:rsidRPr="003F0E99" w:rsidRDefault="009C3B52" w:rsidP="00915C74">
            <w:pPr>
              <w:rPr>
                <w:rFonts w:ascii="Arial" w:hAnsi="Arial" w:cs="Arial"/>
                <w:b/>
                <w:sz w:val="20"/>
                <w:szCs w:val="20"/>
              </w:rPr>
            </w:pPr>
            <w:r w:rsidRPr="003F0E99">
              <w:rPr>
                <w:rFonts w:ascii="Arial" w:hAnsi="Arial" w:cs="Arial"/>
                <w:b/>
                <w:sz w:val="20"/>
                <w:szCs w:val="20"/>
              </w:rPr>
              <w:t>Accessibility</w:t>
            </w:r>
          </w:p>
        </w:tc>
        <w:tc>
          <w:tcPr>
            <w:tcW w:w="6947" w:type="dxa"/>
          </w:tcPr>
          <w:p w:rsidR="009C3B52" w:rsidRPr="00A61AC1" w:rsidRDefault="009C3B52" w:rsidP="00A47644">
            <w:pPr>
              <w:pStyle w:val="TableBodyText"/>
              <w:jc w:val="both"/>
              <w:rPr>
                <w:rFonts w:cs="Arial"/>
              </w:rPr>
            </w:pPr>
            <w:r w:rsidRPr="00A61AC1">
              <w:rPr>
                <w:rFonts w:cs="Arial"/>
              </w:rPr>
              <w:t xml:space="preserve">Data publicly available at </w:t>
            </w:r>
            <w:hyperlink r:id="rId15" w:history="1">
              <w:r w:rsidRPr="004D0295">
                <w:rPr>
                  <w:rFonts w:cs="Arial"/>
                </w:rPr>
                <w:t>http://reports.acara.edu.au/</w:t>
              </w:r>
            </w:hyperlink>
          </w:p>
          <w:p w:rsidR="009C3B52" w:rsidRPr="00A61AC1" w:rsidRDefault="009C3B52" w:rsidP="00A47644">
            <w:pPr>
              <w:pStyle w:val="TableBodyText"/>
              <w:jc w:val="both"/>
              <w:rPr>
                <w:rFonts w:cs="Arial"/>
              </w:rPr>
            </w:pPr>
            <w:r w:rsidRPr="00A61AC1">
              <w:rPr>
                <w:rFonts w:cs="Arial"/>
              </w:rPr>
              <w:t>Data are not available prior to publication.</w:t>
            </w:r>
          </w:p>
          <w:p w:rsidR="009C3B52" w:rsidRPr="00A61AC1" w:rsidRDefault="009C3B52" w:rsidP="00A47644">
            <w:pPr>
              <w:pStyle w:val="TableBodyText"/>
              <w:jc w:val="both"/>
              <w:rPr>
                <w:rFonts w:cs="Arial"/>
              </w:rPr>
            </w:pPr>
            <w:r w:rsidRPr="00A61AC1">
              <w:rPr>
                <w:rFonts w:cs="Arial"/>
              </w:rPr>
              <w:t>Supplementary data are not available.</w:t>
            </w:r>
          </w:p>
          <w:p w:rsidR="009C3B52" w:rsidRPr="003F0E99" w:rsidRDefault="009C3B52" w:rsidP="00A47644">
            <w:pPr>
              <w:pStyle w:val="TableBodyText"/>
              <w:jc w:val="both"/>
              <w:rPr>
                <w:rFonts w:cs="Arial"/>
              </w:rPr>
            </w:pPr>
            <w:r w:rsidRPr="00A61AC1">
              <w:rPr>
                <w:rFonts w:cs="Arial"/>
              </w:rPr>
              <w:t xml:space="preserve">The data are available in PDF format at </w:t>
            </w:r>
            <w:hyperlink r:id="rId16" w:history="1">
              <w:r w:rsidRPr="004D0295">
                <w:rPr>
                  <w:rFonts w:cs="Arial"/>
                </w:rPr>
                <w:t>http://www.nap.edu.au/results-and-reports/national-reports.html</w:t>
              </w:r>
            </w:hyperlink>
          </w:p>
        </w:tc>
      </w:tr>
    </w:tbl>
    <w:p w:rsidR="001A5D6A" w:rsidRDefault="001A5D6A" w:rsidP="001A5D6A">
      <w:pPr>
        <w:pStyle w:val="BodyText"/>
      </w:pPr>
    </w:p>
    <w:p w:rsidR="001A5D6A" w:rsidRDefault="001A5D6A">
      <w:pPr>
        <w:rPr>
          <w:rFonts w:ascii="Arial" w:hAnsi="Arial"/>
          <w:b/>
          <w:szCs w:val="20"/>
        </w:rPr>
      </w:pPr>
      <w:r>
        <w:br w:type="page"/>
      </w:r>
    </w:p>
    <w:p w:rsidR="003F0E99" w:rsidRPr="003F0E99" w:rsidRDefault="003F0E99" w:rsidP="001A5D6A">
      <w:pPr>
        <w:pStyle w:val="Heading3"/>
      </w:pPr>
      <w:bookmarkStart w:id="33" w:name="_Ref381717912"/>
      <w:r w:rsidRPr="003F0E99">
        <w:t xml:space="preserve">Data quality statement — </w:t>
      </w:r>
      <w:r>
        <w:t>Indicator 3:</w:t>
      </w:r>
      <w:r w:rsidRPr="003F0E99">
        <w:t xml:space="preserve"> The proportion of students in the bottom and top levels of performance in international testing</w:t>
      </w:r>
      <w:bookmarkEnd w:id="33"/>
    </w:p>
    <w:p w:rsidR="003F0E99" w:rsidRPr="003F0E99" w:rsidRDefault="003F0E99" w:rsidP="003F0E99">
      <w:pPr>
        <w:keepNext/>
        <w:spacing w:before="360" w:line="80" w:lineRule="exact"/>
        <w:rPr>
          <w:szCs w:val="20"/>
        </w:rPr>
      </w:pPr>
    </w:p>
    <w:tbl>
      <w:tblPr>
        <w:tblW w:w="8931" w:type="dxa"/>
        <w:tblInd w:w="-34" w:type="dxa"/>
        <w:tblLook w:val="01E0" w:firstRow="1" w:lastRow="1" w:firstColumn="1" w:lastColumn="1" w:noHBand="0" w:noVBand="0"/>
      </w:tblPr>
      <w:tblGrid>
        <w:gridCol w:w="1984"/>
        <w:gridCol w:w="6947"/>
      </w:tblGrid>
      <w:tr w:rsidR="003F0E99" w:rsidRPr="003F0E99" w:rsidTr="00A47644">
        <w:trPr>
          <w:trHeight w:val="400"/>
        </w:trPr>
        <w:tc>
          <w:tcPr>
            <w:tcW w:w="1984" w:type="dxa"/>
            <w:hideMark/>
          </w:tcPr>
          <w:p w:rsidR="003F0E99" w:rsidRPr="003F0E99" w:rsidRDefault="003F0E99" w:rsidP="003F0E99">
            <w:pPr>
              <w:rPr>
                <w:rFonts w:ascii="Arial" w:hAnsi="Arial" w:cs="Arial"/>
                <w:b/>
                <w:sz w:val="20"/>
                <w:szCs w:val="20"/>
              </w:rPr>
            </w:pPr>
            <w:r w:rsidRPr="003F0E99">
              <w:rPr>
                <w:rFonts w:ascii="Arial" w:hAnsi="Arial" w:cs="Arial"/>
                <w:b/>
                <w:sz w:val="20"/>
                <w:szCs w:val="20"/>
              </w:rPr>
              <w:t>Target/Outcome</w:t>
            </w:r>
          </w:p>
        </w:tc>
        <w:tc>
          <w:tcPr>
            <w:tcW w:w="6947" w:type="dxa"/>
          </w:tcPr>
          <w:p w:rsidR="003F0E99" w:rsidRPr="003F0E99" w:rsidRDefault="001E777B" w:rsidP="00CA064E">
            <w:pPr>
              <w:pStyle w:val="TableBodyText"/>
              <w:jc w:val="both"/>
            </w:pPr>
            <w:r w:rsidRPr="001E777B">
              <w:t>Australian students excel by international standards</w:t>
            </w:r>
          </w:p>
        </w:tc>
      </w:tr>
      <w:tr w:rsidR="003F0E99" w:rsidRPr="003F0E99" w:rsidTr="00554483">
        <w:trPr>
          <w:trHeight w:val="565"/>
        </w:trPr>
        <w:tc>
          <w:tcPr>
            <w:tcW w:w="1984" w:type="dxa"/>
            <w:hideMark/>
          </w:tcPr>
          <w:p w:rsidR="003F0E99" w:rsidRPr="003F0E99" w:rsidRDefault="003F0E99" w:rsidP="003F0E99">
            <w:pPr>
              <w:rPr>
                <w:rFonts w:ascii="Arial" w:hAnsi="Arial" w:cs="Arial"/>
                <w:b/>
                <w:sz w:val="20"/>
                <w:szCs w:val="20"/>
              </w:rPr>
            </w:pPr>
            <w:r w:rsidRPr="003F0E99">
              <w:rPr>
                <w:rFonts w:ascii="Arial" w:hAnsi="Arial" w:cs="Arial"/>
                <w:b/>
                <w:sz w:val="20"/>
                <w:szCs w:val="20"/>
              </w:rPr>
              <w:t>Indicator</w:t>
            </w:r>
          </w:p>
        </w:tc>
        <w:tc>
          <w:tcPr>
            <w:tcW w:w="6947" w:type="dxa"/>
          </w:tcPr>
          <w:p w:rsidR="003F0E99" w:rsidRPr="003F0E99" w:rsidRDefault="00F44C05" w:rsidP="00CA064E">
            <w:pPr>
              <w:pStyle w:val="TableBodyText"/>
              <w:jc w:val="both"/>
            </w:pPr>
            <w:r w:rsidRPr="00F44C05">
              <w:t>Indicator 3: The proportion of students in the each of the nationally agreed proficiency levels of performance in international testing</w:t>
            </w:r>
          </w:p>
        </w:tc>
      </w:tr>
      <w:tr w:rsidR="003F0E99" w:rsidRPr="003F0E99" w:rsidTr="00554483">
        <w:trPr>
          <w:trHeight w:val="4530"/>
        </w:trPr>
        <w:tc>
          <w:tcPr>
            <w:tcW w:w="1984" w:type="dxa"/>
            <w:hideMark/>
          </w:tcPr>
          <w:p w:rsidR="003F0E99" w:rsidRPr="003F0E99" w:rsidRDefault="003F0E99" w:rsidP="003F0E99">
            <w:pPr>
              <w:rPr>
                <w:rFonts w:ascii="Arial" w:hAnsi="Arial" w:cs="Arial"/>
                <w:b/>
                <w:sz w:val="20"/>
                <w:szCs w:val="20"/>
              </w:rPr>
            </w:pPr>
            <w:r w:rsidRPr="003F0E99">
              <w:rPr>
                <w:rFonts w:ascii="Arial" w:hAnsi="Arial" w:cs="Arial"/>
                <w:b/>
                <w:sz w:val="20"/>
                <w:szCs w:val="20"/>
              </w:rPr>
              <w:t>Measure (computation)</w:t>
            </w:r>
          </w:p>
        </w:tc>
        <w:tc>
          <w:tcPr>
            <w:tcW w:w="6947" w:type="dxa"/>
          </w:tcPr>
          <w:p w:rsidR="00012BCD" w:rsidRDefault="00012BCD" w:rsidP="00CA064E">
            <w:pPr>
              <w:pStyle w:val="TableBodyText"/>
              <w:jc w:val="both"/>
            </w:pPr>
            <w:r>
              <w:t>List of all the measures:</w:t>
            </w:r>
          </w:p>
          <w:p w:rsidR="00012BCD" w:rsidRDefault="00CD77AA" w:rsidP="00CA064E">
            <w:pPr>
              <w:pStyle w:val="TableBodyText"/>
              <w:jc w:val="both"/>
            </w:pPr>
            <w:r>
              <w:rPr>
                <w:b/>
              </w:rPr>
              <w:t>Measure 3</w:t>
            </w:r>
            <w:r w:rsidR="00012BCD" w:rsidRPr="00012BCD">
              <w:rPr>
                <w:b/>
              </w:rPr>
              <w:t>(a)</w:t>
            </w:r>
            <w:r w:rsidR="00012BCD">
              <w:t xml:space="preserve"> — Proportion of students that achieved at or above the nationally agreed proficiency level for each of reading literacy, mathematical literacy and scientific literacy.</w:t>
            </w:r>
          </w:p>
          <w:p w:rsidR="00012BCD" w:rsidRDefault="00CD77AA" w:rsidP="00CA064E">
            <w:pPr>
              <w:pStyle w:val="TableBullet"/>
              <w:jc w:val="both"/>
            </w:pPr>
            <w:r w:rsidRPr="008A61ED">
              <w:rPr>
                <w:i/>
              </w:rPr>
              <w:t>Numerator 3</w:t>
            </w:r>
            <w:r w:rsidR="00012BCD" w:rsidRPr="008A61ED">
              <w:rPr>
                <w:i/>
              </w:rPr>
              <w:t>(a)</w:t>
            </w:r>
            <w:r w:rsidR="00012BCD">
              <w:t>: number of students who achieved at or above the nationally agreed proficiency level (Level 3 for PISA) for each of reading literacy, mathematical literacy and scientific literacy.</w:t>
            </w:r>
          </w:p>
          <w:p w:rsidR="00012BCD" w:rsidRDefault="00CD77AA" w:rsidP="00CA064E">
            <w:pPr>
              <w:pStyle w:val="TableBodyText"/>
              <w:jc w:val="both"/>
            </w:pPr>
            <w:r>
              <w:rPr>
                <w:b/>
              </w:rPr>
              <w:t>Measure 3</w:t>
            </w:r>
            <w:r w:rsidR="00012BCD" w:rsidRPr="00012BCD">
              <w:rPr>
                <w:b/>
              </w:rPr>
              <w:t>(b)</w:t>
            </w:r>
            <w:r w:rsidR="00012BCD">
              <w:t xml:space="preserve"> — Proportion of students in top and bottom levels of performance for each of reading literacy, mathematical literacy and scientific literacy.</w:t>
            </w:r>
          </w:p>
          <w:p w:rsidR="00012BCD" w:rsidRDefault="00012BCD" w:rsidP="00CA064E">
            <w:pPr>
              <w:pStyle w:val="TableBullet"/>
              <w:jc w:val="both"/>
            </w:pPr>
            <w:r w:rsidRPr="008A61ED">
              <w:rPr>
                <w:i/>
              </w:rPr>
              <w:t>N</w:t>
            </w:r>
            <w:r w:rsidR="00CD77AA" w:rsidRPr="008A61ED">
              <w:rPr>
                <w:i/>
              </w:rPr>
              <w:t>umerator 3</w:t>
            </w:r>
            <w:r w:rsidRPr="008A61ED">
              <w:rPr>
                <w:i/>
              </w:rPr>
              <w:t>(b) top level</w:t>
            </w:r>
            <w:r>
              <w:t>: number of students who achieved at level 5 and level 6 on each of reading literacy, mathematical literacy and scientific literacy.</w:t>
            </w:r>
          </w:p>
          <w:p w:rsidR="00012BCD" w:rsidRDefault="00CD77AA" w:rsidP="00CA064E">
            <w:pPr>
              <w:pStyle w:val="TableBullet"/>
              <w:jc w:val="both"/>
            </w:pPr>
            <w:r w:rsidRPr="008A61ED">
              <w:rPr>
                <w:i/>
              </w:rPr>
              <w:t>Numerator 3</w:t>
            </w:r>
            <w:r w:rsidR="00012BCD" w:rsidRPr="008A61ED">
              <w:rPr>
                <w:i/>
              </w:rPr>
              <w:t>(b) bottom level</w:t>
            </w:r>
            <w:r w:rsidR="00012BCD">
              <w:t>: number of students who achieved at level 1 or below on each of reading literacy, mathematical literacy and scientific literacy.</w:t>
            </w:r>
          </w:p>
          <w:p w:rsidR="00794378" w:rsidRPr="003F0E99" w:rsidRDefault="00CD77AA" w:rsidP="00CA064E">
            <w:pPr>
              <w:pStyle w:val="TableBodyText"/>
              <w:jc w:val="both"/>
            </w:pPr>
            <w:r w:rsidRPr="008A61ED">
              <w:rPr>
                <w:i/>
              </w:rPr>
              <w:t>Denominator (both measure 3(a) and 3(</w:t>
            </w:r>
            <w:r w:rsidR="00012BCD" w:rsidRPr="008A61ED">
              <w:rPr>
                <w:i/>
              </w:rPr>
              <w:t>b</w:t>
            </w:r>
            <w:r w:rsidRPr="008A61ED">
              <w:rPr>
                <w:i/>
              </w:rPr>
              <w:t>)</w:t>
            </w:r>
            <w:r w:rsidR="00012BCD" w:rsidRPr="008A61ED">
              <w:rPr>
                <w:i/>
              </w:rPr>
              <w:t>)</w:t>
            </w:r>
            <w:r w:rsidR="00012BCD">
              <w:t>: total population of all students (15 year old students participating in PISA).</w:t>
            </w:r>
          </w:p>
        </w:tc>
      </w:tr>
      <w:tr w:rsidR="003F0E99" w:rsidRPr="003F0E99" w:rsidTr="00554483">
        <w:trPr>
          <w:trHeight w:val="287"/>
        </w:trPr>
        <w:tc>
          <w:tcPr>
            <w:tcW w:w="1984" w:type="dxa"/>
            <w:hideMark/>
          </w:tcPr>
          <w:p w:rsidR="003F0E99" w:rsidRPr="003F0E99" w:rsidRDefault="003F0E99" w:rsidP="003F0E99">
            <w:pPr>
              <w:rPr>
                <w:rFonts w:ascii="Arial" w:hAnsi="Arial" w:cs="Arial"/>
                <w:b/>
                <w:sz w:val="20"/>
                <w:szCs w:val="20"/>
              </w:rPr>
            </w:pPr>
            <w:r w:rsidRPr="003F0E99">
              <w:rPr>
                <w:rFonts w:ascii="Arial" w:hAnsi="Arial" w:cs="Arial"/>
                <w:b/>
                <w:sz w:val="20"/>
                <w:szCs w:val="20"/>
              </w:rPr>
              <w:t>Data source/s</w:t>
            </w:r>
          </w:p>
        </w:tc>
        <w:tc>
          <w:tcPr>
            <w:tcW w:w="6947" w:type="dxa"/>
          </w:tcPr>
          <w:p w:rsidR="003F0E99" w:rsidRPr="003F0E99" w:rsidRDefault="00C44F5A" w:rsidP="00CA064E">
            <w:pPr>
              <w:pStyle w:val="TableBodyText"/>
              <w:jc w:val="both"/>
            </w:pPr>
            <w:r w:rsidRPr="00C44F5A">
              <w:t>PISA 2012</w:t>
            </w:r>
          </w:p>
        </w:tc>
      </w:tr>
      <w:tr w:rsidR="003F0E99" w:rsidRPr="003F0E99" w:rsidTr="00A47644">
        <w:trPr>
          <w:trHeight w:val="3422"/>
        </w:trPr>
        <w:tc>
          <w:tcPr>
            <w:tcW w:w="1984" w:type="dxa"/>
            <w:hideMark/>
          </w:tcPr>
          <w:p w:rsidR="003F0E99" w:rsidRPr="003F0E99" w:rsidRDefault="003F0E99" w:rsidP="003F0E99">
            <w:pPr>
              <w:rPr>
                <w:rFonts w:ascii="Arial" w:hAnsi="Arial" w:cs="Arial"/>
                <w:b/>
                <w:sz w:val="20"/>
                <w:szCs w:val="20"/>
              </w:rPr>
            </w:pPr>
            <w:r w:rsidRPr="003F0E99">
              <w:rPr>
                <w:rFonts w:ascii="Arial" w:hAnsi="Arial" w:cs="Arial"/>
                <w:b/>
                <w:sz w:val="20"/>
                <w:szCs w:val="20"/>
              </w:rPr>
              <w:t>Institutional environment</w:t>
            </w:r>
          </w:p>
        </w:tc>
        <w:tc>
          <w:tcPr>
            <w:tcW w:w="6947" w:type="dxa"/>
          </w:tcPr>
          <w:p w:rsidR="00C44F5A" w:rsidRPr="00C44F5A" w:rsidRDefault="00C44F5A" w:rsidP="00CA064E">
            <w:pPr>
              <w:pStyle w:val="TableBodyText"/>
              <w:jc w:val="both"/>
            </w:pPr>
            <w:r w:rsidRPr="00C44F5A">
              <w:t>Data Collector(s): The data were collected by the Australian Council for Educational Research</w:t>
            </w:r>
            <w:r>
              <w:t xml:space="preserve"> (ACER)</w:t>
            </w:r>
            <w:r w:rsidRPr="00C44F5A">
              <w:t>. ACER is an independent not for profit educational research company.</w:t>
            </w:r>
          </w:p>
          <w:p w:rsidR="00C44F5A" w:rsidRPr="00C44F5A" w:rsidRDefault="00C44F5A" w:rsidP="00CA064E">
            <w:pPr>
              <w:pStyle w:val="TableBodyText"/>
              <w:jc w:val="both"/>
            </w:pPr>
            <w:r w:rsidRPr="00C44F5A">
              <w:t>Collection authority: ACER are contracted by the Commonwealth and State and Territory Governments to manage PISA in Australia.</w:t>
            </w:r>
          </w:p>
          <w:p w:rsidR="00C44F5A" w:rsidRPr="00C44F5A" w:rsidRDefault="00C44F5A" w:rsidP="00CA064E">
            <w:pPr>
              <w:pStyle w:val="TableBodyText"/>
              <w:jc w:val="both"/>
            </w:pPr>
            <w:r w:rsidRPr="00C44F5A">
              <w:t>Data Compiler(s): The data were compiled by the Australian Council for Educational Research. ACER is an independent not for profit educational research company.</w:t>
            </w:r>
          </w:p>
          <w:p w:rsidR="00C44F5A" w:rsidRPr="00C44F5A" w:rsidRDefault="00C44F5A" w:rsidP="00CA064E">
            <w:pPr>
              <w:pStyle w:val="TableBodyText"/>
              <w:jc w:val="both"/>
            </w:pPr>
            <w:r w:rsidRPr="00C44F5A">
              <w:t>Statistical confidentiality is guaranteed. All identifying data are removed from the data file prior to submission to the OECD.</w:t>
            </w:r>
          </w:p>
          <w:p w:rsidR="003F0E99" w:rsidRPr="003F0E99" w:rsidRDefault="00C44F5A" w:rsidP="00CA064E">
            <w:pPr>
              <w:pStyle w:val="TableBodyText"/>
              <w:jc w:val="both"/>
            </w:pPr>
            <w:r w:rsidRPr="00C44F5A">
              <w:t>Any identified errors are corrected immediately and a note added to the website informing clients of the changes, Key users are contacted when errors are found in published data.</w:t>
            </w:r>
          </w:p>
        </w:tc>
      </w:tr>
      <w:tr w:rsidR="003F0E99" w:rsidRPr="003F0E99" w:rsidTr="003F0E99">
        <w:tc>
          <w:tcPr>
            <w:tcW w:w="1984" w:type="dxa"/>
          </w:tcPr>
          <w:p w:rsidR="003F0E99" w:rsidRPr="003F0E99" w:rsidRDefault="003F0E99" w:rsidP="003F0E99">
            <w:pPr>
              <w:rPr>
                <w:rFonts w:ascii="Arial" w:hAnsi="Arial" w:cs="Arial"/>
                <w:b/>
                <w:sz w:val="20"/>
                <w:szCs w:val="20"/>
              </w:rPr>
            </w:pPr>
            <w:r w:rsidRPr="003F0E99">
              <w:rPr>
                <w:rFonts w:ascii="Arial" w:hAnsi="Arial" w:cs="Arial"/>
                <w:b/>
                <w:sz w:val="20"/>
                <w:szCs w:val="20"/>
              </w:rPr>
              <w:t>Relevance</w:t>
            </w:r>
          </w:p>
          <w:p w:rsidR="003F0E99" w:rsidRPr="003F0E99" w:rsidRDefault="003F0E99" w:rsidP="003F0E99">
            <w:pPr>
              <w:rPr>
                <w:rFonts w:ascii="Arial" w:hAnsi="Arial" w:cs="Arial"/>
                <w:b/>
                <w:sz w:val="20"/>
                <w:szCs w:val="20"/>
              </w:rPr>
            </w:pPr>
          </w:p>
        </w:tc>
        <w:tc>
          <w:tcPr>
            <w:tcW w:w="6947" w:type="dxa"/>
          </w:tcPr>
          <w:p w:rsidR="00C44F5A" w:rsidRPr="00C44F5A" w:rsidRDefault="00C44F5A" w:rsidP="00CA064E">
            <w:pPr>
              <w:pStyle w:val="TableBodyText"/>
              <w:jc w:val="both"/>
            </w:pPr>
            <w:r w:rsidRPr="00C44F5A">
              <w:t>Level of Geography: State/Territory</w:t>
            </w:r>
          </w:p>
          <w:p w:rsidR="00C44F5A" w:rsidRPr="00C44F5A" w:rsidRDefault="00C44F5A" w:rsidP="00CA064E">
            <w:pPr>
              <w:pStyle w:val="TableBodyText"/>
              <w:jc w:val="both"/>
            </w:pPr>
            <w:r w:rsidRPr="00C44F5A">
              <w:t>Data Completeness: All data are available from this data source.</w:t>
            </w:r>
          </w:p>
          <w:p w:rsidR="00C44F5A" w:rsidRPr="00C44F5A" w:rsidRDefault="00C44F5A" w:rsidP="00CA064E">
            <w:pPr>
              <w:pStyle w:val="TableBodyText"/>
              <w:jc w:val="both"/>
            </w:pPr>
            <w:r w:rsidRPr="00C44F5A">
              <w:t>Indigenous Statistics: Indigenous status is based on information schools collect at the time of enrolment</w:t>
            </w:r>
            <w:r w:rsidR="001714E9">
              <w:t xml:space="preserve"> </w:t>
            </w:r>
            <w:r w:rsidRPr="00C44F5A">
              <w:t>This data is also collected at student</w:t>
            </w:r>
            <w:r w:rsidR="001714E9">
              <w:t xml:space="preserve"> </w:t>
            </w:r>
            <w:r w:rsidRPr="00C44F5A">
              <w:t>level.</w:t>
            </w:r>
          </w:p>
          <w:p w:rsidR="00C44F5A" w:rsidRPr="00C44F5A" w:rsidRDefault="00C44F5A" w:rsidP="00CA064E">
            <w:pPr>
              <w:pStyle w:val="TableBodyText"/>
              <w:jc w:val="both"/>
            </w:pPr>
            <w:r w:rsidRPr="00C44F5A">
              <w:t>Socioeconomic status data: Socioeconomic status is available at all data levels.</w:t>
            </w:r>
          </w:p>
          <w:p w:rsidR="00C44F5A" w:rsidRPr="00C44F5A" w:rsidRDefault="00C44F5A" w:rsidP="00CA064E">
            <w:pPr>
              <w:pStyle w:val="TableBodyText"/>
              <w:jc w:val="both"/>
            </w:pPr>
            <w:r w:rsidRPr="00C44F5A">
              <w:t>Numerator/Denominator Source: Yes.</w:t>
            </w:r>
          </w:p>
          <w:p w:rsidR="00C44F5A" w:rsidRPr="00C44F5A" w:rsidRDefault="00C44F5A" w:rsidP="00CA064E">
            <w:pPr>
              <w:pStyle w:val="TableBodyText"/>
              <w:jc w:val="both"/>
            </w:pPr>
            <w:r w:rsidRPr="00C44F5A">
              <w:t>15 year old students enrolled in schools are covered. Students in correspondence schools are not covered.</w:t>
            </w:r>
          </w:p>
          <w:p w:rsidR="003F0E99" w:rsidRPr="003F0E99" w:rsidRDefault="00C44F5A" w:rsidP="00CA064E">
            <w:pPr>
              <w:pStyle w:val="TableBodyText"/>
              <w:jc w:val="both"/>
            </w:pPr>
            <w:r w:rsidRPr="00C44F5A">
              <w:t>Standard classifications are used where appropriate</w:t>
            </w:r>
            <w:r>
              <w:t>.</w:t>
            </w:r>
          </w:p>
        </w:tc>
      </w:tr>
      <w:tr w:rsidR="003F0E99" w:rsidRPr="003F0E99" w:rsidTr="00A47644">
        <w:trPr>
          <w:trHeight w:val="1618"/>
        </w:trPr>
        <w:tc>
          <w:tcPr>
            <w:tcW w:w="1984" w:type="dxa"/>
          </w:tcPr>
          <w:p w:rsidR="003F0E99" w:rsidRPr="003F0E99" w:rsidRDefault="003F0E99" w:rsidP="003F0E99">
            <w:pPr>
              <w:rPr>
                <w:rFonts w:ascii="Arial" w:hAnsi="Arial" w:cs="Arial"/>
                <w:b/>
                <w:sz w:val="20"/>
                <w:szCs w:val="20"/>
              </w:rPr>
            </w:pPr>
            <w:r w:rsidRPr="003F0E99">
              <w:rPr>
                <w:rFonts w:ascii="Arial" w:hAnsi="Arial" w:cs="Arial"/>
                <w:b/>
                <w:sz w:val="20"/>
                <w:szCs w:val="20"/>
              </w:rPr>
              <w:t>Timeliness</w:t>
            </w:r>
          </w:p>
          <w:p w:rsidR="003F0E99" w:rsidRPr="003F0E99" w:rsidRDefault="003F0E99" w:rsidP="003F0E99">
            <w:pPr>
              <w:rPr>
                <w:rFonts w:ascii="Arial" w:hAnsi="Arial" w:cs="Arial"/>
                <w:b/>
                <w:sz w:val="20"/>
                <w:szCs w:val="20"/>
              </w:rPr>
            </w:pPr>
          </w:p>
        </w:tc>
        <w:tc>
          <w:tcPr>
            <w:tcW w:w="6947" w:type="dxa"/>
          </w:tcPr>
          <w:p w:rsidR="00C44F5A" w:rsidRPr="00C44F5A" w:rsidRDefault="00C44F5A" w:rsidP="00CA064E">
            <w:pPr>
              <w:pStyle w:val="TableBodyText"/>
              <w:jc w:val="both"/>
            </w:pPr>
            <w:r w:rsidRPr="00C44F5A">
              <w:t>Collection interval/s: every 3 years</w:t>
            </w:r>
          </w:p>
          <w:p w:rsidR="00C44F5A" w:rsidRPr="00C44F5A" w:rsidRDefault="00C44F5A" w:rsidP="00CA064E">
            <w:pPr>
              <w:pStyle w:val="TableBodyText"/>
              <w:jc w:val="both"/>
            </w:pPr>
            <w:r w:rsidRPr="00C44F5A">
              <w:t>Data available: December 2013</w:t>
            </w:r>
          </w:p>
          <w:p w:rsidR="00C44F5A" w:rsidRPr="00C44F5A" w:rsidRDefault="00C44F5A" w:rsidP="00CA064E">
            <w:pPr>
              <w:pStyle w:val="TableBodyText"/>
              <w:jc w:val="both"/>
            </w:pPr>
            <w:r w:rsidRPr="00C44F5A">
              <w:t>Referenced Period: The data were collected during the 2012 school year.</w:t>
            </w:r>
          </w:p>
          <w:p w:rsidR="00C44F5A" w:rsidRPr="00C44F5A" w:rsidRDefault="00C44F5A" w:rsidP="00CA064E">
            <w:pPr>
              <w:pStyle w:val="TableBodyText"/>
              <w:jc w:val="both"/>
            </w:pPr>
            <w:r>
              <w:t>N</w:t>
            </w:r>
            <w:r w:rsidRPr="00C44F5A">
              <w:t>o revisions likely</w:t>
            </w:r>
            <w:r>
              <w:t>.</w:t>
            </w:r>
          </w:p>
          <w:p w:rsidR="003F0E99" w:rsidRPr="003F0E99" w:rsidRDefault="00C44F5A" w:rsidP="00CA064E">
            <w:pPr>
              <w:pStyle w:val="TableBodyText"/>
              <w:jc w:val="both"/>
            </w:pPr>
            <w:r>
              <w:t>S</w:t>
            </w:r>
            <w:r w:rsidRPr="00C44F5A">
              <w:t>ingle data source only</w:t>
            </w:r>
            <w:r>
              <w:t>.</w:t>
            </w:r>
          </w:p>
        </w:tc>
      </w:tr>
      <w:tr w:rsidR="003F0E99" w:rsidRPr="003F0E99" w:rsidTr="00A47644">
        <w:trPr>
          <w:trHeight w:val="2831"/>
        </w:trPr>
        <w:tc>
          <w:tcPr>
            <w:tcW w:w="1984" w:type="dxa"/>
          </w:tcPr>
          <w:p w:rsidR="003F0E99" w:rsidRPr="003F0E99" w:rsidRDefault="003F0E99" w:rsidP="003F0E99">
            <w:pPr>
              <w:rPr>
                <w:rFonts w:ascii="Arial" w:hAnsi="Arial" w:cs="Arial"/>
                <w:b/>
                <w:sz w:val="20"/>
                <w:szCs w:val="20"/>
              </w:rPr>
            </w:pPr>
            <w:r w:rsidRPr="003F0E99">
              <w:rPr>
                <w:rFonts w:ascii="Arial" w:hAnsi="Arial" w:cs="Arial"/>
                <w:b/>
                <w:sz w:val="20"/>
                <w:szCs w:val="20"/>
              </w:rPr>
              <w:t>Accuracy</w:t>
            </w:r>
          </w:p>
          <w:p w:rsidR="003F0E99" w:rsidRPr="003F0E99" w:rsidRDefault="003F0E99" w:rsidP="003F0E99">
            <w:pPr>
              <w:rPr>
                <w:rFonts w:ascii="Arial" w:hAnsi="Arial" w:cs="Arial"/>
                <w:b/>
                <w:sz w:val="20"/>
                <w:szCs w:val="20"/>
              </w:rPr>
            </w:pPr>
          </w:p>
        </w:tc>
        <w:tc>
          <w:tcPr>
            <w:tcW w:w="6947" w:type="dxa"/>
          </w:tcPr>
          <w:p w:rsidR="00C44F5A" w:rsidRPr="00C44F5A" w:rsidRDefault="00C44F5A" w:rsidP="00CA064E">
            <w:pPr>
              <w:pStyle w:val="TableBodyText"/>
              <w:jc w:val="both"/>
            </w:pPr>
            <w:r w:rsidRPr="00C44F5A">
              <w:t>Method of Collection: Test administrators attended selected schools to administer the test and questionnaires to students.</w:t>
            </w:r>
          </w:p>
          <w:p w:rsidR="00C44F5A" w:rsidRPr="00C44F5A" w:rsidRDefault="00C44F5A" w:rsidP="00CA064E">
            <w:pPr>
              <w:pStyle w:val="TableBodyText"/>
              <w:jc w:val="both"/>
            </w:pPr>
            <w:r w:rsidRPr="00C44F5A">
              <w:t>Data Adjustments: data are weighted only</w:t>
            </w:r>
            <w:r>
              <w:t>.</w:t>
            </w:r>
          </w:p>
          <w:p w:rsidR="00C44F5A" w:rsidRPr="00C44F5A" w:rsidRDefault="00C44F5A" w:rsidP="00CA064E">
            <w:pPr>
              <w:pStyle w:val="TableBodyText"/>
              <w:jc w:val="both"/>
            </w:pPr>
            <w:r w:rsidRPr="00C44F5A">
              <w:t>Sample/Collection size: The PISA sample is about 14</w:t>
            </w:r>
            <w:r w:rsidR="00305993">
              <w:t> </w:t>
            </w:r>
            <w:r w:rsidRPr="00C44F5A">
              <w:t>500 students</w:t>
            </w:r>
            <w:r>
              <w:t>.</w:t>
            </w:r>
          </w:p>
          <w:p w:rsidR="00C44F5A" w:rsidRPr="00C44F5A" w:rsidRDefault="00C44F5A" w:rsidP="00CA064E">
            <w:pPr>
              <w:pStyle w:val="TableBodyText"/>
              <w:jc w:val="both"/>
            </w:pPr>
            <w:r w:rsidRPr="00C44F5A">
              <w:t>Response rate: Student response rate is about 90</w:t>
            </w:r>
            <w:r w:rsidR="002F1B21">
              <w:t xml:space="preserve"> per cent</w:t>
            </w:r>
            <w:r>
              <w:t>.</w:t>
            </w:r>
          </w:p>
          <w:p w:rsidR="00C44F5A" w:rsidRPr="00C44F5A" w:rsidRDefault="00C44F5A" w:rsidP="00CA064E">
            <w:pPr>
              <w:pStyle w:val="TableBodyText"/>
              <w:jc w:val="both"/>
            </w:pPr>
            <w:r w:rsidRPr="00C44F5A">
              <w:t>Standard Errors: These vary but are included in tables where required</w:t>
            </w:r>
            <w:r>
              <w:t>.</w:t>
            </w:r>
          </w:p>
          <w:p w:rsidR="00C44F5A" w:rsidRPr="00C44F5A" w:rsidRDefault="00C44F5A" w:rsidP="00CA064E">
            <w:pPr>
              <w:pStyle w:val="TableBodyText"/>
              <w:jc w:val="both"/>
            </w:pPr>
            <w:r w:rsidRPr="00C44F5A">
              <w:t>Known Issues: None</w:t>
            </w:r>
            <w:r>
              <w:t>.</w:t>
            </w:r>
          </w:p>
          <w:p w:rsidR="00C44F5A" w:rsidRPr="00C44F5A" w:rsidRDefault="00C44F5A" w:rsidP="00CA064E">
            <w:pPr>
              <w:pStyle w:val="TableBodyText"/>
              <w:jc w:val="both"/>
            </w:pPr>
            <w:r w:rsidRPr="00C44F5A">
              <w:t>Year to year change: With a large sample size, small changes may be statistically significant but may not be practically significant</w:t>
            </w:r>
            <w:r>
              <w:t>.</w:t>
            </w:r>
          </w:p>
          <w:p w:rsidR="003F0E99" w:rsidRPr="003F0E99" w:rsidRDefault="00C44F5A" w:rsidP="00CA064E">
            <w:pPr>
              <w:pStyle w:val="TableBodyText"/>
              <w:jc w:val="both"/>
            </w:pPr>
            <w:r w:rsidRPr="00C44F5A">
              <w:t>Data are test achievement data</w:t>
            </w:r>
            <w:r>
              <w:t>.</w:t>
            </w:r>
          </w:p>
        </w:tc>
      </w:tr>
      <w:tr w:rsidR="003F0E99" w:rsidRPr="003F0E99" w:rsidTr="00A47644">
        <w:trPr>
          <w:trHeight w:val="1964"/>
        </w:trPr>
        <w:tc>
          <w:tcPr>
            <w:tcW w:w="1984" w:type="dxa"/>
          </w:tcPr>
          <w:p w:rsidR="003F0E99" w:rsidRPr="003F0E99" w:rsidRDefault="003F0E99" w:rsidP="003F0E99">
            <w:pPr>
              <w:rPr>
                <w:rFonts w:ascii="Arial" w:hAnsi="Arial" w:cs="Arial"/>
                <w:b/>
                <w:sz w:val="20"/>
                <w:szCs w:val="20"/>
              </w:rPr>
            </w:pPr>
            <w:r w:rsidRPr="003F0E99">
              <w:rPr>
                <w:rFonts w:ascii="Arial" w:hAnsi="Arial" w:cs="Arial"/>
                <w:b/>
                <w:sz w:val="20"/>
                <w:szCs w:val="20"/>
              </w:rPr>
              <w:t>Coherence</w:t>
            </w:r>
          </w:p>
          <w:p w:rsidR="003F0E99" w:rsidRPr="003F0E99" w:rsidRDefault="003F0E99" w:rsidP="003F0E99">
            <w:pPr>
              <w:rPr>
                <w:rFonts w:ascii="Arial" w:hAnsi="Arial" w:cs="Arial"/>
                <w:b/>
                <w:sz w:val="20"/>
                <w:szCs w:val="20"/>
              </w:rPr>
            </w:pPr>
          </w:p>
        </w:tc>
        <w:tc>
          <w:tcPr>
            <w:tcW w:w="6947" w:type="dxa"/>
          </w:tcPr>
          <w:p w:rsidR="00C44F5A" w:rsidRPr="00C44F5A" w:rsidRDefault="00C44F5A" w:rsidP="00CA064E">
            <w:pPr>
              <w:pStyle w:val="TableBodyText"/>
              <w:jc w:val="both"/>
            </w:pPr>
            <w:r w:rsidRPr="00C44F5A">
              <w:t>Consistency over time: The data are consistent over time</w:t>
            </w:r>
            <w:r>
              <w:t>.</w:t>
            </w:r>
          </w:p>
          <w:p w:rsidR="00C44F5A" w:rsidRPr="00C44F5A" w:rsidRDefault="00C44F5A" w:rsidP="00CA064E">
            <w:pPr>
              <w:pStyle w:val="TableBodyText"/>
              <w:jc w:val="both"/>
            </w:pPr>
            <w:r w:rsidRPr="00C44F5A">
              <w:t>Numerator/denominator: The numerator and denominator are compiled from a single source.</w:t>
            </w:r>
          </w:p>
          <w:p w:rsidR="00C44F5A" w:rsidRPr="00C44F5A" w:rsidRDefault="00C44F5A" w:rsidP="00CA064E">
            <w:pPr>
              <w:pStyle w:val="TableBodyText"/>
              <w:jc w:val="both"/>
            </w:pPr>
            <w:r w:rsidRPr="00C44F5A">
              <w:t>The data is consistent with data supplied in previous reporting round.</w:t>
            </w:r>
          </w:p>
          <w:p w:rsidR="00C44F5A" w:rsidRPr="00C44F5A" w:rsidRDefault="00C44F5A" w:rsidP="00CA064E">
            <w:pPr>
              <w:pStyle w:val="TableBodyText"/>
              <w:jc w:val="both"/>
            </w:pPr>
            <w:r w:rsidRPr="00C44F5A">
              <w:t>Jurisdiction estimate calculation: Yes</w:t>
            </w:r>
            <w:r>
              <w:t>.</w:t>
            </w:r>
          </w:p>
          <w:p w:rsidR="00C44F5A" w:rsidRPr="00C44F5A" w:rsidRDefault="00C44F5A" w:rsidP="00CA064E">
            <w:pPr>
              <w:pStyle w:val="TableBodyText"/>
              <w:jc w:val="both"/>
            </w:pPr>
            <w:r w:rsidRPr="00C44F5A">
              <w:t>Jurisdiction/Australia estimate calculation: Yes</w:t>
            </w:r>
            <w:r>
              <w:t>.</w:t>
            </w:r>
          </w:p>
          <w:p w:rsidR="003F0E99" w:rsidRPr="003F0E99" w:rsidRDefault="00C44F5A" w:rsidP="00CA064E">
            <w:pPr>
              <w:pStyle w:val="TableBodyText"/>
              <w:jc w:val="both"/>
            </w:pPr>
            <w:r w:rsidRPr="00C44F5A">
              <w:t>Collections across populations: Yes</w:t>
            </w:r>
            <w:r>
              <w:t>.</w:t>
            </w:r>
          </w:p>
        </w:tc>
      </w:tr>
      <w:tr w:rsidR="009C3B52" w:rsidRPr="003F0E99" w:rsidTr="00A47644">
        <w:trPr>
          <w:trHeight w:val="4415"/>
        </w:trPr>
        <w:tc>
          <w:tcPr>
            <w:tcW w:w="1984" w:type="dxa"/>
          </w:tcPr>
          <w:p w:rsidR="009C3B52" w:rsidRPr="003F0E99" w:rsidRDefault="009C3B52" w:rsidP="00915C74">
            <w:pPr>
              <w:rPr>
                <w:rFonts w:ascii="Arial" w:hAnsi="Arial" w:cs="Arial"/>
                <w:b/>
                <w:sz w:val="20"/>
                <w:szCs w:val="20"/>
              </w:rPr>
            </w:pPr>
            <w:r w:rsidRPr="003F0E99">
              <w:rPr>
                <w:rFonts w:ascii="Arial" w:hAnsi="Arial" w:cs="Arial"/>
                <w:b/>
                <w:sz w:val="20"/>
                <w:szCs w:val="20"/>
              </w:rPr>
              <w:t>Interpretability</w:t>
            </w:r>
          </w:p>
          <w:p w:rsidR="009C3B52" w:rsidRPr="003F0E99" w:rsidRDefault="009C3B52" w:rsidP="00915C74">
            <w:pPr>
              <w:rPr>
                <w:rFonts w:ascii="Arial" w:hAnsi="Arial" w:cs="Arial"/>
                <w:b/>
                <w:sz w:val="20"/>
                <w:szCs w:val="20"/>
              </w:rPr>
            </w:pPr>
          </w:p>
        </w:tc>
        <w:tc>
          <w:tcPr>
            <w:tcW w:w="6947" w:type="dxa"/>
          </w:tcPr>
          <w:p w:rsidR="00C44F5A" w:rsidRPr="00C44F5A" w:rsidRDefault="00C44F5A" w:rsidP="00CA064E">
            <w:pPr>
              <w:pStyle w:val="TableBodyText"/>
              <w:jc w:val="both"/>
            </w:pPr>
            <w:r w:rsidRPr="00C44F5A">
              <w:t xml:space="preserve">Other Supporting information: Reports on the data are available from </w:t>
            </w:r>
            <w:hyperlink r:id="rId17" w:history="1">
              <w:r w:rsidRPr="00D6102D">
                <w:rPr>
                  <w:rFonts w:cs="Arial"/>
                </w:rPr>
                <w:t>http://www.acer.edu.au/ozpisa/reports/</w:t>
              </w:r>
            </w:hyperlink>
          </w:p>
          <w:p w:rsidR="00B37E85" w:rsidRPr="00C44F5A" w:rsidRDefault="00C44F5A" w:rsidP="00CA064E">
            <w:pPr>
              <w:pStyle w:val="TableBodyText"/>
              <w:jc w:val="both"/>
            </w:pPr>
            <w:r w:rsidRPr="00C44F5A">
              <w:t>Socioeconomic status definition: Two measures are used by the OECD to represent elements of socioeconomic background. One is the highest level of the father’s</w:t>
            </w:r>
            <w:r w:rsidR="001714E9">
              <w:t xml:space="preserve"> </w:t>
            </w:r>
            <w:r w:rsidRPr="00C44F5A">
              <w:t>and mother’s occupation (known as HISEI. The other measure</w:t>
            </w:r>
            <w:r w:rsidR="001714E9">
              <w:t xml:space="preserve"> </w:t>
            </w:r>
            <w:r w:rsidRPr="00C44F5A">
              <w:t>is the index of economic, social and cultural status (ESCS), which was created to capture the</w:t>
            </w:r>
            <w:r>
              <w:t xml:space="preserve"> </w:t>
            </w:r>
            <w:r w:rsidRPr="00C44F5A">
              <w:t>wider aspects of a student’s family and home background.</w:t>
            </w:r>
          </w:p>
          <w:p w:rsidR="00B37E85" w:rsidRDefault="00C44F5A" w:rsidP="00CA064E">
            <w:pPr>
              <w:pStyle w:val="TableBodyText"/>
              <w:jc w:val="both"/>
            </w:pPr>
            <w:r w:rsidRPr="00C44F5A">
              <w:t xml:space="preserve">Socioeconomic status derivation: </w:t>
            </w:r>
          </w:p>
          <w:p w:rsidR="00B37E85" w:rsidRDefault="00C44F5A" w:rsidP="00CA064E">
            <w:pPr>
              <w:pStyle w:val="TableBullet"/>
              <w:jc w:val="both"/>
            </w:pPr>
            <w:r w:rsidRPr="00C44F5A">
              <w:t>HISEI is coded in accordance with the International Standard Classification of Occupations.</w:t>
            </w:r>
          </w:p>
          <w:p w:rsidR="009C3B52" w:rsidRPr="003F0E99" w:rsidRDefault="00C44F5A" w:rsidP="00CA064E">
            <w:pPr>
              <w:pStyle w:val="TableBullet"/>
              <w:jc w:val="both"/>
            </w:pPr>
            <w:r w:rsidRPr="00C44F5A">
              <w:t>The ESCS is based on three indices:</w:t>
            </w:r>
            <w:r>
              <w:t xml:space="preserve"> </w:t>
            </w:r>
            <w:r w:rsidRPr="00C44F5A">
              <w:t>the highest occupational status of parents (HISEI), the highest educational level of parents in years of education (PARED), and home possessions (HOMEPOS). The index of home possessions (HOMEPOS) comprises all items on the indices of family wealth, cultural resources, access to home educational and cultural resources, and books in the home.</w:t>
            </w:r>
          </w:p>
        </w:tc>
      </w:tr>
      <w:tr w:rsidR="009C3B52" w:rsidRPr="003F0E99" w:rsidTr="003F0E99">
        <w:tc>
          <w:tcPr>
            <w:tcW w:w="1984" w:type="dxa"/>
          </w:tcPr>
          <w:p w:rsidR="009C3B52" w:rsidRPr="003F0E99" w:rsidRDefault="00F249F7" w:rsidP="00915C74">
            <w:pPr>
              <w:rPr>
                <w:rFonts w:ascii="Arial" w:hAnsi="Arial" w:cs="Arial"/>
                <w:b/>
                <w:sz w:val="20"/>
                <w:szCs w:val="20"/>
              </w:rPr>
            </w:pPr>
            <w:r>
              <w:rPr>
                <w:rFonts w:ascii="Arial" w:hAnsi="Arial" w:cs="Arial"/>
                <w:b/>
                <w:sz w:val="20"/>
                <w:szCs w:val="20"/>
              </w:rPr>
              <w:t>A</w:t>
            </w:r>
            <w:r w:rsidR="009C3B52" w:rsidRPr="003F0E99">
              <w:rPr>
                <w:rFonts w:ascii="Arial" w:hAnsi="Arial" w:cs="Arial"/>
                <w:b/>
                <w:sz w:val="20"/>
                <w:szCs w:val="20"/>
              </w:rPr>
              <w:t>ccessibility</w:t>
            </w:r>
          </w:p>
        </w:tc>
        <w:tc>
          <w:tcPr>
            <w:tcW w:w="6947" w:type="dxa"/>
          </w:tcPr>
          <w:p w:rsidR="00C44F5A" w:rsidRPr="00C44F5A" w:rsidRDefault="00C44F5A" w:rsidP="00CA064E">
            <w:pPr>
              <w:pStyle w:val="TableBodyText"/>
              <w:jc w:val="both"/>
            </w:pPr>
            <w:r w:rsidRPr="00C44F5A">
              <w:t>Data publicly available. Analysis published in Australian national report</w:t>
            </w:r>
            <w:r>
              <w:t>.</w:t>
            </w:r>
          </w:p>
          <w:p w:rsidR="00C44F5A" w:rsidRPr="00C44F5A" w:rsidRDefault="00C44F5A" w:rsidP="00CA064E">
            <w:pPr>
              <w:pStyle w:val="TableBodyText"/>
              <w:jc w:val="both"/>
            </w:pPr>
            <w:r w:rsidRPr="00C44F5A">
              <w:t xml:space="preserve">Data is not available prior to public access. </w:t>
            </w:r>
          </w:p>
          <w:p w:rsidR="00C44F5A" w:rsidRPr="00C44F5A" w:rsidRDefault="00C44F5A" w:rsidP="00CA064E">
            <w:pPr>
              <w:pStyle w:val="TableBodyText"/>
              <w:jc w:val="both"/>
            </w:pPr>
            <w:r w:rsidRPr="00C44F5A">
              <w:t xml:space="preserve">Supplementary data is available. </w:t>
            </w:r>
          </w:p>
          <w:p w:rsidR="00C44F5A" w:rsidRPr="00C44F5A" w:rsidRDefault="00C44F5A" w:rsidP="00CA064E">
            <w:pPr>
              <w:pStyle w:val="TableBodyText"/>
              <w:jc w:val="both"/>
            </w:pPr>
            <w:r w:rsidRPr="00C44F5A">
              <w:t>Access permission/Restrictions: none</w:t>
            </w:r>
            <w:r>
              <w:t>.</w:t>
            </w:r>
          </w:p>
          <w:p w:rsidR="00C44F5A" w:rsidRPr="00C44F5A" w:rsidRDefault="00C44F5A" w:rsidP="00CA064E">
            <w:pPr>
              <w:pStyle w:val="TableBodyText"/>
              <w:jc w:val="both"/>
            </w:pPr>
            <w:r w:rsidRPr="00C44F5A">
              <w:t>Contact Details: Dr Sue Thomson, Director of Educational Monitoring and research, ACER</w:t>
            </w:r>
          </w:p>
          <w:p w:rsidR="00C44F5A" w:rsidRPr="00C44F5A" w:rsidRDefault="00C44F5A" w:rsidP="00CA064E">
            <w:pPr>
              <w:pStyle w:val="TableBodyText"/>
              <w:jc w:val="both"/>
            </w:pPr>
            <w:proofErr w:type="spellStart"/>
            <w:r w:rsidRPr="00C44F5A">
              <w:t>Sue.thomson@acer.edu.au</w:t>
            </w:r>
            <w:proofErr w:type="spellEnd"/>
          </w:p>
          <w:p w:rsidR="009C3B52" w:rsidRPr="003F0E99" w:rsidRDefault="00C44F5A" w:rsidP="00CA064E">
            <w:pPr>
              <w:pStyle w:val="TableBodyText"/>
              <w:jc w:val="both"/>
            </w:pPr>
            <w:r w:rsidRPr="00C44F5A">
              <w:t>National data are available in SPSS format.</w:t>
            </w:r>
          </w:p>
        </w:tc>
      </w:tr>
    </w:tbl>
    <w:p w:rsidR="003F0E99" w:rsidRPr="003F0E99" w:rsidRDefault="003F0E99" w:rsidP="001A5D6A">
      <w:pPr>
        <w:pStyle w:val="Heading3"/>
      </w:pPr>
      <w:bookmarkStart w:id="34" w:name="_Ref381717644"/>
      <w:r w:rsidRPr="003F0E99">
        <w:t>Data quality statement — Performance target (a)</w:t>
      </w:r>
      <w:r w:rsidR="000E6A52">
        <w:t>,</w:t>
      </w:r>
      <w:r w:rsidR="00FC323C">
        <w:t xml:space="preserve"> (b), (d) and Indicator 4 and 8: </w:t>
      </w:r>
      <w:r w:rsidRPr="003F0E99">
        <w:t>The proportion of young people aged 20–24 years who have completed Year 12 or equivalent or gained a qualification at AQF Certificate II/III level or above (</w:t>
      </w:r>
      <w:r>
        <w:t>SEW</w:t>
      </w:r>
      <w:r w:rsidRPr="003F0E99">
        <w:t>)</w:t>
      </w:r>
      <w:bookmarkEnd w:id="34"/>
    </w:p>
    <w:p w:rsidR="003F0E99" w:rsidRPr="003F0E99" w:rsidRDefault="003F0E99" w:rsidP="003F0E99">
      <w:pPr>
        <w:keepNext/>
        <w:spacing w:before="360" w:line="80" w:lineRule="exact"/>
        <w:rPr>
          <w:szCs w:val="20"/>
        </w:rPr>
      </w:pPr>
    </w:p>
    <w:tbl>
      <w:tblPr>
        <w:tblW w:w="8931" w:type="dxa"/>
        <w:tblInd w:w="-34" w:type="dxa"/>
        <w:tblLook w:val="01E0" w:firstRow="1" w:lastRow="1" w:firstColumn="1" w:lastColumn="1" w:noHBand="0" w:noVBand="0"/>
      </w:tblPr>
      <w:tblGrid>
        <w:gridCol w:w="1984"/>
        <w:gridCol w:w="6947"/>
      </w:tblGrid>
      <w:tr w:rsidR="003F0E99" w:rsidRPr="003F0E99" w:rsidTr="000E6A52">
        <w:trPr>
          <w:trHeight w:val="1430"/>
        </w:trPr>
        <w:tc>
          <w:tcPr>
            <w:tcW w:w="1984" w:type="dxa"/>
            <w:hideMark/>
          </w:tcPr>
          <w:p w:rsidR="003F0E99" w:rsidRPr="003F0E99" w:rsidRDefault="003F0E99" w:rsidP="003F0E99">
            <w:pPr>
              <w:rPr>
                <w:rFonts w:ascii="Arial" w:hAnsi="Arial" w:cs="Arial"/>
                <w:b/>
                <w:sz w:val="20"/>
                <w:szCs w:val="20"/>
              </w:rPr>
            </w:pPr>
            <w:r w:rsidRPr="003F0E99">
              <w:rPr>
                <w:rFonts w:ascii="Arial" w:hAnsi="Arial" w:cs="Arial"/>
                <w:b/>
                <w:sz w:val="20"/>
                <w:szCs w:val="20"/>
              </w:rPr>
              <w:t>Target/Outcome</w:t>
            </w:r>
          </w:p>
        </w:tc>
        <w:tc>
          <w:tcPr>
            <w:tcW w:w="6947" w:type="dxa"/>
          </w:tcPr>
          <w:p w:rsidR="001E777B" w:rsidRPr="001E777B" w:rsidRDefault="001E777B" w:rsidP="00CA064E">
            <w:pPr>
              <w:pStyle w:val="TableBodyText"/>
              <w:jc w:val="both"/>
            </w:pPr>
            <w:r w:rsidRPr="001E777B">
              <w:t>Young people make a successful transition from school to work and further study</w:t>
            </w:r>
          </w:p>
          <w:p w:rsidR="001E777B" w:rsidRPr="001E777B" w:rsidRDefault="001E777B" w:rsidP="00CA064E">
            <w:pPr>
              <w:pStyle w:val="TableBodyText"/>
              <w:jc w:val="both"/>
            </w:pPr>
          </w:p>
          <w:p w:rsidR="003F0E99" w:rsidRPr="003F0E99" w:rsidRDefault="001E777B" w:rsidP="00CA064E">
            <w:pPr>
              <w:pStyle w:val="TableBodyText"/>
              <w:jc w:val="both"/>
            </w:pPr>
            <w:r w:rsidRPr="001E777B">
              <w:t>Schooling promotes the social inclusion and reduces the educational disadvantage of children, especially Indigenous children</w:t>
            </w:r>
          </w:p>
        </w:tc>
      </w:tr>
      <w:tr w:rsidR="003F0E99" w:rsidRPr="003F0E99" w:rsidTr="000E6A52">
        <w:trPr>
          <w:trHeight w:val="854"/>
        </w:trPr>
        <w:tc>
          <w:tcPr>
            <w:tcW w:w="1984" w:type="dxa"/>
            <w:hideMark/>
          </w:tcPr>
          <w:p w:rsidR="003F0E99" w:rsidRPr="003F0E99" w:rsidRDefault="003F0E99" w:rsidP="003F0E99">
            <w:pPr>
              <w:rPr>
                <w:rFonts w:ascii="Arial" w:hAnsi="Arial" w:cs="Arial"/>
                <w:b/>
                <w:sz w:val="20"/>
                <w:szCs w:val="20"/>
              </w:rPr>
            </w:pPr>
            <w:r w:rsidRPr="003F0E99">
              <w:rPr>
                <w:rFonts w:ascii="Arial" w:hAnsi="Arial" w:cs="Arial"/>
                <w:b/>
                <w:sz w:val="20"/>
                <w:szCs w:val="20"/>
              </w:rPr>
              <w:t>Indicator</w:t>
            </w:r>
          </w:p>
        </w:tc>
        <w:tc>
          <w:tcPr>
            <w:tcW w:w="6947" w:type="dxa"/>
          </w:tcPr>
          <w:p w:rsidR="003F0E99" w:rsidRPr="00025BCF" w:rsidRDefault="001E777B" w:rsidP="00CA064E">
            <w:pPr>
              <w:pStyle w:val="TableBodyText"/>
              <w:jc w:val="both"/>
            </w:pPr>
            <w:r w:rsidRPr="00025BCF">
              <w:t>NEA 4 – The proportion of young people aged 20–24 year who have completed Year 12 or equivalent or gained a qualification at AQF Certificate II/III level or above.</w:t>
            </w:r>
          </w:p>
        </w:tc>
      </w:tr>
      <w:tr w:rsidR="003F0E99" w:rsidRPr="003F0E99" w:rsidTr="000E6A52">
        <w:trPr>
          <w:trHeight w:val="3828"/>
        </w:trPr>
        <w:tc>
          <w:tcPr>
            <w:tcW w:w="1984" w:type="dxa"/>
            <w:hideMark/>
          </w:tcPr>
          <w:p w:rsidR="003F0E99" w:rsidRPr="003F0E99" w:rsidRDefault="003F0E99" w:rsidP="003F0E99">
            <w:pPr>
              <w:rPr>
                <w:rFonts w:ascii="Arial" w:hAnsi="Arial" w:cs="Arial"/>
                <w:b/>
                <w:sz w:val="20"/>
                <w:szCs w:val="20"/>
              </w:rPr>
            </w:pPr>
            <w:r w:rsidRPr="003F0E99">
              <w:rPr>
                <w:rFonts w:ascii="Arial" w:hAnsi="Arial" w:cs="Arial"/>
                <w:b/>
                <w:sz w:val="20"/>
                <w:szCs w:val="20"/>
              </w:rPr>
              <w:t>Measure (computation)</w:t>
            </w:r>
          </w:p>
        </w:tc>
        <w:tc>
          <w:tcPr>
            <w:tcW w:w="6947" w:type="dxa"/>
          </w:tcPr>
          <w:p w:rsidR="001E777B" w:rsidRPr="001E777B" w:rsidRDefault="001E777B" w:rsidP="00CA064E">
            <w:pPr>
              <w:pStyle w:val="TableBodyText"/>
              <w:jc w:val="both"/>
            </w:pPr>
            <w:r w:rsidRPr="001E777B">
              <w:t>Persons aged 20–24 years who have completed Year 12 (or equivalent) or attained a formal qualification at Certificate II/III level or above.</w:t>
            </w:r>
          </w:p>
          <w:p w:rsidR="001E777B" w:rsidRPr="008A61ED" w:rsidRDefault="001E777B" w:rsidP="00CA064E">
            <w:pPr>
              <w:pStyle w:val="TableBodyText"/>
              <w:framePr w:w="2155" w:hSpace="227" w:vSpace="181" w:wrap="around" w:vAnchor="text" w:hAnchor="page" w:xAlign="outside" w:y="1"/>
              <w:jc w:val="both"/>
              <w:rPr>
                <w:i/>
              </w:rPr>
            </w:pPr>
            <w:r w:rsidRPr="008A61ED">
              <w:rPr>
                <w:i/>
              </w:rPr>
              <w:t>Numerator:</w:t>
            </w:r>
          </w:p>
          <w:p w:rsidR="001E777B" w:rsidRPr="001E777B" w:rsidRDefault="001E777B" w:rsidP="00CA064E">
            <w:pPr>
              <w:pStyle w:val="TableBullet"/>
              <w:jc w:val="both"/>
            </w:pPr>
            <w:r w:rsidRPr="001E777B">
              <w:t>Number of persons aged 20–24 year olds who state they have completed Year 12 or equivalent, or attained a formal qualification at Certificate II or above (includes Certificate I/II nfd, but excludes Certificate nfd and level not determined).</w:t>
            </w:r>
          </w:p>
          <w:p w:rsidR="001E777B" w:rsidRPr="001E777B" w:rsidRDefault="001E777B" w:rsidP="00CA064E">
            <w:pPr>
              <w:pStyle w:val="TableBullet"/>
              <w:jc w:val="both"/>
            </w:pPr>
            <w:r w:rsidRPr="001E777B">
              <w:t>Number of persons aged 20–24 year olds who state they have completed Year 12 or equivalent, or attained a formal qualification at Certificate III or above (excludes Certificate nfd and level not determined).</w:t>
            </w:r>
          </w:p>
          <w:p w:rsidR="001E777B" w:rsidRPr="008A61ED" w:rsidRDefault="001E777B" w:rsidP="00CA064E">
            <w:pPr>
              <w:pStyle w:val="TableBodyText"/>
              <w:jc w:val="both"/>
              <w:rPr>
                <w:i/>
              </w:rPr>
            </w:pPr>
            <w:r w:rsidRPr="008A61ED">
              <w:rPr>
                <w:i/>
              </w:rPr>
              <w:t>Denominator:</w:t>
            </w:r>
          </w:p>
          <w:p w:rsidR="001E777B" w:rsidRPr="001E777B" w:rsidRDefault="001E777B" w:rsidP="00CA064E">
            <w:pPr>
              <w:pStyle w:val="TableBodyText"/>
              <w:jc w:val="both"/>
            </w:pPr>
            <w:r w:rsidRPr="001E777B">
              <w:t>Total population of persons aged 20–24 years.</w:t>
            </w:r>
          </w:p>
          <w:p w:rsidR="003F0E99" w:rsidRPr="003F0E99" w:rsidRDefault="001E777B" w:rsidP="00CA064E">
            <w:pPr>
              <w:pStyle w:val="TableBodyText"/>
              <w:jc w:val="both"/>
            </w:pPr>
            <w:r w:rsidRPr="001E777B">
              <w:t>Excludes people whose educational attainment is not stated (only applicable to Census data).</w:t>
            </w:r>
          </w:p>
        </w:tc>
      </w:tr>
      <w:tr w:rsidR="003F0E99" w:rsidRPr="003F0E99" w:rsidTr="000E6A52">
        <w:trPr>
          <w:trHeight w:val="2834"/>
        </w:trPr>
        <w:tc>
          <w:tcPr>
            <w:tcW w:w="1984" w:type="dxa"/>
            <w:hideMark/>
          </w:tcPr>
          <w:p w:rsidR="003F0E99" w:rsidRPr="003F0E99" w:rsidRDefault="003F0E99" w:rsidP="003F0E99">
            <w:pPr>
              <w:rPr>
                <w:rFonts w:ascii="Arial" w:hAnsi="Arial" w:cs="Arial"/>
                <w:b/>
                <w:sz w:val="20"/>
                <w:szCs w:val="20"/>
              </w:rPr>
            </w:pPr>
            <w:r w:rsidRPr="003F0E99">
              <w:rPr>
                <w:rFonts w:ascii="Arial" w:hAnsi="Arial" w:cs="Arial"/>
                <w:b/>
                <w:sz w:val="20"/>
                <w:szCs w:val="20"/>
              </w:rPr>
              <w:t>Data source/s</w:t>
            </w:r>
          </w:p>
        </w:tc>
        <w:tc>
          <w:tcPr>
            <w:tcW w:w="6947" w:type="dxa"/>
          </w:tcPr>
          <w:p w:rsidR="001E777B" w:rsidRPr="001E777B" w:rsidRDefault="001E777B" w:rsidP="00CA064E">
            <w:pPr>
              <w:pStyle w:val="TableBodyText"/>
              <w:jc w:val="both"/>
            </w:pPr>
            <w:r w:rsidRPr="001E777B">
              <w:t>Numerator and denominator:</w:t>
            </w:r>
          </w:p>
          <w:p w:rsidR="001E777B" w:rsidRPr="001E777B" w:rsidRDefault="001E777B" w:rsidP="00CA064E">
            <w:pPr>
              <w:pStyle w:val="TableBodyText"/>
              <w:jc w:val="both"/>
            </w:pPr>
            <w:r w:rsidRPr="001E777B">
              <w:t>ABS Census of Population and Housing (Census). Data are available every five years.</w:t>
            </w:r>
          </w:p>
          <w:p w:rsidR="001E777B" w:rsidRPr="001E777B" w:rsidRDefault="001E777B" w:rsidP="00CA064E">
            <w:pPr>
              <w:pStyle w:val="TableBodyText"/>
              <w:jc w:val="both"/>
            </w:pPr>
            <w:r w:rsidRPr="001E777B">
              <w:t>Data from the Survey of Education and Work (SEW) are provided annually to inform this measure at the national level.</w:t>
            </w:r>
          </w:p>
          <w:p w:rsidR="001E777B" w:rsidRPr="001E777B" w:rsidRDefault="001E777B" w:rsidP="00CA064E">
            <w:pPr>
              <w:pStyle w:val="TableBodyText"/>
              <w:jc w:val="both"/>
            </w:pPr>
            <w:r w:rsidRPr="001E777B">
              <w:t>Data from the National Aboriginal and Torres Strait Islander Health Survey (NATSIHS) component of the Australian Aboriginal and Torres Strait Islander Health Survey (AATSIHS) are provided for the estimates of the Aboriginal and Torres Strait Islander population.</w:t>
            </w:r>
          </w:p>
          <w:p w:rsidR="003F0E99" w:rsidRPr="003F0E99" w:rsidRDefault="001E777B" w:rsidP="00CA064E">
            <w:pPr>
              <w:pStyle w:val="TableBodyText"/>
              <w:jc w:val="both"/>
            </w:pPr>
            <w:r w:rsidRPr="001E777B">
              <w:t>This DQS applies to NEA 4 measures based on 2012 and 2013 SEW data and 2012</w:t>
            </w:r>
            <w:r w:rsidR="009F5EB6">
              <w:noBreakHyphen/>
            </w:r>
            <w:r w:rsidRPr="001E777B">
              <w:t>13 NATSIHS data.</w:t>
            </w:r>
          </w:p>
        </w:tc>
      </w:tr>
      <w:tr w:rsidR="003F0E99" w:rsidRPr="003F0E99" w:rsidTr="00A47644">
        <w:trPr>
          <w:trHeight w:val="1713"/>
        </w:trPr>
        <w:tc>
          <w:tcPr>
            <w:tcW w:w="1984" w:type="dxa"/>
            <w:hideMark/>
          </w:tcPr>
          <w:p w:rsidR="003F0E99" w:rsidRPr="003F0E99" w:rsidRDefault="003F0E99" w:rsidP="003F0E99">
            <w:pPr>
              <w:rPr>
                <w:rFonts w:ascii="Arial" w:hAnsi="Arial" w:cs="Arial"/>
                <w:b/>
                <w:sz w:val="20"/>
                <w:szCs w:val="20"/>
              </w:rPr>
            </w:pPr>
            <w:r w:rsidRPr="003F0E99">
              <w:rPr>
                <w:rFonts w:ascii="Arial" w:hAnsi="Arial" w:cs="Arial"/>
                <w:b/>
                <w:sz w:val="20"/>
                <w:szCs w:val="20"/>
              </w:rPr>
              <w:t>Institutional environment</w:t>
            </w:r>
          </w:p>
        </w:tc>
        <w:tc>
          <w:tcPr>
            <w:tcW w:w="6947" w:type="dxa"/>
          </w:tcPr>
          <w:p w:rsidR="001E777B" w:rsidRPr="001E777B" w:rsidRDefault="001E777B" w:rsidP="00CA064E">
            <w:pPr>
              <w:pStyle w:val="TableBodyText"/>
              <w:jc w:val="both"/>
            </w:pPr>
            <w:r w:rsidRPr="001E777B">
              <w:t>The Census, SEW and NATSIHS are collected by the ABS under the Census and Statistics Act 1905.</w:t>
            </w:r>
          </w:p>
          <w:p w:rsidR="003F0E99" w:rsidRPr="003F0E99" w:rsidRDefault="001E777B" w:rsidP="00CA064E">
            <w:pPr>
              <w:pStyle w:val="TableBodyText"/>
              <w:jc w:val="both"/>
            </w:pPr>
            <w:r w:rsidRPr="001E777B">
              <w:t xml:space="preserve">For information on the institutional environment of the ABS, including the legislative obligations of the ABS, financing and government arrangements, and mechanisms for scrutiny of ABS operations, see </w:t>
            </w:r>
            <w:hyperlink r:id="rId18" w:history="1">
              <w:r w:rsidRPr="008B2F89">
                <w:rPr>
                  <w:rStyle w:val="Hyperlink"/>
                </w:rPr>
                <w:t>ABS Institutional Environment</w:t>
              </w:r>
            </w:hyperlink>
            <w:r w:rsidRPr="001E777B">
              <w:t>.</w:t>
            </w:r>
          </w:p>
        </w:tc>
      </w:tr>
      <w:tr w:rsidR="003F0E99" w:rsidRPr="003F0E99" w:rsidTr="00A47644">
        <w:trPr>
          <w:trHeight w:val="2893"/>
        </w:trPr>
        <w:tc>
          <w:tcPr>
            <w:tcW w:w="1984" w:type="dxa"/>
          </w:tcPr>
          <w:p w:rsidR="003F0E99" w:rsidRPr="003F0E99" w:rsidRDefault="003F0E99" w:rsidP="003F0E99">
            <w:pPr>
              <w:rPr>
                <w:rFonts w:ascii="Arial" w:hAnsi="Arial" w:cs="Arial"/>
                <w:b/>
                <w:sz w:val="20"/>
                <w:szCs w:val="20"/>
              </w:rPr>
            </w:pPr>
            <w:r w:rsidRPr="003F0E99">
              <w:rPr>
                <w:rFonts w:ascii="Arial" w:hAnsi="Arial" w:cs="Arial"/>
                <w:b/>
                <w:sz w:val="20"/>
                <w:szCs w:val="20"/>
              </w:rPr>
              <w:t>Relevance</w:t>
            </w:r>
          </w:p>
          <w:p w:rsidR="003F0E99" w:rsidRPr="003F0E99" w:rsidRDefault="003F0E99" w:rsidP="003F0E99">
            <w:pPr>
              <w:rPr>
                <w:rFonts w:ascii="Arial" w:hAnsi="Arial" w:cs="Arial"/>
                <w:b/>
                <w:sz w:val="20"/>
                <w:szCs w:val="20"/>
              </w:rPr>
            </w:pPr>
          </w:p>
        </w:tc>
        <w:tc>
          <w:tcPr>
            <w:tcW w:w="6947" w:type="dxa"/>
          </w:tcPr>
          <w:p w:rsidR="001E777B" w:rsidRPr="001E777B" w:rsidRDefault="001E777B" w:rsidP="00CA064E">
            <w:pPr>
              <w:pStyle w:val="TableBodyText"/>
              <w:jc w:val="both"/>
            </w:pPr>
            <w:r w:rsidRPr="001E777B">
              <w:t xml:space="preserve">The SEW does not collect data from people in Indigenous communities in very remote areas. </w:t>
            </w:r>
          </w:p>
          <w:p w:rsidR="001E777B" w:rsidRPr="001E777B" w:rsidRDefault="001E777B" w:rsidP="00CA064E">
            <w:pPr>
              <w:pStyle w:val="TableBodyText"/>
              <w:jc w:val="both"/>
            </w:pPr>
            <w:r w:rsidRPr="001E777B">
              <w:t>The SEW and NATSIHS collect information on the highest year of school completed and highest level of non</w:t>
            </w:r>
            <w:r w:rsidR="009F5EB6">
              <w:noBreakHyphen/>
            </w:r>
            <w:r w:rsidRPr="001E777B">
              <w:t xml:space="preserve">school qualification. The classification of qualifications used is the </w:t>
            </w:r>
            <w:hyperlink r:id="rId19" w:history="1">
              <w:r w:rsidRPr="001F08A4">
                <w:rPr>
                  <w:rStyle w:val="Hyperlink"/>
                </w:rPr>
                <w:t>Australian Standard Classification of Education (ASCED)</w:t>
              </w:r>
            </w:hyperlink>
            <w:r w:rsidRPr="001E777B">
              <w:t xml:space="preserve"> (cat. no. 1272.0).</w:t>
            </w:r>
          </w:p>
          <w:p w:rsidR="003F0E99" w:rsidRPr="003F0E99" w:rsidRDefault="001E777B" w:rsidP="00CA064E">
            <w:pPr>
              <w:pStyle w:val="TableBodyText"/>
              <w:jc w:val="both"/>
            </w:pPr>
            <w:r w:rsidRPr="001E777B">
              <w:t>For some respondents, information is supplied by another household resident, such as a parent, partner or unrelated adult (Any Responsible Adult). While this is a standard survey methodology, answers to some questions may occasionally differ from those that would have been supplied in a personal interview.</w:t>
            </w:r>
          </w:p>
        </w:tc>
      </w:tr>
      <w:tr w:rsidR="003F0E99" w:rsidRPr="003F0E99" w:rsidTr="00A47644">
        <w:trPr>
          <w:trHeight w:val="1686"/>
        </w:trPr>
        <w:tc>
          <w:tcPr>
            <w:tcW w:w="1984" w:type="dxa"/>
          </w:tcPr>
          <w:p w:rsidR="003F0E99" w:rsidRPr="003F0E99" w:rsidRDefault="003F0E99" w:rsidP="003F0E99">
            <w:pPr>
              <w:rPr>
                <w:rFonts w:ascii="Arial" w:hAnsi="Arial" w:cs="Arial"/>
                <w:b/>
                <w:sz w:val="20"/>
                <w:szCs w:val="20"/>
              </w:rPr>
            </w:pPr>
            <w:r w:rsidRPr="003F0E99">
              <w:rPr>
                <w:rFonts w:ascii="Arial" w:hAnsi="Arial" w:cs="Arial"/>
                <w:b/>
                <w:sz w:val="20"/>
                <w:szCs w:val="20"/>
              </w:rPr>
              <w:t>Timeliness</w:t>
            </w:r>
          </w:p>
          <w:p w:rsidR="003F0E99" w:rsidRPr="003F0E99" w:rsidRDefault="003F0E99" w:rsidP="003F0E99">
            <w:pPr>
              <w:rPr>
                <w:rFonts w:ascii="Arial" w:hAnsi="Arial" w:cs="Arial"/>
                <w:b/>
                <w:sz w:val="20"/>
                <w:szCs w:val="20"/>
              </w:rPr>
            </w:pPr>
          </w:p>
        </w:tc>
        <w:tc>
          <w:tcPr>
            <w:tcW w:w="6947" w:type="dxa"/>
          </w:tcPr>
          <w:p w:rsidR="001E777B" w:rsidRPr="001E777B" w:rsidRDefault="001E777B" w:rsidP="00CA064E">
            <w:pPr>
              <w:pStyle w:val="TableBodyText"/>
              <w:jc w:val="both"/>
            </w:pPr>
            <w:r w:rsidRPr="001E777B">
              <w:t>The SEW is conducted annually in May as a supplement to the monthly Labour Force Survey (LFS). Results from the 2013 survey were released in November 2013.</w:t>
            </w:r>
          </w:p>
          <w:p w:rsidR="003F0E99" w:rsidRPr="003F0E99" w:rsidRDefault="001E777B" w:rsidP="00CA064E">
            <w:pPr>
              <w:pStyle w:val="TableBodyText"/>
              <w:jc w:val="both"/>
            </w:pPr>
            <w:r w:rsidRPr="001E777B">
              <w:t>The 2012</w:t>
            </w:r>
            <w:r w:rsidR="009F5EB6">
              <w:noBreakHyphen/>
            </w:r>
            <w:r w:rsidRPr="001E777B">
              <w:t>13 NATSIHS was conducted from April 2012 to February 2013. Results were released in November 2013. The previous NATSIHS was conducted in 2004</w:t>
            </w:r>
            <w:r w:rsidR="009F5EB6">
              <w:noBreakHyphen/>
            </w:r>
            <w:r w:rsidRPr="001E777B">
              <w:t>05.</w:t>
            </w:r>
          </w:p>
        </w:tc>
      </w:tr>
      <w:tr w:rsidR="003F0E99" w:rsidRPr="003F0E99" w:rsidTr="00A47644">
        <w:trPr>
          <w:trHeight w:val="6246"/>
        </w:trPr>
        <w:tc>
          <w:tcPr>
            <w:tcW w:w="1984" w:type="dxa"/>
          </w:tcPr>
          <w:p w:rsidR="003F0E99" w:rsidRPr="003F0E99" w:rsidRDefault="003F0E99" w:rsidP="003F0E99">
            <w:pPr>
              <w:rPr>
                <w:rFonts w:ascii="Arial" w:hAnsi="Arial" w:cs="Arial"/>
                <w:b/>
                <w:sz w:val="20"/>
                <w:szCs w:val="20"/>
              </w:rPr>
            </w:pPr>
            <w:r w:rsidRPr="003F0E99">
              <w:rPr>
                <w:rFonts w:ascii="Arial" w:hAnsi="Arial" w:cs="Arial"/>
                <w:b/>
                <w:sz w:val="20"/>
                <w:szCs w:val="20"/>
              </w:rPr>
              <w:t>Accuracy</w:t>
            </w:r>
          </w:p>
          <w:p w:rsidR="003F0E99" w:rsidRPr="003F0E99" w:rsidRDefault="003F0E99" w:rsidP="003F0E99">
            <w:pPr>
              <w:rPr>
                <w:rFonts w:ascii="Arial" w:hAnsi="Arial" w:cs="Arial"/>
                <w:b/>
                <w:sz w:val="20"/>
                <w:szCs w:val="20"/>
              </w:rPr>
            </w:pPr>
          </w:p>
        </w:tc>
        <w:tc>
          <w:tcPr>
            <w:tcW w:w="6947" w:type="dxa"/>
          </w:tcPr>
          <w:p w:rsidR="001E777B" w:rsidRPr="001E777B" w:rsidRDefault="001E777B" w:rsidP="00CA064E">
            <w:pPr>
              <w:pStyle w:val="TableBodyText"/>
              <w:jc w:val="both"/>
            </w:pPr>
            <w:r w:rsidRPr="001E777B">
              <w:t>The 2013 SEW response rate was 94</w:t>
            </w:r>
            <w:r w:rsidR="002F1B21">
              <w:t xml:space="preserve"> per cent</w:t>
            </w:r>
            <w:r w:rsidRPr="001E777B">
              <w:t xml:space="preserve"> which constituted 43</w:t>
            </w:r>
            <w:r w:rsidR="00F42C59">
              <w:t> </w:t>
            </w:r>
            <w:r w:rsidRPr="001E777B">
              <w:t>600 completed interviews. The 2013 response rate was consistent with that in previous years.</w:t>
            </w:r>
          </w:p>
          <w:p w:rsidR="001E777B" w:rsidRDefault="001E777B" w:rsidP="00CA064E">
            <w:pPr>
              <w:pStyle w:val="TableBodyText"/>
              <w:jc w:val="both"/>
            </w:pPr>
            <w:r w:rsidRPr="001E777B">
              <w:t>The 2012 SEW response rate was 95 per cent which constituted 39</w:t>
            </w:r>
            <w:r w:rsidR="00F42C59">
              <w:t> </w:t>
            </w:r>
            <w:r w:rsidRPr="001E777B">
              <w:t>500 completed interviews. The 2012 response rate was consistent with that in previous years.</w:t>
            </w:r>
          </w:p>
          <w:p w:rsidR="000E6A52" w:rsidRPr="001E777B" w:rsidRDefault="000E6A52" w:rsidP="00CA064E">
            <w:pPr>
              <w:pStyle w:val="TableBodyText"/>
              <w:jc w:val="both"/>
            </w:pPr>
            <w:r w:rsidRPr="000E6A52">
              <w:t>Prior to the 2013 SEW, people who were permanently unable to work were excluded from the in</w:t>
            </w:r>
            <w:r w:rsidR="00556489">
              <w:noBreakHyphen/>
            </w:r>
            <w:r w:rsidRPr="000E6A52">
              <w:t>scope population. In 2013, the SEW scope was expanded to include people permanently unable to work. However, to ensure that the indicator measure presented here is comparable over time, the permanently unable to work population has been excluded from these tables.</w:t>
            </w:r>
          </w:p>
          <w:p w:rsidR="001E777B" w:rsidRPr="001E777B" w:rsidRDefault="001E777B" w:rsidP="00CA064E">
            <w:pPr>
              <w:pStyle w:val="TableBodyText"/>
              <w:jc w:val="both"/>
            </w:pPr>
            <w:r w:rsidRPr="001E777B">
              <w:t>The 2012</w:t>
            </w:r>
            <w:r w:rsidR="009F5EB6">
              <w:noBreakHyphen/>
            </w:r>
            <w:r w:rsidRPr="001E777B">
              <w:t>13 NATSIHS was conducted in all states and territories, including very remote areas. Non</w:t>
            </w:r>
            <w:r w:rsidR="009F5EB6">
              <w:noBreakHyphen/>
            </w:r>
            <w:r w:rsidRPr="001E777B">
              <w:t>private dwellings such as hotels, motels, hospitals, nursing homes and short</w:t>
            </w:r>
            <w:r w:rsidR="009F5EB6">
              <w:noBreakHyphen/>
            </w:r>
            <w:r w:rsidRPr="001E777B">
              <w:t>stay caravan parks were excluded from the survey. The final response rate was 80 per cent.</w:t>
            </w:r>
          </w:p>
          <w:p w:rsidR="001E777B" w:rsidRPr="001E777B" w:rsidRDefault="001E777B" w:rsidP="00CA064E">
            <w:pPr>
              <w:pStyle w:val="TableBodyText"/>
              <w:jc w:val="both"/>
            </w:pPr>
            <w:r w:rsidRPr="001E777B">
              <w:t>The data for the SEW and NATSIHS are collected from an ARA (Any Responsible Adult) on behalf of other members of the household and are weighted for non</w:t>
            </w:r>
            <w:r w:rsidR="009F5EB6">
              <w:noBreakHyphen/>
            </w:r>
            <w:r w:rsidRPr="001E777B">
              <w:t>response.</w:t>
            </w:r>
          </w:p>
          <w:p w:rsidR="001E777B" w:rsidRPr="001E777B" w:rsidRDefault="001E777B" w:rsidP="00CA064E">
            <w:pPr>
              <w:pStyle w:val="TableBodyText"/>
              <w:jc w:val="both"/>
            </w:pPr>
            <w:r w:rsidRPr="001E777B">
              <w:t xml:space="preserve">The data are event data that can be used to measure year to year changes provided that the changes are large enough to account for the Relative Standard Error (RSE) of estimates. </w:t>
            </w:r>
          </w:p>
          <w:p w:rsidR="003F0E99" w:rsidRPr="003F0E99" w:rsidRDefault="001E777B" w:rsidP="00CA064E">
            <w:pPr>
              <w:pStyle w:val="TableBodyText"/>
              <w:jc w:val="both"/>
            </w:pPr>
            <w:r w:rsidRPr="001E777B">
              <w:t>Data with a relative standard error of between 25</w:t>
            </w:r>
            <w:r w:rsidR="002F1B21">
              <w:t xml:space="preserve"> per cent</w:t>
            </w:r>
            <w:r w:rsidRPr="001E777B">
              <w:t xml:space="preserve"> and 50</w:t>
            </w:r>
            <w:r w:rsidR="002F1B21">
              <w:t xml:space="preserve"> per cent</w:t>
            </w:r>
            <w:r w:rsidRPr="001E777B">
              <w:t xml:space="preserve"> should be used with caution while data with a relative standard error greater than 50</w:t>
            </w:r>
            <w:r w:rsidR="002F1B21">
              <w:t xml:space="preserve"> per cent</w:t>
            </w:r>
            <w:r w:rsidRPr="001E777B">
              <w:t xml:space="preserve"> is considered too unreliable for general use.</w:t>
            </w:r>
          </w:p>
        </w:tc>
      </w:tr>
      <w:tr w:rsidR="003F0E99" w:rsidRPr="003F0E99" w:rsidTr="00A47644">
        <w:trPr>
          <w:trHeight w:val="2468"/>
        </w:trPr>
        <w:tc>
          <w:tcPr>
            <w:tcW w:w="1984" w:type="dxa"/>
          </w:tcPr>
          <w:p w:rsidR="003F0E99" w:rsidRPr="003F0E99" w:rsidRDefault="003F0E99" w:rsidP="003F0E99">
            <w:pPr>
              <w:rPr>
                <w:rFonts w:ascii="Arial" w:hAnsi="Arial" w:cs="Arial"/>
                <w:b/>
                <w:sz w:val="20"/>
                <w:szCs w:val="20"/>
              </w:rPr>
            </w:pPr>
            <w:r w:rsidRPr="003F0E99">
              <w:rPr>
                <w:rFonts w:ascii="Arial" w:hAnsi="Arial" w:cs="Arial"/>
                <w:b/>
                <w:sz w:val="20"/>
                <w:szCs w:val="20"/>
              </w:rPr>
              <w:t>Coherence</w:t>
            </w:r>
          </w:p>
          <w:p w:rsidR="003F0E99" w:rsidRPr="003F0E99" w:rsidRDefault="003F0E99" w:rsidP="003F0E99">
            <w:pPr>
              <w:rPr>
                <w:rFonts w:ascii="Arial" w:hAnsi="Arial" w:cs="Arial"/>
                <w:b/>
                <w:sz w:val="20"/>
                <w:szCs w:val="20"/>
              </w:rPr>
            </w:pPr>
          </w:p>
        </w:tc>
        <w:tc>
          <w:tcPr>
            <w:tcW w:w="6947" w:type="dxa"/>
          </w:tcPr>
          <w:p w:rsidR="00025BCF" w:rsidRPr="00025BCF" w:rsidRDefault="00025BCF" w:rsidP="00CA064E">
            <w:pPr>
              <w:pStyle w:val="TableBodyText"/>
              <w:jc w:val="both"/>
            </w:pPr>
            <w:r w:rsidRPr="00025BCF">
              <w:t>Both the numerator and denominator come from the SEW for the general population and non</w:t>
            </w:r>
            <w:r w:rsidR="009F5EB6">
              <w:noBreakHyphen/>
            </w:r>
            <w:r w:rsidRPr="00025BCF">
              <w:t xml:space="preserve">Indigenous population. Measures based on the 2013 and 2012 SEW are consistent with those supplied for COAG reporting from previous cycles of this survey. </w:t>
            </w:r>
          </w:p>
          <w:p w:rsidR="00025BCF" w:rsidRPr="00025BCF" w:rsidRDefault="00025BCF" w:rsidP="00CA064E">
            <w:pPr>
              <w:pStyle w:val="TableBodyText"/>
              <w:jc w:val="both"/>
            </w:pPr>
            <w:r w:rsidRPr="00025BCF">
              <w:t>Both the numerator and the denominator for the Indigenous estimates provided in this cycle are based on the 2012</w:t>
            </w:r>
            <w:r w:rsidR="009F5EB6">
              <w:noBreakHyphen/>
            </w:r>
            <w:r w:rsidRPr="00025BCF">
              <w:t>13 AATSIHS (NATSIHS component). From June 2014 estimates will be available the 2012</w:t>
            </w:r>
            <w:r w:rsidR="009F5EB6">
              <w:noBreakHyphen/>
            </w:r>
            <w:r w:rsidRPr="00025BCF">
              <w:t>13 AATSIHS 2012</w:t>
            </w:r>
            <w:r w:rsidR="009F5EB6">
              <w:noBreakHyphen/>
            </w:r>
            <w:r w:rsidRPr="00025BCF">
              <w:t>13 (Core component). The core component comprises estimates based on the combined NATSIHS and the National Aboriginal and Torres Strait Islander Nutrition and Physical Activity Survey (NATSINPAS) samples. Measures based on the 2012</w:t>
            </w:r>
            <w:r w:rsidR="009F5EB6">
              <w:noBreakHyphen/>
            </w:r>
            <w:r w:rsidRPr="00025BCF">
              <w:t>13 NATSIHS are consistent with those supplied for COAG reporting from previous cycles of this survey.</w:t>
            </w:r>
          </w:p>
          <w:p w:rsidR="00025BCF" w:rsidRPr="00025BCF" w:rsidRDefault="00025BCF" w:rsidP="00CA064E">
            <w:pPr>
              <w:pStyle w:val="TableBodyText"/>
              <w:jc w:val="both"/>
            </w:pPr>
            <w:r w:rsidRPr="00025BCF">
              <w:t>The</w:t>
            </w:r>
            <w:r w:rsidR="001F08A4" w:rsidRPr="001E777B">
              <w:t xml:space="preserve"> </w:t>
            </w:r>
            <w:hyperlink r:id="rId20" w:history="1">
              <w:r w:rsidR="001F08A4" w:rsidRPr="001F08A4">
                <w:rPr>
                  <w:rStyle w:val="Hyperlink"/>
                </w:rPr>
                <w:t>Australian Standard Classification of Education (ASCED)</w:t>
              </w:r>
            </w:hyperlink>
            <w:r w:rsidR="001F08A4" w:rsidRPr="00025BCF">
              <w:t xml:space="preserve"> </w:t>
            </w:r>
            <w:r w:rsidRPr="00025BCF">
              <w:t>(ASCED) (cat. no. 1272.0) has been used in all surveys with education items since 2001 and allows the education and training items between different surveys to be compared.</w:t>
            </w:r>
          </w:p>
          <w:p w:rsidR="003F0E99" w:rsidRPr="003F0E99" w:rsidRDefault="00025BCF" w:rsidP="00CA064E">
            <w:pPr>
              <w:pStyle w:val="TableBodyText"/>
              <w:jc w:val="both"/>
            </w:pPr>
            <w:r w:rsidRPr="00025BCF">
              <w:t xml:space="preserve">The </w:t>
            </w:r>
            <w:hyperlink r:id="rId21" w:history="1">
              <w:r w:rsidRPr="0007313B">
                <w:rPr>
                  <w:rStyle w:val="Hyperlink"/>
                </w:rPr>
                <w:t>Census of Population and Housing</w:t>
              </w:r>
            </w:hyperlink>
            <w:r w:rsidRPr="00025BCF">
              <w:t xml:space="preserve"> and the </w:t>
            </w:r>
            <w:hyperlink r:id="rId22" w:history="1">
              <w:r w:rsidRPr="0007313B">
                <w:rPr>
                  <w:rStyle w:val="Hyperlink"/>
                </w:rPr>
                <w:t>Survey of Learning and Work</w:t>
              </w:r>
            </w:hyperlink>
            <w:r w:rsidRPr="00025BCF">
              <w:t xml:space="preserve"> (cat. no. 4235.0) also provide information on educational attainment.</w:t>
            </w:r>
          </w:p>
        </w:tc>
      </w:tr>
      <w:tr w:rsidR="009C3B52" w:rsidRPr="003F0E99" w:rsidTr="00A47644">
        <w:trPr>
          <w:trHeight w:val="3240"/>
        </w:trPr>
        <w:tc>
          <w:tcPr>
            <w:tcW w:w="1984" w:type="dxa"/>
          </w:tcPr>
          <w:p w:rsidR="009C3B52" w:rsidRPr="003F0E99" w:rsidRDefault="009C3B52" w:rsidP="00915C74">
            <w:pPr>
              <w:rPr>
                <w:rFonts w:ascii="Arial" w:hAnsi="Arial" w:cs="Arial"/>
                <w:b/>
                <w:sz w:val="20"/>
                <w:szCs w:val="20"/>
              </w:rPr>
            </w:pPr>
            <w:r w:rsidRPr="003F0E99">
              <w:rPr>
                <w:rFonts w:ascii="Arial" w:hAnsi="Arial" w:cs="Arial"/>
                <w:b/>
                <w:sz w:val="20"/>
                <w:szCs w:val="20"/>
              </w:rPr>
              <w:t>Interpretability</w:t>
            </w:r>
          </w:p>
          <w:p w:rsidR="009C3B52" w:rsidRPr="003F0E99" w:rsidRDefault="009C3B52" w:rsidP="00915C74">
            <w:pPr>
              <w:rPr>
                <w:rFonts w:ascii="Arial" w:hAnsi="Arial" w:cs="Arial"/>
                <w:b/>
                <w:sz w:val="20"/>
                <w:szCs w:val="20"/>
              </w:rPr>
            </w:pPr>
          </w:p>
        </w:tc>
        <w:tc>
          <w:tcPr>
            <w:tcW w:w="6947" w:type="dxa"/>
          </w:tcPr>
          <w:p w:rsidR="00025BCF" w:rsidRPr="00025BCF" w:rsidRDefault="00025BCF" w:rsidP="00CA064E">
            <w:pPr>
              <w:pStyle w:val="TableBodyText"/>
              <w:jc w:val="both"/>
            </w:pPr>
            <w:r w:rsidRPr="00025BCF">
              <w:t xml:space="preserve">Information on how to interpret and use the data appropriately is available on the ABS website, see </w:t>
            </w:r>
            <w:hyperlink r:id="rId23" w:history="1">
              <w:r w:rsidRPr="0007313B">
                <w:rPr>
                  <w:rStyle w:val="Hyperlink"/>
                </w:rPr>
                <w:t>Explanatory Notes</w:t>
              </w:r>
            </w:hyperlink>
            <w:r w:rsidRPr="00025BCF">
              <w:t xml:space="preserve"> in Education and Work, Australia (cat. no. 6227.0) and the Australian Aboriginal and Torres Strait Islander Health Survey: Users’ Guide, 2012</w:t>
            </w:r>
            <w:r w:rsidR="009F5EB6">
              <w:noBreakHyphen/>
            </w:r>
            <w:r w:rsidRPr="00025BCF">
              <w:t>13 (ABS cat. no. 4727.0.55.002).</w:t>
            </w:r>
          </w:p>
          <w:p w:rsidR="009C3B52" w:rsidRPr="003F0E99" w:rsidRDefault="00025BCF" w:rsidP="00CA064E">
            <w:pPr>
              <w:pStyle w:val="TableBodyText"/>
              <w:jc w:val="both"/>
            </w:pPr>
            <w:r w:rsidRPr="00025BCF">
              <w:t xml:space="preserve">ABS SEIFA indexes are based on data from the Census and measure the socioeconomic status of the area in which a person lives. They do not directly measure the socioeconomic status of individuals or their households. More information on SEIFA can be found on the ABS website: </w:t>
            </w:r>
            <w:hyperlink r:id="rId24" w:history="1">
              <w:r w:rsidR="0007313B" w:rsidRPr="00D6102D">
                <w:rPr>
                  <w:rStyle w:val="Hyperlink"/>
                </w:rPr>
                <w:t>www.abs.gov.au</w:t>
              </w:r>
            </w:hyperlink>
            <w:r w:rsidRPr="00025BCF">
              <w:t>. For tables in this cycle, SEIFA quintiles are derived using ABS 2011 SEIFA IRSD (at SA1 level) for data from SEW 13. For tables in previous cycles, SEIFA quintiles were derived using ABS 2006 SEIFA IRSD (at CD level).</w:t>
            </w:r>
          </w:p>
        </w:tc>
      </w:tr>
      <w:tr w:rsidR="009C3B52" w:rsidRPr="003F0E99" w:rsidTr="003F0E99">
        <w:tc>
          <w:tcPr>
            <w:tcW w:w="1984" w:type="dxa"/>
          </w:tcPr>
          <w:p w:rsidR="009C3B52" w:rsidRPr="003F0E99" w:rsidRDefault="009C3B52" w:rsidP="00915C74">
            <w:pPr>
              <w:rPr>
                <w:rFonts w:ascii="Arial" w:hAnsi="Arial" w:cs="Arial"/>
                <w:b/>
                <w:sz w:val="20"/>
                <w:szCs w:val="20"/>
              </w:rPr>
            </w:pPr>
            <w:r w:rsidRPr="003F0E99">
              <w:rPr>
                <w:rFonts w:ascii="Arial" w:hAnsi="Arial" w:cs="Arial"/>
                <w:b/>
                <w:sz w:val="20"/>
                <w:szCs w:val="20"/>
              </w:rPr>
              <w:t>Accessibility</w:t>
            </w:r>
          </w:p>
        </w:tc>
        <w:tc>
          <w:tcPr>
            <w:tcW w:w="6947" w:type="dxa"/>
          </w:tcPr>
          <w:p w:rsidR="00025BCF" w:rsidRPr="00025BCF" w:rsidRDefault="00025BCF" w:rsidP="00CA064E">
            <w:pPr>
              <w:pStyle w:val="TableBodyText"/>
              <w:jc w:val="both"/>
            </w:pPr>
            <w:r w:rsidRPr="00025BCF">
              <w:t xml:space="preserve">The data for the SEW are available via the ABS website in the publication </w:t>
            </w:r>
            <w:hyperlink r:id="rId25" w:history="1">
              <w:r w:rsidRPr="00B52957">
                <w:rPr>
                  <w:rStyle w:val="Hyperlink"/>
                </w:rPr>
                <w:t>Education and Work, Australia</w:t>
              </w:r>
            </w:hyperlink>
            <w:r w:rsidRPr="00025BCF">
              <w:t xml:space="preserve"> (cat. no. 6227.0). This measure is also released as part of a SEW detailed education data cube (cat. no. 6227.0.55.003).</w:t>
            </w:r>
          </w:p>
          <w:p w:rsidR="00025BCF" w:rsidRPr="00025BCF" w:rsidRDefault="00025BCF" w:rsidP="00CA064E">
            <w:pPr>
              <w:pStyle w:val="TableBodyText"/>
              <w:jc w:val="both"/>
            </w:pPr>
            <w:r w:rsidRPr="00025BCF">
              <w:t>The data for NATSIHS are available from the ABS website in the publication Australian Aboriginal and Torres Strait Islander Health Survey: First Results, 2012</w:t>
            </w:r>
            <w:r w:rsidR="009F5EB6">
              <w:noBreakHyphen/>
            </w:r>
            <w:r w:rsidRPr="00025BCF">
              <w:t>13 (ABS cat. no. 4727.0.55.001). Other information from the survey is available on request.</w:t>
            </w:r>
          </w:p>
          <w:p w:rsidR="009C3B52" w:rsidRPr="003F0E99" w:rsidRDefault="00025BCF" w:rsidP="00CA064E">
            <w:pPr>
              <w:pStyle w:val="TableBodyText"/>
              <w:jc w:val="both"/>
            </w:pPr>
            <w:r w:rsidRPr="00025BCF">
              <w:t xml:space="preserve">Additional data are available at cost upon request through the </w:t>
            </w:r>
            <w:hyperlink r:id="rId26" w:history="1">
              <w:r w:rsidRPr="00B52957">
                <w:rPr>
                  <w:rStyle w:val="Hyperlink"/>
                </w:rPr>
                <w:t>National Information Referral Service</w:t>
              </w:r>
            </w:hyperlink>
            <w:r w:rsidRPr="00025BCF">
              <w:t xml:space="preserve"> (NIRS). A Confidentialised Unit Record File (CURF) has been produced for every second cycle of the SEW from 2001 to 2011. The survey microdata are also been released through the TableBuilder product, </w:t>
            </w:r>
            <w:hyperlink r:id="rId27" w:history="1">
              <w:r w:rsidRPr="00B52957">
                <w:rPr>
                  <w:rStyle w:val="Hyperlink"/>
                </w:rPr>
                <w:t>Microdata: Education and Work, Australia</w:t>
              </w:r>
            </w:hyperlink>
            <w:r w:rsidRPr="00025BCF">
              <w:t xml:space="preserve"> (cat. no. 6227.0.30.001).</w:t>
            </w:r>
          </w:p>
        </w:tc>
      </w:tr>
    </w:tbl>
    <w:p w:rsidR="001A5D6A" w:rsidRDefault="001A5D6A" w:rsidP="001A5D6A">
      <w:pPr>
        <w:pStyle w:val="BodyText"/>
      </w:pPr>
    </w:p>
    <w:p w:rsidR="001A5D6A" w:rsidRDefault="001A5D6A">
      <w:pPr>
        <w:rPr>
          <w:rFonts w:ascii="Arial" w:hAnsi="Arial"/>
          <w:b/>
          <w:szCs w:val="20"/>
        </w:rPr>
      </w:pPr>
      <w:r>
        <w:br w:type="page"/>
      </w:r>
    </w:p>
    <w:p w:rsidR="003F0E99" w:rsidRPr="003F0E99" w:rsidRDefault="003F0E99" w:rsidP="001A5D6A">
      <w:pPr>
        <w:pStyle w:val="Heading3"/>
      </w:pPr>
      <w:bookmarkStart w:id="35" w:name="_Ref381717932"/>
      <w:r w:rsidRPr="003F0E99">
        <w:t xml:space="preserve">Data quality statement — </w:t>
      </w:r>
      <w:r w:rsidR="00F437DE" w:rsidRPr="00F437DE">
        <w:t>Indicator 5</w:t>
      </w:r>
      <w:r w:rsidR="00FC323C">
        <w:t>:</w:t>
      </w:r>
      <w:r w:rsidR="00F437DE" w:rsidRPr="00F437DE">
        <w:t xml:space="preserve"> The proportion of young people participating in post school education, training or employment. (SEW</w:t>
      </w:r>
      <w:r w:rsidR="00F437DE">
        <w:t>)</w:t>
      </w:r>
      <w:bookmarkEnd w:id="35"/>
    </w:p>
    <w:p w:rsidR="003F0E99" w:rsidRPr="003F0E99" w:rsidRDefault="003F0E99" w:rsidP="003F0E99">
      <w:pPr>
        <w:keepNext/>
        <w:spacing w:before="360" w:line="80" w:lineRule="exact"/>
        <w:rPr>
          <w:szCs w:val="20"/>
        </w:rPr>
      </w:pPr>
    </w:p>
    <w:tbl>
      <w:tblPr>
        <w:tblW w:w="8931" w:type="dxa"/>
        <w:tblInd w:w="-34" w:type="dxa"/>
        <w:tblLook w:val="01E0" w:firstRow="1" w:lastRow="1" w:firstColumn="1" w:lastColumn="1" w:noHBand="0" w:noVBand="0"/>
      </w:tblPr>
      <w:tblGrid>
        <w:gridCol w:w="1984"/>
        <w:gridCol w:w="6947"/>
      </w:tblGrid>
      <w:tr w:rsidR="003F0E99" w:rsidRPr="003F0E99" w:rsidTr="00A47644">
        <w:trPr>
          <w:trHeight w:val="683"/>
        </w:trPr>
        <w:tc>
          <w:tcPr>
            <w:tcW w:w="1984" w:type="dxa"/>
            <w:hideMark/>
          </w:tcPr>
          <w:p w:rsidR="003F0E99" w:rsidRPr="003F0E99" w:rsidRDefault="003F0E99" w:rsidP="003F0E99">
            <w:pPr>
              <w:rPr>
                <w:rFonts w:ascii="Arial" w:hAnsi="Arial" w:cs="Arial"/>
                <w:b/>
                <w:sz w:val="20"/>
                <w:szCs w:val="20"/>
              </w:rPr>
            </w:pPr>
            <w:r w:rsidRPr="003F0E99">
              <w:rPr>
                <w:rFonts w:ascii="Arial" w:hAnsi="Arial" w:cs="Arial"/>
                <w:b/>
                <w:sz w:val="20"/>
                <w:szCs w:val="20"/>
              </w:rPr>
              <w:t>Target/Outcome</w:t>
            </w:r>
          </w:p>
        </w:tc>
        <w:tc>
          <w:tcPr>
            <w:tcW w:w="6947" w:type="dxa"/>
          </w:tcPr>
          <w:p w:rsidR="00C96742" w:rsidRDefault="00C96742" w:rsidP="00CA064E">
            <w:pPr>
              <w:pStyle w:val="TableBodyText"/>
              <w:jc w:val="both"/>
            </w:pPr>
            <w:r>
              <w:t>Young people make a successful transition from school to work and</w:t>
            </w:r>
          </w:p>
          <w:p w:rsidR="003F0E99" w:rsidRPr="003F0E99" w:rsidRDefault="00C96742" w:rsidP="00CA064E">
            <w:pPr>
              <w:pStyle w:val="TableBodyText"/>
              <w:jc w:val="both"/>
            </w:pPr>
            <w:r>
              <w:t>further study</w:t>
            </w:r>
          </w:p>
        </w:tc>
      </w:tr>
      <w:tr w:rsidR="003F0E99" w:rsidRPr="003F0E99" w:rsidTr="00A47644">
        <w:trPr>
          <w:trHeight w:val="693"/>
        </w:trPr>
        <w:tc>
          <w:tcPr>
            <w:tcW w:w="1984" w:type="dxa"/>
            <w:hideMark/>
          </w:tcPr>
          <w:p w:rsidR="003F0E99" w:rsidRPr="003F0E99" w:rsidRDefault="003F0E99" w:rsidP="003F0E99">
            <w:pPr>
              <w:rPr>
                <w:rFonts w:ascii="Arial" w:hAnsi="Arial" w:cs="Arial"/>
                <w:b/>
                <w:sz w:val="20"/>
                <w:szCs w:val="20"/>
              </w:rPr>
            </w:pPr>
            <w:r w:rsidRPr="003F0E99">
              <w:rPr>
                <w:rFonts w:ascii="Arial" w:hAnsi="Arial" w:cs="Arial"/>
                <w:b/>
                <w:sz w:val="20"/>
                <w:szCs w:val="20"/>
              </w:rPr>
              <w:t>Indicator</w:t>
            </w:r>
          </w:p>
        </w:tc>
        <w:tc>
          <w:tcPr>
            <w:tcW w:w="6947" w:type="dxa"/>
          </w:tcPr>
          <w:p w:rsidR="003F0E99" w:rsidRPr="00C96742" w:rsidRDefault="002861B4" w:rsidP="00CA064E">
            <w:pPr>
              <w:pStyle w:val="TableBodyText"/>
              <w:jc w:val="both"/>
            </w:pPr>
            <w:r w:rsidRPr="00C96742">
              <w:t>NEA 5 – The proportion of young people participating in post</w:t>
            </w:r>
            <w:r w:rsidR="009F5EB6">
              <w:noBreakHyphen/>
            </w:r>
            <w:r w:rsidRPr="00C96742">
              <w:t>school education, training or employment.</w:t>
            </w:r>
          </w:p>
        </w:tc>
      </w:tr>
      <w:tr w:rsidR="003F0E99" w:rsidRPr="003F0E99" w:rsidTr="00A47644">
        <w:trPr>
          <w:trHeight w:val="2558"/>
        </w:trPr>
        <w:tc>
          <w:tcPr>
            <w:tcW w:w="1984" w:type="dxa"/>
            <w:hideMark/>
          </w:tcPr>
          <w:p w:rsidR="003F0E99" w:rsidRPr="003F0E99" w:rsidRDefault="003F0E99" w:rsidP="003F0E99">
            <w:pPr>
              <w:rPr>
                <w:rFonts w:ascii="Arial" w:hAnsi="Arial" w:cs="Arial"/>
                <w:b/>
                <w:sz w:val="20"/>
                <w:szCs w:val="20"/>
              </w:rPr>
            </w:pPr>
            <w:r w:rsidRPr="003F0E99">
              <w:rPr>
                <w:rFonts w:ascii="Arial" w:hAnsi="Arial" w:cs="Arial"/>
                <w:b/>
                <w:sz w:val="20"/>
                <w:szCs w:val="20"/>
              </w:rPr>
              <w:t>Measure (computation)</w:t>
            </w:r>
          </w:p>
        </w:tc>
        <w:tc>
          <w:tcPr>
            <w:tcW w:w="6947" w:type="dxa"/>
          </w:tcPr>
          <w:p w:rsidR="002861B4" w:rsidRPr="002861B4" w:rsidRDefault="002861B4" w:rsidP="00CA064E">
            <w:pPr>
              <w:pStyle w:val="TableBodyText"/>
              <w:jc w:val="both"/>
            </w:pPr>
            <w:r w:rsidRPr="002861B4">
              <w:t>Young people (aged 17–24 years who are not attending school) who are fully engaged in post</w:t>
            </w:r>
            <w:r w:rsidR="009F5EB6">
              <w:noBreakHyphen/>
            </w:r>
            <w:r w:rsidRPr="002861B4">
              <w:t>school education, training or employment.</w:t>
            </w:r>
          </w:p>
          <w:p w:rsidR="002861B4" w:rsidRPr="002861B4" w:rsidRDefault="002861B4" w:rsidP="00847CBA">
            <w:pPr>
              <w:pStyle w:val="TableBullet"/>
              <w:rPr>
                <w:i/>
                <w:szCs w:val="24"/>
              </w:rPr>
            </w:pPr>
            <w:r w:rsidRPr="008A61ED">
              <w:rPr>
                <w:i/>
              </w:rPr>
              <w:t>Numerator</w:t>
            </w:r>
            <w:r w:rsidRPr="002861B4">
              <w:t>:</w:t>
            </w:r>
            <w:r w:rsidR="00A10A7A">
              <w:t xml:space="preserve"> </w:t>
            </w:r>
            <w:r w:rsidRPr="002861B4">
              <w:t>Number of persons aged 17–24 years who are not in school level education and are fully</w:t>
            </w:r>
            <w:r w:rsidR="009F5EB6">
              <w:noBreakHyphen/>
            </w:r>
            <w:r w:rsidRPr="002861B4">
              <w:t>engaged in post</w:t>
            </w:r>
            <w:r w:rsidR="009F5EB6">
              <w:noBreakHyphen/>
            </w:r>
            <w:r w:rsidRPr="002861B4">
              <w:t>school education, training or employment.</w:t>
            </w:r>
          </w:p>
          <w:p w:rsidR="002861B4" w:rsidRPr="002861B4" w:rsidRDefault="002861B4" w:rsidP="00847CBA">
            <w:pPr>
              <w:pStyle w:val="TableBullet"/>
              <w:rPr>
                <w:i/>
                <w:szCs w:val="24"/>
              </w:rPr>
            </w:pPr>
            <w:r w:rsidRPr="008A61ED">
              <w:rPr>
                <w:i/>
              </w:rPr>
              <w:t>Denominator</w:t>
            </w:r>
            <w:r w:rsidRPr="002861B4">
              <w:t>:</w:t>
            </w:r>
            <w:r w:rsidR="00A10A7A">
              <w:t xml:space="preserve"> </w:t>
            </w:r>
            <w:r w:rsidRPr="002861B4">
              <w:t xml:space="preserve">Number of persons aged 17–24 years who are not in school level education. </w:t>
            </w:r>
          </w:p>
          <w:p w:rsidR="003F0E99" w:rsidRPr="003F0E99" w:rsidRDefault="002861B4" w:rsidP="00CA064E">
            <w:pPr>
              <w:pStyle w:val="TableBodyText"/>
              <w:jc w:val="both"/>
            </w:pPr>
            <w:r w:rsidRPr="002861B4">
              <w:t>Fully</w:t>
            </w:r>
            <w:r w:rsidR="009F5EB6">
              <w:noBreakHyphen/>
            </w:r>
            <w:r w:rsidRPr="002861B4">
              <w:t>engaged is defined as full</w:t>
            </w:r>
            <w:r w:rsidR="009F5EB6">
              <w:noBreakHyphen/>
            </w:r>
            <w:r w:rsidRPr="002861B4">
              <w:t>time post</w:t>
            </w:r>
            <w:r w:rsidR="009F5EB6">
              <w:noBreakHyphen/>
            </w:r>
            <w:r w:rsidRPr="002861B4">
              <w:t>school education or training, full</w:t>
            </w:r>
            <w:r w:rsidR="009F5EB6">
              <w:noBreakHyphen/>
            </w:r>
            <w:r w:rsidRPr="002861B4">
              <w:t>time employment, or a mixture of part</w:t>
            </w:r>
            <w:r w:rsidR="009F5EB6">
              <w:noBreakHyphen/>
            </w:r>
            <w:r w:rsidRPr="002861B4">
              <w:t>time/full</w:t>
            </w:r>
            <w:r w:rsidR="009F5EB6">
              <w:noBreakHyphen/>
            </w:r>
            <w:r w:rsidRPr="002861B4">
              <w:t>time post</w:t>
            </w:r>
            <w:r w:rsidR="009F5EB6">
              <w:noBreakHyphen/>
            </w:r>
            <w:r w:rsidRPr="002861B4">
              <w:t>school education or training and part</w:t>
            </w:r>
            <w:r w:rsidR="009F5EB6">
              <w:noBreakHyphen/>
            </w:r>
            <w:r w:rsidRPr="002861B4">
              <w:t>time/full</w:t>
            </w:r>
            <w:r w:rsidR="009F5EB6">
              <w:noBreakHyphen/>
            </w:r>
            <w:r w:rsidRPr="002861B4">
              <w:t>time employment.</w:t>
            </w:r>
          </w:p>
        </w:tc>
      </w:tr>
      <w:tr w:rsidR="003F0E99" w:rsidRPr="003F0E99" w:rsidTr="00A47644">
        <w:trPr>
          <w:trHeight w:val="2553"/>
        </w:trPr>
        <w:tc>
          <w:tcPr>
            <w:tcW w:w="1984" w:type="dxa"/>
            <w:hideMark/>
          </w:tcPr>
          <w:p w:rsidR="003F0E99" w:rsidRPr="003F0E99" w:rsidRDefault="003F0E99" w:rsidP="003F0E99">
            <w:pPr>
              <w:rPr>
                <w:rFonts w:ascii="Arial" w:hAnsi="Arial" w:cs="Arial"/>
                <w:b/>
                <w:sz w:val="20"/>
                <w:szCs w:val="20"/>
              </w:rPr>
            </w:pPr>
            <w:r w:rsidRPr="003F0E99">
              <w:rPr>
                <w:rFonts w:ascii="Arial" w:hAnsi="Arial" w:cs="Arial"/>
                <w:b/>
                <w:sz w:val="20"/>
                <w:szCs w:val="20"/>
              </w:rPr>
              <w:t>Data source/s</w:t>
            </w:r>
          </w:p>
        </w:tc>
        <w:tc>
          <w:tcPr>
            <w:tcW w:w="6947" w:type="dxa"/>
          </w:tcPr>
          <w:p w:rsidR="002861B4" w:rsidRPr="002861B4" w:rsidRDefault="002861B4" w:rsidP="00CA064E">
            <w:pPr>
              <w:pStyle w:val="TableBodyText"/>
              <w:jc w:val="both"/>
            </w:pPr>
            <w:r w:rsidRPr="002861B4">
              <w:t>Numerator and denominator:</w:t>
            </w:r>
            <w:r w:rsidR="00576D0F">
              <w:t xml:space="preserve"> </w:t>
            </w:r>
            <w:r w:rsidRPr="002861B4">
              <w:t>ABS Census of Population and Housing (Census). Data are available every five years.</w:t>
            </w:r>
          </w:p>
          <w:p w:rsidR="002861B4" w:rsidRPr="002861B4" w:rsidRDefault="002861B4" w:rsidP="00CA064E">
            <w:pPr>
              <w:pStyle w:val="TableBodyText"/>
              <w:jc w:val="both"/>
            </w:pPr>
            <w:r w:rsidRPr="002861B4">
              <w:t xml:space="preserve">Data from the Survey of Education and Work (SEW) are provided annually to inform this measure at the national level. </w:t>
            </w:r>
          </w:p>
          <w:p w:rsidR="002861B4" w:rsidRPr="002861B4" w:rsidRDefault="002861B4" w:rsidP="00CA064E">
            <w:pPr>
              <w:pStyle w:val="TableBodyText"/>
              <w:jc w:val="both"/>
            </w:pPr>
            <w:r w:rsidRPr="002861B4">
              <w:t>Data from the National Aboriginal and Torres Strait Islander Health Survey (NATSIHS) component of the Australian Aboriginal and Torres Strait Islander Health Survey (AATSIHS) are provided for the estimates of the Aboriginal and Torres Strait Islander population.</w:t>
            </w:r>
          </w:p>
          <w:p w:rsidR="003F0E99" w:rsidRPr="003F0E99" w:rsidRDefault="002861B4" w:rsidP="00CA064E">
            <w:pPr>
              <w:pStyle w:val="TableBodyText"/>
              <w:jc w:val="both"/>
            </w:pPr>
            <w:r w:rsidRPr="002861B4">
              <w:t>This DQS applies to NEA 5 measures based on 2012 and 2013 SEW data.</w:t>
            </w:r>
          </w:p>
        </w:tc>
      </w:tr>
      <w:tr w:rsidR="003F0E99" w:rsidRPr="003F0E99" w:rsidTr="00A47644">
        <w:trPr>
          <w:trHeight w:val="1710"/>
        </w:trPr>
        <w:tc>
          <w:tcPr>
            <w:tcW w:w="1984" w:type="dxa"/>
            <w:hideMark/>
          </w:tcPr>
          <w:p w:rsidR="003F0E99" w:rsidRPr="003F0E99" w:rsidRDefault="003F0E99" w:rsidP="003F0E99">
            <w:pPr>
              <w:rPr>
                <w:rFonts w:ascii="Arial" w:hAnsi="Arial" w:cs="Arial"/>
                <w:b/>
                <w:sz w:val="20"/>
                <w:szCs w:val="20"/>
              </w:rPr>
            </w:pPr>
            <w:r w:rsidRPr="003F0E99">
              <w:rPr>
                <w:rFonts w:ascii="Arial" w:hAnsi="Arial" w:cs="Arial"/>
                <w:b/>
                <w:sz w:val="20"/>
                <w:szCs w:val="20"/>
              </w:rPr>
              <w:t>Institutional environment</w:t>
            </w:r>
          </w:p>
        </w:tc>
        <w:tc>
          <w:tcPr>
            <w:tcW w:w="6947" w:type="dxa"/>
          </w:tcPr>
          <w:p w:rsidR="002861B4" w:rsidRPr="002861B4" w:rsidRDefault="002861B4" w:rsidP="00CA064E">
            <w:pPr>
              <w:pStyle w:val="TableBodyText"/>
              <w:jc w:val="both"/>
            </w:pPr>
            <w:r w:rsidRPr="002861B4">
              <w:t>The Census, SEW, and NATSIHS are collected by the ABS under the Census and Statistics Act 1905.</w:t>
            </w:r>
          </w:p>
          <w:p w:rsidR="003F0E99" w:rsidRPr="003F0E99" w:rsidRDefault="002861B4" w:rsidP="00CA064E">
            <w:pPr>
              <w:pStyle w:val="TableBodyText"/>
              <w:jc w:val="both"/>
            </w:pPr>
            <w:r w:rsidRPr="002861B4">
              <w:t xml:space="preserve">For information on the institutional environment of the ABS, including the legislative obligations of the ABS, financing and government arrangements, and mechanisms for scrutiny of ABS operations, </w:t>
            </w:r>
            <w:hyperlink r:id="rId28" w:history="1">
              <w:r w:rsidR="005D147E" w:rsidRPr="008B2F89">
                <w:rPr>
                  <w:rStyle w:val="Hyperlink"/>
                </w:rPr>
                <w:t>ABS Institutional Environment</w:t>
              </w:r>
            </w:hyperlink>
            <w:r w:rsidR="005D147E" w:rsidRPr="001E777B">
              <w:t>.</w:t>
            </w:r>
          </w:p>
        </w:tc>
      </w:tr>
      <w:tr w:rsidR="003F0E99" w:rsidRPr="003F0E99" w:rsidTr="00A47644">
        <w:trPr>
          <w:trHeight w:val="1848"/>
        </w:trPr>
        <w:tc>
          <w:tcPr>
            <w:tcW w:w="1984" w:type="dxa"/>
          </w:tcPr>
          <w:p w:rsidR="003F0E99" w:rsidRPr="003F0E99" w:rsidRDefault="003F0E99" w:rsidP="003F0E99">
            <w:pPr>
              <w:rPr>
                <w:rFonts w:ascii="Arial" w:hAnsi="Arial" w:cs="Arial"/>
                <w:b/>
                <w:sz w:val="20"/>
                <w:szCs w:val="20"/>
              </w:rPr>
            </w:pPr>
            <w:r w:rsidRPr="003F0E99">
              <w:rPr>
                <w:rFonts w:ascii="Arial" w:hAnsi="Arial" w:cs="Arial"/>
                <w:b/>
                <w:sz w:val="20"/>
                <w:szCs w:val="20"/>
              </w:rPr>
              <w:t>Relevance</w:t>
            </w:r>
          </w:p>
          <w:p w:rsidR="003F0E99" w:rsidRPr="003F0E99" w:rsidRDefault="003F0E99" w:rsidP="003F0E99">
            <w:pPr>
              <w:rPr>
                <w:rFonts w:ascii="Arial" w:hAnsi="Arial" w:cs="Arial"/>
                <w:b/>
                <w:sz w:val="20"/>
                <w:szCs w:val="20"/>
              </w:rPr>
            </w:pPr>
          </w:p>
        </w:tc>
        <w:tc>
          <w:tcPr>
            <w:tcW w:w="6947" w:type="dxa"/>
          </w:tcPr>
          <w:p w:rsidR="002861B4" w:rsidRPr="002861B4" w:rsidRDefault="002861B4" w:rsidP="00CA064E">
            <w:pPr>
              <w:pStyle w:val="TableBodyText"/>
              <w:jc w:val="both"/>
            </w:pPr>
            <w:r w:rsidRPr="002861B4">
              <w:t xml:space="preserve">The SEW does not collect data from people in Indigenous communities in very remote areas. </w:t>
            </w:r>
          </w:p>
          <w:p w:rsidR="003F0E99" w:rsidRPr="003F0E99" w:rsidRDefault="002861B4" w:rsidP="00CA064E">
            <w:pPr>
              <w:pStyle w:val="TableBodyText"/>
              <w:jc w:val="both"/>
            </w:pPr>
            <w:r w:rsidRPr="002861B4">
              <w:t>For some respondents for SEW and NATSIHS, information is supplied by another household resident, such as a parent, partner or unrelated adult (Any Responsible Adult). While this is a standard survey methodology, answers to some questions may occasionally differ from those that would have been supplied in a personal interview.</w:t>
            </w:r>
          </w:p>
        </w:tc>
      </w:tr>
      <w:tr w:rsidR="003F0E99" w:rsidRPr="003F0E99" w:rsidTr="00A47644">
        <w:trPr>
          <w:trHeight w:val="1691"/>
        </w:trPr>
        <w:tc>
          <w:tcPr>
            <w:tcW w:w="1984" w:type="dxa"/>
          </w:tcPr>
          <w:p w:rsidR="003F0E99" w:rsidRPr="003F0E99" w:rsidRDefault="003F0E99" w:rsidP="003F0E99">
            <w:pPr>
              <w:rPr>
                <w:rFonts w:ascii="Arial" w:hAnsi="Arial" w:cs="Arial"/>
                <w:b/>
                <w:sz w:val="20"/>
                <w:szCs w:val="20"/>
              </w:rPr>
            </w:pPr>
            <w:r w:rsidRPr="003F0E99">
              <w:rPr>
                <w:rFonts w:ascii="Arial" w:hAnsi="Arial" w:cs="Arial"/>
                <w:b/>
                <w:sz w:val="20"/>
                <w:szCs w:val="20"/>
              </w:rPr>
              <w:t>Timeliness</w:t>
            </w:r>
          </w:p>
          <w:p w:rsidR="003F0E99" w:rsidRPr="003F0E99" w:rsidRDefault="003F0E99" w:rsidP="003F0E99">
            <w:pPr>
              <w:rPr>
                <w:rFonts w:ascii="Arial" w:hAnsi="Arial" w:cs="Arial"/>
                <w:b/>
                <w:sz w:val="20"/>
                <w:szCs w:val="20"/>
              </w:rPr>
            </w:pPr>
          </w:p>
        </w:tc>
        <w:tc>
          <w:tcPr>
            <w:tcW w:w="6947" w:type="dxa"/>
          </w:tcPr>
          <w:p w:rsidR="002861B4" w:rsidRPr="002861B4" w:rsidRDefault="002861B4" w:rsidP="00CA064E">
            <w:pPr>
              <w:pStyle w:val="TableBodyText"/>
              <w:jc w:val="both"/>
            </w:pPr>
            <w:r w:rsidRPr="002861B4">
              <w:t>The SEW is conducted annually in May as a supplement to the monthly Labour Force Survey (LFS). Results from the 2013 survey were released in November 2013.</w:t>
            </w:r>
          </w:p>
          <w:p w:rsidR="003F0E99" w:rsidRPr="003F0E99" w:rsidRDefault="002861B4" w:rsidP="00CA064E">
            <w:pPr>
              <w:pStyle w:val="TableBodyText"/>
              <w:jc w:val="both"/>
            </w:pPr>
            <w:r w:rsidRPr="002861B4">
              <w:t>The 2012</w:t>
            </w:r>
            <w:r w:rsidR="009F5EB6">
              <w:noBreakHyphen/>
            </w:r>
            <w:r w:rsidRPr="002861B4">
              <w:t>13 NATSIHS was conducted from April 2012 to February 2013. Results were released in November 2013. The previous NATSIHS was conducted in 2004</w:t>
            </w:r>
            <w:r w:rsidR="009F5EB6">
              <w:noBreakHyphen/>
            </w:r>
            <w:r w:rsidRPr="002861B4">
              <w:t>05.</w:t>
            </w:r>
          </w:p>
        </w:tc>
      </w:tr>
      <w:tr w:rsidR="003F0E99" w:rsidRPr="003F0E99" w:rsidTr="00A47644">
        <w:trPr>
          <w:trHeight w:val="6295"/>
        </w:trPr>
        <w:tc>
          <w:tcPr>
            <w:tcW w:w="1984" w:type="dxa"/>
          </w:tcPr>
          <w:p w:rsidR="003F0E99" w:rsidRPr="003F0E99" w:rsidRDefault="003F0E99" w:rsidP="003F0E99">
            <w:pPr>
              <w:rPr>
                <w:rFonts w:ascii="Arial" w:hAnsi="Arial" w:cs="Arial"/>
                <w:b/>
                <w:sz w:val="20"/>
                <w:szCs w:val="20"/>
              </w:rPr>
            </w:pPr>
            <w:r w:rsidRPr="003F0E99">
              <w:rPr>
                <w:rFonts w:ascii="Arial" w:hAnsi="Arial" w:cs="Arial"/>
                <w:b/>
                <w:sz w:val="20"/>
                <w:szCs w:val="20"/>
              </w:rPr>
              <w:t>Accuracy</w:t>
            </w:r>
          </w:p>
          <w:p w:rsidR="003F0E99" w:rsidRPr="003F0E99" w:rsidRDefault="003F0E99" w:rsidP="003F0E99">
            <w:pPr>
              <w:rPr>
                <w:rFonts w:ascii="Arial" w:hAnsi="Arial" w:cs="Arial"/>
                <w:b/>
                <w:sz w:val="20"/>
                <w:szCs w:val="20"/>
              </w:rPr>
            </w:pPr>
          </w:p>
        </w:tc>
        <w:tc>
          <w:tcPr>
            <w:tcW w:w="6947" w:type="dxa"/>
          </w:tcPr>
          <w:p w:rsidR="000E3DBA" w:rsidRPr="000E3DBA" w:rsidRDefault="000E3DBA" w:rsidP="00CA064E">
            <w:pPr>
              <w:pStyle w:val="TableBodyText"/>
              <w:jc w:val="both"/>
            </w:pPr>
            <w:r w:rsidRPr="000E3DBA">
              <w:t>The 2013 SEW response rate was 94</w:t>
            </w:r>
            <w:r w:rsidR="002F1B21">
              <w:t xml:space="preserve"> per cent</w:t>
            </w:r>
            <w:r w:rsidRPr="000E3DBA">
              <w:t xml:space="preserve"> which constituted 43</w:t>
            </w:r>
            <w:r w:rsidR="00A55F0B">
              <w:t> </w:t>
            </w:r>
            <w:r w:rsidRPr="000E3DBA">
              <w:t>600 completed interviews. The 2013 response rate was consistent with that in previous years.</w:t>
            </w:r>
          </w:p>
          <w:p w:rsidR="000E3DBA" w:rsidRDefault="000E3DBA" w:rsidP="00CA064E">
            <w:pPr>
              <w:pStyle w:val="TableBodyText"/>
              <w:jc w:val="both"/>
            </w:pPr>
            <w:r w:rsidRPr="000E3DBA">
              <w:t>The 2012 SEW response rate was 95 per cent which constituted 39</w:t>
            </w:r>
            <w:r w:rsidR="00A55F0B">
              <w:t> </w:t>
            </w:r>
            <w:r w:rsidRPr="000E3DBA">
              <w:t>500 completed interviews. The 2012 response rate was consistent with that in previous years.</w:t>
            </w:r>
          </w:p>
          <w:p w:rsidR="000E6A52" w:rsidRPr="000E3DBA" w:rsidRDefault="000E6A52" w:rsidP="00CA064E">
            <w:pPr>
              <w:pStyle w:val="TableBodyText"/>
              <w:jc w:val="both"/>
            </w:pPr>
            <w:r w:rsidRPr="000E6A52">
              <w:t>Prior to the 2013 SEW, people who were permanently unable to work were excluded from the in</w:t>
            </w:r>
            <w:r w:rsidR="00556489">
              <w:noBreakHyphen/>
            </w:r>
            <w:r w:rsidRPr="000E6A52">
              <w:t>scope population. In 2013, the SEW scope was expanded to include people permanently unable to work. However, to ensure that the indicator measure presented here is comparable over time, the permanently unable to work population has been excluded from these tables.</w:t>
            </w:r>
          </w:p>
          <w:p w:rsidR="000E3DBA" w:rsidRPr="000E3DBA" w:rsidRDefault="000E3DBA" w:rsidP="00CA064E">
            <w:pPr>
              <w:pStyle w:val="TableBodyText"/>
              <w:jc w:val="both"/>
            </w:pPr>
            <w:r w:rsidRPr="000E3DBA">
              <w:t>The 2012</w:t>
            </w:r>
            <w:r w:rsidR="009F5EB6">
              <w:noBreakHyphen/>
            </w:r>
            <w:r w:rsidRPr="000E3DBA">
              <w:t>13 NATSIHS was conducted in all states and territories, including very remote areas. Non</w:t>
            </w:r>
            <w:r w:rsidR="009F5EB6">
              <w:noBreakHyphen/>
            </w:r>
            <w:r w:rsidRPr="000E3DBA">
              <w:t>private dwellings such as hotels, motels, hospitals, nursing homes and short</w:t>
            </w:r>
            <w:r w:rsidR="009F5EB6">
              <w:noBreakHyphen/>
            </w:r>
            <w:r w:rsidRPr="000E3DBA">
              <w:t>stay caravan parks were excluded from the survey. The final response rate was 80 per cent.</w:t>
            </w:r>
          </w:p>
          <w:p w:rsidR="000E3DBA" w:rsidRPr="000E3DBA" w:rsidRDefault="000E3DBA" w:rsidP="00CA064E">
            <w:pPr>
              <w:pStyle w:val="TableBodyText"/>
              <w:jc w:val="both"/>
            </w:pPr>
            <w:r w:rsidRPr="000E3DBA">
              <w:t>The data for the SEW and NATSIHS are collected from an ARA (Any Responsible Adult) on behalf of other members of the household and are weighted for non</w:t>
            </w:r>
            <w:r w:rsidR="009F5EB6">
              <w:noBreakHyphen/>
            </w:r>
            <w:r w:rsidRPr="000E3DBA">
              <w:t>response.</w:t>
            </w:r>
          </w:p>
          <w:p w:rsidR="000E3DBA" w:rsidRPr="000E3DBA" w:rsidRDefault="000E3DBA" w:rsidP="00CA064E">
            <w:pPr>
              <w:pStyle w:val="TableBodyText"/>
              <w:jc w:val="both"/>
            </w:pPr>
            <w:r w:rsidRPr="000E3DBA">
              <w:t xml:space="preserve">The data are event data that can be used to measure year to year changes provided that the changes are large enough to account for the Relative Standard Error (RSE) of estimates. </w:t>
            </w:r>
          </w:p>
          <w:p w:rsidR="003F0E99" w:rsidRPr="003F0E99" w:rsidRDefault="000E3DBA" w:rsidP="00CA064E">
            <w:pPr>
              <w:pStyle w:val="TableBodyText"/>
              <w:jc w:val="both"/>
            </w:pPr>
            <w:r w:rsidRPr="000E3DBA">
              <w:t>Data with a relative standard error of between 25</w:t>
            </w:r>
            <w:r w:rsidR="002F1B21">
              <w:t xml:space="preserve"> per cent</w:t>
            </w:r>
            <w:r w:rsidRPr="000E3DBA">
              <w:t xml:space="preserve"> and 50</w:t>
            </w:r>
            <w:r w:rsidR="002F1B21">
              <w:t xml:space="preserve"> per cent</w:t>
            </w:r>
            <w:r w:rsidRPr="000E3DBA">
              <w:t xml:space="preserve"> should be used with caution while data with a relative standard error greater than 50</w:t>
            </w:r>
            <w:r w:rsidR="002F1B21">
              <w:t xml:space="preserve"> per cent</w:t>
            </w:r>
            <w:r w:rsidRPr="000E3DBA">
              <w:t xml:space="preserve"> is considered too unreliable for general use.</w:t>
            </w:r>
          </w:p>
        </w:tc>
      </w:tr>
      <w:tr w:rsidR="003F0E99" w:rsidRPr="003F0E99" w:rsidTr="00A47644">
        <w:trPr>
          <w:trHeight w:val="3393"/>
        </w:trPr>
        <w:tc>
          <w:tcPr>
            <w:tcW w:w="1984" w:type="dxa"/>
          </w:tcPr>
          <w:p w:rsidR="003F0E99" w:rsidRPr="003F0E99" w:rsidRDefault="003F0E99" w:rsidP="003F0E99">
            <w:pPr>
              <w:rPr>
                <w:rFonts w:ascii="Arial" w:hAnsi="Arial" w:cs="Arial"/>
                <w:b/>
                <w:sz w:val="20"/>
                <w:szCs w:val="20"/>
              </w:rPr>
            </w:pPr>
            <w:r w:rsidRPr="003F0E99">
              <w:rPr>
                <w:rFonts w:ascii="Arial" w:hAnsi="Arial" w:cs="Arial"/>
                <w:b/>
                <w:sz w:val="20"/>
                <w:szCs w:val="20"/>
              </w:rPr>
              <w:t>Coherence</w:t>
            </w:r>
          </w:p>
          <w:p w:rsidR="003F0E99" w:rsidRPr="003F0E99" w:rsidRDefault="003F0E99" w:rsidP="003F0E99">
            <w:pPr>
              <w:rPr>
                <w:rFonts w:ascii="Arial" w:hAnsi="Arial" w:cs="Arial"/>
                <w:b/>
                <w:sz w:val="20"/>
                <w:szCs w:val="20"/>
              </w:rPr>
            </w:pPr>
          </w:p>
        </w:tc>
        <w:tc>
          <w:tcPr>
            <w:tcW w:w="6947" w:type="dxa"/>
          </w:tcPr>
          <w:p w:rsidR="000E3DBA" w:rsidRPr="000E3DBA" w:rsidRDefault="000E3DBA" w:rsidP="00CA064E">
            <w:pPr>
              <w:pStyle w:val="TableBodyText"/>
              <w:jc w:val="both"/>
            </w:pPr>
            <w:r w:rsidRPr="000E3DBA">
              <w:t>Both the numerator and denominator come from the SEW for the general population and non</w:t>
            </w:r>
            <w:r w:rsidR="009F5EB6">
              <w:noBreakHyphen/>
            </w:r>
            <w:r w:rsidRPr="000E3DBA">
              <w:t xml:space="preserve">Indigenous population. Measures based on the 2013 and 2012 SEW are consistent with those supplied for COAG reporting from previous cycles of this survey. </w:t>
            </w:r>
          </w:p>
          <w:p w:rsidR="000E3DBA" w:rsidRPr="000E3DBA" w:rsidRDefault="000E3DBA" w:rsidP="00CA064E">
            <w:pPr>
              <w:pStyle w:val="TableBodyText"/>
              <w:jc w:val="both"/>
            </w:pPr>
            <w:r w:rsidRPr="000E3DBA">
              <w:t>Both the numerator and the denominator for the Indigenous estimates provided in this cycle are based on the 2012</w:t>
            </w:r>
            <w:r w:rsidR="009F5EB6">
              <w:noBreakHyphen/>
            </w:r>
            <w:r w:rsidRPr="000E3DBA">
              <w:t>13 AATSIHS (NATSIHS component). From June 2014 estimates will be available the 2012</w:t>
            </w:r>
            <w:r w:rsidR="009F5EB6">
              <w:noBreakHyphen/>
            </w:r>
            <w:r w:rsidRPr="000E3DBA">
              <w:t>13 AATSIHS 2012</w:t>
            </w:r>
            <w:r w:rsidR="009F5EB6">
              <w:noBreakHyphen/>
            </w:r>
            <w:r w:rsidRPr="000E3DBA">
              <w:t>13 (Core component). The core component comprises estimates based on the combined NATSIHS and the National Aboriginal and Torres Strait Islander Nutrition and Physical Activity Survey (NATSINPAS) samples.</w:t>
            </w:r>
          </w:p>
          <w:p w:rsidR="003F0E99" w:rsidRPr="003F0E99" w:rsidRDefault="000E3DBA" w:rsidP="00CA064E">
            <w:pPr>
              <w:pStyle w:val="TableBodyText"/>
              <w:jc w:val="both"/>
            </w:pPr>
            <w:r w:rsidRPr="000E3DBA">
              <w:t>The Census of Population and Housing also provides information on current study and employment status for this indicator.</w:t>
            </w:r>
          </w:p>
        </w:tc>
      </w:tr>
      <w:tr w:rsidR="009C3B52" w:rsidRPr="003F0E99" w:rsidTr="00A47644">
        <w:trPr>
          <w:trHeight w:val="3413"/>
        </w:trPr>
        <w:tc>
          <w:tcPr>
            <w:tcW w:w="1984" w:type="dxa"/>
          </w:tcPr>
          <w:p w:rsidR="009C3B52" w:rsidRPr="003F0E99" w:rsidRDefault="009C3B52" w:rsidP="00915C74">
            <w:pPr>
              <w:rPr>
                <w:rFonts w:ascii="Arial" w:hAnsi="Arial" w:cs="Arial"/>
                <w:b/>
                <w:sz w:val="20"/>
                <w:szCs w:val="20"/>
              </w:rPr>
            </w:pPr>
            <w:r w:rsidRPr="003F0E99">
              <w:rPr>
                <w:rFonts w:ascii="Arial" w:hAnsi="Arial" w:cs="Arial"/>
                <w:b/>
                <w:sz w:val="20"/>
                <w:szCs w:val="20"/>
              </w:rPr>
              <w:t>Interpretability</w:t>
            </w:r>
          </w:p>
          <w:p w:rsidR="009C3B52" w:rsidRPr="003F0E99" w:rsidRDefault="009C3B52" w:rsidP="00915C74">
            <w:pPr>
              <w:rPr>
                <w:rFonts w:ascii="Arial" w:hAnsi="Arial" w:cs="Arial"/>
                <w:b/>
                <w:sz w:val="20"/>
                <w:szCs w:val="20"/>
              </w:rPr>
            </w:pPr>
          </w:p>
        </w:tc>
        <w:tc>
          <w:tcPr>
            <w:tcW w:w="6947" w:type="dxa"/>
          </w:tcPr>
          <w:p w:rsidR="000E3DBA" w:rsidRPr="000E3DBA" w:rsidRDefault="000E3DBA" w:rsidP="00CA064E">
            <w:pPr>
              <w:pStyle w:val="TableBodyText"/>
              <w:jc w:val="both"/>
            </w:pPr>
            <w:r w:rsidRPr="000E3DBA">
              <w:t xml:space="preserve">Information on how to interpret and use the data appropriately is available on the ABS website; see </w:t>
            </w:r>
            <w:hyperlink r:id="rId29" w:history="1">
              <w:r w:rsidRPr="006B14FB">
                <w:rPr>
                  <w:rStyle w:val="Hyperlink"/>
                </w:rPr>
                <w:t>Explanatory Notes</w:t>
              </w:r>
            </w:hyperlink>
            <w:r w:rsidRPr="000E3DBA">
              <w:t xml:space="preserve"> in Education and Work, Australia (cat. no. 6227.0) and the Australian Aboriginal and Torres Strait Islander Health Survey: Users’ Guide, 2012</w:t>
            </w:r>
            <w:r w:rsidR="009F5EB6">
              <w:noBreakHyphen/>
            </w:r>
            <w:r w:rsidRPr="000E3DBA">
              <w:t>13 (ABS cat. no. 4727.0.55.002).</w:t>
            </w:r>
          </w:p>
          <w:p w:rsidR="009C3B52" w:rsidRPr="003F0E99" w:rsidRDefault="000E3DBA" w:rsidP="00CA064E">
            <w:pPr>
              <w:pStyle w:val="TableBodyText"/>
              <w:jc w:val="both"/>
            </w:pPr>
            <w:r w:rsidRPr="000E3DBA">
              <w:t xml:space="preserve">ABS SEIFA indexes are based on data from the Census and measure the socioeconomic status of the area in which a person lives. They do not directly measure the socioeconomic status of individuals or their households. More information on the SEIFA measure of socioeconomic status can be found on the ABS website: </w:t>
            </w:r>
            <w:hyperlink r:id="rId30" w:history="1">
              <w:r w:rsidR="006B14FB" w:rsidRPr="00D6102D">
                <w:rPr>
                  <w:rStyle w:val="Hyperlink"/>
                </w:rPr>
                <w:t>www.abs.gov.au</w:t>
              </w:r>
            </w:hyperlink>
            <w:r w:rsidRPr="000E3DBA">
              <w:t>. For tables in this cycle, SEIFA quintiles are derived using ABS 2011 SEIFA IRSD (at SA1 level) for data from SEW 13. For tables in previous cycles, SEIFA quintiles were derived using ABS 2006 SEIFA IRSD (at CD level).</w:t>
            </w:r>
          </w:p>
        </w:tc>
      </w:tr>
      <w:tr w:rsidR="009C3B52" w:rsidRPr="003F0E99" w:rsidTr="003F0E99">
        <w:tc>
          <w:tcPr>
            <w:tcW w:w="1984" w:type="dxa"/>
          </w:tcPr>
          <w:p w:rsidR="009C3B52" w:rsidRPr="003F0E99" w:rsidRDefault="009C3B52" w:rsidP="00915C74">
            <w:pPr>
              <w:rPr>
                <w:rFonts w:ascii="Arial" w:hAnsi="Arial" w:cs="Arial"/>
                <w:b/>
                <w:sz w:val="20"/>
                <w:szCs w:val="20"/>
              </w:rPr>
            </w:pPr>
            <w:r w:rsidRPr="003F0E99">
              <w:rPr>
                <w:rFonts w:ascii="Arial" w:hAnsi="Arial" w:cs="Arial"/>
                <w:b/>
                <w:sz w:val="20"/>
                <w:szCs w:val="20"/>
              </w:rPr>
              <w:t>Accessibility</w:t>
            </w:r>
          </w:p>
        </w:tc>
        <w:tc>
          <w:tcPr>
            <w:tcW w:w="6947" w:type="dxa"/>
          </w:tcPr>
          <w:p w:rsidR="004D7D2B" w:rsidRPr="004D7D2B" w:rsidRDefault="004D7D2B" w:rsidP="00CA064E">
            <w:pPr>
              <w:pStyle w:val="TableBodyText"/>
              <w:jc w:val="both"/>
            </w:pPr>
            <w:r w:rsidRPr="004D7D2B">
              <w:t xml:space="preserve">The data for the SEW are available via the ABS website in the publication </w:t>
            </w:r>
            <w:hyperlink r:id="rId31" w:history="1">
              <w:r w:rsidRPr="006B14FB">
                <w:rPr>
                  <w:rStyle w:val="Hyperlink"/>
                </w:rPr>
                <w:t>Education and Work, Australia</w:t>
              </w:r>
            </w:hyperlink>
            <w:r w:rsidRPr="004D7D2B">
              <w:t xml:space="preserve"> (cat. no. 6227.0). This measure is also released as part of a SEW detailed education data cube (cat. no. 6227.0.55.003).</w:t>
            </w:r>
          </w:p>
          <w:p w:rsidR="004D7D2B" w:rsidRPr="004D7D2B" w:rsidRDefault="004D7D2B" w:rsidP="00CA064E">
            <w:pPr>
              <w:pStyle w:val="TableBodyText"/>
              <w:jc w:val="both"/>
            </w:pPr>
            <w:r w:rsidRPr="004D7D2B">
              <w:t>The data for NATSIHS are available from the ABS website in the publication Australian Aboriginal and Torres Strait Islander Health Survey: First Results, 2012</w:t>
            </w:r>
            <w:r w:rsidR="009F5EB6">
              <w:noBreakHyphen/>
            </w:r>
            <w:r w:rsidRPr="004D7D2B">
              <w:t>13 (ABS cat. no. 4727.0.55.001). Other information from the survey is available on request.</w:t>
            </w:r>
          </w:p>
          <w:p w:rsidR="009C3B52" w:rsidRPr="003F0E99" w:rsidRDefault="004D7D2B" w:rsidP="00CA064E">
            <w:pPr>
              <w:pStyle w:val="TableBodyText"/>
              <w:jc w:val="both"/>
            </w:pPr>
            <w:r w:rsidRPr="004D7D2B">
              <w:t xml:space="preserve">Additional data are available at cost upon request through the </w:t>
            </w:r>
            <w:hyperlink r:id="rId32" w:history="1">
              <w:r w:rsidRPr="00576D0F">
                <w:rPr>
                  <w:rStyle w:val="Hyperlink"/>
                </w:rPr>
                <w:t>National Information Referral Service</w:t>
              </w:r>
            </w:hyperlink>
            <w:r w:rsidRPr="004D7D2B">
              <w:t xml:space="preserve"> (NIRS). A Confidentialised Unit Record File (CURF) has been produced for every second cycle of the SEW from 2001 to 2011. The survey microdata are also been released through the TableBuilder product, </w:t>
            </w:r>
            <w:hyperlink r:id="rId33" w:history="1">
              <w:r w:rsidRPr="00576D0F">
                <w:rPr>
                  <w:rStyle w:val="Hyperlink"/>
                </w:rPr>
                <w:t>Microdata: Education and Work, Australia</w:t>
              </w:r>
            </w:hyperlink>
            <w:r w:rsidRPr="004D7D2B">
              <w:t xml:space="preserve"> (cat. no. 6227.0.30.001).</w:t>
            </w:r>
          </w:p>
        </w:tc>
      </w:tr>
    </w:tbl>
    <w:p w:rsidR="00A47644" w:rsidRDefault="00A47644" w:rsidP="00A47644">
      <w:pPr>
        <w:pStyle w:val="BodyText"/>
      </w:pPr>
      <w:bookmarkStart w:id="36" w:name="_Ref381717961"/>
    </w:p>
    <w:p w:rsidR="00A47644" w:rsidRDefault="00A47644">
      <w:pPr>
        <w:rPr>
          <w:rFonts w:ascii="Arial" w:hAnsi="Arial"/>
          <w:b/>
          <w:szCs w:val="20"/>
        </w:rPr>
      </w:pPr>
      <w:r>
        <w:br w:type="page"/>
      </w:r>
    </w:p>
    <w:p w:rsidR="003F0E99" w:rsidRDefault="003F0E99" w:rsidP="001A5D6A">
      <w:pPr>
        <w:pStyle w:val="Heading3"/>
      </w:pPr>
      <w:r w:rsidRPr="003F0E99">
        <w:t xml:space="preserve">Data quality statement — </w:t>
      </w:r>
      <w:r w:rsidR="00FC323C">
        <w:t>Indicator 6(b):</w:t>
      </w:r>
      <w:r w:rsidR="00F437DE" w:rsidRPr="00F437DE">
        <w:t xml:space="preserve"> Percentage of students at or above the national minimum standard in reading, writing and numeracy for years 3, 5, 7, 9</w:t>
      </w:r>
      <w:bookmarkEnd w:id="36"/>
    </w:p>
    <w:p w:rsidR="00300BD3" w:rsidRPr="00300BD3" w:rsidRDefault="00300BD3" w:rsidP="00300BD3">
      <w:pPr>
        <w:pStyle w:val="BodyText"/>
      </w:pPr>
      <w:r w:rsidRPr="00300BD3">
        <w:t xml:space="preserve">[This </w:t>
      </w:r>
      <w:r>
        <w:t>DQS</w:t>
      </w:r>
      <w:r w:rsidRPr="00300BD3">
        <w:t xml:space="preserve"> relates directly to PI 11 in the NIRA]</w:t>
      </w:r>
    </w:p>
    <w:p w:rsidR="003F0E99" w:rsidRPr="003F0E99" w:rsidRDefault="003F0E99" w:rsidP="003F0E99">
      <w:pPr>
        <w:keepNext/>
        <w:spacing w:before="360" w:line="80" w:lineRule="exact"/>
        <w:rPr>
          <w:szCs w:val="20"/>
        </w:rPr>
      </w:pPr>
    </w:p>
    <w:tbl>
      <w:tblPr>
        <w:tblW w:w="8931" w:type="dxa"/>
        <w:tblInd w:w="-34" w:type="dxa"/>
        <w:tblLook w:val="01E0" w:firstRow="1" w:lastRow="1" w:firstColumn="1" w:lastColumn="1" w:noHBand="0" w:noVBand="0"/>
      </w:tblPr>
      <w:tblGrid>
        <w:gridCol w:w="1984"/>
        <w:gridCol w:w="6947"/>
      </w:tblGrid>
      <w:tr w:rsidR="00300BD3" w:rsidRPr="003F0E99" w:rsidTr="00A47644">
        <w:trPr>
          <w:trHeight w:val="653"/>
        </w:trPr>
        <w:tc>
          <w:tcPr>
            <w:tcW w:w="1984" w:type="dxa"/>
            <w:hideMark/>
          </w:tcPr>
          <w:p w:rsidR="00300BD3" w:rsidRPr="003F0E99" w:rsidRDefault="00300BD3" w:rsidP="003F0E99">
            <w:pPr>
              <w:rPr>
                <w:rFonts w:ascii="Arial" w:hAnsi="Arial" w:cs="Arial"/>
                <w:b/>
                <w:sz w:val="20"/>
                <w:szCs w:val="20"/>
              </w:rPr>
            </w:pPr>
            <w:r w:rsidRPr="003F0E99">
              <w:rPr>
                <w:rFonts w:ascii="Arial" w:hAnsi="Arial" w:cs="Arial"/>
                <w:b/>
                <w:sz w:val="20"/>
                <w:szCs w:val="20"/>
              </w:rPr>
              <w:t>Target/Outcome</w:t>
            </w:r>
          </w:p>
        </w:tc>
        <w:tc>
          <w:tcPr>
            <w:tcW w:w="6947" w:type="dxa"/>
          </w:tcPr>
          <w:p w:rsidR="00300BD3" w:rsidRPr="00D86106" w:rsidRDefault="00300BD3" w:rsidP="00C31374">
            <w:pPr>
              <w:pStyle w:val="TableBodyText"/>
              <w:jc w:val="both"/>
            </w:pPr>
            <w:r w:rsidRPr="00D86106">
              <w:t>Halve the gap in reading, writing and numeracy achievement for Indigenous children by 2018</w:t>
            </w:r>
          </w:p>
        </w:tc>
      </w:tr>
      <w:tr w:rsidR="00300BD3" w:rsidRPr="003F0E99" w:rsidTr="00A47644">
        <w:trPr>
          <w:trHeight w:val="705"/>
        </w:trPr>
        <w:tc>
          <w:tcPr>
            <w:tcW w:w="1984" w:type="dxa"/>
            <w:hideMark/>
          </w:tcPr>
          <w:p w:rsidR="00300BD3" w:rsidRPr="003F0E99" w:rsidRDefault="00300BD3" w:rsidP="003F0E99">
            <w:pPr>
              <w:rPr>
                <w:rFonts w:ascii="Arial" w:hAnsi="Arial" w:cs="Arial"/>
                <w:b/>
                <w:sz w:val="20"/>
                <w:szCs w:val="20"/>
              </w:rPr>
            </w:pPr>
            <w:r w:rsidRPr="003F0E99">
              <w:rPr>
                <w:rFonts w:ascii="Arial" w:hAnsi="Arial" w:cs="Arial"/>
                <w:b/>
                <w:sz w:val="20"/>
                <w:szCs w:val="20"/>
              </w:rPr>
              <w:t>Indicator</w:t>
            </w:r>
          </w:p>
        </w:tc>
        <w:tc>
          <w:tcPr>
            <w:tcW w:w="6947" w:type="dxa"/>
          </w:tcPr>
          <w:p w:rsidR="00300BD3" w:rsidRDefault="00300BD3" w:rsidP="00C31374">
            <w:pPr>
              <w:pStyle w:val="TableBodyText"/>
              <w:jc w:val="both"/>
            </w:pPr>
            <w:r w:rsidRPr="00D86106">
              <w:t>Percentage of students at or above the national minimum standard in reading, writing and numeracy for years 3, 5, 7 and 9</w:t>
            </w:r>
          </w:p>
        </w:tc>
      </w:tr>
      <w:tr w:rsidR="003F0E99" w:rsidRPr="003F0E99" w:rsidTr="00A47644">
        <w:trPr>
          <w:trHeight w:val="4244"/>
        </w:trPr>
        <w:tc>
          <w:tcPr>
            <w:tcW w:w="1984" w:type="dxa"/>
            <w:hideMark/>
          </w:tcPr>
          <w:p w:rsidR="003F0E99" w:rsidRPr="003F0E99" w:rsidRDefault="003F0E99" w:rsidP="003F0E99">
            <w:pPr>
              <w:rPr>
                <w:rFonts w:ascii="Arial" w:hAnsi="Arial" w:cs="Arial"/>
                <w:b/>
                <w:sz w:val="20"/>
                <w:szCs w:val="20"/>
              </w:rPr>
            </w:pPr>
            <w:r w:rsidRPr="003F0E99">
              <w:rPr>
                <w:rFonts w:ascii="Arial" w:hAnsi="Arial" w:cs="Arial"/>
                <w:b/>
                <w:sz w:val="20"/>
                <w:szCs w:val="20"/>
              </w:rPr>
              <w:t>Measure (computation)</w:t>
            </w:r>
          </w:p>
        </w:tc>
        <w:tc>
          <w:tcPr>
            <w:tcW w:w="6947" w:type="dxa"/>
          </w:tcPr>
          <w:p w:rsidR="007607BF" w:rsidRDefault="00300BD3" w:rsidP="00C31374">
            <w:pPr>
              <w:pStyle w:val="TableBodyText"/>
              <w:jc w:val="both"/>
              <w:rPr>
                <w:rFonts w:cs="Arial"/>
              </w:rPr>
            </w:pPr>
            <w:r w:rsidRPr="007607BF">
              <w:rPr>
                <w:rFonts w:cs="Arial"/>
                <w:b/>
              </w:rPr>
              <w:t>Measure (a)</w:t>
            </w:r>
            <w:r>
              <w:rPr>
                <w:rFonts w:cs="Arial"/>
              </w:rPr>
              <w:t xml:space="preserve"> </w:t>
            </w:r>
            <w:r w:rsidR="007607BF">
              <w:rPr>
                <w:rFonts w:cs="Arial"/>
              </w:rPr>
              <w:t xml:space="preserve">— </w:t>
            </w:r>
            <w:r>
              <w:rPr>
                <w:rFonts w:cs="Arial"/>
              </w:rPr>
              <w:t>Proportion at or above the national minimum standard or</w:t>
            </w:r>
            <w:r w:rsidR="00DF6702">
              <w:rPr>
                <w:rFonts w:cs="Arial"/>
              </w:rPr>
              <w:t xml:space="preserve"> </w:t>
            </w:r>
            <w:r>
              <w:rPr>
                <w:rFonts w:cs="Arial"/>
              </w:rPr>
              <w:t xml:space="preserve">mean scale score. </w:t>
            </w:r>
          </w:p>
          <w:p w:rsidR="00300BD3" w:rsidRDefault="00300BD3" w:rsidP="00C31374">
            <w:pPr>
              <w:pStyle w:val="TableBullet"/>
              <w:jc w:val="both"/>
            </w:pPr>
            <w:r>
              <w:t>The complex process by which student scores are</w:t>
            </w:r>
            <w:r w:rsidR="00DF6702">
              <w:t xml:space="preserve"> </w:t>
            </w:r>
            <w:r>
              <w:t>arrived at and distributed across the national achievement bands (using</w:t>
            </w:r>
            <w:r w:rsidR="00DF6702">
              <w:t xml:space="preserve"> </w:t>
            </w:r>
            <w:r>
              <w:t>the Rasch model, a recognised analysis model for educational</w:t>
            </w:r>
            <w:r w:rsidR="00DF6702">
              <w:t xml:space="preserve"> </w:t>
            </w:r>
            <w:r>
              <w:t>measurement) are agreed by States, Territories and the Commonwealth</w:t>
            </w:r>
            <w:r w:rsidR="00DF6702">
              <w:t xml:space="preserve"> </w:t>
            </w:r>
            <w:r>
              <w:t>and endorsed by the</w:t>
            </w:r>
            <w:r w:rsidR="008D2688">
              <w:t xml:space="preserve"> then</w:t>
            </w:r>
            <w:r>
              <w:t xml:space="preserve"> NAPLAN Expert Advisory Group. Due to the</w:t>
            </w:r>
            <w:r w:rsidR="00DF6702">
              <w:t xml:space="preserve"> </w:t>
            </w:r>
            <w:r>
              <w:t>complexities of the plausible value methodology, it is not possible to give a simple computation of the precise number of students at or above the national minimum standard, which is best reported in the bands designed for that purpose.</w:t>
            </w:r>
          </w:p>
          <w:p w:rsidR="00300BD3" w:rsidRDefault="00300BD3" w:rsidP="00C31374">
            <w:pPr>
              <w:pStyle w:val="TableBodyText"/>
              <w:jc w:val="both"/>
              <w:rPr>
                <w:rFonts w:cs="Arial"/>
              </w:rPr>
            </w:pPr>
            <w:r w:rsidRPr="007607BF">
              <w:rPr>
                <w:rFonts w:cs="Arial"/>
                <w:b/>
              </w:rPr>
              <w:t>Measure (b)</w:t>
            </w:r>
            <w:r>
              <w:rPr>
                <w:rFonts w:cs="Arial"/>
              </w:rPr>
              <w:t xml:space="preserve"> </w:t>
            </w:r>
            <w:r w:rsidR="007607BF">
              <w:rPr>
                <w:rFonts w:cs="Arial"/>
              </w:rPr>
              <w:t xml:space="preserve">— </w:t>
            </w:r>
            <w:r>
              <w:rPr>
                <w:rFonts w:cs="Arial"/>
              </w:rPr>
              <w:t>Rates of participation in NAPLAN reading writing and</w:t>
            </w:r>
            <w:r w:rsidR="00DF6702">
              <w:rPr>
                <w:rFonts w:cs="Arial"/>
              </w:rPr>
              <w:t xml:space="preserve"> </w:t>
            </w:r>
            <w:r>
              <w:rPr>
                <w:rFonts w:cs="Arial"/>
              </w:rPr>
              <w:t>numeracy tests.</w:t>
            </w:r>
          </w:p>
          <w:p w:rsidR="00300BD3" w:rsidRPr="00DF6702" w:rsidRDefault="007607BF" w:rsidP="00C31374">
            <w:pPr>
              <w:pStyle w:val="TableBullet"/>
              <w:jc w:val="both"/>
              <w:rPr>
                <w:rFonts w:cs="Arial"/>
              </w:rPr>
            </w:pPr>
            <w:r w:rsidRPr="00131D8D">
              <w:rPr>
                <w:i/>
              </w:rPr>
              <w:t>Numerator</w:t>
            </w:r>
            <w:r>
              <w:t xml:space="preserve">: </w:t>
            </w:r>
            <w:r w:rsidR="00300BD3">
              <w:t>number of assessed and exempt students in years 3, 5, 7</w:t>
            </w:r>
            <w:r w:rsidR="00DF6702">
              <w:t xml:space="preserve"> </w:t>
            </w:r>
            <w:r w:rsidR="00300BD3" w:rsidRPr="00DF6702">
              <w:rPr>
                <w:rFonts w:cs="Arial"/>
              </w:rPr>
              <w:t>and 9, by Indigenous status</w:t>
            </w:r>
          </w:p>
          <w:p w:rsidR="003F0E99" w:rsidRPr="003F0E99" w:rsidRDefault="00300BD3" w:rsidP="00C31374">
            <w:pPr>
              <w:pStyle w:val="TableBullet"/>
              <w:jc w:val="both"/>
              <w:rPr>
                <w:rFonts w:cs="Arial"/>
              </w:rPr>
            </w:pPr>
            <w:r w:rsidRPr="00131D8D">
              <w:rPr>
                <w:i/>
              </w:rPr>
              <w:t>Denominator</w:t>
            </w:r>
            <w:r w:rsidR="007607BF">
              <w:t>:</w:t>
            </w:r>
            <w:r>
              <w:t xml:space="preserve"> total number of students (including those absent and</w:t>
            </w:r>
            <w:r w:rsidR="00DF6702">
              <w:t xml:space="preserve"> </w:t>
            </w:r>
            <w:r>
              <w:rPr>
                <w:rFonts w:cs="Arial"/>
              </w:rPr>
              <w:t>withdrawn) in years 3, 5, 7 and 9 by Indigenous status</w:t>
            </w:r>
          </w:p>
        </w:tc>
      </w:tr>
      <w:tr w:rsidR="003F0E99" w:rsidRPr="003F0E99" w:rsidTr="00A47644">
        <w:trPr>
          <w:trHeight w:val="859"/>
        </w:trPr>
        <w:tc>
          <w:tcPr>
            <w:tcW w:w="1984" w:type="dxa"/>
            <w:hideMark/>
          </w:tcPr>
          <w:p w:rsidR="003F0E99" w:rsidRPr="003F0E99" w:rsidRDefault="003F0E99" w:rsidP="003F0E99">
            <w:pPr>
              <w:rPr>
                <w:rFonts w:ascii="Arial" w:hAnsi="Arial" w:cs="Arial"/>
                <w:b/>
                <w:sz w:val="20"/>
                <w:szCs w:val="20"/>
              </w:rPr>
            </w:pPr>
            <w:r w:rsidRPr="003F0E99">
              <w:rPr>
                <w:rFonts w:ascii="Arial" w:hAnsi="Arial" w:cs="Arial"/>
                <w:b/>
                <w:sz w:val="20"/>
                <w:szCs w:val="20"/>
              </w:rPr>
              <w:t>Data source/s</w:t>
            </w:r>
          </w:p>
        </w:tc>
        <w:tc>
          <w:tcPr>
            <w:tcW w:w="6947" w:type="dxa"/>
          </w:tcPr>
          <w:p w:rsidR="003F0E99" w:rsidRPr="003F0E99" w:rsidRDefault="00300BD3" w:rsidP="00C31374">
            <w:pPr>
              <w:pStyle w:val="TableBodyText"/>
              <w:jc w:val="both"/>
              <w:rPr>
                <w:rFonts w:cs="Arial"/>
              </w:rPr>
            </w:pPr>
            <w:r w:rsidRPr="00300BD3">
              <w:rPr>
                <w:rFonts w:cs="Arial"/>
              </w:rPr>
              <w:t>Specify for each data item (for rate or proportion specify if different for numerator and denominator) including relevant catalogue number if available –</w:t>
            </w:r>
            <w:r w:rsidR="001714E9">
              <w:rPr>
                <w:rFonts w:cs="Arial"/>
              </w:rPr>
              <w:t xml:space="preserve"> </w:t>
            </w:r>
            <w:r w:rsidRPr="00300BD3">
              <w:rPr>
                <w:rFonts w:cs="Arial"/>
              </w:rPr>
              <w:t>2013 NAPLAN</w:t>
            </w:r>
          </w:p>
        </w:tc>
      </w:tr>
      <w:tr w:rsidR="003F0E99" w:rsidRPr="003F0E99" w:rsidTr="00A47644">
        <w:trPr>
          <w:trHeight w:val="1411"/>
        </w:trPr>
        <w:tc>
          <w:tcPr>
            <w:tcW w:w="1984" w:type="dxa"/>
            <w:hideMark/>
          </w:tcPr>
          <w:p w:rsidR="003F0E99" w:rsidRPr="003F0E99" w:rsidRDefault="003F0E99" w:rsidP="003F0E99">
            <w:pPr>
              <w:rPr>
                <w:rFonts w:ascii="Arial" w:hAnsi="Arial" w:cs="Arial"/>
                <w:b/>
                <w:sz w:val="20"/>
                <w:szCs w:val="20"/>
              </w:rPr>
            </w:pPr>
            <w:r w:rsidRPr="003F0E99">
              <w:rPr>
                <w:rFonts w:ascii="Arial" w:hAnsi="Arial" w:cs="Arial"/>
                <w:b/>
                <w:sz w:val="20"/>
                <w:szCs w:val="20"/>
              </w:rPr>
              <w:t>Institutional environment</w:t>
            </w:r>
          </w:p>
        </w:tc>
        <w:tc>
          <w:tcPr>
            <w:tcW w:w="6947" w:type="dxa"/>
          </w:tcPr>
          <w:p w:rsidR="00300BD3" w:rsidRPr="00300BD3" w:rsidRDefault="00300BD3" w:rsidP="00C31374">
            <w:pPr>
              <w:pStyle w:val="TableBodyText"/>
              <w:jc w:val="both"/>
              <w:rPr>
                <w:rFonts w:cs="Arial"/>
              </w:rPr>
            </w:pPr>
            <w:r w:rsidRPr="00300BD3">
              <w:rPr>
                <w:rFonts w:cs="Arial"/>
              </w:rPr>
              <w:t>Data Collector(s): Individual schools send this data under a set of protocols to the Test Administration Authorities for the states and territories</w:t>
            </w:r>
          </w:p>
          <w:p w:rsidR="00300BD3" w:rsidRPr="00300BD3" w:rsidRDefault="00300BD3" w:rsidP="00C31374">
            <w:pPr>
              <w:pStyle w:val="TableBodyText"/>
              <w:jc w:val="both"/>
              <w:rPr>
                <w:rFonts w:cs="Arial"/>
              </w:rPr>
            </w:pPr>
            <w:r w:rsidRPr="00300BD3">
              <w:rPr>
                <w:rFonts w:cs="Arial"/>
              </w:rPr>
              <w:t>Collection authority: ACARA Act 2008</w:t>
            </w:r>
          </w:p>
          <w:p w:rsidR="003F0E99" w:rsidRPr="003F0E99" w:rsidRDefault="00300BD3" w:rsidP="00C31374">
            <w:pPr>
              <w:pStyle w:val="TableBodyText"/>
              <w:jc w:val="both"/>
              <w:rPr>
                <w:rFonts w:cs="Arial"/>
              </w:rPr>
            </w:pPr>
            <w:r w:rsidRPr="00300BD3">
              <w:rPr>
                <w:rFonts w:cs="Arial"/>
              </w:rPr>
              <w:t>Data Compiler(s): Australian Council for Educational Research (ACER)</w:t>
            </w:r>
          </w:p>
        </w:tc>
      </w:tr>
      <w:tr w:rsidR="003F0E99" w:rsidRPr="003F0E99" w:rsidTr="00A47644">
        <w:trPr>
          <w:trHeight w:val="2835"/>
        </w:trPr>
        <w:tc>
          <w:tcPr>
            <w:tcW w:w="1984" w:type="dxa"/>
          </w:tcPr>
          <w:p w:rsidR="003F0E99" w:rsidRPr="003F0E99" w:rsidRDefault="003F0E99" w:rsidP="003F0E99">
            <w:pPr>
              <w:rPr>
                <w:rFonts w:ascii="Arial" w:hAnsi="Arial" w:cs="Arial"/>
                <w:b/>
                <w:sz w:val="20"/>
                <w:szCs w:val="20"/>
              </w:rPr>
            </w:pPr>
            <w:r w:rsidRPr="003F0E99">
              <w:rPr>
                <w:rFonts w:ascii="Arial" w:hAnsi="Arial" w:cs="Arial"/>
                <w:b/>
                <w:sz w:val="20"/>
                <w:szCs w:val="20"/>
              </w:rPr>
              <w:t>Relevance</w:t>
            </w:r>
          </w:p>
          <w:p w:rsidR="003F0E99" w:rsidRPr="003F0E99" w:rsidRDefault="003F0E99" w:rsidP="003F0E99">
            <w:pPr>
              <w:rPr>
                <w:rFonts w:ascii="Arial" w:hAnsi="Arial" w:cs="Arial"/>
                <w:b/>
                <w:sz w:val="20"/>
                <w:szCs w:val="20"/>
              </w:rPr>
            </w:pPr>
          </w:p>
        </w:tc>
        <w:tc>
          <w:tcPr>
            <w:tcW w:w="6947" w:type="dxa"/>
          </w:tcPr>
          <w:p w:rsidR="00300BD3" w:rsidRPr="00300BD3" w:rsidRDefault="00300BD3" w:rsidP="00C31374">
            <w:pPr>
              <w:pStyle w:val="TableBodyText"/>
              <w:jc w:val="both"/>
              <w:rPr>
                <w:rFonts w:cs="Arial"/>
              </w:rPr>
            </w:pPr>
            <w:r w:rsidRPr="00300BD3">
              <w:rPr>
                <w:rFonts w:cs="Arial"/>
              </w:rPr>
              <w:t>Level of Geography: Data is available by National, State and Territory, and geo</w:t>
            </w:r>
            <w:r w:rsidR="009F5EB6">
              <w:rPr>
                <w:rFonts w:cs="Arial"/>
              </w:rPr>
              <w:noBreakHyphen/>
            </w:r>
            <w:r w:rsidRPr="00300BD3">
              <w:rPr>
                <w:rFonts w:cs="Arial"/>
              </w:rPr>
              <w:t>location levels</w:t>
            </w:r>
          </w:p>
          <w:p w:rsidR="00300BD3" w:rsidRPr="00300BD3" w:rsidRDefault="00300BD3" w:rsidP="00C31374">
            <w:pPr>
              <w:pStyle w:val="TableBodyText"/>
              <w:jc w:val="both"/>
              <w:rPr>
                <w:rFonts w:cs="Arial"/>
              </w:rPr>
            </w:pPr>
            <w:r w:rsidRPr="00300BD3">
              <w:rPr>
                <w:rFonts w:cs="Arial"/>
              </w:rPr>
              <w:t>Data Completeness: Yes</w:t>
            </w:r>
          </w:p>
          <w:p w:rsidR="00300BD3" w:rsidRPr="00300BD3" w:rsidRDefault="00300BD3" w:rsidP="00C31374">
            <w:pPr>
              <w:pStyle w:val="TableBodyText"/>
              <w:jc w:val="both"/>
              <w:rPr>
                <w:rFonts w:cs="Arial"/>
              </w:rPr>
            </w:pPr>
            <w:r w:rsidRPr="00300BD3">
              <w:rPr>
                <w:rFonts w:cs="Arial"/>
              </w:rPr>
              <w:t>Indigenous Statistics: All data is available by Indigenous status by geo location by State and Territory</w:t>
            </w:r>
          </w:p>
          <w:p w:rsidR="00300BD3" w:rsidRPr="00300BD3" w:rsidRDefault="00300BD3" w:rsidP="00C31374">
            <w:pPr>
              <w:pStyle w:val="TableBodyText"/>
              <w:jc w:val="both"/>
              <w:rPr>
                <w:rFonts w:cs="Arial"/>
              </w:rPr>
            </w:pPr>
            <w:r w:rsidRPr="00300BD3">
              <w:rPr>
                <w:rFonts w:cs="Arial"/>
              </w:rPr>
              <w:t>Numerator/Denominator Source: The numerator and denominator are compiled from a single source, with the exception of aggregated data for the mean scale scores provided by ACER</w:t>
            </w:r>
          </w:p>
          <w:p w:rsidR="003F0E99" w:rsidRPr="003F0E99" w:rsidRDefault="00300BD3" w:rsidP="00C31374">
            <w:pPr>
              <w:pStyle w:val="TableBodyText"/>
              <w:jc w:val="both"/>
              <w:rPr>
                <w:rFonts w:cs="Arial"/>
              </w:rPr>
            </w:pPr>
            <w:r w:rsidRPr="00300BD3">
              <w:rPr>
                <w:rFonts w:cs="Arial"/>
              </w:rPr>
              <w:t>For Education indicators, are all types of schools, universities, technical colleges/TAFEs and correspondence schools included? Schools that sit NAPLAN tests Have standard classifications been used? Yes</w:t>
            </w:r>
          </w:p>
        </w:tc>
      </w:tr>
      <w:tr w:rsidR="003F0E99" w:rsidRPr="003F0E99" w:rsidTr="00A47644">
        <w:trPr>
          <w:trHeight w:val="767"/>
        </w:trPr>
        <w:tc>
          <w:tcPr>
            <w:tcW w:w="1984" w:type="dxa"/>
          </w:tcPr>
          <w:p w:rsidR="003F0E99" w:rsidRPr="003F0E99" w:rsidRDefault="003F0E99" w:rsidP="003F0E99">
            <w:pPr>
              <w:rPr>
                <w:rFonts w:ascii="Arial" w:hAnsi="Arial" w:cs="Arial"/>
                <w:b/>
                <w:sz w:val="20"/>
                <w:szCs w:val="20"/>
              </w:rPr>
            </w:pPr>
            <w:r w:rsidRPr="003F0E99">
              <w:rPr>
                <w:rFonts w:ascii="Arial" w:hAnsi="Arial" w:cs="Arial"/>
                <w:b/>
                <w:sz w:val="20"/>
                <w:szCs w:val="20"/>
              </w:rPr>
              <w:t>Timeliness</w:t>
            </w:r>
          </w:p>
          <w:p w:rsidR="003F0E99" w:rsidRPr="003F0E99" w:rsidRDefault="003F0E99" w:rsidP="003F0E99">
            <w:pPr>
              <w:rPr>
                <w:rFonts w:ascii="Arial" w:hAnsi="Arial" w:cs="Arial"/>
                <w:b/>
                <w:sz w:val="20"/>
                <w:szCs w:val="20"/>
              </w:rPr>
            </w:pPr>
          </w:p>
        </w:tc>
        <w:tc>
          <w:tcPr>
            <w:tcW w:w="6947" w:type="dxa"/>
          </w:tcPr>
          <w:p w:rsidR="00300BD3" w:rsidRPr="00300BD3" w:rsidRDefault="00300BD3" w:rsidP="00C31374">
            <w:pPr>
              <w:pStyle w:val="TableBodyText"/>
              <w:jc w:val="both"/>
              <w:rPr>
                <w:rFonts w:cs="Arial"/>
              </w:rPr>
            </w:pPr>
            <w:r w:rsidRPr="00300BD3">
              <w:rPr>
                <w:rFonts w:cs="Arial"/>
              </w:rPr>
              <w:t>Collection interval/s: The NAPLAN tests are conducted annually.</w:t>
            </w:r>
          </w:p>
          <w:p w:rsidR="003F0E99" w:rsidRPr="003F0E99" w:rsidRDefault="00300BD3" w:rsidP="008D2688">
            <w:pPr>
              <w:pStyle w:val="TableBodyText"/>
              <w:jc w:val="both"/>
              <w:rPr>
                <w:rFonts w:cs="Arial"/>
              </w:rPr>
            </w:pPr>
            <w:r w:rsidRPr="00300BD3">
              <w:rPr>
                <w:rFonts w:cs="Arial"/>
              </w:rPr>
              <w:t>Data available: The National Report: Achievement in Reading, Writing, Language Conventions and Numeracy 2013</w:t>
            </w:r>
            <w:r w:rsidR="008D2688">
              <w:rPr>
                <w:rFonts w:cs="Arial"/>
              </w:rPr>
              <w:t>,</w:t>
            </w:r>
            <w:r w:rsidRPr="00300BD3">
              <w:rPr>
                <w:rFonts w:cs="Arial"/>
              </w:rPr>
              <w:t xml:space="preserve"> </w:t>
            </w:r>
            <w:r w:rsidR="008D2688">
              <w:rPr>
                <w:rFonts w:cs="Arial"/>
              </w:rPr>
              <w:t>as</w:t>
            </w:r>
            <w:r w:rsidRPr="00300BD3">
              <w:rPr>
                <w:rFonts w:cs="Arial"/>
              </w:rPr>
              <w:t xml:space="preserve"> released by Ministers on 13</w:t>
            </w:r>
            <w:r w:rsidR="009F5EB6">
              <w:rPr>
                <w:rFonts w:cs="Arial"/>
              </w:rPr>
              <w:t> </w:t>
            </w:r>
            <w:r w:rsidRPr="00300BD3">
              <w:rPr>
                <w:rFonts w:cs="Arial"/>
              </w:rPr>
              <w:t>December 2013</w:t>
            </w:r>
          </w:p>
        </w:tc>
      </w:tr>
      <w:tr w:rsidR="003F0E99" w:rsidRPr="003F0E99" w:rsidTr="00A47644">
        <w:trPr>
          <w:trHeight w:val="5275"/>
        </w:trPr>
        <w:tc>
          <w:tcPr>
            <w:tcW w:w="1984" w:type="dxa"/>
          </w:tcPr>
          <w:p w:rsidR="003F0E99" w:rsidRPr="003F0E99" w:rsidRDefault="003F0E99" w:rsidP="003F0E99">
            <w:pPr>
              <w:rPr>
                <w:rFonts w:ascii="Arial" w:hAnsi="Arial" w:cs="Arial"/>
                <w:b/>
                <w:sz w:val="20"/>
                <w:szCs w:val="20"/>
              </w:rPr>
            </w:pPr>
            <w:r w:rsidRPr="003F0E99">
              <w:rPr>
                <w:rFonts w:ascii="Arial" w:hAnsi="Arial" w:cs="Arial"/>
                <w:b/>
                <w:sz w:val="20"/>
                <w:szCs w:val="20"/>
              </w:rPr>
              <w:t>Accuracy</w:t>
            </w:r>
          </w:p>
          <w:p w:rsidR="003F0E99" w:rsidRPr="003F0E99" w:rsidRDefault="003F0E99" w:rsidP="003F0E99">
            <w:pPr>
              <w:rPr>
                <w:rFonts w:ascii="Arial" w:hAnsi="Arial" w:cs="Arial"/>
                <w:b/>
                <w:sz w:val="20"/>
                <w:szCs w:val="20"/>
              </w:rPr>
            </w:pPr>
          </w:p>
        </w:tc>
        <w:tc>
          <w:tcPr>
            <w:tcW w:w="6947" w:type="dxa"/>
          </w:tcPr>
          <w:p w:rsidR="00300BD3" w:rsidRPr="00300BD3" w:rsidRDefault="00300BD3" w:rsidP="00C31374">
            <w:pPr>
              <w:pStyle w:val="TableBodyText"/>
              <w:jc w:val="both"/>
            </w:pPr>
            <w:r w:rsidRPr="00300BD3">
              <w:t>Method of Collection: By Test Administration Authorities and provided to ACER, who provide to ACARA</w:t>
            </w:r>
          </w:p>
          <w:p w:rsidR="00300BD3" w:rsidRPr="00300BD3" w:rsidRDefault="00300BD3" w:rsidP="00C31374">
            <w:pPr>
              <w:pStyle w:val="TableBodyText"/>
              <w:jc w:val="both"/>
            </w:pPr>
            <w:r w:rsidRPr="00300BD3">
              <w:t>Data Adjustments: Raw NAPLAN scores are converted to scaled scores</w:t>
            </w:r>
          </w:p>
          <w:p w:rsidR="00300BD3" w:rsidRPr="00300BD3" w:rsidRDefault="00300BD3" w:rsidP="00C31374">
            <w:pPr>
              <w:pStyle w:val="TableBodyText"/>
              <w:jc w:val="both"/>
            </w:pPr>
            <w:r w:rsidRPr="00300BD3">
              <w:t>Sample/Collection size: The collection size is a census of NAPLAN participating years (3,5,7,9)</w:t>
            </w:r>
          </w:p>
          <w:p w:rsidR="00300BD3" w:rsidRPr="00300BD3" w:rsidRDefault="00300BD3" w:rsidP="00C31374">
            <w:pPr>
              <w:pStyle w:val="TableBodyText"/>
              <w:jc w:val="both"/>
            </w:pPr>
          </w:p>
          <w:p w:rsidR="00300BD3" w:rsidRPr="00300BD3" w:rsidRDefault="00300BD3" w:rsidP="00C31374">
            <w:pPr>
              <w:pStyle w:val="TableBodyText"/>
              <w:jc w:val="both"/>
            </w:pPr>
            <w:r w:rsidRPr="00300BD3">
              <w:t>Standard Errors: The standard errors have been used to calculate 95 per cent confidence intervals for all the data provided</w:t>
            </w:r>
          </w:p>
          <w:p w:rsidR="00300BD3" w:rsidRPr="00300BD3" w:rsidRDefault="00300BD3" w:rsidP="00C31374">
            <w:pPr>
              <w:pStyle w:val="TableBodyText"/>
              <w:jc w:val="both"/>
            </w:pPr>
            <w:r w:rsidRPr="00300BD3">
              <w:t>Known Issues: Confidence intervals should be considered when ranking jurisdictions. The confidence intervals used to compare jurisdictions within a calendar year are not the same confidence intervals used to compare across calendar years</w:t>
            </w:r>
          </w:p>
          <w:p w:rsidR="00300BD3" w:rsidRPr="00300BD3" w:rsidRDefault="00300BD3" w:rsidP="00C31374">
            <w:pPr>
              <w:pStyle w:val="TableBodyText"/>
              <w:jc w:val="both"/>
            </w:pPr>
            <w:r w:rsidRPr="00300BD3">
              <w:t>Year to year change: Caution should be exercised when using the data to measure small changes from year to year; 95 per cent confidence intervals have been provided to the Steering Committee</w:t>
            </w:r>
          </w:p>
          <w:p w:rsidR="00300BD3" w:rsidRPr="00300BD3" w:rsidRDefault="00300BD3" w:rsidP="00C31374">
            <w:pPr>
              <w:pStyle w:val="TableBodyText"/>
              <w:jc w:val="both"/>
            </w:pPr>
            <w:r w:rsidRPr="00300BD3">
              <w:t>Is the data being used attitudinal or data? Data</w:t>
            </w:r>
          </w:p>
          <w:p w:rsidR="00300BD3" w:rsidRPr="00300BD3" w:rsidRDefault="00300BD3" w:rsidP="00C31374">
            <w:pPr>
              <w:pStyle w:val="TableBodyText"/>
              <w:jc w:val="both"/>
            </w:pPr>
            <w:r w:rsidRPr="00300BD3">
              <w:t>The abbreviation ‘</w:t>
            </w:r>
            <w:r w:rsidR="008040E3" w:rsidRPr="00300BD3">
              <w:t>np</w:t>
            </w:r>
            <w:r w:rsidRPr="00300BD3">
              <w:t>.’ indicates data not published as there were no students tested or the number of students tested was less than 30.</w:t>
            </w:r>
          </w:p>
          <w:p w:rsidR="003F0E99" w:rsidRPr="003F0E99" w:rsidRDefault="00300BD3" w:rsidP="00C31374">
            <w:pPr>
              <w:pStyle w:val="TableBodyText"/>
              <w:jc w:val="both"/>
            </w:pPr>
            <w:r w:rsidRPr="00300BD3">
              <w:t>‘</w:t>
            </w:r>
            <w:r w:rsidR="009F5EB6">
              <w:noBreakHyphen/>
            </w:r>
            <w:r w:rsidRPr="00300BD3">
              <w:t>’ indicates that the geo</w:t>
            </w:r>
            <w:r w:rsidR="009F5EB6">
              <w:noBreakHyphen/>
            </w:r>
            <w:r w:rsidRPr="00300BD3">
              <w:t>location code does not apply within this State/Territory or for this year level.</w:t>
            </w:r>
          </w:p>
        </w:tc>
      </w:tr>
      <w:tr w:rsidR="003F0E99" w:rsidRPr="003F0E99" w:rsidTr="00A47644">
        <w:trPr>
          <w:trHeight w:val="2429"/>
        </w:trPr>
        <w:tc>
          <w:tcPr>
            <w:tcW w:w="1984" w:type="dxa"/>
          </w:tcPr>
          <w:p w:rsidR="003F0E99" w:rsidRPr="003F0E99" w:rsidRDefault="003F0E99" w:rsidP="003F0E99">
            <w:pPr>
              <w:rPr>
                <w:rFonts w:ascii="Arial" w:hAnsi="Arial" w:cs="Arial"/>
                <w:b/>
                <w:sz w:val="20"/>
                <w:szCs w:val="20"/>
              </w:rPr>
            </w:pPr>
            <w:r w:rsidRPr="003F0E99">
              <w:rPr>
                <w:rFonts w:ascii="Arial" w:hAnsi="Arial" w:cs="Arial"/>
                <w:b/>
                <w:sz w:val="20"/>
                <w:szCs w:val="20"/>
              </w:rPr>
              <w:t>Coherence</w:t>
            </w:r>
          </w:p>
          <w:p w:rsidR="003F0E99" w:rsidRPr="003F0E99" w:rsidRDefault="003F0E99" w:rsidP="003F0E99">
            <w:pPr>
              <w:rPr>
                <w:rFonts w:ascii="Arial" w:hAnsi="Arial" w:cs="Arial"/>
                <w:b/>
                <w:sz w:val="20"/>
                <w:szCs w:val="20"/>
              </w:rPr>
            </w:pPr>
          </w:p>
        </w:tc>
        <w:tc>
          <w:tcPr>
            <w:tcW w:w="6947" w:type="dxa"/>
          </w:tcPr>
          <w:p w:rsidR="00300BD3" w:rsidRPr="00300BD3" w:rsidRDefault="00300BD3" w:rsidP="00C31374">
            <w:pPr>
              <w:pStyle w:val="TableBodyText"/>
              <w:jc w:val="both"/>
            </w:pPr>
            <w:r w:rsidRPr="00300BD3">
              <w:t>Consistency over time: NAPLAN results are collected in a consistent manner annually</w:t>
            </w:r>
          </w:p>
          <w:p w:rsidR="00300BD3" w:rsidRPr="00300BD3" w:rsidRDefault="00300BD3" w:rsidP="00C31374">
            <w:pPr>
              <w:pStyle w:val="TableBodyText"/>
              <w:jc w:val="both"/>
            </w:pPr>
            <w:r w:rsidRPr="00300BD3">
              <w:t>The numerator and denominator are compiled from a single source, with the exception of aggregated data for the mean scale scores provided by ACER</w:t>
            </w:r>
          </w:p>
          <w:p w:rsidR="00300BD3" w:rsidRPr="00300BD3" w:rsidRDefault="00300BD3" w:rsidP="00C31374">
            <w:pPr>
              <w:pStyle w:val="TableBodyText"/>
              <w:jc w:val="both"/>
            </w:pPr>
            <w:r w:rsidRPr="00300BD3">
              <w:t>The data is consistent with data supplied in previous reporting rounds.</w:t>
            </w:r>
          </w:p>
          <w:p w:rsidR="00300BD3" w:rsidRPr="00300BD3" w:rsidRDefault="00300BD3" w:rsidP="00C31374">
            <w:pPr>
              <w:pStyle w:val="TableBodyText"/>
              <w:jc w:val="both"/>
            </w:pPr>
            <w:r w:rsidRPr="00300BD3">
              <w:t>Jurisdiction estimate calculation: Yes</w:t>
            </w:r>
          </w:p>
          <w:p w:rsidR="00300BD3" w:rsidRPr="00300BD3" w:rsidRDefault="00300BD3" w:rsidP="00C31374">
            <w:pPr>
              <w:pStyle w:val="TableBodyText"/>
              <w:jc w:val="both"/>
            </w:pPr>
            <w:r w:rsidRPr="00300BD3">
              <w:t>Jurisdiction/Australia estimate calculation: Yes</w:t>
            </w:r>
          </w:p>
          <w:p w:rsidR="003F0E99" w:rsidRPr="003F0E99" w:rsidRDefault="00300BD3" w:rsidP="00C31374">
            <w:pPr>
              <w:pStyle w:val="TableBodyText"/>
              <w:jc w:val="both"/>
            </w:pPr>
            <w:r w:rsidRPr="00300BD3">
              <w:t>Collections across populations: Yes</w:t>
            </w:r>
          </w:p>
        </w:tc>
      </w:tr>
      <w:tr w:rsidR="003F0E99" w:rsidRPr="003F0E99" w:rsidTr="00A47644">
        <w:trPr>
          <w:trHeight w:val="1556"/>
        </w:trPr>
        <w:tc>
          <w:tcPr>
            <w:tcW w:w="1984" w:type="dxa"/>
          </w:tcPr>
          <w:p w:rsidR="003F0E99" w:rsidRPr="003F0E99" w:rsidRDefault="009C3B52" w:rsidP="003F0E99">
            <w:pPr>
              <w:rPr>
                <w:rFonts w:ascii="Arial" w:hAnsi="Arial" w:cs="Arial"/>
                <w:b/>
                <w:sz w:val="20"/>
                <w:szCs w:val="20"/>
              </w:rPr>
            </w:pPr>
            <w:r w:rsidRPr="003F0E99">
              <w:rPr>
                <w:rFonts w:ascii="Arial" w:hAnsi="Arial" w:cs="Arial"/>
                <w:b/>
                <w:sz w:val="20"/>
                <w:szCs w:val="20"/>
              </w:rPr>
              <w:t>Interpretability</w:t>
            </w:r>
          </w:p>
          <w:p w:rsidR="003F0E99" w:rsidRPr="003F0E99" w:rsidRDefault="003F0E99" w:rsidP="003F0E99">
            <w:pPr>
              <w:rPr>
                <w:rFonts w:ascii="Arial" w:hAnsi="Arial" w:cs="Arial"/>
                <w:b/>
                <w:sz w:val="20"/>
                <w:szCs w:val="20"/>
              </w:rPr>
            </w:pPr>
          </w:p>
        </w:tc>
        <w:tc>
          <w:tcPr>
            <w:tcW w:w="6947" w:type="dxa"/>
          </w:tcPr>
          <w:p w:rsidR="00300BD3" w:rsidRPr="00300BD3" w:rsidRDefault="00300BD3" w:rsidP="00C31374">
            <w:pPr>
              <w:pStyle w:val="TableBodyText"/>
              <w:jc w:val="both"/>
              <w:rPr>
                <w:rFonts w:cs="Arial"/>
              </w:rPr>
            </w:pPr>
            <w:r w:rsidRPr="00300BD3">
              <w:rPr>
                <w:rFonts w:cs="Arial"/>
              </w:rPr>
              <w:t>Context: Yes, this is within the context of the NAPLAN testing and reporting environment</w:t>
            </w:r>
          </w:p>
          <w:p w:rsidR="00300BD3" w:rsidRPr="00300BD3" w:rsidRDefault="00300BD3" w:rsidP="00C31374">
            <w:pPr>
              <w:pStyle w:val="TableBodyText"/>
              <w:jc w:val="both"/>
              <w:rPr>
                <w:rFonts w:cs="Arial"/>
              </w:rPr>
            </w:pPr>
            <w:r w:rsidRPr="00300BD3">
              <w:rPr>
                <w:rFonts w:cs="Arial"/>
              </w:rPr>
              <w:t>Other Supporting information: FAQ</w:t>
            </w:r>
            <w:r w:rsidR="009F5EB6">
              <w:rPr>
                <w:rFonts w:cs="Arial"/>
              </w:rPr>
              <w:t>’</w:t>
            </w:r>
            <w:r w:rsidRPr="00300BD3">
              <w:rPr>
                <w:rFonts w:cs="Arial"/>
              </w:rPr>
              <w:t>s on (www.naplan.edu.au)</w:t>
            </w:r>
          </w:p>
          <w:p w:rsidR="00300BD3" w:rsidRPr="00300BD3" w:rsidRDefault="00300BD3" w:rsidP="00C31374">
            <w:pPr>
              <w:pStyle w:val="TableBodyText"/>
              <w:jc w:val="both"/>
              <w:rPr>
                <w:rFonts w:cs="Arial"/>
              </w:rPr>
            </w:pPr>
            <w:r w:rsidRPr="00300BD3">
              <w:rPr>
                <w:rFonts w:cs="Arial"/>
              </w:rPr>
              <w:t>Socioeconomic status derivation: NA</w:t>
            </w:r>
          </w:p>
          <w:p w:rsidR="003F0E99" w:rsidRPr="003F0E99" w:rsidRDefault="00300BD3" w:rsidP="00C31374">
            <w:pPr>
              <w:pStyle w:val="TableBodyText"/>
              <w:jc w:val="both"/>
              <w:rPr>
                <w:rFonts w:cs="Arial"/>
              </w:rPr>
            </w:pPr>
            <w:r w:rsidRPr="00300BD3">
              <w:rPr>
                <w:rFonts w:cs="Arial"/>
              </w:rPr>
              <w:t>Socioeconomic status quintiles derivation: NA</w:t>
            </w:r>
          </w:p>
        </w:tc>
      </w:tr>
      <w:tr w:rsidR="003F0E99" w:rsidRPr="003F0E99" w:rsidTr="003F0E99">
        <w:tc>
          <w:tcPr>
            <w:tcW w:w="1984" w:type="dxa"/>
          </w:tcPr>
          <w:p w:rsidR="003F0E99" w:rsidRPr="003F0E99" w:rsidRDefault="009C3B52" w:rsidP="009C3B52">
            <w:pPr>
              <w:rPr>
                <w:rFonts w:ascii="Arial" w:hAnsi="Arial" w:cs="Arial"/>
                <w:b/>
                <w:sz w:val="20"/>
                <w:szCs w:val="20"/>
              </w:rPr>
            </w:pPr>
            <w:r w:rsidRPr="003F0E99">
              <w:rPr>
                <w:rFonts w:ascii="Arial" w:hAnsi="Arial" w:cs="Arial"/>
                <w:b/>
                <w:sz w:val="20"/>
                <w:szCs w:val="20"/>
              </w:rPr>
              <w:t>Accessibility</w:t>
            </w:r>
          </w:p>
        </w:tc>
        <w:tc>
          <w:tcPr>
            <w:tcW w:w="6947" w:type="dxa"/>
          </w:tcPr>
          <w:p w:rsidR="00300BD3" w:rsidRPr="00300BD3" w:rsidRDefault="00300BD3" w:rsidP="00C31374">
            <w:pPr>
              <w:pStyle w:val="TableBodyText"/>
              <w:jc w:val="both"/>
              <w:rPr>
                <w:rFonts w:cs="Arial"/>
              </w:rPr>
            </w:pPr>
            <w:r w:rsidRPr="00300BD3">
              <w:rPr>
                <w:rFonts w:cs="Arial"/>
              </w:rPr>
              <w:t>Data publicly available. (www.naplan.edu.au)</w:t>
            </w:r>
          </w:p>
          <w:p w:rsidR="00300BD3" w:rsidRPr="00300BD3" w:rsidRDefault="00300BD3" w:rsidP="00C31374">
            <w:pPr>
              <w:pStyle w:val="TableBodyText"/>
              <w:jc w:val="both"/>
              <w:rPr>
                <w:rFonts w:cs="Arial"/>
              </w:rPr>
            </w:pPr>
            <w:r w:rsidRPr="00300BD3">
              <w:rPr>
                <w:rFonts w:cs="Arial"/>
              </w:rPr>
              <w:t>Data is not available prior to public access</w:t>
            </w:r>
          </w:p>
          <w:p w:rsidR="00300BD3" w:rsidRPr="00300BD3" w:rsidRDefault="00300BD3" w:rsidP="00C31374">
            <w:pPr>
              <w:pStyle w:val="TableBodyText"/>
              <w:jc w:val="both"/>
              <w:rPr>
                <w:rFonts w:cs="Arial"/>
              </w:rPr>
            </w:pPr>
            <w:r w:rsidRPr="00300BD3">
              <w:rPr>
                <w:rFonts w:cs="Arial"/>
              </w:rPr>
              <w:t>Supplementary data is not available</w:t>
            </w:r>
          </w:p>
          <w:p w:rsidR="003F0E99" w:rsidRPr="003F0E99" w:rsidRDefault="00300BD3" w:rsidP="00C31374">
            <w:pPr>
              <w:pStyle w:val="TableBodyText"/>
              <w:jc w:val="both"/>
              <w:rPr>
                <w:rFonts w:cs="Arial"/>
              </w:rPr>
            </w:pPr>
            <w:r w:rsidRPr="00300BD3">
              <w:rPr>
                <w:rFonts w:cs="Arial"/>
              </w:rPr>
              <w:t>The data is available in PDF format at (www.naplan.edu.au).</w:t>
            </w:r>
          </w:p>
        </w:tc>
      </w:tr>
    </w:tbl>
    <w:p w:rsidR="001A5D6A" w:rsidRDefault="001A5D6A" w:rsidP="001A5D6A">
      <w:pPr>
        <w:pStyle w:val="BodyText"/>
      </w:pPr>
    </w:p>
    <w:p w:rsidR="001A5D6A" w:rsidRDefault="001A5D6A">
      <w:pPr>
        <w:rPr>
          <w:rFonts w:ascii="Arial" w:hAnsi="Arial"/>
          <w:b/>
          <w:szCs w:val="20"/>
        </w:rPr>
      </w:pPr>
      <w:r>
        <w:br w:type="page"/>
      </w:r>
    </w:p>
    <w:p w:rsidR="003F0E99" w:rsidRPr="003F0E99" w:rsidRDefault="003F0E99" w:rsidP="001A5D6A">
      <w:pPr>
        <w:pStyle w:val="Heading3"/>
      </w:pPr>
      <w:bookmarkStart w:id="37" w:name="_Ref381717996"/>
      <w:r w:rsidRPr="003F0E99">
        <w:t xml:space="preserve">Data quality statement — </w:t>
      </w:r>
      <w:r w:rsidR="00F437DE" w:rsidRPr="00F437DE">
        <w:t>Survey of Education and Work (SEW)</w:t>
      </w:r>
      <w:bookmarkEnd w:id="37"/>
    </w:p>
    <w:p w:rsidR="003F0E99" w:rsidRPr="003F0E99" w:rsidRDefault="003F0E99" w:rsidP="003F0E99">
      <w:pPr>
        <w:keepNext/>
        <w:spacing w:before="360" w:line="80" w:lineRule="exact"/>
        <w:rPr>
          <w:szCs w:val="20"/>
        </w:rPr>
      </w:pPr>
    </w:p>
    <w:tbl>
      <w:tblPr>
        <w:tblW w:w="8931" w:type="dxa"/>
        <w:tblInd w:w="-34" w:type="dxa"/>
        <w:tblLook w:val="01E0" w:firstRow="1" w:lastRow="1" w:firstColumn="1" w:lastColumn="1" w:noHBand="0" w:noVBand="0"/>
      </w:tblPr>
      <w:tblGrid>
        <w:gridCol w:w="1984"/>
        <w:gridCol w:w="6947"/>
      </w:tblGrid>
      <w:tr w:rsidR="003F0E99" w:rsidRPr="003F0E99" w:rsidTr="003F0E99">
        <w:tc>
          <w:tcPr>
            <w:tcW w:w="1984" w:type="dxa"/>
            <w:hideMark/>
          </w:tcPr>
          <w:p w:rsidR="003F0E99" w:rsidRPr="003F0E99" w:rsidRDefault="003F0E99" w:rsidP="003F0E99">
            <w:pPr>
              <w:rPr>
                <w:rFonts w:ascii="Arial" w:hAnsi="Arial" w:cs="Arial"/>
                <w:b/>
                <w:sz w:val="20"/>
                <w:szCs w:val="20"/>
              </w:rPr>
            </w:pPr>
            <w:r w:rsidRPr="003F0E99">
              <w:rPr>
                <w:rFonts w:ascii="Arial" w:hAnsi="Arial" w:cs="Arial"/>
                <w:b/>
                <w:sz w:val="20"/>
                <w:szCs w:val="20"/>
              </w:rPr>
              <w:t>Institutional environment</w:t>
            </w:r>
          </w:p>
        </w:tc>
        <w:tc>
          <w:tcPr>
            <w:tcW w:w="6947" w:type="dxa"/>
          </w:tcPr>
          <w:p w:rsidR="003F0E99" w:rsidRDefault="009F3F75" w:rsidP="007B3312">
            <w:pPr>
              <w:pStyle w:val="TableBodyText"/>
              <w:jc w:val="both"/>
            </w:pPr>
            <w:r w:rsidRPr="009F3F75">
              <w:t xml:space="preserve">For information on the institutional environment of the Australian Bureau of Statistics (ABS), including the legislative obligations of the ABS, financing and governance arrangements, and mechanisms for scrutiny of ABS operations, please see </w:t>
            </w:r>
            <w:hyperlink r:id="rId34" w:history="1">
              <w:r w:rsidRPr="0038207C">
                <w:t>ABS Institutional Environment</w:t>
              </w:r>
            </w:hyperlink>
            <w:r w:rsidRPr="009F3F75">
              <w:t>.</w:t>
            </w:r>
          </w:p>
          <w:p w:rsidR="0038207C" w:rsidRPr="003F0E99" w:rsidRDefault="0038207C" w:rsidP="007B3312">
            <w:pPr>
              <w:pStyle w:val="TableBodyText"/>
              <w:jc w:val="both"/>
            </w:pPr>
          </w:p>
        </w:tc>
      </w:tr>
      <w:tr w:rsidR="003F0E99" w:rsidRPr="003F0E99" w:rsidTr="003F0E99">
        <w:tc>
          <w:tcPr>
            <w:tcW w:w="1984" w:type="dxa"/>
          </w:tcPr>
          <w:p w:rsidR="003F0E99" w:rsidRPr="003F0E99" w:rsidRDefault="003F0E99" w:rsidP="003F0E99">
            <w:pPr>
              <w:rPr>
                <w:rFonts w:ascii="Arial" w:hAnsi="Arial" w:cs="Arial"/>
                <w:b/>
                <w:sz w:val="20"/>
                <w:szCs w:val="20"/>
              </w:rPr>
            </w:pPr>
            <w:r w:rsidRPr="003F0E99">
              <w:rPr>
                <w:rFonts w:ascii="Arial" w:hAnsi="Arial" w:cs="Arial"/>
                <w:b/>
                <w:sz w:val="20"/>
                <w:szCs w:val="20"/>
              </w:rPr>
              <w:t>Relevance</w:t>
            </w:r>
          </w:p>
          <w:p w:rsidR="003F0E99" w:rsidRPr="003F0E99" w:rsidRDefault="003F0E99" w:rsidP="003F0E99">
            <w:pPr>
              <w:rPr>
                <w:rFonts w:ascii="Arial" w:hAnsi="Arial" w:cs="Arial"/>
                <w:b/>
                <w:sz w:val="20"/>
                <w:szCs w:val="20"/>
              </w:rPr>
            </w:pPr>
          </w:p>
        </w:tc>
        <w:tc>
          <w:tcPr>
            <w:tcW w:w="6947" w:type="dxa"/>
          </w:tcPr>
          <w:p w:rsidR="009F3F75" w:rsidRPr="009F3F75" w:rsidRDefault="009F3F75" w:rsidP="007B3312">
            <w:pPr>
              <w:pStyle w:val="TableBodyText"/>
              <w:jc w:val="both"/>
            </w:pPr>
            <w:r w:rsidRPr="009F3F75">
              <w:t>The Education and Work survey provides annual information about a range of key indicators relating to educational participation and attainment along with data on people</w:t>
            </w:r>
            <w:r w:rsidR="001714E9">
              <w:t>’</w:t>
            </w:r>
            <w:r w:rsidRPr="009F3F75">
              <w:t xml:space="preserve">s transition between education and work for all persons aged 15–74 years. </w:t>
            </w:r>
          </w:p>
          <w:p w:rsidR="009F3F75" w:rsidRPr="009F3F75" w:rsidRDefault="009F3F75" w:rsidP="007B3312">
            <w:pPr>
              <w:pStyle w:val="TableBodyText"/>
              <w:jc w:val="both"/>
            </w:pPr>
            <w:r w:rsidRPr="009F3F75">
              <w:t xml:space="preserve">Since this survey is supplementary to the Labour Force Survey (LFS), persons excluded from the LFS are also excluded from this survey (see Explanatory Notes of Labour Force, Australia (cat. no. 6202.0) for standard LFS exclusions). Additional exclusions from this survey were persons aged 75 years or older, institutionalised persons and boarding school pupils. Persons permanently unable to work were included for the first time in 2013. Very remote areas were included for the first time in 2009. </w:t>
            </w:r>
          </w:p>
          <w:p w:rsidR="009F3F75" w:rsidRPr="009F3F75" w:rsidRDefault="009F3F75" w:rsidP="007B3312">
            <w:pPr>
              <w:pStyle w:val="TableBodyText"/>
              <w:jc w:val="both"/>
            </w:pPr>
            <w:r w:rsidRPr="009F3F75">
              <w:t>The type of information collected included: participation in education in the year prior to the survey, and in the survey month; labour force characteristics; type of educational institution; level of education of current and previous study; highest year of school completed; level and main field of highest non</w:t>
            </w:r>
            <w:r w:rsidR="009F5EB6">
              <w:noBreakHyphen/>
            </w:r>
            <w:r w:rsidRPr="009F3F75">
              <w:t>school qualification; transition from education to work; unmet demand for education; and selected characteristics of apprentices.</w:t>
            </w:r>
          </w:p>
          <w:p w:rsidR="003F0E99" w:rsidRDefault="009F3F75" w:rsidP="007B3312">
            <w:pPr>
              <w:pStyle w:val="TableBodyText"/>
              <w:jc w:val="both"/>
            </w:pPr>
            <w:r w:rsidRPr="009F3F75">
              <w:t>The Australian Classification of Education (ASCED) (cat. no. 1272.0) was used to classify education. The ASCED is a national standard classification which can be applied to all sectors of the Australian education system including schools, vocational education and training and higher education. The ASCED comprises two classifications: Level of Education and Field of Education</w:t>
            </w:r>
          </w:p>
          <w:p w:rsidR="0038207C" w:rsidRPr="003F0E99" w:rsidRDefault="0038207C" w:rsidP="007B3312">
            <w:pPr>
              <w:pStyle w:val="TableBodyText"/>
              <w:jc w:val="both"/>
            </w:pPr>
          </w:p>
        </w:tc>
      </w:tr>
      <w:tr w:rsidR="003F0E99" w:rsidRPr="003F0E99" w:rsidTr="00AF0F53">
        <w:trPr>
          <w:trHeight w:val="1974"/>
        </w:trPr>
        <w:tc>
          <w:tcPr>
            <w:tcW w:w="1984" w:type="dxa"/>
          </w:tcPr>
          <w:p w:rsidR="003F0E99" w:rsidRPr="003F0E99" w:rsidRDefault="003F0E99" w:rsidP="003F0E99">
            <w:pPr>
              <w:rPr>
                <w:rFonts w:ascii="Arial" w:hAnsi="Arial" w:cs="Arial"/>
                <w:b/>
                <w:sz w:val="20"/>
                <w:szCs w:val="20"/>
              </w:rPr>
            </w:pPr>
            <w:r w:rsidRPr="003F0E99">
              <w:rPr>
                <w:rFonts w:ascii="Arial" w:hAnsi="Arial" w:cs="Arial"/>
                <w:b/>
                <w:sz w:val="20"/>
                <w:szCs w:val="20"/>
              </w:rPr>
              <w:t>Timeliness</w:t>
            </w:r>
          </w:p>
          <w:p w:rsidR="003F0E99" w:rsidRPr="003F0E99" w:rsidRDefault="003F0E99" w:rsidP="003F0E99">
            <w:pPr>
              <w:rPr>
                <w:rFonts w:ascii="Arial" w:hAnsi="Arial" w:cs="Arial"/>
                <w:b/>
                <w:sz w:val="20"/>
                <w:szCs w:val="20"/>
              </w:rPr>
            </w:pPr>
          </w:p>
        </w:tc>
        <w:tc>
          <w:tcPr>
            <w:tcW w:w="6947" w:type="dxa"/>
          </w:tcPr>
          <w:p w:rsidR="0038207C" w:rsidRPr="003F0E99" w:rsidRDefault="009F3F75" w:rsidP="00AF0F53">
            <w:pPr>
              <w:pStyle w:val="TableBodyText"/>
              <w:jc w:val="both"/>
            </w:pPr>
            <w:r w:rsidRPr="009F3F75">
              <w:t>The most recent Education and Work survey was conducted throughout Australia in May 2013 as a supplement to the monthly LFS. The 2013 sample size was approximately 10</w:t>
            </w:r>
            <w:r w:rsidR="00C41C82">
              <w:t xml:space="preserve"> per cent</w:t>
            </w:r>
            <w:r w:rsidRPr="009F3F75">
              <w:t xml:space="preserve"> larger than the 2012 sample due to the larger in</w:t>
            </w:r>
            <w:r w:rsidR="009F5EB6">
              <w:noBreakHyphen/>
            </w:r>
            <w:r w:rsidRPr="009F3F75">
              <w:t>scope population. The ABS has been conducting similar surveys since 1964. These surveys were conducted annually from February 1964 to February 1974, in May 1975 and 1976, in August 1977 and 1978 and annually in May since 1979. Data from the survey are released approximately six months after they have been collected.</w:t>
            </w:r>
          </w:p>
        </w:tc>
      </w:tr>
      <w:tr w:rsidR="003F0E99" w:rsidRPr="003F0E99" w:rsidTr="003F0E99">
        <w:tc>
          <w:tcPr>
            <w:tcW w:w="1984" w:type="dxa"/>
          </w:tcPr>
          <w:p w:rsidR="003F0E99" w:rsidRPr="003F0E99" w:rsidRDefault="003F0E99" w:rsidP="003F0E99">
            <w:pPr>
              <w:rPr>
                <w:rFonts w:ascii="Arial" w:hAnsi="Arial" w:cs="Arial"/>
                <w:b/>
                <w:sz w:val="20"/>
                <w:szCs w:val="20"/>
              </w:rPr>
            </w:pPr>
            <w:r w:rsidRPr="003F0E99">
              <w:rPr>
                <w:rFonts w:ascii="Arial" w:hAnsi="Arial" w:cs="Arial"/>
                <w:b/>
                <w:sz w:val="20"/>
                <w:szCs w:val="20"/>
              </w:rPr>
              <w:t>Accuracy</w:t>
            </w:r>
          </w:p>
          <w:p w:rsidR="003F0E99" w:rsidRPr="003F0E99" w:rsidRDefault="003F0E99" w:rsidP="003F0E99">
            <w:pPr>
              <w:rPr>
                <w:rFonts w:ascii="Arial" w:hAnsi="Arial" w:cs="Arial"/>
                <w:b/>
                <w:sz w:val="20"/>
                <w:szCs w:val="20"/>
              </w:rPr>
            </w:pPr>
          </w:p>
        </w:tc>
        <w:tc>
          <w:tcPr>
            <w:tcW w:w="6947" w:type="dxa"/>
          </w:tcPr>
          <w:p w:rsidR="009F3F75" w:rsidRPr="009F3F75" w:rsidRDefault="009F3F75" w:rsidP="007B3312">
            <w:pPr>
              <w:pStyle w:val="TableBodyText"/>
              <w:jc w:val="both"/>
            </w:pPr>
            <w:r w:rsidRPr="009F3F75">
              <w:t>The number of completed interviews (after taking into account scope and coverage exclusions) was about 43</w:t>
            </w:r>
            <w:r w:rsidR="00A55F0B">
              <w:t> </w:t>
            </w:r>
            <w:r w:rsidRPr="009F3F75">
              <w:t>600. This sample was achieved by obtaining a response rate of 94</w:t>
            </w:r>
            <w:r w:rsidR="00C41C82">
              <w:t xml:space="preserve"> per cent</w:t>
            </w:r>
            <w:r w:rsidRPr="009F3F75">
              <w:t xml:space="preserve"> from the selected households. </w:t>
            </w:r>
          </w:p>
          <w:p w:rsidR="009F3F75" w:rsidRDefault="009F3F75" w:rsidP="007B3312">
            <w:pPr>
              <w:pStyle w:val="TableBodyText"/>
              <w:jc w:val="both"/>
            </w:pPr>
            <w:r w:rsidRPr="009F3F75">
              <w:t>The Labour Force Survey is designed to primarily provide estimates for the whole of Australia and, second, for each state and territory.</w:t>
            </w:r>
          </w:p>
          <w:p w:rsidR="000E6A52" w:rsidRPr="009F3F75" w:rsidRDefault="000E6A52" w:rsidP="007B3312">
            <w:pPr>
              <w:pStyle w:val="TableBodyText"/>
              <w:jc w:val="both"/>
            </w:pPr>
            <w:r w:rsidRPr="000E6A52">
              <w:t>Prior to the 2013 SEW, people who were permanently unable to work were excluded from the in</w:t>
            </w:r>
            <w:r w:rsidR="00556489">
              <w:noBreakHyphen/>
            </w:r>
            <w:r w:rsidRPr="000E6A52">
              <w:t>scope population. In 2013, the SEW scope was expanded to include people permanently unable to work. However, to ensure that the indicator measure presented here is comparable over time, the permanently unable to work population has been excluded from these tables.</w:t>
            </w:r>
          </w:p>
          <w:p w:rsidR="009F3F75" w:rsidRPr="009F3F75" w:rsidRDefault="009F3F75" w:rsidP="007B3312">
            <w:pPr>
              <w:pStyle w:val="TableBodyText"/>
              <w:jc w:val="both"/>
            </w:pPr>
            <w:r w:rsidRPr="009F3F75">
              <w:t>Two types of error are possible in an estimate based on a sample survey: non</w:t>
            </w:r>
            <w:r w:rsidR="009F5EB6">
              <w:noBreakHyphen/>
            </w:r>
            <w:r w:rsidRPr="009F3F75">
              <w:t>sampling error and sampling error.</w:t>
            </w:r>
          </w:p>
          <w:p w:rsidR="009F3F75" w:rsidRPr="009F3F75" w:rsidRDefault="009F3F75" w:rsidP="007B3312">
            <w:pPr>
              <w:pStyle w:val="TableBodyText"/>
              <w:jc w:val="both"/>
            </w:pPr>
            <w:r w:rsidRPr="009F3F75">
              <w:t>Non</w:t>
            </w:r>
            <w:r w:rsidR="009F5EB6">
              <w:noBreakHyphen/>
            </w:r>
            <w:r w:rsidRPr="009F3F75">
              <w:t>sampling error arises from inaccuracies in collecting, recording and processing the data. Every effort is made to minimise reporting error by the careful design of questionnaires, intensive training and supervision of interviewers, and efficient data processing procedures. Non</w:t>
            </w:r>
            <w:r w:rsidR="009F5EB6">
              <w:noBreakHyphen/>
            </w:r>
            <w:r w:rsidRPr="009F3F75">
              <w:t>sampling error arises because information cannot be obtained from all persons selected in the survey.</w:t>
            </w:r>
          </w:p>
          <w:p w:rsidR="009F3F75" w:rsidRPr="009F3F75" w:rsidRDefault="009F3F75" w:rsidP="007B3312">
            <w:pPr>
              <w:pStyle w:val="TableBodyText"/>
              <w:jc w:val="both"/>
            </w:pPr>
            <w:r w:rsidRPr="009F3F75">
              <w:t>Sampling error occurs because a sample, rather than the entire population is surveyed. One measure of the likely difference resulting from not including all dwellings in the survey is given by the standard error. There are about two chances in three that a sample estimate will differ by less than one standard error from the figure that would have been obtained if all dwellings had been included in the survey and about 19 chances in 20 that the difference will be less than two standard errors.</w:t>
            </w:r>
          </w:p>
          <w:p w:rsidR="003F0E99" w:rsidRDefault="009F3F75" w:rsidP="007B3312">
            <w:pPr>
              <w:pStyle w:val="TableBodyText"/>
              <w:jc w:val="both"/>
            </w:pPr>
            <w:r w:rsidRPr="009F3F75">
              <w:t>Every five years, following the availability of data from the Census of Population and Housing, the ABS reviews the LFS sample design. This sample for the SEW 2013 comprised of two rotation groups based on the new 2011 Census based sample and five rotation groups based on the 2006 Census based sample. Overall, the 2011 sample design generally maintains standard errors at the levels targeted under the 2006 sample design. For more information see Information Paper: Labour Force Survey Sample Design, May 2013 (cat. no. 6269.0).</w:t>
            </w:r>
          </w:p>
          <w:p w:rsidR="0038207C" w:rsidRPr="003F0E99" w:rsidRDefault="0038207C" w:rsidP="007B3312">
            <w:pPr>
              <w:pStyle w:val="TableBodyText"/>
              <w:jc w:val="both"/>
            </w:pPr>
          </w:p>
        </w:tc>
      </w:tr>
      <w:tr w:rsidR="003F0E99" w:rsidRPr="003F0E99" w:rsidTr="003F0E99">
        <w:tc>
          <w:tcPr>
            <w:tcW w:w="1984" w:type="dxa"/>
          </w:tcPr>
          <w:p w:rsidR="003F0E99" w:rsidRPr="003F0E99" w:rsidRDefault="003F0E99" w:rsidP="003F0E99">
            <w:pPr>
              <w:rPr>
                <w:rFonts w:ascii="Arial" w:hAnsi="Arial" w:cs="Arial"/>
                <w:b/>
                <w:sz w:val="20"/>
                <w:szCs w:val="20"/>
              </w:rPr>
            </w:pPr>
            <w:r w:rsidRPr="003F0E99">
              <w:rPr>
                <w:rFonts w:ascii="Arial" w:hAnsi="Arial" w:cs="Arial"/>
                <w:b/>
                <w:sz w:val="20"/>
                <w:szCs w:val="20"/>
              </w:rPr>
              <w:t>Coherence</w:t>
            </w:r>
          </w:p>
          <w:p w:rsidR="003F0E99" w:rsidRPr="003F0E99" w:rsidRDefault="003F0E99" w:rsidP="003F0E99">
            <w:pPr>
              <w:rPr>
                <w:rFonts w:ascii="Arial" w:hAnsi="Arial" w:cs="Arial"/>
                <w:b/>
                <w:sz w:val="20"/>
                <w:szCs w:val="20"/>
              </w:rPr>
            </w:pPr>
          </w:p>
        </w:tc>
        <w:tc>
          <w:tcPr>
            <w:tcW w:w="6947" w:type="dxa"/>
          </w:tcPr>
          <w:p w:rsidR="009F3F75" w:rsidRPr="009F3F75" w:rsidRDefault="009F3F75" w:rsidP="007B3312">
            <w:pPr>
              <w:pStyle w:val="TableBodyText"/>
              <w:jc w:val="both"/>
            </w:pPr>
            <w:r w:rsidRPr="009F3F75">
              <w:t xml:space="preserve">The indicators for COAG national agreement reporting that are based on the 2013 SEW are consistent with those supplied from previous cycles of this survey. </w:t>
            </w:r>
          </w:p>
          <w:p w:rsidR="009F3F75" w:rsidRPr="009F3F75" w:rsidRDefault="009F3F75" w:rsidP="007B3312">
            <w:pPr>
              <w:pStyle w:val="TableBodyText"/>
              <w:jc w:val="both"/>
            </w:pPr>
            <w:r w:rsidRPr="009F3F75">
              <w:t xml:space="preserve">The ABS seeks to maximise consistency and comparability over time by minimising changes to the survey; sound survey practice requires ongoing development to maintain the integrity of the data. </w:t>
            </w:r>
          </w:p>
          <w:p w:rsidR="009F3F75" w:rsidRPr="009F3F75" w:rsidRDefault="009F3F75" w:rsidP="007B3312">
            <w:pPr>
              <w:pStyle w:val="TableBodyText"/>
              <w:jc w:val="both"/>
            </w:pPr>
            <w:r w:rsidRPr="009F3F75">
              <w:t>In 2013 the scope of the survey was extended to include persons aged 65–74 years who are not intending to work (i.e. all persons aged 65</w:t>
            </w:r>
            <w:r w:rsidR="009F5EB6">
              <w:noBreakHyphen/>
            </w:r>
            <w:r w:rsidRPr="009F3F75">
              <w:t>74 years were included for the first time). In addition, persons who are permanently unable to work were also included in the scope of SEW for the first time. There were an estimated 409</w:t>
            </w:r>
            <w:r w:rsidR="00A55F0B">
              <w:t> </w:t>
            </w:r>
            <w:r w:rsidRPr="009F3F75">
              <w:t>700 people who reported being permanently unable to work in May 2013.</w:t>
            </w:r>
          </w:p>
          <w:p w:rsidR="009F3F75" w:rsidRPr="009F3F75" w:rsidRDefault="009F3F75" w:rsidP="007B3312">
            <w:pPr>
              <w:pStyle w:val="TableBodyText"/>
              <w:jc w:val="both"/>
            </w:pPr>
            <w:r w:rsidRPr="009F3F75">
              <w:t xml:space="preserve">In 2009 the scope of the survey was extended to include persons aged 65–74 years who are employed or marginally attached to the labour force. Persons are determined to be marginally attached to the labour force if they were not in the labour force in the reference week, wanted to work and: were actively looking for work but did not meet the availability criteria to be classified as unemployed; or were not actively looking for work but were available to start work within four weeks or could start work within four weeks if child care was available. </w:t>
            </w:r>
          </w:p>
          <w:p w:rsidR="009F3F75" w:rsidRPr="009F3F75" w:rsidRDefault="009F3F75" w:rsidP="007B3312">
            <w:pPr>
              <w:pStyle w:val="TableBodyText"/>
              <w:jc w:val="both"/>
            </w:pPr>
            <w:r w:rsidRPr="009F3F75">
              <w:t>Prior to 2009, all people in very remote areas were excluded from the SEW. Very remote areas represent about two per cent of the total Australian population and 20</w:t>
            </w:r>
            <w:r w:rsidR="00C41C82">
              <w:t xml:space="preserve"> per cent</w:t>
            </w:r>
            <w:r w:rsidRPr="009F3F75">
              <w:t xml:space="preserve"> of the Northern Territory population. From 2009 onwards, the SEW has a slightly wider scope. It includes people in very remote areas but excludes people in Indigenous communities in very remote areas. The current exclusion has only a minor impact on national estimates or estimates by State/Territory except for the Northern Territory where such people account for about 15</w:t>
            </w:r>
            <w:r w:rsidR="00C41C82">
              <w:t xml:space="preserve"> per cent</w:t>
            </w:r>
            <w:r w:rsidRPr="009F3F75">
              <w:t xml:space="preserve"> of the population. These differences should have only a minor effect on comparisons over time.</w:t>
            </w:r>
          </w:p>
          <w:p w:rsidR="009F3F75" w:rsidRPr="009F3F75" w:rsidRDefault="009F3F75" w:rsidP="007B3312">
            <w:pPr>
              <w:pStyle w:val="TableBodyText"/>
              <w:jc w:val="both"/>
              <w:rPr>
                <w:b/>
              </w:rPr>
            </w:pPr>
            <w:r w:rsidRPr="009F3F75">
              <w:rPr>
                <w:b/>
              </w:rPr>
              <w:t>Comparing indicators over time using SEIFA indexes</w:t>
            </w:r>
          </w:p>
          <w:p w:rsidR="009F3F75" w:rsidRPr="009F3F75" w:rsidRDefault="009F3F75" w:rsidP="007B3312">
            <w:pPr>
              <w:pStyle w:val="TableBodyText"/>
              <w:jc w:val="both"/>
            </w:pPr>
            <w:r w:rsidRPr="009F3F75">
              <w:t>SEIFA is an area</w:t>
            </w:r>
            <w:r w:rsidR="009F5EB6">
              <w:noBreakHyphen/>
            </w:r>
            <w:r w:rsidRPr="009F3F75">
              <w:t>based index defined using data from each five</w:t>
            </w:r>
            <w:r w:rsidR="009F5EB6">
              <w:noBreakHyphen/>
            </w:r>
            <w:r w:rsidRPr="009F3F75">
              <w:t>yearly Census, and may become slightly less optimal over time as an indicator of socio</w:t>
            </w:r>
            <w:r w:rsidR="009F5EB6">
              <w:noBreakHyphen/>
            </w:r>
            <w:r w:rsidRPr="009F3F75">
              <w:t>economic status. An area may experience changes in the socio</w:t>
            </w:r>
            <w:r w:rsidR="009F5EB6">
              <w:noBreakHyphen/>
            </w:r>
            <w:r w:rsidRPr="009F3F75">
              <w:t>economic characteristics of people that live in that area over time, but this will not be reflected until a new version of SEIFA is calculated. In addition, different variables and different weights are used in different versions of SEIFA, which means the same area may be characterised differently.</w:t>
            </w:r>
          </w:p>
          <w:p w:rsidR="009F3F75" w:rsidRPr="009F3F75" w:rsidRDefault="009F3F75" w:rsidP="007B3312">
            <w:pPr>
              <w:pStyle w:val="TableBodyText"/>
              <w:jc w:val="both"/>
            </w:pPr>
            <w:r w:rsidRPr="009F3F75">
              <w:t>The change from the use of SEIFA 2006 to SEIFA 2011 will have a small impact on the trend, generally contributing to an increase in the apparent difference between SEIFA quintiles. For this reason, users should use caution in interpreting the change over time as reflecting real underlying change.</w:t>
            </w:r>
          </w:p>
          <w:p w:rsidR="003F0E99" w:rsidRDefault="009F3F75" w:rsidP="007B3312">
            <w:pPr>
              <w:pStyle w:val="TableBodyText"/>
              <w:jc w:val="both"/>
            </w:pPr>
            <w:r w:rsidRPr="009F3F75">
              <w:t xml:space="preserve">There may also be a minor impact due to the change in the unit of geography used to define quintiles. In this case, SEIFA quintiles are defined based on Census Collection Districts (for years 2008 </w:t>
            </w:r>
            <w:r w:rsidR="009F5EB6">
              <w:noBreakHyphen/>
            </w:r>
            <w:r w:rsidRPr="009F3F75">
              <w:t xml:space="preserve"> 2011) and Statistical Area 1s (for 2012 </w:t>
            </w:r>
            <w:r w:rsidR="009F5EB6">
              <w:noBreakHyphen/>
            </w:r>
            <w:r w:rsidRPr="009F3F75">
              <w:t xml:space="preserve"> 2013). As these are both very small geographic units, the effect of the change in geography is extremely minor. For indicators using larger geographic units (such as Statistical Local Areas and Statistical Area 2s), the effect will be greater.</w:t>
            </w:r>
          </w:p>
          <w:p w:rsidR="0038207C" w:rsidRPr="003F0E99" w:rsidRDefault="0038207C" w:rsidP="007B3312">
            <w:pPr>
              <w:pStyle w:val="TableBodyText"/>
              <w:jc w:val="both"/>
            </w:pPr>
          </w:p>
        </w:tc>
      </w:tr>
      <w:tr w:rsidR="003F0E99" w:rsidRPr="003F0E99" w:rsidTr="003F0E99">
        <w:tc>
          <w:tcPr>
            <w:tcW w:w="1984" w:type="dxa"/>
          </w:tcPr>
          <w:p w:rsidR="009F3F75" w:rsidRPr="003F0E99" w:rsidRDefault="009F3F75" w:rsidP="009F3F75">
            <w:pPr>
              <w:rPr>
                <w:rFonts w:ascii="Arial" w:hAnsi="Arial" w:cs="Arial"/>
                <w:b/>
                <w:sz w:val="20"/>
                <w:szCs w:val="20"/>
              </w:rPr>
            </w:pPr>
            <w:r w:rsidRPr="003F0E99">
              <w:rPr>
                <w:rFonts w:ascii="Arial" w:hAnsi="Arial" w:cs="Arial"/>
                <w:b/>
                <w:sz w:val="20"/>
                <w:szCs w:val="20"/>
              </w:rPr>
              <w:t>Interpretability</w:t>
            </w:r>
          </w:p>
          <w:p w:rsidR="003F0E99" w:rsidRPr="003F0E99" w:rsidRDefault="003F0E99" w:rsidP="009F3F75">
            <w:pPr>
              <w:rPr>
                <w:rFonts w:ascii="Arial" w:hAnsi="Arial" w:cs="Arial"/>
                <w:b/>
                <w:sz w:val="20"/>
                <w:szCs w:val="20"/>
              </w:rPr>
            </w:pPr>
          </w:p>
        </w:tc>
        <w:tc>
          <w:tcPr>
            <w:tcW w:w="6947" w:type="dxa"/>
          </w:tcPr>
          <w:p w:rsidR="003F0E99" w:rsidRDefault="009F3F75" w:rsidP="007B3312">
            <w:pPr>
              <w:pStyle w:val="TableBodyText"/>
              <w:jc w:val="both"/>
            </w:pPr>
            <w:r w:rsidRPr="009F3F75">
              <w:t>Detailed information on the terminology, classifications and other technical aspects associated with the Survey of Education and Work can be found in the relevant web pages included with this release.</w:t>
            </w:r>
          </w:p>
          <w:p w:rsidR="0038207C" w:rsidRPr="003F0E99" w:rsidRDefault="0038207C" w:rsidP="007B3312">
            <w:pPr>
              <w:pStyle w:val="TableBodyText"/>
              <w:jc w:val="both"/>
            </w:pPr>
          </w:p>
        </w:tc>
      </w:tr>
      <w:tr w:rsidR="003F0E99" w:rsidRPr="003F0E99" w:rsidTr="003F0E99">
        <w:tc>
          <w:tcPr>
            <w:tcW w:w="1984" w:type="dxa"/>
          </w:tcPr>
          <w:p w:rsidR="009F3F75" w:rsidRPr="003F0E99" w:rsidRDefault="009F3F75" w:rsidP="009F3F75">
            <w:pPr>
              <w:rPr>
                <w:rFonts w:ascii="Arial" w:hAnsi="Arial" w:cs="Arial"/>
                <w:b/>
                <w:sz w:val="20"/>
                <w:szCs w:val="20"/>
              </w:rPr>
            </w:pPr>
            <w:r w:rsidRPr="003F0E99">
              <w:rPr>
                <w:rFonts w:ascii="Arial" w:hAnsi="Arial" w:cs="Arial"/>
                <w:b/>
                <w:sz w:val="20"/>
                <w:szCs w:val="20"/>
              </w:rPr>
              <w:t>Accessibility</w:t>
            </w:r>
          </w:p>
          <w:p w:rsidR="003F0E99" w:rsidRPr="003F0E99" w:rsidRDefault="003F0E99" w:rsidP="009F3F75">
            <w:pPr>
              <w:rPr>
                <w:rFonts w:ascii="Arial" w:hAnsi="Arial" w:cs="Arial"/>
                <w:b/>
                <w:sz w:val="20"/>
                <w:szCs w:val="20"/>
              </w:rPr>
            </w:pPr>
          </w:p>
        </w:tc>
        <w:tc>
          <w:tcPr>
            <w:tcW w:w="6947" w:type="dxa"/>
          </w:tcPr>
          <w:p w:rsidR="009F3F75" w:rsidRPr="009F3F75" w:rsidRDefault="009F3F75" w:rsidP="007B3312">
            <w:pPr>
              <w:pStyle w:val="TableBodyText"/>
              <w:jc w:val="both"/>
            </w:pPr>
            <w:r w:rsidRPr="009F3F75">
              <w:t>Tabulated data and associated RSEs are available in spreadsheet format on the ABS website (cat. no. 6227.0). Additional tables are also available in a separate release also on the ABS website (cat. no. 6227.0.55.003).</w:t>
            </w:r>
          </w:p>
          <w:p w:rsidR="009F3F75" w:rsidRPr="009F3F75" w:rsidRDefault="009F3F75" w:rsidP="007B3312">
            <w:pPr>
              <w:pStyle w:val="TableBodyText"/>
              <w:jc w:val="both"/>
            </w:pPr>
            <w:r w:rsidRPr="009F3F75">
              <w:t xml:space="preserve">Data from this survey will also be accessible in the TableBuilder and DataAnalyser environments, enabling users to create their own customised output as required. For more details, refer to the TableBuilder information, </w:t>
            </w:r>
            <w:hyperlink r:id="rId35" w:history="1">
              <w:r w:rsidRPr="0038207C">
                <w:t>Microdata: Education and Work, Australia</w:t>
              </w:r>
            </w:hyperlink>
            <w:r w:rsidRPr="009F3F75">
              <w:t xml:space="preserve"> (cat. no. 6227.0.30.001).</w:t>
            </w:r>
          </w:p>
          <w:p w:rsidR="009F3F75" w:rsidRPr="009F3F75" w:rsidRDefault="009F3F75" w:rsidP="007B3312">
            <w:pPr>
              <w:pStyle w:val="TableBodyText"/>
              <w:jc w:val="both"/>
            </w:pPr>
            <w:r w:rsidRPr="009F3F75">
              <w:t>A Confidentialised Unit Record File (CURF) containing confidentialised microdata from the SEW has been released biennially from 2001 to 2011.</w:t>
            </w:r>
          </w:p>
          <w:p w:rsidR="009F3F75" w:rsidRPr="009F3F75" w:rsidRDefault="009F3F75" w:rsidP="007B3312">
            <w:pPr>
              <w:pStyle w:val="TableBodyText"/>
              <w:jc w:val="both"/>
            </w:pPr>
            <w:r w:rsidRPr="009F3F75">
              <w:t xml:space="preserve">Additional data are available at cost upon request through the </w:t>
            </w:r>
            <w:hyperlink r:id="rId36" w:history="1">
              <w:r w:rsidRPr="0038207C">
                <w:t>National Information Referral Service</w:t>
              </w:r>
            </w:hyperlink>
            <w:r w:rsidRPr="009F3F75">
              <w:t xml:space="preserve"> (NIRS). Data are also available on request. Note that detailed data can be subject to high relative standard errors which in some cases may result in data being confidentialised.</w:t>
            </w:r>
          </w:p>
          <w:p w:rsidR="003F0E99" w:rsidRPr="003F0E99" w:rsidRDefault="009F3F75" w:rsidP="007B3312">
            <w:pPr>
              <w:pStyle w:val="TableBodyText"/>
              <w:jc w:val="both"/>
            </w:pPr>
            <w:r w:rsidRPr="009F3F75">
              <w:t>For further information about these or related statistics, contact the National Information and Referral Service on 1</w:t>
            </w:r>
            <w:r w:rsidR="00760542">
              <w:t> </w:t>
            </w:r>
            <w:r w:rsidRPr="009F3F75">
              <w:t>300 135 070.</w:t>
            </w:r>
          </w:p>
        </w:tc>
      </w:tr>
    </w:tbl>
    <w:p w:rsidR="003F0E99" w:rsidRDefault="003F0E99" w:rsidP="00FC323C">
      <w:pPr>
        <w:pStyle w:val="BodyText"/>
      </w:pPr>
    </w:p>
    <w:p w:rsidR="003F0E99" w:rsidRDefault="003F0E99" w:rsidP="003F0E99">
      <w:pPr>
        <w:pStyle w:val="BodyText"/>
        <w:rPr>
          <w:rFonts w:ascii="Arial" w:hAnsi="Arial"/>
          <w:sz w:val="32"/>
        </w:rPr>
      </w:pPr>
      <w:r>
        <w:br w:type="page"/>
      </w:r>
    </w:p>
    <w:p w:rsidR="00F07C00" w:rsidRPr="00591891" w:rsidRDefault="00F07C00" w:rsidP="00F07C00">
      <w:pPr>
        <w:pStyle w:val="Heading2"/>
      </w:pPr>
      <w:r w:rsidRPr="00591891">
        <w:t>References</w:t>
      </w:r>
    </w:p>
    <w:p w:rsidR="00F07C00" w:rsidRPr="005A7220" w:rsidRDefault="00F07C00" w:rsidP="00F07C00">
      <w:pPr>
        <w:pStyle w:val="Reference"/>
      </w:pPr>
      <w:r w:rsidRPr="005A7220">
        <w:t xml:space="preserve">ABS (Australian Bureau of Statistics) 2014, </w:t>
      </w:r>
      <w:r w:rsidRPr="005A7220">
        <w:rPr>
          <w:i/>
        </w:rPr>
        <w:t>Schools, Australia</w:t>
      </w:r>
      <w:r w:rsidRPr="005A7220">
        <w:t xml:space="preserve">, </w:t>
      </w:r>
      <w:r w:rsidRPr="005A7220">
        <w:rPr>
          <w:i/>
        </w:rPr>
        <w:t>2013</w:t>
      </w:r>
      <w:r w:rsidRPr="005A7220">
        <w:t xml:space="preserve">, Cat. no. 4221.0, Canberra. </w:t>
      </w:r>
    </w:p>
    <w:p w:rsidR="00F07C00" w:rsidRPr="005A7220" w:rsidRDefault="00F07C00" w:rsidP="00F07C00">
      <w:pPr>
        <w:pStyle w:val="Reference"/>
      </w:pPr>
      <w:proofErr w:type="spellStart"/>
      <w:r w:rsidRPr="005A7220">
        <w:t>ACARA</w:t>
      </w:r>
      <w:proofErr w:type="spellEnd"/>
      <w:r w:rsidRPr="005A7220">
        <w:t xml:space="preserve"> (Australian Curriculum and Asse</w:t>
      </w:r>
      <w:r>
        <w:t>ssment Reporting Authority) 2013</w:t>
      </w:r>
      <w:r w:rsidRPr="005A7220">
        <w:t xml:space="preserve">, </w:t>
      </w:r>
      <w:r w:rsidRPr="003F4949">
        <w:rPr>
          <w:i/>
        </w:rPr>
        <w:t>Guide to understanding 2012 Index of Community</w:t>
      </w:r>
      <w:r>
        <w:rPr>
          <w:i/>
        </w:rPr>
        <w:t xml:space="preserve"> </w:t>
      </w:r>
      <w:r w:rsidRPr="003F4949">
        <w:rPr>
          <w:i/>
        </w:rPr>
        <w:t>Socio</w:t>
      </w:r>
      <w:r w:rsidR="009F5EB6">
        <w:rPr>
          <w:i/>
        </w:rPr>
        <w:noBreakHyphen/>
      </w:r>
      <w:r w:rsidRPr="003F4949">
        <w:rPr>
          <w:i/>
        </w:rPr>
        <w:t>educational Advantage (</w:t>
      </w:r>
      <w:proofErr w:type="spellStart"/>
      <w:r w:rsidRPr="003F4949">
        <w:rPr>
          <w:i/>
        </w:rPr>
        <w:t>ICSEA</w:t>
      </w:r>
      <w:proofErr w:type="spellEnd"/>
      <w:r w:rsidRPr="003F4949">
        <w:rPr>
          <w:i/>
        </w:rPr>
        <w:t>) values</w:t>
      </w:r>
      <w:r w:rsidRPr="005A7220">
        <w:t xml:space="preserve">, </w:t>
      </w:r>
      <w:r w:rsidRPr="003F4949">
        <w:t>http://</w:t>
      </w:r>
      <w:proofErr w:type="spellStart"/>
      <w:r w:rsidRPr="003F4949">
        <w:t>www.acara.edu.au</w:t>
      </w:r>
      <w:proofErr w:type="spellEnd"/>
      <w:r w:rsidRPr="003F4949">
        <w:t>/verve/_resources/</w:t>
      </w:r>
      <w:proofErr w:type="spellStart"/>
      <w:r w:rsidRPr="003F4949">
        <w:t>Guide_to</w:t>
      </w:r>
      <w:proofErr w:type="spellEnd"/>
      <w:r>
        <w:br/>
      </w:r>
      <w:r w:rsidRPr="003F4949">
        <w:t>_</w:t>
      </w:r>
      <w:proofErr w:type="spellStart"/>
      <w:r w:rsidRPr="003F4949">
        <w:t>understanding_2012_ICSEA_values.pdf</w:t>
      </w:r>
      <w:proofErr w:type="spellEnd"/>
      <w:r w:rsidRPr="003F4949">
        <w:t xml:space="preserve"> </w:t>
      </w:r>
      <w:r>
        <w:t>(accessed 30 January 2014</w:t>
      </w:r>
      <w:r w:rsidRPr="005A7220">
        <w:t>).</w:t>
      </w:r>
    </w:p>
    <w:p w:rsidR="00F07C00" w:rsidRPr="005A7220" w:rsidRDefault="00F07C00" w:rsidP="00F07C00">
      <w:pPr>
        <w:pStyle w:val="Reference"/>
      </w:pPr>
      <w:r w:rsidRPr="005A7220">
        <w:t xml:space="preserve">ACCI (Australian Chamber of Commerce and Industry) 2007, </w:t>
      </w:r>
      <w:r w:rsidRPr="005A7220">
        <w:rPr>
          <w:i/>
        </w:rPr>
        <w:t>Skills for a Nation: a Blueprint for Improving Education and Training 2007–2017</w:t>
      </w:r>
      <w:r w:rsidRPr="005A7220">
        <w:t>, Canberra.</w:t>
      </w:r>
    </w:p>
    <w:p w:rsidR="00F07C00" w:rsidRPr="005A7220" w:rsidRDefault="00F07C00" w:rsidP="00F07C00">
      <w:pPr>
        <w:pStyle w:val="Reference"/>
      </w:pPr>
      <w:r w:rsidRPr="005A7220">
        <w:t>Baxter, J.</w:t>
      </w:r>
      <w:r w:rsidR="00F42C59">
        <w:t xml:space="preserve"> and</w:t>
      </w:r>
      <w:r w:rsidRPr="005A7220">
        <w:t xml:space="preserve"> Hand, K. (2013). </w:t>
      </w:r>
      <w:r w:rsidRPr="005A7220">
        <w:rPr>
          <w:i/>
        </w:rPr>
        <w:t>Access to early childhood education in Australia</w:t>
      </w:r>
      <w:r w:rsidRPr="005A7220">
        <w:t xml:space="preserve"> (Research Report No. 24). Melbourne: Australian Institute of Family Studies.</w:t>
      </w:r>
    </w:p>
    <w:p w:rsidR="00F07C00" w:rsidRPr="005A7220" w:rsidRDefault="00F07C00" w:rsidP="00F07C00">
      <w:pPr>
        <w:pStyle w:val="Reference"/>
      </w:pPr>
      <w:r w:rsidRPr="005A7220">
        <w:t xml:space="preserve">COAG (Council of Australian Governments) 2012a, </w:t>
      </w:r>
      <w:r w:rsidRPr="005A7220">
        <w:rPr>
          <w:i/>
        </w:rPr>
        <w:t>National Education Agreement</w:t>
      </w:r>
      <w:r w:rsidRPr="005A7220">
        <w:t>, www.federalfinancialrelations.gov.au/content/npa/education/</w:t>
      </w:r>
      <w:r w:rsidRPr="005A7220">
        <w:br/>
        <w:t>national</w:t>
      </w:r>
      <w:r w:rsidRPr="005A7220">
        <w:noBreakHyphen/>
        <w:t>agreement.pdf (accessed 24 April 2013).</w:t>
      </w:r>
    </w:p>
    <w:p w:rsidR="00F07C00" w:rsidRPr="005A7220" w:rsidRDefault="00F07C00" w:rsidP="00F07C00">
      <w:pPr>
        <w:pStyle w:val="Reference"/>
      </w:pPr>
      <w:r w:rsidRPr="005A7220">
        <w:t xml:space="preserve">—— 2012b, </w:t>
      </w:r>
      <w:r w:rsidRPr="005A7220">
        <w:rPr>
          <w:i/>
        </w:rPr>
        <w:t>National Indigenous Reform Agreement</w:t>
      </w:r>
      <w:r w:rsidRPr="005A7220">
        <w:t>, http://www.federalfinancialrelations.gov.au/content/npa/health_indigenous/indigenous</w:t>
      </w:r>
      <w:r w:rsidRPr="005A7220">
        <w:noBreakHyphen/>
        <w:t>reform/national</w:t>
      </w:r>
      <w:r w:rsidRPr="005A7220">
        <w:noBreakHyphen/>
        <w:t>agreement_sept_12.pdf (accessed 24 April 2013).</w:t>
      </w:r>
    </w:p>
    <w:p w:rsidR="00F07C00" w:rsidRPr="005A7220" w:rsidRDefault="00F07C00" w:rsidP="00F07C00">
      <w:pPr>
        <w:pStyle w:val="Reference"/>
      </w:pPr>
      <w:r w:rsidRPr="005A7220">
        <w:t xml:space="preserve">—— 2012c, </w:t>
      </w:r>
      <w:r w:rsidRPr="005A7220">
        <w:rPr>
          <w:i/>
        </w:rPr>
        <w:t>Review of the National Education Agreement</w:t>
      </w:r>
      <w:r w:rsidRPr="005A7220">
        <w:t>, http://www.coag.gov.au/sites/default/files/National%20Education%20Agreement%20Review%20Report.pdf (accessed 24 April 2013).</w:t>
      </w:r>
    </w:p>
    <w:p w:rsidR="00F07C00" w:rsidRPr="005A7220" w:rsidRDefault="00F07C00" w:rsidP="00F07C00">
      <w:pPr>
        <w:pStyle w:val="Reference"/>
      </w:pPr>
      <w:r w:rsidRPr="005A7220">
        <w:t xml:space="preserve">—— 2011a, </w:t>
      </w:r>
      <w:r w:rsidRPr="005A7220">
        <w:rPr>
          <w:i/>
        </w:rPr>
        <w:t>COAG Communiqué 19 August 2011</w:t>
      </w:r>
      <w:r w:rsidRPr="005A7220">
        <w:t xml:space="preserve">, </w:t>
      </w:r>
      <w:proofErr w:type="spellStart"/>
      <w:r w:rsidRPr="005A7220">
        <w:t>www.coag.gov.au</w:t>
      </w:r>
      <w:proofErr w:type="spellEnd"/>
      <w:r w:rsidRPr="005A7220">
        <w:t>/</w:t>
      </w:r>
      <w:proofErr w:type="spellStart"/>
      <w:r w:rsidRPr="005A7220">
        <w:t>coag</w:t>
      </w:r>
      <w:proofErr w:type="spellEnd"/>
      <w:r w:rsidRPr="005A7220">
        <w:t xml:space="preserve">_ </w:t>
      </w:r>
      <w:proofErr w:type="spellStart"/>
      <w:r w:rsidRPr="005A7220">
        <w:t>meeting_outcomes</w:t>
      </w:r>
      <w:proofErr w:type="spellEnd"/>
      <w:r w:rsidRPr="005A7220">
        <w:t>/2011</w:t>
      </w:r>
      <w:r w:rsidRPr="005A7220">
        <w:noBreakHyphen/>
        <w:t>08</w:t>
      </w:r>
      <w:r w:rsidRPr="005A7220">
        <w:noBreakHyphen/>
        <w:t>19/docs/</w:t>
      </w:r>
      <w:proofErr w:type="spellStart"/>
      <w:r w:rsidRPr="005A7220">
        <w:t>COAGCommunique19August2011.pdf</w:t>
      </w:r>
      <w:proofErr w:type="spellEnd"/>
      <w:r w:rsidRPr="005A7220">
        <w:t xml:space="preserve"> (accessed 28 April 2012).</w:t>
      </w:r>
    </w:p>
    <w:p w:rsidR="00F07C00" w:rsidRPr="005A7220" w:rsidRDefault="00F07C00" w:rsidP="00F07C00">
      <w:pPr>
        <w:pStyle w:val="Reference"/>
      </w:pPr>
      <w:r w:rsidRPr="005A7220">
        <w:t xml:space="preserve">—— 2011b, </w:t>
      </w:r>
      <w:r w:rsidRPr="005A7220">
        <w:rPr>
          <w:i/>
        </w:rPr>
        <w:t>COAG Communiqué 13 February 2011</w:t>
      </w:r>
      <w:r w:rsidRPr="005A7220">
        <w:t xml:space="preserve">, </w:t>
      </w:r>
      <w:proofErr w:type="spellStart"/>
      <w:r w:rsidRPr="005A7220">
        <w:t>www.coag.gov.au</w:t>
      </w:r>
      <w:proofErr w:type="spellEnd"/>
      <w:r w:rsidRPr="005A7220">
        <w:t>/</w:t>
      </w:r>
      <w:proofErr w:type="spellStart"/>
      <w:r w:rsidRPr="005A7220">
        <w:t>coag</w:t>
      </w:r>
      <w:proofErr w:type="spellEnd"/>
      <w:r w:rsidRPr="005A7220">
        <w:t xml:space="preserve">_ </w:t>
      </w:r>
      <w:proofErr w:type="spellStart"/>
      <w:r w:rsidRPr="005A7220">
        <w:t>meeting_outcomes</w:t>
      </w:r>
      <w:proofErr w:type="spellEnd"/>
      <w:r w:rsidRPr="005A7220">
        <w:t>/2011</w:t>
      </w:r>
      <w:r w:rsidRPr="005A7220">
        <w:noBreakHyphen/>
        <w:t>02</w:t>
      </w:r>
      <w:r w:rsidRPr="005A7220">
        <w:noBreakHyphen/>
        <w:t>13/docs/</w:t>
      </w:r>
      <w:proofErr w:type="spellStart"/>
      <w:r w:rsidRPr="005A7220">
        <w:t>communique_20110213.pdf</w:t>
      </w:r>
      <w:proofErr w:type="spellEnd"/>
      <w:r w:rsidRPr="005A7220">
        <w:t xml:space="preserve"> (accessed 24 May 2012).</w:t>
      </w:r>
    </w:p>
    <w:p w:rsidR="00F07C00" w:rsidRPr="005A7220" w:rsidRDefault="00F07C00" w:rsidP="00F07C00">
      <w:pPr>
        <w:pStyle w:val="Reference"/>
      </w:pPr>
      <w:r w:rsidRPr="005A7220">
        <w:t xml:space="preserve">—— 2009a, </w:t>
      </w:r>
      <w:r w:rsidRPr="005A7220">
        <w:rPr>
          <w:i/>
        </w:rPr>
        <w:t>COAG Communiqué 30 April 2009</w:t>
      </w:r>
      <w:r w:rsidRPr="005A7220">
        <w:t xml:space="preserve">, </w:t>
      </w:r>
      <w:proofErr w:type="spellStart"/>
      <w:r w:rsidRPr="005A7220">
        <w:t>www.coag.gov.au</w:t>
      </w:r>
      <w:proofErr w:type="spellEnd"/>
      <w:r w:rsidRPr="005A7220">
        <w:t>/</w:t>
      </w:r>
      <w:proofErr w:type="spellStart"/>
      <w:r w:rsidRPr="005A7220">
        <w:t>coag_meeting_outcomes</w:t>
      </w:r>
      <w:proofErr w:type="spellEnd"/>
      <w:r w:rsidRPr="005A7220">
        <w:t>/2009</w:t>
      </w:r>
      <w:r w:rsidRPr="005A7220">
        <w:noBreakHyphen/>
        <w:t>04</w:t>
      </w:r>
      <w:r w:rsidRPr="005A7220">
        <w:noBreakHyphen/>
        <w:t>30/docs/20090430_</w:t>
      </w:r>
      <w:r w:rsidRPr="005A7220">
        <w:br/>
      </w:r>
      <w:proofErr w:type="spellStart"/>
      <w:r w:rsidRPr="005A7220">
        <w:t>communique.pdf</w:t>
      </w:r>
      <w:proofErr w:type="spellEnd"/>
      <w:r w:rsidRPr="005A7220">
        <w:t xml:space="preserve"> (accessed 24 May 2012).</w:t>
      </w:r>
    </w:p>
    <w:p w:rsidR="00F07C00" w:rsidRPr="005A7220" w:rsidRDefault="00F07C00" w:rsidP="00F07C00">
      <w:pPr>
        <w:pStyle w:val="Reference"/>
      </w:pPr>
      <w:r w:rsidRPr="005A7220">
        <w:t xml:space="preserve">—— 2009b, </w:t>
      </w:r>
      <w:r w:rsidRPr="005A7220">
        <w:rPr>
          <w:i/>
        </w:rPr>
        <w:t>National Education Agreement</w:t>
      </w:r>
      <w:r w:rsidRPr="005A7220">
        <w:t xml:space="preserve"> (to July 2012), www.federalfinancialrelations.gov.au/content/national_agreements.aspx (accessed 24 April 2013).</w:t>
      </w:r>
    </w:p>
    <w:p w:rsidR="00F07C00" w:rsidRPr="002A60E7" w:rsidRDefault="00F07C00" w:rsidP="00F07C00">
      <w:pPr>
        <w:pStyle w:val="Reference"/>
      </w:pPr>
      <w:r w:rsidRPr="002A60E7">
        <w:t xml:space="preserve">—— 2009c, </w:t>
      </w:r>
      <w:r w:rsidRPr="002A60E7">
        <w:rPr>
          <w:i/>
        </w:rPr>
        <w:t>National Partnership Agreement on Youth Attainment and Transitions</w:t>
      </w:r>
      <w:r w:rsidRPr="002A60E7">
        <w:t>, www.dfeest.sa.gov.au/Portals/1/Documents/policies/COAG%20National%20Partnership%20Agreement%20on%20Youth%20Attainment%20and%20Transitions_2009</w:t>
      </w:r>
      <w:r w:rsidRPr="002A60E7">
        <w:noBreakHyphen/>
        <w:t>10%20to%202013</w:t>
      </w:r>
      <w:r w:rsidRPr="002A60E7">
        <w:noBreakHyphen/>
        <w:t>14.pdf (accessed 24 April 2012).</w:t>
      </w:r>
    </w:p>
    <w:p w:rsidR="00F07C00" w:rsidRPr="0075418D" w:rsidRDefault="00F07C00" w:rsidP="00F07C00">
      <w:pPr>
        <w:pStyle w:val="Reference"/>
      </w:pPr>
      <w:r w:rsidRPr="0075418D">
        <w:t xml:space="preserve">CRC (Council of Australian Government’s Reform Council) 2009, </w:t>
      </w:r>
      <w:r w:rsidRPr="0075418D">
        <w:rPr>
          <w:i/>
        </w:rPr>
        <w:t>National Education Agreement: Baseline Performance Report for 2008</w:t>
      </w:r>
      <w:r w:rsidRPr="0075418D">
        <w:t>, CRC, Sydney.</w:t>
      </w:r>
    </w:p>
    <w:p w:rsidR="00F07C00" w:rsidRPr="0075418D" w:rsidRDefault="00F07C00" w:rsidP="00F07C00">
      <w:pPr>
        <w:pStyle w:val="Reference"/>
      </w:pPr>
      <w:r w:rsidRPr="0075418D">
        <w:t xml:space="preserve">DEEWR (Department of Education, Employment and Workplace Relations) 2013, </w:t>
      </w:r>
      <w:r w:rsidRPr="0075418D">
        <w:rPr>
          <w:i/>
        </w:rPr>
        <w:t>A Snapshot of Early Childhood Development in Australia 2012 — AEDI National Report</w:t>
      </w:r>
      <w:r w:rsidRPr="0075418D">
        <w:t>, Australian Government, Canberra.</w:t>
      </w:r>
    </w:p>
    <w:p w:rsidR="00F07C00" w:rsidRPr="0075418D" w:rsidRDefault="00F07C00" w:rsidP="00F07C00">
      <w:pPr>
        <w:pStyle w:val="Reference"/>
      </w:pPr>
      <w:r w:rsidRPr="0075418D">
        <w:t xml:space="preserve">Eidos 2008, </w:t>
      </w:r>
      <w:r w:rsidRPr="0075418D">
        <w:rPr>
          <w:i/>
        </w:rPr>
        <w:t>Advantage Through Structured Flexibility Operations of Schooling Review prepared for Queensland Department of Education, Training and the Arts</w:t>
      </w:r>
      <w:r w:rsidRPr="0075418D">
        <w:t>, 2008, http://</w:t>
      </w:r>
      <w:proofErr w:type="spellStart"/>
      <w:r w:rsidRPr="0075418D">
        <w:t>pandora.nla.gov.au</w:t>
      </w:r>
      <w:proofErr w:type="spellEnd"/>
      <w:r w:rsidRPr="0075418D">
        <w:t>/pan/123829/20110406</w:t>
      </w:r>
      <w:r w:rsidR="009F5EB6">
        <w:noBreakHyphen/>
      </w:r>
      <w:r w:rsidRPr="0075418D">
        <w:t>1139/education.</w:t>
      </w:r>
      <w:r w:rsidRPr="0075418D">
        <w:br/>
      </w:r>
      <w:proofErr w:type="spellStart"/>
      <w:r w:rsidRPr="0075418D">
        <w:t>qld.gov.au</w:t>
      </w:r>
      <w:proofErr w:type="spellEnd"/>
      <w:r w:rsidRPr="0075418D">
        <w:t>/corporate/research/</w:t>
      </w:r>
      <w:proofErr w:type="spellStart"/>
      <w:r w:rsidRPr="0075418D">
        <w:t>osr_final.pdf</w:t>
      </w:r>
      <w:proofErr w:type="spellEnd"/>
      <w:r w:rsidRPr="0075418D">
        <w:t xml:space="preserve"> (accessed 28 January 2014).</w:t>
      </w:r>
    </w:p>
    <w:p w:rsidR="00F07C00" w:rsidRPr="0075418D" w:rsidRDefault="00F07C00" w:rsidP="00F07C00">
      <w:pPr>
        <w:pStyle w:val="Reference"/>
      </w:pPr>
      <w:r w:rsidRPr="0075418D">
        <w:t xml:space="preserve">Emerson, L., Fear. J., Fox, S. and Sanders, E. (2012). </w:t>
      </w:r>
      <w:r w:rsidRPr="0075418D">
        <w:rPr>
          <w:i/>
        </w:rPr>
        <w:t>Parental engagement in learning and schooling: Lessons from research. A report by the Australian Research Alliance for Children and Youth (</w:t>
      </w:r>
      <w:proofErr w:type="spellStart"/>
      <w:r w:rsidRPr="0075418D">
        <w:rPr>
          <w:i/>
        </w:rPr>
        <w:t>ARACY</w:t>
      </w:r>
      <w:proofErr w:type="spellEnd"/>
      <w:r w:rsidRPr="0075418D">
        <w:rPr>
          <w:i/>
        </w:rPr>
        <w:t>) for the Family</w:t>
      </w:r>
      <w:r>
        <w:rPr>
          <w:i/>
        </w:rPr>
        <w:noBreakHyphen/>
      </w:r>
      <w:r w:rsidRPr="0075418D">
        <w:rPr>
          <w:i/>
        </w:rPr>
        <w:t>School and Community Partnerships Bureau</w:t>
      </w:r>
      <w:r w:rsidRPr="0075418D">
        <w:t>, Canberra.</w:t>
      </w:r>
    </w:p>
    <w:p w:rsidR="00F07C00" w:rsidRPr="0075418D" w:rsidRDefault="00F07C00" w:rsidP="00F07C00">
      <w:pPr>
        <w:pStyle w:val="Reference"/>
      </w:pPr>
      <w:r w:rsidRPr="0075418D">
        <w:t xml:space="preserve">Field, S. Kuczera, M. </w:t>
      </w:r>
      <w:r w:rsidR="00F42C59">
        <w:t xml:space="preserve">and </w:t>
      </w:r>
      <w:r w:rsidRPr="0075418D">
        <w:t xml:space="preserve">Pont, B. 2007, </w:t>
      </w:r>
      <w:r w:rsidRPr="0075418D">
        <w:rPr>
          <w:i/>
        </w:rPr>
        <w:t>No More Failures: Ten Steps to Equity in Education</w:t>
      </w:r>
      <w:r w:rsidRPr="0075418D">
        <w:t>, OECD, Paris.</w:t>
      </w:r>
    </w:p>
    <w:p w:rsidR="00F07C00" w:rsidRPr="0075418D" w:rsidRDefault="00F07C00" w:rsidP="00F07C00">
      <w:pPr>
        <w:pStyle w:val="Reference"/>
      </w:pPr>
      <w:r w:rsidRPr="0075418D">
        <w:t xml:space="preserve">Hattie, J. 1999, </w:t>
      </w:r>
      <w:r w:rsidRPr="0075418D">
        <w:rPr>
          <w:i/>
        </w:rPr>
        <w:t>Influences on Student Learning, Inaugural Professorial Lecture</w:t>
      </w:r>
      <w:r w:rsidRPr="0075418D">
        <w:t>, University of Auckland, 2 August 1999.</w:t>
      </w:r>
    </w:p>
    <w:p w:rsidR="00F07C00" w:rsidRPr="0075418D" w:rsidRDefault="00F07C00" w:rsidP="00F07C00">
      <w:pPr>
        <w:pStyle w:val="Reference"/>
      </w:pPr>
      <w:r w:rsidRPr="0075418D">
        <w:t xml:space="preserve">Hattie, J. 2003, </w:t>
      </w:r>
      <w:r w:rsidRPr="0075418D">
        <w:rPr>
          <w:i/>
        </w:rPr>
        <w:t>Teachers Make a Difference: What is the Research Evidence?</w:t>
      </w:r>
      <w:r w:rsidRPr="0075418D">
        <w:t>, Paper presented at the Australian Council for Education Research Annual Conference: Building Teacher Quality.</w:t>
      </w:r>
    </w:p>
    <w:p w:rsidR="00F07C00" w:rsidRPr="0075418D" w:rsidRDefault="00F07C00" w:rsidP="00F07C00">
      <w:pPr>
        <w:pStyle w:val="Reference"/>
      </w:pPr>
      <w:r w:rsidRPr="0075418D">
        <w:t xml:space="preserve">Hattie, J. 2009, </w:t>
      </w:r>
      <w:r w:rsidRPr="0075418D">
        <w:rPr>
          <w:i/>
        </w:rPr>
        <w:t>Visible learning: A Synthesis of Over 800 Meta</w:t>
      </w:r>
      <w:r>
        <w:rPr>
          <w:i/>
        </w:rPr>
        <w:noBreakHyphen/>
      </w:r>
      <w:r w:rsidRPr="0075418D">
        <w:rPr>
          <w:i/>
        </w:rPr>
        <w:t>analyses Relating to Achievement</w:t>
      </w:r>
      <w:r w:rsidRPr="0075418D">
        <w:t>, London, Routledge.</w:t>
      </w:r>
    </w:p>
    <w:p w:rsidR="00F07C00" w:rsidRPr="0075418D" w:rsidRDefault="00F07C00" w:rsidP="00F07C00">
      <w:pPr>
        <w:pStyle w:val="Reference"/>
      </w:pPr>
      <w:r w:rsidRPr="0075418D">
        <w:t>Miller, P</w:t>
      </w:r>
      <w:r w:rsidR="00F42C59">
        <w:t>.</w:t>
      </w:r>
      <w:r w:rsidRPr="0075418D">
        <w:t xml:space="preserve"> </w:t>
      </w:r>
      <w:r w:rsidR="00F42C59">
        <w:t>and</w:t>
      </w:r>
      <w:r w:rsidRPr="0075418D">
        <w:t xml:space="preserve"> Voon, D</w:t>
      </w:r>
      <w:r w:rsidR="00F42C59">
        <w:t>.</w:t>
      </w:r>
      <w:r w:rsidRPr="0075418D">
        <w:t xml:space="preserve"> 2012, </w:t>
      </w:r>
      <w:r w:rsidRPr="0075418D">
        <w:rPr>
          <w:i/>
        </w:rPr>
        <w:t>Government Versus Non</w:t>
      </w:r>
      <w:r>
        <w:rPr>
          <w:i/>
        </w:rPr>
        <w:noBreakHyphen/>
      </w:r>
      <w:r w:rsidRPr="0075418D">
        <w:rPr>
          <w:i/>
        </w:rPr>
        <w:t>Government Schools: A Nation</w:t>
      </w:r>
      <w:r>
        <w:rPr>
          <w:i/>
        </w:rPr>
        <w:noBreakHyphen/>
      </w:r>
      <w:r w:rsidRPr="0075418D">
        <w:rPr>
          <w:i/>
        </w:rPr>
        <w:t xml:space="preserve">Wide Assessment Using Australian </w:t>
      </w:r>
      <w:r>
        <w:rPr>
          <w:i/>
        </w:rPr>
        <w:t>NAPLAN</w:t>
      </w:r>
      <w:r w:rsidRPr="0075418D">
        <w:rPr>
          <w:i/>
        </w:rPr>
        <w:t xml:space="preserve"> Data</w:t>
      </w:r>
      <w:r w:rsidRPr="0075418D">
        <w:t>, Australian Economic Papers, 51, 3, pp.</w:t>
      </w:r>
      <w:r>
        <w:t> </w:t>
      </w:r>
      <w:r w:rsidRPr="0075418D">
        <w:t>147</w:t>
      </w:r>
      <w:r>
        <w:t>–</w:t>
      </w:r>
      <w:r w:rsidRPr="0075418D">
        <w:t>166, Business Source Complete, EBSCOhost (accessed 27 January 2014).</w:t>
      </w:r>
    </w:p>
    <w:p w:rsidR="00F07C00" w:rsidRPr="0075418D" w:rsidRDefault="00F07C00" w:rsidP="00F07C00">
      <w:pPr>
        <w:pStyle w:val="Reference"/>
      </w:pPr>
      <w:r w:rsidRPr="0075418D">
        <w:t>Naidu, R</w:t>
      </w:r>
      <w:r w:rsidR="00F42C59">
        <w:t>.</w:t>
      </w:r>
      <w:r w:rsidRPr="0075418D">
        <w:t>, Stanwick, J</w:t>
      </w:r>
      <w:r w:rsidR="00F42C59">
        <w:t>.</w:t>
      </w:r>
      <w:r w:rsidRPr="0075418D">
        <w:t xml:space="preserve"> and Frazer, K</w:t>
      </w:r>
      <w:r w:rsidR="00F42C59">
        <w:t>.</w:t>
      </w:r>
      <w:r w:rsidRPr="0075418D">
        <w:t xml:space="preserve"> 2013, </w:t>
      </w:r>
      <w:r w:rsidRPr="0075418D">
        <w:rPr>
          <w:i/>
        </w:rPr>
        <w:t>Glossary of VET</w:t>
      </w:r>
      <w:r w:rsidRPr="0075418D">
        <w:t>, NCVER, Adelaide</w:t>
      </w:r>
    </w:p>
    <w:p w:rsidR="00F07C00" w:rsidRPr="0075418D" w:rsidRDefault="00F07C00" w:rsidP="00F07C00">
      <w:pPr>
        <w:pStyle w:val="Reference"/>
      </w:pPr>
      <w:r w:rsidRPr="0075418D">
        <w:t>OECD (Organisation for Economic Co</w:t>
      </w:r>
      <w:r w:rsidRPr="0075418D">
        <w:noBreakHyphen/>
        <w:t xml:space="preserve">Operation and Development) 2013, </w:t>
      </w:r>
      <w:r w:rsidRPr="0075418D">
        <w:rPr>
          <w:i/>
        </w:rPr>
        <w:t>PISA 2012 Results: Excellence Through Equity: Giving Every Student the Chance to Succeed (Volume II)</w:t>
      </w:r>
      <w:r w:rsidRPr="0075418D">
        <w:t>, PISA, OECD Publishing.</w:t>
      </w:r>
    </w:p>
    <w:p w:rsidR="00F07C00" w:rsidRPr="0075418D" w:rsidRDefault="00F07C00" w:rsidP="00F07C00">
      <w:pPr>
        <w:pStyle w:val="Reference"/>
      </w:pPr>
      <w:r w:rsidRPr="0075418D">
        <w:t xml:space="preserve">SCRGSP (Steering Committee for the Review of Government Service Provision) 2014, </w:t>
      </w:r>
      <w:r w:rsidRPr="00F07C00">
        <w:rPr>
          <w:i/>
        </w:rPr>
        <w:t>Report on Government Services 2014</w:t>
      </w:r>
      <w:r w:rsidRPr="0075418D">
        <w:t>, vol. B, Child care, education and training, Productivity Commission, Canberra.</w:t>
      </w:r>
    </w:p>
    <w:p w:rsidR="00F07C00" w:rsidRPr="0075418D" w:rsidRDefault="00F07C00" w:rsidP="00F07C00">
      <w:pPr>
        <w:pStyle w:val="Reference"/>
      </w:pPr>
      <w:r w:rsidRPr="0075418D">
        <w:t>Teese, R., Lamb, S. and Duru</w:t>
      </w:r>
      <w:r w:rsidRPr="0075418D">
        <w:noBreakHyphen/>
        <w:t xml:space="preserve">Bellat, M. (eds) 2007, </w:t>
      </w:r>
      <w:r w:rsidRPr="0075418D">
        <w:rPr>
          <w:i/>
        </w:rPr>
        <w:t>International Studies in Educational Inequality, Theory and Policy: Volume Three. Inequality: Educational Theory and Public Policy</w:t>
      </w:r>
      <w:r w:rsidRPr="0075418D">
        <w:t>, Springer, Dordrecht.</w:t>
      </w:r>
    </w:p>
    <w:p w:rsidR="00F07C00" w:rsidRPr="0075418D" w:rsidRDefault="00F07C00" w:rsidP="00F07C00">
      <w:pPr>
        <w:pStyle w:val="Reference"/>
      </w:pPr>
      <w:r w:rsidRPr="0075418D">
        <w:t xml:space="preserve">Thomson, S., De Bortoli, L. and Buckley, S. 2013, </w:t>
      </w:r>
      <w:r w:rsidRPr="0075418D">
        <w:rPr>
          <w:i/>
        </w:rPr>
        <w:t>PISA 2012: How Australia measures up</w:t>
      </w:r>
      <w:r w:rsidRPr="0075418D">
        <w:t>, ACER, Camberwell.</w:t>
      </w:r>
    </w:p>
    <w:p w:rsidR="00F07C00" w:rsidRPr="0075418D" w:rsidRDefault="00F07C00" w:rsidP="00F07C00">
      <w:pPr>
        <w:pStyle w:val="Reference"/>
      </w:pPr>
      <w:r w:rsidRPr="0075418D">
        <w:t xml:space="preserve">UNESCO (United Nations Educational, Scientific and Cultural Organization), issuing body 2014, </w:t>
      </w:r>
      <w:r w:rsidRPr="0075418D">
        <w:rPr>
          <w:i/>
        </w:rPr>
        <w:t>Teaching and Learning: Achieving Quality for All</w:t>
      </w:r>
      <w:r w:rsidRPr="0075418D">
        <w:t xml:space="preserve">, UNESCO, Paris. </w:t>
      </w:r>
    </w:p>
    <w:p w:rsidR="00F07C00" w:rsidRPr="0075418D" w:rsidRDefault="00F07C00" w:rsidP="00F07C00">
      <w:pPr>
        <w:pStyle w:val="Reference"/>
      </w:pPr>
      <w:r w:rsidRPr="0075418D">
        <w:t xml:space="preserve">Urbis Social Policy 2011. </w:t>
      </w:r>
      <w:r w:rsidRPr="0075418D">
        <w:rPr>
          <w:i/>
        </w:rPr>
        <w:t>Evaluation of the National Partnership Agreement on Early Childhood Education: Annual progress report 2010</w:t>
      </w:r>
      <w:r w:rsidRPr="0075418D">
        <w:t>. Canberra: Department of Education, Employment and Workplace Relations.</w:t>
      </w:r>
    </w:p>
    <w:p w:rsidR="00F07C00" w:rsidRPr="0075418D" w:rsidRDefault="00F07C00" w:rsidP="00F07C00">
      <w:pPr>
        <w:pStyle w:val="Reference"/>
      </w:pPr>
      <w:r w:rsidRPr="0075418D">
        <w:t>Warren, D.</w:t>
      </w:r>
      <w:r w:rsidR="00553F1B">
        <w:t xml:space="preserve"> and</w:t>
      </w:r>
      <w:r w:rsidRPr="0075418D">
        <w:t xml:space="preserve"> Haisken</w:t>
      </w:r>
      <w:r>
        <w:noBreakHyphen/>
      </w:r>
      <w:r w:rsidRPr="0075418D">
        <w:t xml:space="preserve">DeNew, J. P. 2013. </w:t>
      </w:r>
      <w:r w:rsidRPr="0075418D">
        <w:rPr>
          <w:i/>
        </w:rPr>
        <w:t>Early Bird Catches the Worm: The Causal Impact of Pre</w:t>
      </w:r>
      <w:r>
        <w:rPr>
          <w:i/>
        </w:rPr>
        <w:noBreakHyphen/>
      </w:r>
      <w:r w:rsidRPr="0075418D">
        <w:rPr>
          <w:i/>
        </w:rPr>
        <w:t>school Participation and Teacher Qualifications on Year 3 National NAPLAN Cognitive Tests</w:t>
      </w:r>
      <w:r w:rsidRPr="0075418D">
        <w:t xml:space="preserve">, Melbourne Institute Working Paper Series </w:t>
      </w:r>
      <w:proofErr w:type="spellStart"/>
      <w:r w:rsidRPr="0075418D">
        <w:t>wp2013n34</w:t>
      </w:r>
      <w:proofErr w:type="spellEnd"/>
      <w:r w:rsidRPr="0075418D">
        <w:t>, Melbourne Institute of Applied Economic and Social Research, The University of Melbourne.</w:t>
      </w:r>
    </w:p>
    <w:p w:rsidR="00F07C00" w:rsidRPr="0075418D" w:rsidRDefault="00F07C00" w:rsidP="00F07C00">
      <w:pPr>
        <w:pStyle w:val="Reference"/>
      </w:pPr>
      <w:r w:rsidRPr="0075418D">
        <w:t xml:space="preserve">Watterston, J. 2010, </w:t>
      </w:r>
      <w:r w:rsidRPr="0075418D">
        <w:rPr>
          <w:i/>
        </w:rPr>
        <w:t>School Size and Student Outcomes in ACT Public Schools: A Catalyst for Further Investigation and Discussion</w:t>
      </w:r>
      <w:r w:rsidRPr="0075418D">
        <w:t>, Centre for Strategic Education Occasional Papers Number 117, September 2010, Melbourne.</w:t>
      </w:r>
    </w:p>
    <w:p w:rsidR="004C3A02" w:rsidRPr="005052C5" w:rsidRDefault="004C3A02" w:rsidP="0073254A">
      <w:pPr>
        <w:pStyle w:val="Reference"/>
      </w:pPr>
      <w:r w:rsidRPr="003575E1">
        <w:br w:type="page"/>
      </w:r>
    </w:p>
    <w:p w:rsidR="004C3A02" w:rsidRDefault="004C3A02" w:rsidP="004C3A02">
      <w:pPr>
        <w:pStyle w:val="Heading2"/>
      </w:pPr>
      <w:r w:rsidRPr="005D4FB1">
        <w:t>Acronyms and abbreviations</w:t>
      </w:r>
    </w:p>
    <w:p w:rsidR="004C3A02" w:rsidRPr="00B8288D" w:rsidRDefault="004C3A02" w:rsidP="004C3A02">
      <w:pPr>
        <w:pStyle w:val="Abbreviation"/>
      </w:pPr>
      <w:r w:rsidRPr="00B8288D">
        <w:t>AATSIHS</w:t>
      </w:r>
      <w:r w:rsidRPr="00B8288D">
        <w:tab/>
        <w:t>Australian Aboriginal and Torres Strait Islander Health Survey</w:t>
      </w:r>
    </w:p>
    <w:p w:rsidR="004C3A02" w:rsidRPr="00B8288D" w:rsidRDefault="004C3A02" w:rsidP="004C3A02">
      <w:pPr>
        <w:pStyle w:val="Abbreviation"/>
      </w:pPr>
      <w:r w:rsidRPr="00B8288D">
        <w:t>ABS</w:t>
      </w:r>
      <w:r w:rsidRPr="00B8288D">
        <w:tab/>
        <w:t>Australian Bureau of Statistics</w:t>
      </w:r>
    </w:p>
    <w:p w:rsidR="004C3A02" w:rsidRPr="00B8288D" w:rsidRDefault="004C3A02" w:rsidP="004C3A02">
      <w:pPr>
        <w:pStyle w:val="Abbreviation"/>
      </w:pPr>
      <w:r w:rsidRPr="00B8288D">
        <w:t>ACARA</w:t>
      </w:r>
      <w:r w:rsidRPr="00B8288D">
        <w:tab/>
        <w:t>Australian Curriculum Assessment and Reporting Authority</w:t>
      </w:r>
    </w:p>
    <w:p w:rsidR="004C3A02" w:rsidRPr="00B8288D" w:rsidRDefault="004C3A02" w:rsidP="004C3A02">
      <w:pPr>
        <w:pStyle w:val="Abbreviation"/>
      </w:pPr>
      <w:r w:rsidRPr="00B8288D">
        <w:t>ACER</w:t>
      </w:r>
      <w:r w:rsidRPr="00B8288D">
        <w:tab/>
        <w:t>Australian Council for Educational Research</w:t>
      </w:r>
    </w:p>
    <w:p w:rsidR="004C3A02" w:rsidRPr="00B8288D" w:rsidRDefault="004C3A02" w:rsidP="004C3A02">
      <w:pPr>
        <w:pStyle w:val="Abbreviation"/>
      </w:pPr>
      <w:r w:rsidRPr="00B8288D">
        <w:t>ACT</w:t>
      </w:r>
      <w:r w:rsidRPr="00B8288D">
        <w:tab/>
        <w:t>Australian Capital Territory</w:t>
      </w:r>
    </w:p>
    <w:p w:rsidR="004C3A02" w:rsidRPr="00611194" w:rsidRDefault="004C3A02" w:rsidP="004C3A02">
      <w:pPr>
        <w:pStyle w:val="Abbreviation"/>
      </w:pPr>
      <w:r w:rsidRPr="00611194">
        <w:t>AEDI</w:t>
      </w:r>
      <w:r w:rsidRPr="00611194">
        <w:tab/>
        <w:t>Australian Early Development Index</w:t>
      </w:r>
    </w:p>
    <w:p w:rsidR="004C3A02" w:rsidRPr="00611194" w:rsidRDefault="004C3A02" w:rsidP="004C3A02">
      <w:pPr>
        <w:pStyle w:val="Abbreviation"/>
      </w:pPr>
      <w:r w:rsidRPr="00611194">
        <w:t>AIM</w:t>
      </w:r>
      <w:r w:rsidRPr="00611194">
        <w:tab/>
        <w:t>Achievement Improvement Monitor test</w:t>
      </w:r>
    </w:p>
    <w:p w:rsidR="004C3A02" w:rsidRPr="00611194" w:rsidRDefault="004C3A02" w:rsidP="004C3A02">
      <w:pPr>
        <w:pStyle w:val="Abbreviation"/>
      </w:pPr>
      <w:r w:rsidRPr="00611194">
        <w:t>AQF</w:t>
      </w:r>
      <w:r w:rsidRPr="00611194">
        <w:tab/>
        <w:t>Australian Qualifications Framework</w:t>
      </w:r>
    </w:p>
    <w:p w:rsidR="004C3A02" w:rsidRPr="003F0B8A" w:rsidRDefault="004C3A02" w:rsidP="004C3A02">
      <w:pPr>
        <w:pStyle w:val="Abbreviation"/>
      </w:pPr>
      <w:r w:rsidRPr="003F0B8A">
        <w:t>ARA</w:t>
      </w:r>
      <w:r w:rsidRPr="003F0B8A">
        <w:tab/>
        <w:t>Any Responsible Adult</w:t>
      </w:r>
    </w:p>
    <w:p w:rsidR="004C3A02" w:rsidRPr="003F0B8A" w:rsidRDefault="004C3A02" w:rsidP="004C3A02">
      <w:pPr>
        <w:pStyle w:val="Abbreviation"/>
      </w:pPr>
      <w:r w:rsidRPr="003F0B8A">
        <w:t>ARIA</w:t>
      </w:r>
      <w:r w:rsidRPr="003F0B8A">
        <w:tab/>
        <w:t>Accessibility and Remoteness Index for Australia</w:t>
      </w:r>
    </w:p>
    <w:p w:rsidR="004C3A02" w:rsidRPr="003F0B8A" w:rsidRDefault="004C3A02" w:rsidP="004C3A02">
      <w:pPr>
        <w:pStyle w:val="Abbreviation"/>
      </w:pPr>
      <w:r w:rsidRPr="003F0B8A">
        <w:t>ASCED</w:t>
      </w:r>
      <w:r w:rsidRPr="003F0B8A">
        <w:tab/>
        <w:t>Australian Standard Classification of Education</w:t>
      </w:r>
    </w:p>
    <w:p w:rsidR="007D616B" w:rsidRDefault="007D616B" w:rsidP="004C3A02">
      <w:pPr>
        <w:pStyle w:val="Abbreviation"/>
      </w:pPr>
      <w:r>
        <w:t>ASGC</w:t>
      </w:r>
      <w:r>
        <w:tab/>
        <w:t>Australian Standard Geographical Classification</w:t>
      </w:r>
    </w:p>
    <w:p w:rsidR="007D616B" w:rsidRDefault="007D616B" w:rsidP="004C3A02">
      <w:pPr>
        <w:pStyle w:val="Abbreviation"/>
      </w:pPr>
      <w:r>
        <w:t>ASGS</w:t>
      </w:r>
      <w:r>
        <w:tab/>
        <w:t>Australian Statistical Geography Standard</w:t>
      </w:r>
    </w:p>
    <w:p w:rsidR="004C3A02" w:rsidRPr="003F0B8A" w:rsidRDefault="004C3A02" w:rsidP="004C3A02">
      <w:pPr>
        <w:pStyle w:val="Abbreviation"/>
      </w:pPr>
      <w:r w:rsidRPr="003F0B8A">
        <w:t>Aust</w:t>
      </w:r>
      <w:r w:rsidRPr="003F0B8A">
        <w:tab/>
        <w:t>Australia</w:t>
      </w:r>
    </w:p>
    <w:p w:rsidR="004C3A02" w:rsidRPr="003F0B8A" w:rsidRDefault="004C3A02" w:rsidP="004C3A02">
      <w:pPr>
        <w:pStyle w:val="Abbreviation"/>
      </w:pPr>
      <w:r w:rsidRPr="003F0B8A">
        <w:t>Census</w:t>
      </w:r>
      <w:r w:rsidRPr="003F0B8A">
        <w:tab/>
        <w:t>ABS Census of Population and Housing</w:t>
      </w:r>
    </w:p>
    <w:p w:rsidR="004C3A02" w:rsidRPr="003F0B8A" w:rsidRDefault="004C3A02" w:rsidP="004C3A02">
      <w:pPr>
        <w:pStyle w:val="Abbreviation"/>
      </w:pPr>
      <w:r w:rsidRPr="003F0B8A">
        <w:t>COAG</w:t>
      </w:r>
      <w:r w:rsidRPr="003F0B8A">
        <w:tab/>
        <w:t>Council of Australian Governments</w:t>
      </w:r>
    </w:p>
    <w:p w:rsidR="004C3A02" w:rsidRPr="003F0B8A" w:rsidRDefault="004C3A02" w:rsidP="004C3A02">
      <w:pPr>
        <w:pStyle w:val="Abbreviation"/>
      </w:pPr>
      <w:r w:rsidRPr="003F0B8A">
        <w:t>CRC</w:t>
      </w:r>
      <w:r w:rsidRPr="003F0B8A">
        <w:tab/>
        <w:t>COAG Reform Council</w:t>
      </w:r>
    </w:p>
    <w:p w:rsidR="004C3A02" w:rsidRPr="003F0B8A" w:rsidRDefault="004C3A02" w:rsidP="004C3A02">
      <w:pPr>
        <w:pStyle w:val="Abbreviation"/>
      </w:pPr>
      <w:r w:rsidRPr="003F0B8A">
        <w:t>CURF</w:t>
      </w:r>
      <w:r w:rsidRPr="003F0B8A">
        <w:tab/>
        <w:t>Confidentialised Unit Record File</w:t>
      </w:r>
    </w:p>
    <w:p w:rsidR="004C3A02" w:rsidRDefault="004C3A02" w:rsidP="004C3A02">
      <w:pPr>
        <w:pStyle w:val="Abbreviation"/>
      </w:pPr>
      <w:r w:rsidRPr="003F0B8A">
        <w:t>DEEWR</w:t>
      </w:r>
      <w:r w:rsidRPr="003F0B8A">
        <w:tab/>
        <w:t>Department of Education, Employment and Workplace Relations</w:t>
      </w:r>
    </w:p>
    <w:p w:rsidR="007D616B" w:rsidRPr="003F0B8A" w:rsidRDefault="007D616B" w:rsidP="004C3A02">
      <w:pPr>
        <w:pStyle w:val="Abbreviation"/>
      </w:pPr>
      <w:r>
        <w:t>DoE</w:t>
      </w:r>
      <w:r>
        <w:tab/>
      </w:r>
      <w:r w:rsidR="00CD42CD">
        <w:t>Australian Government Department of Education</w:t>
      </w:r>
    </w:p>
    <w:p w:rsidR="004C3A02" w:rsidRPr="003F0B8A" w:rsidRDefault="004C3A02" w:rsidP="004C3A02">
      <w:pPr>
        <w:pStyle w:val="Abbreviation"/>
      </w:pPr>
      <w:r w:rsidRPr="003F0B8A">
        <w:t>DQS</w:t>
      </w:r>
      <w:r w:rsidRPr="003F0B8A">
        <w:tab/>
        <w:t>Data Quality Statement</w:t>
      </w:r>
    </w:p>
    <w:p w:rsidR="001970C9" w:rsidRDefault="001970C9" w:rsidP="004C3A02">
      <w:pPr>
        <w:pStyle w:val="Abbreviation"/>
      </w:pPr>
      <w:r>
        <w:t>ESCS</w:t>
      </w:r>
      <w:r>
        <w:tab/>
        <w:t>Index of Economic, Social and Cultural Status</w:t>
      </w:r>
    </w:p>
    <w:p w:rsidR="004C3A02" w:rsidRPr="003F0B8A" w:rsidRDefault="003F0B8A" w:rsidP="004C3A02">
      <w:pPr>
        <w:pStyle w:val="Abbreviation"/>
      </w:pPr>
      <w:r w:rsidRPr="003F0B8A">
        <w:t>FTE</w:t>
      </w:r>
      <w:r w:rsidRPr="003F0B8A">
        <w:tab/>
        <w:t>Full T</w:t>
      </w:r>
      <w:r w:rsidR="004C3A02" w:rsidRPr="003F0B8A">
        <w:t>ime</w:t>
      </w:r>
      <w:r w:rsidRPr="003F0B8A">
        <w:t xml:space="preserve"> E</w:t>
      </w:r>
      <w:r w:rsidR="004C3A02" w:rsidRPr="003F0B8A">
        <w:t>quivalent</w:t>
      </w:r>
    </w:p>
    <w:p w:rsidR="00B35D74" w:rsidRDefault="00590837" w:rsidP="004C3A02">
      <w:pPr>
        <w:pStyle w:val="Abbreviation"/>
      </w:pPr>
      <w:r>
        <w:t>HISEI</w:t>
      </w:r>
      <w:r w:rsidR="00B35D74">
        <w:tab/>
      </w:r>
      <w:r w:rsidR="007232B8" w:rsidRPr="007232B8">
        <w:t>Highest Internat</w:t>
      </w:r>
      <w:r>
        <w:t>ional Social and Economic Index</w:t>
      </w:r>
    </w:p>
    <w:p w:rsidR="004C3A02" w:rsidRPr="003F0B8A" w:rsidRDefault="004C3A02" w:rsidP="004C3A02">
      <w:pPr>
        <w:pStyle w:val="Abbreviation"/>
      </w:pPr>
      <w:r w:rsidRPr="003F0B8A">
        <w:t>ICSEA</w:t>
      </w:r>
      <w:r w:rsidRPr="003F0B8A">
        <w:tab/>
        <w:t>Index of Community Socio</w:t>
      </w:r>
      <w:r w:rsidRPr="003F0B8A">
        <w:noBreakHyphen/>
        <w:t>Educational Advantage</w:t>
      </w:r>
    </w:p>
    <w:p w:rsidR="004C3A02" w:rsidRPr="003F0B8A" w:rsidRDefault="004C3A02" w:rsidP="004C3A02">
      <w:pPr>
        <w:pStyle w:val="Abbreviation"/>
      </w:pPr>
      <w:r w:rsidRPr="003F0B8A">
        <w:t>IGA</w:t>
      </w:r>
      <w:r w:rsidRPr="003F0B8A">
        <w:tab/>
        <w:t>Intergovernmental Agreement on Federal Financial Relations</w:t>
      </w:r>
    </w:p>
    <w:p w:rsidR="004C3A02" w:rsidRPr="003F0B8A" w:rsidRDefault="004C3A02" w:rsidP="004C3A02">
      <w:pPr>
        <w:pStyle w:val="Abbreviation"/>
      </w:pPr>
      <w:r w:rsidRPr="003F0B8A">
        <w:t>IRSD</w:t>
      </w:r>
      <w:r w:rsidRPr="003F0B8A">
        <w:tab/>
        <w:t>Index of Relative Socioeconomic Disadvantage</w:t>
      </w:r>
    </w:p>
    <w:p w:rsidR="004C3A02" w:rsidRPr="003F0B8A" w:rsidRDefault="004C3A02" w:rsidP="004C3A02">
      <w:pPr>
        <w:pStyle w:val="Abbreviation"/>
      </w:pPr>
      <w:r w:rsidRPr="003F0B8A">
        <w:t>LBOTE</w:t>
      </w:r>
      <w:r w:rsidRPr="003F0B8A">
        <w:tab/>
        <w:t>Language background other than English</w:t>
      </w:r>
    </w:p>
    <w:p w:rsidR="004C3A02" w:rsidRPr="003F0B8A" w:rsidRDefault="004C3A02" w:rsidP="004C3A02">
      <w:pPr>
        <w:pStyle w:val="Abbreviation"/>
      </w:pPr>
      <w:r w:rsidRPr="003F0B8A">
        <w:t>LFS</w:t>
      </w:r>
      <w:r w:rsidRPr="003F0B8A">
        <w:tab/>
        <w:t>Labour Force Survey</w:t>
      </w:r>
    </w:p>
    <w:p w:rsidR="004C3A02" w:rsidRPr="003F0B8A" w:rsidRDefault="004C3A02" w:rsidP="004C3A02">
      <w:pPr>
        <w:pStyle w:val="Abbreviation"/>
      </w:pPr>
      <w:r w:rsidRPr="003F0B8A">
        <w:t>MCEECDYA</w:t>
      </w:r>
      <w:r w:rsidRPr="003F0B8A">
        <w:tab/>
        <w:t>Ministerial Council for Education, Early Childhood Development and Youth Affairs</w:t>
      </w:r>
    </w:p>
    <w:p w:rsidR="004C3A02" w:rsidRPr="003F0B8A" w:rsidRDefault="004C3A02" w:rsidP="004C3A02">
      <w:pPr>
        <w:pStyle w:val="Abbreviation"/>
      </w:pPr>
      <w:r w:rsidRPr="003F0B8A">
        <w:t>MCEETYA</w:t>
      </w:r>
      <w:r w:rsidRPr="003F0B8A">
        <w:tab/>
        <w:t>Ministerial Council on Education, Employment, Training and Youth Affairs</w:t>
      </w:r>
    </w:p>
    <w:p w:rsidR="004C3A02" w:rsidRPr="003F0B8A" w:rsidRDefault="004C3A02" w:rsidP="004C3A02">
      <w:pPr>
        <w:pStyle w:val="Abbreviation"/>
      </w:pPr>
      <w:r w:rsidRPr="003F0B8A">
        <w:t>NA</w:t>
      </w:r>
      <w:r w:rsidRPr="003F0B8A">
        <w:tab/>
        <w:t>National Agreement</w:t>
      </w:r>
    </w:p>
    <w:p w:rsidR="004C3A02" w:rsidRPr="003F0B8A" w:rsidRDefault="004C3A02" w:rsidP="004C3A02">
      <w:pPr>
        <w:pStyle w:val="Abbreviation"/>
      </w:pPr>
      <w:r w:rsidRPr="003F0B8A">
        <w:t>NAPLAN</w:t>
      </w:r>
      <w:r w:rsidRPr="003F0B8A">
        <w:tab/>
        <w:t>National Assessment Program – Literacy and Numeracy</w:t>
      </w:r>
    </w:p>
    <w:p w:rsidR="004C3A02" w:rsidRPr="003F0B8A" w:rsidRDefault="004C3A02" w:rsidP="004C3A02">
      <w:pPr>
        <w:pStyle w:val="Abbreviation"/>
      </w:pPr>
      <w:r w:rsidRPr="003F0B8A">
        <w:t>NATSIHS</w:t>
      </w:r>
      <w:r w:rsidRPr="003F0B8A">
        <w:tab/>
        <w:t>National Aboriginal and Torres Strait Islander Health Survey</w:t>
      </w:r>
    </w:p>
    <w:p w:rsidR="004C3A02" w:rsidRPr="003F0B8A" w:rsidRDefault="004C3A02" w:rsidP="004C3A02">
      <w:pPr>
        <w:pStyle w:val="Abbreviation"/>
      </w:pPr>
      <w:r w:rsidRPr="003F0B8A">
        <w:t>NATSISS</w:t>
      </w:r>
      <w:r w:rsidRPr="003F0B8A">
        <w:tab/>
        <w:t>National Aboriginal and Torres Strait Islander Social Survey</w:t>
      </w:r>
    </w:p>
    <w:p w:rsidR="004C3A02" w:rsidRPr="003F0B8A" w:rsidRDefault="004C3A02" w:rsidP="004C3A02">
      <w:pPr>
        <w:pStyle w:val="Abbreviation"/>
      </w:pPr>
      <w:r w:rsidRPr="003F0B8A">
        <w:t>NCVER</w:t>
      </w:r>
      <w:r w:rsidRPr="003F0B8A">
        <w:tab/>
        <w:t>National Centre for Vocational Education Research</w:t>
      </w:r>
    </w:p>
    <w:p w:rsidR="004C3A02" w:rsidRPr="003F0B8A" w:rsidRDefault="004C3A02" w:rsidP="004C3A02">
      <w:pPr>
        <w:pStyle w:val="Abbreviation"/>
      </w:pPr>
      <w:r w:rsidRPr="003F0B8A">
        <w:t>NEA</w:t>
      </w:r>
      <w:r w:rsidRPr="003F0B8A">
        <w:tab/>
        <w:t>National Education Agreement</w:t>
      </w:r>
    </w:p>
    <w:p w:rsidR="004C3A02" w:rsidRPr="003F0B8A" w:rsidRDefault="004C3A02" w:rsidP="004C3A02">
      <w:pPr>
        <w:pStyle w:val="Abbreviation"/>
      </w:pPr>
      <w:r w:rsidRPr="003F0B8A">
        <w:t>NIRA</w:t>
      </w:r>
      <w:r w:rsidRPr="003F0B8A">
        <w:tab/>
        <w:t>National Indigenous Reform Agreement</w:t>
      </w:r>
    </w:p>
    <w:p w:rsidR="004C3A02" w:rsidRPr="003F0B8A" w:rsidRDefault="004C3A02" w:rsidP="004C3A02">
      <w:pPr>
        <w:pStyle w:val="Abbreviation"/>
      </w:pPr>
      <w:r w:rsidRPr="003F0B8A">
        <w:t>NP</w:t>
      </w:r>
      <w:r w:rsidRPr="003F0B8A">
        <w:tab/>
        <w:t xml:space="preserve">National Partnership </w:t>
      </w:r>
    </w:p>
    <w:p w:rsidR="004C3A02" w:rsidRPr="003F0B8A" w:rsidRDefault="004C3A02" w:rsidP="004C3A02">
      <w:pPr>
        <w:pStyle w:val="Abbreviation"/>
      </w:pPr>
      <w:r w:rsidRPr="003F0B8A">
        <w:t>NSAC</w:t>
      </w:r>
      <w:r w:rsidRPr="003F0B8A">
        <w:tab/>
        <w:t>National Schools Attendance Collection</w:t>
      </w:r>
    </w:p>
    <w:p w:rsidR="004C3A02" w:rsidRPr="003F0B8A" w:rsidRDefault="004C3A02" w:rsidP="004C3A02">
      <w:pPr>
        <w:pStyle w:val="Abbreviation"/>
      </w:pPr>
      <w:r w:rsidRPr="003F0B8A">
        <w:t>NSSC</w:t>
      </w:r>
      <w:r w:rsidRPr="003F0B8A">
        <w:tab/>
        <w:t>National Schools Statistics Collection</w:t>
      </w:r>
    </w:p>
    <w:p w:rsidR="004C3A02" w:rsidRPr="003F0B8A" w:rsidRDefault="004C3A02" w:rsidP="004C3A02">
      <w:pPr>
        <w:pStyle w:val="Abbreviation"/>
      </w:pPr>
      <w:r w:rsidRPr="003F0B8A">
        <w:t>NSW</w:t>
      </w:r>
      <w:r w:rsidRPr="003F0B8A">
        <w:tab/>
        <w:t>New South Wales</w:t>
      </w:r>
    </w:p>
    <w:p w:rsidR="004C3A02" w:rsidRPr="003F0B8A" w:rsidRDefault="004C3A02" w:rsidP="004C3A02">
      <w:pPr>
        <w:pStyle w:val="Abbreviation"/>
      </w:pPr>
      <w:r w:rsidRPr="003F0B8A">
        <w:t>NT</w:t>
      </w:r>
      <w:r w:rsidRPr="003F0B8A">
        <w:tab/>
        <w:t>Northern Territory</w:t>
      </w:r>
    </w:p>
    <w:p w:rsidR="004C3A02" w:rsidRPr="003F0B8A" w:rsidRDefault="004C3A02" w:rsidP="004C3A02">
      <w:pPr>
        <w:pStyle w:val="Abbreviation"/>
      </w:pPr>
      <w:r w:rsidRPr="003F0B8A">
        <w:t>NYPR</w:t>
      </w:r>
      <w:r w:rsidRPr="003F0B8A">
        <w:tab/>
        <w:t>National Youth Participation Requirement</w:t>
      </w:r>
    </w:p>
    <w:p w:rsidR="004C3A02" w:rsidRPr="003F0B8A" w:rsidRDefault="004C3A02" w:rsidP="004C3A02">
      <w:pPr>
        <w:pStyle w:val="Abbreviation"/>
      </w:pPr>
      <w:r w:rsidRPr="003F0B8A">
        <w:t>OECD</w:t>
      </w:r>
      <w:r w:rsidRPr="003F0B8A">
        <w:tab/>
        <w:t>Organisation for Economic Co</w:t>
      </w:r>
      <w:r w:rsidRPr="003F0B8A">
        <w:noBreakHyphen/>
        <w:t>Operation and Development</w:t>
      </w:r>
    </w:p>
    <w:p w:rsidR="004C3A02" w:rsidRPr="003F0B8A" w:rsidRDefault="004C3A02" w:rsidP="004C3A02">
      <w:pPr>
        <w:pStyle w:val="Abbreviation"/>
      </w:pPr>
      <w:r w:rsidRPr="003F0B8A">
        <w:t>PI</w:t>
      </w:r>
      <w:r w:rsidRPr="003F0B8A">
        <w:tab/>
        <w:t>Performance Indicator</w:t>
      </w:r>
    </w:p>
    <w:p w:rsidR="004C3A02" w:rsidRPr="003F0B8A" w:rsidRDefault="004C3A02" w:rsidP="004C3A02">
      <w:pPr>
        <w:pStyle w:val="Abbreviation"/>
      </w:pPr>
      <w:r w:rsidRPr="003F0B8A">
        <w:t>PIRLS</w:t>
      </w:r>
      <w:r w:rsidRPr="003F0B8A">
        <w:tab/>
        <w:t>Progress in International Reading Literacy Study</w:t>
      </w:r>
    </w:p>
    <w:p w:rsidR="004C3A02" w:rsidRPr="003F0B8A" w:rsidRDefault="004C3A02" w:rsidP="004C3A02">
      <w:pPr>
        <w:pStyle w:val="Abbreviation"/>
      </w:pPr>
      <w:r w:rsidRPr="003F0B8A">
        <w:t>PISA</w:t>
      </w:r>
      <w:r w:rsidRPr="003F0B8A">
        <w:tab/>
        <w:t>Programme for International Student Assessment</w:t>
      </w:r>
    </w:p>
    <w:p w:rsidR="00715E4C" w:rsidRDefault="00715E4C" w:rsidP="004C3A02">
      <w:pPr>
        <w:pStyle w:val="Abbreviation"/>
      </w:pPr>
      <w:r>
        <w:t>PUW</w:t>
      </w:r>
      <w:r>
        <w:tab/>
        <w:t>Permanently Unable to Work</w:t>
      </w:r>
    </w:p>
    <w:p w:rsidR="004C3A02" w:rsidRPr="003F0B8A" w:rsidRDefault="004C3A02" w:rsidP="004C3A02">
      <w:pPr>
        <w:pStyle w:val="Abbreviation"/>
      </w:pPr>
      <w:r w:rsidRPr="003F0B8A">
        <w:t>Qld</w:t>
      </w:r>
      <w:r w:rsidRPr="003F0B8A">
        <w:tab/>
        <w:t>Queensland</w:t>
      </w:r>
    </w:p>
    <w:p w:rsidR="004C3A02" w:rsidRPr="003F0B8A" w:rsidRDefault="004C3A02" w:rsidP="004C3A02">
      <w:pPr>
        <w:pStyle w:val="Abbreviation"/>
      </w:pPr>
      <w:r w:rsidRPr="003F0B8A">
        <w:t>RSE</w:t>
      </w:r>
      <w:r w:rsidRPr="003F0B8A">
        <w:tab/>
        <w:t>Relative standard error</w:t>
      </w:r>
    </w:p>
    <w:p w:rsidR="004C3A02" w:rsidRPr="003F0B8A" w:rsidRDefault="004C3A02" w:rsidP="004C3A02">
      <w:pPr>
        <w:pStyle w:val="Abbreviation"/>
      </w:pPr>
      <w:r w:rsidRPr="003F0B8A">
        <w:t>SA</w:t>
      </w:r>
      <w:r w:rsidRPr="003F0B8A">
        <w:tab/>
        <w:t>South Australia</w:t>
      </w:r>
    </w:p>
    <w:p w:rsidR="004C3A02" w:rsidRPr="00FF6A03" w:rsidRDefault="004C3A02" w:rsidP="004C3A02">
      <w:pPr>
        <w:pStyle w:val="Abbreviation"/>
      </w:pPr>
      <w:r w:rsidRPr="00FF6A03">
        <w:t>SCFFR</w:t>
      </w:r>
      <w:r w:rsidRPr="00FF6A03">
        <w:tab/>
        <w:t>Standing Council on Federal Financial Relations</w:t>
      </w:r>
    </w:p>
    <w:p w:rsidR="004C3A02" w:rsidRPr="003F0B8A" w:rsidRDefault="004C3A02" w:rsidP="004C3A02">
      <w:pPr>
        <w:pStyle w:val="Abbreviation"/>
      </w:pPr>
      <w:r w:rsidRPr="003F0B8A">
        <w:t>SCRGSP</w:t>
      </w:r>
      <w:r w:rsidRPr="003F0B8A">
        <w:tab/>
        <w:t>Steering Committee for the Review of Government Service Provision</w:t>
      </w:r>
    </w:p>
    <w:p w:rsidR="004C3A02" w:rsidRPr="00FF6A03" w:rsidRDefault="004C3A02" w:rsidP="004C3A02">
      <w:pPr>
        <w:pStyle w:val="Abbreviation"/>
      </w:pPr>
      <w:r w:rsidRPr="00FF6A03">
        <w:t>SCSEEC</w:t>
      </w:r>
      <w:r w:rsidRPr="00FF6A03">
        <w:tab/>
        <w:t>Standing Council on School Education and Early Childhood</w:t>
      </w:r>
    </w:p>
    <w:p w:rsidR="004C3A02" w:rsidRPr="00FF6A03" w:rsidRDefault="004C3A02" w:rsidP="004C3A02">
      <w:pPr>
        <w:pStyle w:val="Abbreviation"/>
      </w:pPr>
      <w:r w:rsidRPr="00FF6A03">
        <w:t>SD</w:t>
      </w:r>
      <w:r w:rsidRPr="00FF6A03">
        <w:tab/>
        <w:t>Statistical Division</w:t>
      </w:r>
    </w:p>
    <w:p w:rsidR="004C3A02" w:rsidRPr="00FF6A03" w:rsidRDefault="004C3A02" w:rsidP="004C3A02">
      <w:pPr>
        <w:pStyle w:val="Abbreviation"/>
      </w:pPr>
      <w:r w:rsidRPr="00FF6A03">
        <w:t>SEIFA</w:t>
      </w:r>
      <w:r w:rsidRPr="00FF6A03">
        <w:tab/>
        <w:t>Socio</w:t>
      </w:r>
      <w:r w:rsidRPr="00FF6A03">
        <w:noBreakHyphen/>
        <w:t>economic Indexes for Areas</w:t>
      </w:r>
    </w:p>
    <w:p w:rsidR="004C3A02" w:rsidRPr="00FF6A03" w:rsidRDefault="004C3A02" w:rsidP="004C3A02">
      <w:pPr>
        <w:pStyle w:val="Abbreviation"/>
      </w:pPr>
      <w:r w:rsidRPr="00FF6A03">
        <w:t>SES</w:t>
      </w:r>
      <w:r w:rsidRPr="00FF6A03">
        <w:tab/>
        <w:t>Socioeconomic status</w:t>
      </w:r>
    </w:p>
    <w:p w:rsidR="004C3A02" w:rsidRPr="00FF6A03" w:rsidRDefault="004C3A02" w:rsidP="004C3A02">
      <w:pPr>
        <w:pStyle w:val="Abbreviation"/>
      </w:pPr>
      <w:r w:rsidRPr="00FF6A03">
        <w:t>SEW</w:t>
      </w:r>
      <w:r w:rsidRPr="00FF6A03">
        <w:tab/>
        <w:t>Survey of Education and Work</w:t>
      </w:r>
    </w:p>
    <w:p w:rsidR="004C3A02" w:rsidRPr="00FF6A03" w:rsidRDefault="004C3A02" w:rsidP="004C3A02">
      <w:pPr>
        <w:pStyle w:val="Abbreviation"/>
      </w:pPr>
      <w:r w:rsidRPr="00FF6A03">
        <w:t>SPP</w:t>
      </w:r>
      <w:r w:rsidRPr="00FF6A03">
        <w:tab/>
        <w:t>Specific Purpose Payment</w:t>
      </w:r>
    </w:p>
    <w:p w:rsidR="004C3A02" w:rsidRPr="00FF6A03" w:rsidRDefault="004C3A02" w:rsidP="004C3A02">
      <w:pPr>
        <w:pStyle w:val="Abbreviation"/>
      </w:pPr>
      <w:r w:rsidRPr="00FF6A03">
        <w:t>Tas</w:t>
      </w:r>
      <w:r w:rsidRPr="00FF6A03">
        <w:tab/>
        <w:t>Tasmania</w:t>
      </w:r>
    </w:p>
    <w:p w:rsidR="004C3A02" w:rsidRPr="00FF6A03" w:rsidRDefault="004C3A02" w:rsidP="004C3A02">
      <w:pPr>
        <w:pStyle w:val="Abbreviation"/>
      </w:pPr>
      <w:r w:rsidRPr="00FF6A03">
        <w:t>TIMSS</w:t>
      </w:r>
      <w:r w:rsidRPr="00FF6A03">
        <w:tab/>
        <w:t>Trends in International Mathematics and Science Study</w:t>
      </w:r>
    </w:p>
    <w:p w:rsidR="004C3A02" w:rsidRPr="00FF6A03" w:rsidRDefault="004C3A02" w:rsidP="004C3A02">
      <w:pPr>
        <w:pStyle w:val="Abbreviation"/>
      </w:pPr>
      <w:r w:rsidRPr="00FF6A03">
        <w:t>VCE</w:t>
      </w:r>
      <w:r w:rsidRPr="00FF6A03">
        <w:tab/>
        <w:t>Victorian Certificate of Education</w:t>
      </w:r>
    </w:p>
    <w:p w:rsidR="004C3A02" w:rsidRPr="00FF6A03" w:rsidRDefault="004C3A02" w:rsidP="004C3A02">
      <w:pPr>
        <w:pStyle w:val="Abbreviation"/>
      </w:pPr>
      <w:r w:rsidRPr="00FF6A03">
        <w:t>VET</w:t>
      </w:r>
      <w:r w:rsidRPr="00FF6A03">
        <w:tab/>
        <w:t>Vocational education and training</w:t>
      </w:r>
    </w:p>
    <w:p w:rsidR="004C3A02" w:rsidRPr="00FF6A03" w:rsidRDefault="004C3A02" w:rsidP="004C3A02">
      <w:pPr>
        <w:pStyle w:val="Abbreviation"/>
      </w:pPr>
      <w:r w:rsidRPr="00FF6A03">
        <w:t>Vic</w:t>
      </w:r>
      <w:r w:rsidRPr="00FF6A03">
        <w:tab/>
        <w:t>Victoria</w:t>
      </w:r>
    </w:p>
    <w:p w:rsidR="004C3A02" w:rsidRPr="00FF6A03" w:rsidRDefault="004C3A02" w:rsidP="004C3A02">
      <w:pPr>
        <w:pStyle w:val="Abbreviation"/>
      </w:pPr>
      <w:r w:rsidRPr="00FF6A03">
        <w:t>WA</w:t>
      </w:r>
      <w:r w:rsidRPr="00FF6A03">
        <w:tab/>
        <w:t>Western Australia</w:t>
      </w:r>
    </w:p>
    <w:p w:rsidR="00D90A10" w:rsidRPr="00C701C7" w:rsidRDefault="00D90A10" w:rsidP="0073254A">
      <w:pPr>
        <w:pStyle w:val="Reference"/>
        <w:rPr>
          <w:b/>
        </w:rPr>
      </w:pPr>
      <w:r w:rsidRPr="00C701C7">
        <w:rPr>
          <w:b/>
        </w:rPr>
        <w:br w:type="page"/>
      </w:r>
    </w:p>
    <w:p w:rsidR="0098335A" w:rsidRPr="00124D43" w:rsidRDefault="0098335A" w:rsidP="0098335A">
      <w:pPr>
        <w:pStyle w:val="Heading2"/>
      </w:pPr>
      <w:r w:rsidRPr="00124D43">
        <w:t>Glossary</w:t>
      </w:r>
    </w:p>
    <w:tbl>
      <w:tblPr>
        <w:tblW w:w="0" w:type="auto"/>
        <w:tblLayout w:type="fixed"/>
        <w:tblCellMar>
          <w:left w:w="0" w:type="dxa"/>
          <w:right w:w="0" w:type="dxa"/>
        </w:tblCellMar>
        <w:tblLook w:val="0000" w:firstRow="0" w:lastRow="0" w:firstColumn="0" w:lastColumn="0" w:noHBand="0" w:noVBand="0"/>
      </w:tblPr>
      <w:tblGrid>
        <w:gridCol w:w="2127"/>
        <w:gridCol w:w="6662"/>
      </w:tblGrid>
      <w:tr w:rsidR="001A5777" w:rsidRPr="00124D43" w:rsidTr="00B469F8">
        <w:trPr>
          <w:trHeight w:val="1638"/>
        </w:trPr>
        <w:tc>
          <w:tcPr>
            <w:tcW w:w="2127" w:type="dxa"/>
          </w:tcPr>
          <w:p w:rsidR="0098335A" w:rsidRPr="00124D43" w:rsidRDefault="0098335A" w:rsidP="00510A51">
            <w:pPr>
              <w:pStyle w:val="TableBodyText"/>
              <w:spacing w:before="60" w:after="60"/>
              <w:ind w:left="0"/>
              <w:jc w:val="left"/>
              <w:rPr>
                <w:b/>
              </w:rPr>
            </w:pPr>
            <w:r w:rsidRPr="00124D43">
              <w:rPr>
                <w:b/>
              </w:rPr>
              <w:t>Full time equivalent student</w:t>
            </w:r>
          </w:p>
        </w:tc>
        <w:tc>
          <w:tcPr>
            <w:tcW w:w="6662" w:type="dxa"/>
          </w:tcPr>
          <w:p w:rsidR="0098335A" w:rsidRPr="00124D43" w:rsidRDefault="0098335A" w:rsidP="00510A51">
            <w:pPr>
              <w:pStyle w:val="TableBodyText"/>
              <w:spacing w:before="60" w:after="60"/>
              <w:ind w:right="28"/>
              <w:jc w:val="left"/>
            </w:pPr>
            <w:r w:rsidRPr="00124D43">
              <w:t>This is the addition of those defined as full time (who have an imputed value of 1.0) with the sum of the imputed values of those defined as part time (who are assessed as having a value between 0.1 and 0.9). The method of converting part time student numbers into FTEs is based on the student’s workload compared with the workload usually undertaken by a full time student. The FTE of a full time student is 1.0.</w:t>
            </w:r>
          </w:p>
        </w:tc>
      </w:tr>
      <w:tr w:rsidR="001A5777" w:rsidRPr="00124D43" w:rsidTr="00B469F8">
        <w:trPr>
          <w:trHeight w:val="1122"/>
        </w:trPr>
        <w:tc>
          <w:tcPr>
            <w:tcW w:w="2127" w:type="dxa"/>
          </w:tcPr>
          <w:p w:rsidR="0098335A" w:rsidRPr="00124D43" w:rsidRDefault="0098335A" w:rsidP="00510A51">
            <w:pPr>
              <w:pStyle w:val="TableBodyText"/>
              <w:spacing w:before="60" w:after="60"/>
              <w:ind w:left="0"/>
              <w:jc w:val="left"/>
              <w:rPr>
                <w:b/>
              </w:rPr>
            </w:pPr>
            <w:r w:rsidRPr="00124D43">
              <w:rPr>
                <w:b/>
              </w:rPr>
              <w:t>Full time student</w:t>
            </w:r>
          </w:p>
        </w:tc>
        <w:tc>
          <w:tcPr>
            <w:tcW w:w="6662" w:type="dxa"/>
          </w:tcPr>
          <w:p w:rsidR="0098335A" w:rsidRPr="00124D43" w:rsidRDefault="0098335A" w:rsidP="00510A51">
            <w:pPr>
              <w:pStyle w:val="TableBodyText"/>
              <w:spacing w:before="60" w:after="60"/>
              <w:ind w:left="0" w:right="28"/>
              <w:jc w:val="left"/>
            </w:pPr>
            <w:r w:rsidRPr="00124D43">
              <w:t>A person who satisfies the definition of a student and undertakes a workload equivalent to, or greater than, that usually undertaken by a student of that year level. The definition of full time student varies across jurisdictions.</w:t>
            </w:r>
          </w:p>
        </w:tc>
      </w:tr>
      <w:tr w:rsidR="001A5777" w:rsidRPr="00124D43" w:rsidTr="00B469F8">
        <w:trPr>
          <w:trHeight w:val="8367"/>
        </w:trPr>
        <w:tc>
          <w:tcPr>
            <w:tcW w:w="2127" w:type="dxa"/>
          </w:tcPr>
          <w:p w:rsidR="0098335A" w:rsidRPr="00124D43" w:rsidRDefault="0098335A" w:rsidP="00510A51">
            <w:pPr>
              <w:pStyle w:val="TableBodyText"/>
              <w:spacing w:before="60" w:after="60"/>
              <w:ind w:left="0"/>
              <w:jc w:val="left"/>
              <w:rPr>
                <w:b/>
              </w:rPr>
            </w:pPr>
            <w:r w:rsidRPr="00124D43">
              <w:rPr>
                <w:b/>
              </w:rPr>
              <w:t>Geographic location classification</w:t>
            </w:r>
          </w:p>
        </w:tc>
        <w:tc>
          <w:tcPr>
            <w:tcW w:w="6662" w:type="dxa"/>
          </w:tcPr>
          <w:p w:rsidR="0098335A" w:rsidRPr="00124D43" w:rsidRDefault="0098335A" w:rsidP="00510A51">
            <w:pPr>
              <w:pStyle w:val="TableBodyText"/>
              <w:spacing w:before="60" w:after="60"/>
              <w:ind w:left="0"/>
              <w:jc w:val="left"/>
            </w:pPr>
            <w:r w:rsidRPr="00124D43">
              <w:t>Geographic categorisation for non</w:t>
            </w:r>
            <w:r w:rsidRPr="00124D43">
              <w:noBreakHyphen/>
              <w:t>ABS data are based on the agreed SCSEEC Geographic Location Classification which, at the highest level, divides Australia into three zones (the metropolitan, provincial and remote zones). A further disaggregation comprises five categories: metropolitan and provincial zones each subdivided into two categories, and the remote zone. Further subdivisions of the two provincial zone categories and the remote zone category provide additional, more detailed, classification options. When data permit, a separate very remote zone can be reported along with the metropolitan, provincial and remote zones, as follows.</w:t>
            </w:r>
          </w:p>
          <w:p w:rsidR="0098335A" w:rsidRPr="00124D43" w:rsidRDefault="0098335A" w:rsidP="00510A51">
            <w:pPr>
              <w:pStyle w:val="TableBodyText"/>
              <w:spacing w:before="60" w:after="60"/>
              <w:ind w:left="0"/>
              <w:jc w:val="left"/>
            </w:pPr>
            <w:r w:rsidRPr="00124D43">
              <w:t>A. Metropolitan zone</w:t>
            </w:r>
          </w:p>
          <w:p w:rsidR="0098335A" w:rsidRPr="00124D43" w:rsidRDefault="0098335A" w:rsidP="00A35B6E">
            <w:pPr>
              <w:pStyle w:val="TableBullet"/>
              <w:spacing w:after="0"/>
            </w:pPr>
            <w:r w:rsidRPr="00124D43">
              <w:t>Mainland State capital city regions (Statistical Divisions (SDs)): Sydney, Melbourne, Brisbane, Adelaide and Perth SDs.</w:t>
            </w:r>
          </w:p>
          <w:p w:rsidR="0098335A" w:rsidRPr="00124D43" w:rsidRDefault="0098335A" w:rsidP="00A35B6E">
            <w:pPr>
              <w:pStyle w:val="TableBullet"/>
              <w:spacing w:after="0"/>
            </w:pPr>
            <w:r w:rsidRPr="00124D43">
              <w:t xml:space="preserve">Major urban Statistical Districts (100 000 or more population): </w:t>
            </w:r>
            <w:r w:rsidRPr="00124D43">
              <w:br/>
              <w:t>ACT–Queanbeyan, Cairns, Gold Coast–Tweed, Geelong, Hobart, Newcastle, Sunshine Coast, Townsville, Wollongong.</w:t>
            </w:r>
          </w:p>
          <w:p w:rsidR="0098335A" w:rsidRPr="00124D43" w:rsidRDefault="0098335A" w:rsidP="00510A51">
            <w:pPr>
              <w:pStyle w:val="TableBodyText"/>
              <w:spacing w:before="60" w:after="60"/>
              <w:ind w:left="0"/>
              <w:jc w:val="left"/>
            </w:pPr>
            <w:r w:rsidRPr="00124D43">
              <w:t>B. Provincial zone (non</w:t>
            </w:r>
            <w:r w:rsidRPr="00124D43">
              <w:noBreakHyphen/>
              <w:t>remote)</w:t>
            </w:r>
          </w:p>
          <w:p w:rsidR="0098335A" w:rsidRPr="00124D43" w:rsidRDefault="0098335A" w:rsidP="00A35B6E">
            <w:pPr>
              <w:pStyle w:val="TableBullet"/>
              <w:spacing w:after="0"/>
            </w:pPr>
            <w:r w:rsidRPr="00124D43">
              <w:t>Provincial city Statistical Districts plus Darwin SD.</w:t>
            </w:r>
          </w:p>
          <w:p w:rsidR="0098335A" w:rsidRPr="00A35B6E" w:rsidRDefault="0098335A" w:rsidP="00B7027D">
            <w:pPr>
              <w:pStyle w:val="TableBullet"/>
              <w:tabs>
                <w:tab w:val="num" w:pos="425"/>
              </w:tabs>
              <w:ind w:left="425"/>
            </w:pPr>
            <w:r w:rsidRPr="00A35B6E">
              <w:t>Provincial city statistical districts and Darwin statistical division (50 000–99 999 population): Albury–Wodonga, Ballarat, Bathurst–Orange, Burnie</w:t>
            </w:r>
            <w:r w:rsidRPr="00A35B6E">
              <w:noBreakHyphen/>
              <w:t>Devonport, Bundaberg, Bendigo, Darwin, Launceston, La Trobe Valley, Mackay, Rockhampton, Toowoomba, Wagga Wagga.</w:t>
            </w:r>
          </w:p>
          <w:p w:rsidR="0098335A" w:rsidRPr="00124D43" w:rsidRDefault="0098335A" w:rsidP="00B7027D">
            <w:pPr>
              <w:pStyle w:val="TableBullet"/>
              <w:tabs>
                <w:tab w:val="num" w:pos="425"/>
              </w:tabs>
              <w:ind w:left="425" w:hanging="142"/>
            </w:pPr>
            <w:r w:rsidRPr="00A35B6E">
              <w:t>Provincial City Statistical Districts (25 000–49 999 population): Bunbury, Coffs Harbour, Dubbo, Geraldton, Gladstone, Shepparton, Hervey Bay, Kalgoorlie–Boulder, Lismore, Mandurah, Mildura, Nowra–Bomaderry, Port Macquarie,</w:t>
            </w:r>
            <w:r w:rsidRPr="00124D43">
              <w:t xml:space="preserve"> Tamworth, Warrnambool.</w:t>
            </w:r>
          </w:p>
          <w:p w:rsidR="0098335A" w:rsidRPr="00124D43" w:rsidRDefault="0098335A" w:rsidP="00A35B6E">
            <w:pPr>
              <w:pStyle w:val="TableBullet"/>
              <w:spacing w:after="0"/>
            </w:pPr>
            <w:r w:rsidRPr="00124D43">
              <w:t xml:space="preserve">Other provincial areas (CD ARIA Plus score </w:t>
            </w:r>
            <w:r w:rsidRPr="00124D43">
              <w:rPr>
                <w:rFonts w:cs="Arial"/>
              </w:rPr>
              <w:t>≤</w:t>
            </w:r>
            <w:r w:rsidRPr="00124D43">
              <w:t xml:space="preserve"> 5.92)</w:t>
            </w:r>
          </w:p>
          <w:p w:rsidR="0098335A" w:rsidRPr="00124D43" w:rsidRDefault="0098335A" w:rsidP="00B7027D">
            <w:pPr>
              <w:pStyle w:val="TableBullet"/>
              <w:tabs>
                <w:tab w:val="num" w:pos="283"/>
                <w:tab w:val="left" w:pos="425"/>
              </w:tabs>
              <w:ind w:left="283" w:hanging="28"/>
            </w:pPr>
            <w:r w:rsidRPr="00124D43">
              <w:t xml:space="preserve">Inner provincial areas (CD ARIA Plus score </w:t>
            </w:r>
            <w:r w:rsidRPr="00124D43">
              <w:rPr>
                <w:rFonts w:cs="Arial"/>
              </w:rPr>
              <w:t>≤</w:t>
            </w:r>
            <w:r w:rsidRPr="00124D43">
              <w:t xml:space="preserve"> 2.4)</w:t>
            </w:r>
          </w:p>
          <w:p w:rsidR="0098335A" w:rsidRPr="00124D43" w:rsidRDefault="0098335A" w:rsidP="00B7027D">
            <w:pPr>
              <w:pStyle w:val="TableBullet"/>
              <w:tabs>
                <w:tab w:val="num" w:pos="283"/>
                <w:tab w:val="left" w:pos="425"/>
              </w:tabs>
              <w:ind w:left="283" w:hanging="28"/>
            </w:pPr>
            <w:r w:rsidRPr="00124D43">
              <w:t xml:space="preserve">Outer provincial areas (CD ARIA Plus score &gt; 2.4 and </w:t>
            </w:r>
            <w:r w:rsidRPr="00124D43">
              <w:rPr>
                <w:rFonts w:cs="Arial"/>
              </w:rPr>
              <w:t>≤</w:t>
            </w:r>
            <w:r w:rsidRPr="00124D43">
              <w:t xml:space="preserve"> 5.92)</w:t>
            </w:r>
          </w:p>
          <w:p w:rsidR="0098335A" w:rsidRPr="00124D43" w:rsidRDefault="0098335A" w:rsidP="00510A51">
            <w:pPr>
              <w:pStyle w:val="TableBodyText"/>
              <w:spacing w:before="60" w:after="60"/>
              <w:ind w:left="0"/>
              <w:jc w:val="left"/>
            </w:pPr>
            <w:r w:rsidRPr="00124D43">
              <w:t>C. Remote zone</w:t>
            </w:r>
          </w:p>
          <w:p w:rsidR="0098335A" w:rsidRPr="00124D43" w:rsidRDefault="0098335A" w:rsidP="00A35B6E">
            <w:pPr>
              <w:pStyle w:val="TableBullet"/>
              <w:spacing w:after="0"/>
            </w:pPr>
            <w:r w:rsidRPr="00124D43">
              <w:t>Remote zone (CD ARIA Plus score &gt; 5.92)</w:t>
            </w:r>
          </w:p>
          <w:p w:rsidR="0098335A" w:rsidRPr="00124D43" w:rsidRDefault="0098335A" w:rsidP="00B7027D">
            <w:pPr>
              <w:pStyle w:val="TableBullet"/>
              <w:tabs>
                <w:tab w:val="num" w:pos="283"/>
                <w:tab w:val="left" w:pos="425"/>
              </w:tabs>
              <w:ind w:left="283" w:hanging="28"/>
            </w:pPr>
            <w:r w:rsidRPr="00124D43">
              <w:t xml:space="preserve">Remote areas (CD ARIA Plus score &gt; 5.92 and </w:t>
            </w:r>
            <w:r w:rsidRPr="00124D43">
              <w:rPr>
                <w:rFonts w:cs="Arial"/>
              </w:rPr>
              <w:t>≤</w:t>
            </w:r>
            <w:r w:rsidRPr="00124D43">
              <w:t xml:space="preserve"> 10.53)</w:t>
            </w:r>
          </w:p>
          <w:p w:rsidR="0098335A" w:rsidRPr="00124D43" w:rsidRDefault="0098335A" w:rsidP="00B7027D">
            <w:pPr>
              <w:pStyle w:val="TableBullet"/>
              <w:tabs>
                <w:tab w:val="num" w:pos="283"/>
                <w:tab w:val="left" w:pos="425"/>
              </w:tabs>
              <w:ind w:left="283" w:hanging="28"/>
            </w:pPr>
            <w:r w:rsidRPr="00124D43">
              <w:t>Very remote areas (CD ARIA Plus score &gt; 10.53)</w:t>
            </w:r>
          </w:p>
        </w:tc>
      </w:tr>
      <w:tr w:rsidR="001A5777" w:rsidRPr="00124D43" w:rsidTr="00B469F8">
        <w:trPr>
          <w:trHeight w:val="1285"/>
        </w:trPr>
        <w:tc>
          <w:tcPr>
            <w:tcW w:w="2127" w:type="dxa"/>
          </w:tcPr>
          <w:p w:rsidR="0098335A" w:rsidRPr="00124D43" w:rsidRDefault="0098335A" w:rsidP="00510A51">
            <w:pPr>
              <w:pStyle w:val="TableBodyText"/>
              <w:spacing w:before="60" w:after="60"/>
              <w:ind w:left="0"/>
              <w:jc w:val="left"/>
              <w:rPr>
                <w:b/>
              </w:rPr>
            </w:pPr>
            <w:r w:rsidRPr="00124D43">
              <w:rPr>
                <w:b/>
              </w:rPr>
              <w:t>Indigenous student</w:t>
            </w:r>
          </w:p>
        </w:tc>
        <w:tc>
          <w:tcPr>
            <w:tcW w:w="6662" w:type="dxa"/>
          </w:tcPr>
          <w:p w:rsidR="0098335A" w:rsidRPr="00124D43" w:rsidRDefault="0098335A" w:rsidP="00510A51">
            <w:pPr>
              <w:pStyle w:val="TableBodyText"/>
              <w:spacing w:before="60" w:after="60"/>
              <w:ind w:left="0" w:right="28"/>
              <w:jc w:val="left"/>
            </w:pPr>
            <w:r w:rsidRPr="00124D43">
              <w:t xml:space="preserve">A student of Aboriginal or Torres Strait Islander origin who identifies as being an Aboriginal or Torres Strait Islander or from an Aboriginal and Torres Strait Islander background. Administrative processes for determining Indigenous status vary across jurisdictions. </w:t>
            </w:r>
          </w:p>
        </w:tc>
      </w:tr>
      <w:tr w:rsidR="001A5777" w:rsidRPr="00124D43" w:rsidTr="00B469F8">
        <w:trPr>
          <w:trHeight w:val="1178"/>
        </w:trPr>
        <w:tc>
          <w:tcPr>
            <w:tcW w:w="2127" w:type="dxa"/>
          </w:tcPr>
          <w:p w:rsidR="0098335A" w:rsidRPr="00124D43" w:rsidRDefault="0098335A" w:rsidP="00510A51">
            <w:pPr>
              <w:pStyle w:val="TableBodyText"/>
              <w:spacing w:before="60" w:after="60"/>
              <w:ind w:left="0"/>
              <w:jc w:val="left"/>
              <w:rPr>
                <w:b/>
              </w:rPr>
            </w:pPr>
            <w:r w:rsidRPr="00124D43">
              <w:rPr>
                <w:b/>
              </w:rPr>
              <w:t>Language background other than English (LBOTE) student</w:t>
            </w:r>
          </w:p>
        </w:tc>
        <w:tc>
          <w:tcPr>
            <w:tcW w:w="6662" w:type="dxa"/>
          </w:tcPr>
          <w:p w:rsidR="0098335A" w:rsidRPr="00124D43" w:rsidRDefault="0098335A" w:rsidP="00510A51">
            <w:pPr>
              <w:pStyle w:val="TableBodyText"/>
              <w:spacing w:before="60" w:after="60"/>
              <w:ind w:left="0" w:right="28"/>
              <w:jc w:val="left"/>
            </w:pPr>
            <w:r w:rsidRPr="00124D43">
              <w:t xml:space="preserve">A status that is determined by administrative processes that vary across jurisdictions. </w:t>
            </w:r>
          </w:p>
        </w:tc>
      </w:tr>
      <w:tr w:rsidR="001A5777" w:rsidRPr="00124D43" w:rsidTr="00B469F8">
        <w:trPr>
          <w:trHeight w:val="713"/>
        </w:trPr>
        <w:tc>
          <w:tcPr>
            <w:tcW w:w="2127" w:type="dxa"/>
          </w:tcPr>
          <w:p w:rsidR="0098335A" w:rsidRPr="00124D43" w:rsidRDefault="0098335A" w:rsidP="00510A51">
            <w:pPr>
              <w:pStyle w:val="TableBodyText"/>
              <w:spacing w:before="60" w:after="60"/>
              <w:ind w:left="0"/>
              <w:jc w:val="left"/>
              <w:rPr>
                <w:b/>
              </w:rPr>
            </w:pPr>
            <w:r w:rsidRPr="00124D43">
              <w:rPr>
                <w:b/>
              </w:rPr>
              <w:t>Part time student</w:t>
            </w:r>
          </w:p>
        </w:tc>
        <w:tc>
          <w:tcPr>
            <w:tcW w:w="6662" w:type="dxa"/>
          </w:tcPr>
          <w:p w:rsidR="0098335A" w:rsidRPr="00124D43" w:rsidRDefault="0098335A" w:rsidP="00510A51">
            <w:pPr>
              <w:pStyle w:val="TableBodyText"/>
              <w:spacing w:before="60" w:after="60"/>
              <w:ind w:left="0" w:right="28"/>
              <w:jc w:val="left"/>
            </w:pPr>
            <w:r w:rsidRPr="00124D43">
              <w:t>A student undertaking a workload that is less than that specified as being full time in the jurisdiction</w:t>
            </w:r>
          </w:p>
        </w:tc>
      </w:tr>
      <w:tr w:rsidR="00416F19" w:rsidRPr="00124D43" w:rsidTr="00B469F8">
        <w:trPr>
          <w:trHeight w:val="1134"/>
        </w:trPr>
        <w:tc>
          <w:tcPr>
            <w:tcW w:w="2127" w:type="dxa"/>
          </w:tcPr>
          <w:p w:rsidR="00416F19" w:rsidRPr="00124D43" w:rsidRDefault="006B1102" w:rsidP="00510A51">
            <w:pPr>
              <w:pStyle w:val="TableBodyText"/>
              <w:spacing w:before="60" w:after="60"/>
              <w:ind w:left="0"/>
              <w:jc w:val="left"/>
              <w:rPr>
                <w:b/>
              </w:rPr>
            </w:pPr>
            <w:r>
              <w:rPr>
                <w:b/>
              </w:rPr>
              <w:t>Quintiles</w:t>
            </w:r>
          </w:p>
        </w:tc>
        <w:tc>
          <w:tcPr>
            <w:tcW w:w="6662" w:type="dxa"/>
          </w:tcPr>
          <w:p w:rsidR="00416F19" w:rsidRPr="00124D43" w:rsidRDefault="006B1102" w:rsidP="00510A51">
            <w:pPr>
              <w:pStyle w:val="TableBodyText"/>
              <w:spacing w:before="60" w:after="60"/>
              <w:ind w:left="0" w:right="28"/>
              <w:jc w:val="left"/>
            </w:pPr>
            <w:r>
              <w:t>Quintiles are groups that result from ranking all people in the population in ascending order (from the lowest to the highest) according to their response to a data item (eg income), and then dividing the population into five equal groups, each comprising 20 per cent of the population.</w:t>
            </w:r>
          </w:p>
        </w:tc>
      </w:tr>
      <w:tr w:rsidR="001A5777" w:rsidRPr="00124D43" w:rsidTr="00B469F8">
        <w:trPr>
          <w:trHeight w:val="3970"/>
        </w:trPr>
        <w:tc>
          <w:tcPr>
            <w:tcW w:w="2127" w:type="dxa"/>
          </w:tcPr>
          <w:p w:rsidR="0098335A" w:rsidRPr="00124D43" w:rsidRDefault="0098335A" w:rsidP="00510A51">
            <w:pPr>
              <w:pStyle w:val="TableBodyText"/>
              <w:spacing w:before="60" w:after="60"/>
              <w:ind w:left="0"/>
              <w:jc w:val="left"/>
              <w:rPr>
                <w:b/>
              </w:rPr>
            </w:pPr>
            <w:r w:rsidRPr="00124D43">
              <w:rPr>
                <w:b/>
              </w:rPr>
              <w:t>Socioeconomic status</w:t>
            </w:r>
          </w:p>
        </w:tc>
        <w:tc>
          <w:tcPr>
            <w:tcW w:w="6662" w:type="dxa"/>
          </w:tcPr>
          <w:p w:rsidR="0098335A" w:rsidRDefault="0098335A" w:rsidP="00510A51">
            <w:pPr>
              <w:pStyle w:val="TableBodyText"/>
              <w:spacing w:before="60" w:after="60"/>
              <w:ind w:left="0" w:right="28"/>
              <w:jc w:val="left"/>
            </w:pPr>
            <w:r w:rsidRPr="00124D43">
              <w:t xml:space="preserve">For the purposes of this report, socioeconomic status is measured using </w:t>
            </w:r>
            <w:r w:rsidR="00A964A4">
              <w:t>HISEI and ESCS</w:t>
            </w:r>
            <w:r w:rsidRPr="00124D43">
              <w:t xml:space="preserve"> (NAPLAN data) or SEIFA IRSD (all other data).</w:t>
            </w:r>
          </w:p>
          <w:p w:rsidR="00A964A4" w:rsidRPr="00124D43" w:rsidRDefault="00A964A4" w:rsidP="00A964A4">
            <w:pPr>
              <w:pStyle w:val="TableBodyText"/>
              <w:spacing w:before="60" w:after="60"/>
              <w:ind w:right="28"/>
              <w:jc w:val="left"/>
            </w:pPr>
            <w:r>
              <w:t xml:space="preserve">HISEI and ESCS are two measures used by the OECD to represent elements of socioeconomic background. HISEI is a measure of the father’s and mother’s occupation. The ESCS is a measure created to capture the wider aspects of a student’s family and home background including the highest occupational status of parents (HISEI), </w:t>
            </w:r>
            <w:r w:rsidRPr="00A964A4">
              <w:t>the highest educational level of parents in years of education</w:t>
            </w:r>
            <w:r>
              <w:t xml:space="preserve"> (PARED), and home possessions (HOMEPOS). HOMEPOS comprises all items on the indices of family wealth, cultural resources, access to home educational and cultural resources, and books in the home.</w:t>
            </w:r>
          </w:p>
          <w:p w:rsidR="0098335A" w:rsidRPr="00124D43" w:rsidRDefault="00A964A4" w:rsidP="00A964A4">
            <w:pPr>
              <w:pStyle w:val="TableBodyText"/>
              <w:spacing w:before="60" w:after="60"/>
              <w:ind w:left="0" w:right="28"/>
              <w:jc w:val="left"/>
            </w:pPr>
            <w:r>
              <w:t xml:space="preserve">SEIFA IRSD is an ABS measure of socioeconomic status. </w:t>
            </w:r>
            <w:r w:rsidR="0098335A" w:rsidRPr="00124D43">
              <w:t>For SEIFA</w:t>
            </w:r>
            <w:r w:rsidR="00961A50">
              <w:t> </w:t>
            </w:r>
            <w:r w:rsidR="0098335A" w:rsidRPr="00124D43">
              <w:t xml:space="preserve">IRSD, a person can be allocated to one of five quintiles. Quintile 1 indicates that the person resides in the most disadvantaged area in the jurisdiction, whereas quintile 5 indicates that the person resides in the least disadvantaged area in the jurisdiction. </w:t>
            </w:r>
          </w:p>
        </w:tc>
      </w:tr>
      <w:tr w:rsidR="00DA2A9F" w:rsidRPr="00124D43" w:rsidTr="00B469F8">
        <w:trPr>
          <w:trHeight w:val="711"/>
        </w:trPr>
        <w:tc>
          <w:tcPr>
            <w:tcW w:w="2127" w:type="dxa"/>
          </w:tcPr>
          <w:p w:rsidR="00DA2A9F" w:rsidRPr="00124D43" w:rsidRDefault="00DA2A9F" w:rsidP="00510A51">
            <w:pPr>
              <w:pStyle w:val="TableBodyText"/>
              <w:spacing w:before="60" w:after="60"/>
              <w:ind w:left="0"/>
              <w:jc w:val="left"/>
              <w:rPr>
                <w:b/>
              </w:rPr>
            </w:pPr>
            <w:r>
              <w:rPr>
                <w:b/>
              </w:rPr>
              <w:t>Special schools</w:t>
            </w:r>
          </w:p>
        </w:tc>
        <w:tc>
          <w:tcPr>
            <w:tcW w:w="6662" w:type="dxa"/>
          </w:tcPr>
          <w:p w:rsidR="00DA2A9F" w:rsidRPr="00124D43" w:rsidRDefault="00DA2A9F" w:rsidP="00510A51">
            <w:pPr>
              <w:pStyle w:val="TableBodyText"/>
              <w:spacing w:before="60" w:after="60"/>
              <w:ind w:left="0" w:right="28"/>
              <w:jc w:val="left"/>
            </w:pPr>
            <w:r w:rsidRPr="00064695">
              <w:t>Special schools provide special instruction for students with a physical and/or mental disability/impairment, or with social problems.</w:t>
            </w:r>
          </w:p>
        </w:tc>
      </w:tr>
      <w:tr w:rsidR="001A5777" w:rsidRPr="00124D43" w:rsidTr="00B469F8">
        <w:trPr>
          <w:trHeight w:val="2407"/>
        </w:trPr>
        <w:tc>
          <w:tcPr>
            <w:tcW w:w="2127" w:type="dxa"/>
          </w:tcPr>
          <w:p w:rsidR="0098335A" w:rsidRPr="00124D43" w:rsidRDefault="0098335A" w:rsidP="00510A51">
            <w:pPr>
              <w:pStyle w:val="TableBodyText"/>
              <w:spacing w:before="60" w:after="60"/>
              <w:ind w:left="0"/>
              <w:jc w:val="left"/>
              <w:rPr>
                <w:b/>
              </w:rPr>
            </w:pPr>
            <w:r w:rsidRPr="00124D43">
              <w:rPr>
                <w:b/>
              </w:rPr>
              <w:t>Student</w:t>
            </w:r>
          </w:p>
        </w:tc>
        <w:tc>
          <w:tcPr>
            <w:tcW w:w="6662" w:type="dxa"/>
          </w:tcPr>
          <w:p w:rsidR="0098335A" w:rsidRPr="00124D43" w:rsidRDefault="0098335A" w:rsidP="00510A51">
            <w:pPr>
              <w:pStyle w:val="TableBodyText"/>
              <w:spacing w:before="60" w:after="60"/>
              <w:ind w:left="0" w:right="28"/>
              <w:jc w:val="left"/>
            </w:pPr>
            <w:r w:rsidRPr="00124D43">
              <w:t>A person who is formally (officially) enrolled or registered at a school, and is also active in a primary, secondary or special education program at that school. Students at special schools are allocated to primary and secondary on the basis of their actual grade (if assigned); whether or not they are receiving primary or secondary curriculum instruction; or, as a last resort, whether they are of primary or secondary school age.</w:t>
            </w:r>
          </w:p>
          <w:p w:rsidR="0098335A" w:rsidRPr="00124D43" w:rsidRDefault="0098335A" w:rsidP="00510A51">
            <w:pPr>
              <w:pStyle w:val="TableBodyText"/>
              <w:spacing w:before="60" w:after="60"/>
              <w:ind w:right="28"/>
              <w:jc w:val="left"/>
            </w:pPr>
            <w:r w:rsidRPr="00124D43">
              <w:t>For data sourced from the NSSC, students were excluded if they had left the school or had been absent without explanation for four continuous weeks (excluding school vacations) prior to the school Census date.</w:t>
            </w:r>
          </w:p>
        </w:tc>
      </w:tr>
      <w:tr w:rsidR="001A5777" w:rsidRPr="00124D43" w:rsidTr="00B469F8">
        <w:trPr>
          <w:trHeight w:val="982"/>
        </w:trPr>
        <w:tc>
          <w:tcPr>
            <w:tcW w:w="2127" w:type="dxa"/>
          </w:tcPr>
          <w:p w:rsidR="0098335A" w:rsidRPr="00124D43" w:rsidRDefault="0098335A" w:rsidP="00510A51">
            <w:pPr>
              <w:pStyle w:val="TableBodyText"/>
              <w:spacing w:before="60" w:after="60"/>
              <w:ind w:left="0"/>
              <w:jc w:val="left"/>
              <w:rPr>
                <w:b/>
              </w:rPr>
            </w:pPr>
            <w:r w:rsidRPr="00124D43">
              <w:rPr>
                <w:b/>
              </w:rPr>
              <w:t>Student, primary</w:t>
            </w:r>
          </w:p>
        </w:tc>
        <w:tc>
          <w:tcPr>
            <w:tcW w:w="6662" w:type="dxa"/>
          </w:tcPr>
          <w:p w:rsidR="0098335A" w:rsidRPr="00124D43" w:rsidRDefault="0098335A" w:rsidP="00510A51">
            <w:pPr>
              <w:pStyle w:val="TableBodyText"/>
              <w:spacing w:before="60" w:after="60"/>
              <w:ind w:left="0" w:right="28"/>
              <w:jc w:val="left"/>
            </w:pPr>
            <w:r w:rsidRPr="00124D43">
              <w:t>A student in primary education, which from 2008 covers pre</w:t>
            </w:r>
            <w:r w:rsidRPr="00124D43">
              <w:noBreakHyphen/>
              <w:t>year 1 to year 6 in NSW, Victoria, Tasmania, ACT and NT, and pre</w:t>
            </w:r>
            <w:r w:rsidRPr="00124D43">
              <w:noBreakHyphen/>
              <w:t>year 1 to year 7 in Queensland, WA and SA.</w:t>
            </w:r>
          </w:p>
        </w:tc>
      </w:tr>
      <w:tr w:rsidR="001A5777" w:rsidRPr="00124D43" w:rsidTr="00B469F8">
        <w:trPr>
          <w:trHeight w:val="868"/>
        </w:trPr>
        <w:tc>
          <w:tcPr>
            <w:tcW w:w="2127" w:type="dxa"/>
          </w:tcPr>
          <w:p w:rsidR="0098335A" w:rsidRPr="00124D43" w:rsidRDefault="0098335A" w:rsidP="00510A51">
            <w:pPr>
              <w:pStyle w:val="TableBodyText"/>
              <w:spacing w:before="60" w:after="60"/>
              <w:ind w:left="0"/>
              <w:jc w:val="left"/>
              <w:rPr>
                <w:b/>
              </w:rPr>
            </w:pPr>
            <w:r w:rsidRPr="00124D43">
              <w:rPr>
                <w:b/>
              </w:rPr>
              <w:t>Student, secondary</w:t>
            </w:r>
          </w:p>
        </w:tc>
        <w:tc>
          <w:tcPr>
            <w:tcW w:w="6662" w:type="dxa"/>
          </w:tcPr>
          <w:p w:rsidR="0098335A" w:rsidRPr="00124D43" w:rsidRDefault="0098335A" w:rsidP="00510A51">
            <w:pPr>
              <w:pStyle w:val="TableBodyText"/>
              <w:spacing w:before="60" w:after="60"/>
              <w:ind w:left="0" w:right="28"/>
              <w:jc w:val="left"/>
            </w:pPr>
            <w:r w:rsidRPr="00124D43">
              <w:t>A student in secondary education, which from 2008 commences at year 7 in NSW, Victoria, Tasmania, ACT and NT, and at year 8 in Queensland, SA and WA.</w:t>
            </w:r>
          </w:p>
        </w:tc>
      </w:tr>
      <w:tr w:rsidR="0098335A" w:rsidRPr="00124D43" w:rsidTr="00A35B6E">
        <w:tc>
          <w:tcPr>
            <w:tcW w:w="2127" w:type="dxa"/>
            <w:shd w:val="clear" w:color="auto" w:fill="auto"/>
          </w:tcPr>
          <w:p w:rsidR="0098335A" w:rsidRPr="00124D43" w:rsidRDefault="0098335A" w:rsidP="00510A51">
            <w:pPr>
              <w:pStyle w:val="TableBodyText"/>
              <w:spacing w:before="60" w:after="60"/>
              <w:ind w:left="0"/>
              <w:jc w:val="left"/>
              <w:rPr>
                <w:b/>
              </w:rPr>
            </w:pPr>
            <w:r w:rsidRPr="00124D43">
              <w:rPr>
                <w:b/>
              </w:rPr>
              <w:t>Ungraded student</w:t>
            </w:r>
          </w:p>
        </w:tc>
        <w:tc>
          <w:tcPr>
            <w:tcW w:w="6662" w:type="dxa"/>
            <w:shd w:val="clear" w:color="auto" w:fill="auto"/>
          </w:tcPr>
          <w:p w:rsidR="0098335A" w:rsidRPr="00124D43" w:rsidRDefault="0098335A" w:rsidP="00F57CC7">
            <w:pPr>
              <w:pStyle w:val="TableBodyText"/>
              <w:spacing w:before="60" w:after="60"/>
              <w:ind w:left="0" w:right="28"/>
              <w:jc w:val="left"/>
            </w:pPr>
            <w:r w:rsidRPr="00124D43">
              <w:t xml:space="preserve">A student in ungraded classes who cannot readily be allocated to a year of education. These students are included as either ungraded primary or ungraded secondary, according to the typical age level in each </w:t>
            </w:r>
            <w:r w:rsidR="00E97189" w:rsidRPr="00124D43">
              <w:t>jurisdiction</w:t>
            </w:r>
            <w:r w:rsidRPr="00124D43">
              <w:t>.</w:t>
            </w:r>
          </w:p>
        </w:tc>
      </w:tr>
    </w:tbl>
    <w:p w:rsidR="004C3A02" w:rsidRPr="003575E1" w:rsidRDefault="004C3A02" w:rsidP="0042643C">
      <w:pPr>
        <w:pStyle w:val="BodyText"/>
      </w:pPr>
    </w:p>
    <w:sectPr w:rsidR="004C3A02" w:rsidRPr="003575E1" w:rsidSect="0052478F">
      <w:type w:val="oddPage"/>
      <w:pgSz w:w="11907" w:h="16840" w:code="9"/>
      <w:pgMar w:top="1985" w:right="1304" w:bottom="1418" w:left="1814" w:header="1701" w:footer="567" w:gutter="0"/>
      <w:pgNumType w:start="228" w:chapSep="period"/>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6489" w:rsidRDefault="00556489">
      <w:r>
        <w:separator/>
      </w:r>
    </w:p>
  </w:endnote>
  <w:endnote w:type="continuationSeparator" w:id="0">
    <w:p w:rsidR="00556489" w:rsidRDefault="005564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T Extra">
    <w:panose1 w:val="05050102010205020202"/>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0" w:type="dxa"/>
        <w:right w:w="0" w:type="dxa"/>
      </w:tblCellMar>
      <w:tblLook w:val="0000" w:firstRow="0" w:lastRow="0" w:firstColumn="0" w:lastColumn="0" w:noHBand="0" w:noVBand="0"/>
    </w:tblPr>
    <w:tblGrid>
      <w:gridCol w:w="510"/>
      <w:gridCol w:w="1644"/>
      <w:gridCol w:w="6634"/>
    </w:tblGrid>
    <w:tr w:rsidR="00556489">
      <w:trPr>
        <w:trHeight w:hRule="exact" w:val="740"/>
      </w:trPr>
      <w:tc>
        <w:tcPr>
          <w:tcW w:w="510" w:type="dxa"/>
          <w:tcBorders>
            <w:top w:val="single" w:sz="6" w:space="0" w:color="auto"/>
          </w:tcBorders>
        </w:tcPr>
        <w:p w:rsidR="00556489" w:rsidRDefault="00556489" w:rsidP="0019293B">
          <w:pPr>
            <w:pStyle w:val="Footer"/>
            <w:tabs>
              <w:tab w:val="left" w:pos="0"/>
            </w:tabs>
            <w:ind w:right="0"/>
            <w:rPr>
              <w:rStyle w:val="PageNumber"/>
            </w:rPr>
          </w:pPr>
          <w:r>
            <w:rPr>
              <w:rStyle w:val="PageNumber"/>
            </w:rPr>
            <w:fldChar w:fldCharType="begin"/>
          </w:r>
          <w:r>
            <w:rPr>
              <w:rStyle w:val="PageNumber"/>
            </w:rPr>
            <w:instrText xml:space="preserve">PAGE  </w:instrText>
          </w:r>
          <w:r>
            <w:rPr>
              <w:rStyle w:val="PageNumber"/>
            </w:rPr>
            <w:fldChar w:fldCharType="separate"/>
          </w:r>
          <w:r w:rsidR="004D32F8">
            <w:rPr>
              <w:rStyle w:val="PageNumber"/>
              <w:noProof/>
            </w:rPr>
            <w:t>256</w:t>
          </w:r>
          <w:r>
            <w:rPr>
              <w:rStyle w:val="PageNumber"/>
            </w:rPr>
            <w:fldChar w:fldCharType="end"/>
          </w:r>
        </w:p>
      </w:tc>
      <w:tc>
        <w:tcPr>
          <w:tcW w:w="1644" w:type="dxa"/>
          <w:tcBorders>
            <w:top w:val="single" w:sz="6" w:space="0" w:color="auto"/>
          </w:tcBorders>
        </w:tcPr>
        <w:p w:rsidR="00556489" w:rsidRDefault="00556489" w:rsidP="009D62BB">
          <w:pPr>
            <w:pStyle w:val="Footer"/>
          </w:pPr>
          <w:r w:rsidRPr="009D62BB">
            <w:t xml:space="preserve">SCRGSP REPORT TO CRC </w:t>
          </w:r>
          <w:r>
            <w:t>April 2014</w:t>
          </w:r>
        </w:p>
      </w:tc>
      <w:tc>
        <w:tcPr>
          <w:tcW w:w="6634" w:type="dxa"/>
        </w:tcPr>
        <w:p w:rsidR="00556489" w:rsidRDefault="00556489" w:rsidP="0019293B">
          <w:pPr>
            <w:pStyle w:val="Footer"/>
          </w:pPr>
        </w:p>
      </w:tc>
    </w:tr>
  </w:tbl>
  <w:p w:rsidR="00556489" w:rsidRDefault="00556489" w:rsidP="0019293B">
    <w:pPr>
      <w:pStyle w:val="FooterEn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0" w:type="dxa"/>
        <w:right w:w="0" w:type="dxa"/>
      </w:tblCellMar>
      <w:tblLook w:val="0000" w:firstRow="0" w:lastRow="0" w:firstColumn="0" w:lastColumn="0" w:noHBand="0" w:noVBand="0"/>
    </w:tblPr>
    <w:tblGrid>
      <w:gridCol w:w="6634"/>
      <w:gridCol w:w="1644"/>
      <w:gridCol w:w="510"/>
    </w:tblGrid>
    <w:tr w:rsidR="00556489">
      <w:trPr>
        <w:trHeight w:hRule="exact" w:val="740"/>
      </w:trPr>
      <w:tc>
        <w:tcPr>
          <w:tcW w:w="6634" w:type="dxa"/>
        </w:tcPr>
        <w:p w:rsidR="00556489" w:rsidRDefault="00556489">
          <w:pPr>
            <w:pStyle w:val="Footer"/>
            <w:ind w:right="360" w:firstLine="360"/>
          </w:pPr>
        </w:p>
      </w:tc>
      <w:tc>
        <w:tcPr>
          <w:tcW w:w="1644" w:type="dxa"/>
          <w:tcBorders>
            <w:top w:val="single" w:sz="6" w:space="0" w:color="auto"/>
          </w:tcBorders>
        </w:tcPr>
        <w:p w:rsidR="00556489" w:rsidRDefault="00556489" w:rsidP="004F4C96">
          <w:pPr>
            <w:pStyle w:val="Footer"/>
          </w:pPr>
          <w:r>
            <w:t xml:space="preserve">education </w:t>
          </w:r>
        </w:p>
      </w:tc>
      <w:tc>
        <w:tcPr>
          <w:tcW w:w="510" w:type="dxa"/>
          <w:tcBorders>
            <w:top w:val="single" w:sz="6" w:space="0" w:color="auto"/>
          </w:tcBorders>
        </w:tcPr>
        <w:p w:rsidR="00556489" w:rsidRDefault="00556489">
          <w:pPr>
            <w:pStyle w:val="Footer"/>
            <w:jc w:val="right"/>
          </w:pPr>
          <w:r>
            <w:rPr>
              <w:rStyle w:val="PageNumber"/>
            </w:rPr>
            <w:fldChar w:fldCharType="begin"/>
          </w:r>
          <w:r>
            <w:rPr>
              <w:rStyle w:val="PageNumber"/>
            </w:rPr>
            <w:instrText xml:space="preserve">PAGE  </w:instrText>
          </w:r>
          <w:r>
            <w:rPr>
              <w:rStyle w:val="PageNumber"/>
            </w:rPr>
            <w:fldChar w:fldCharType="separate"/>
          </w:r>
          <w:r w:rsidR="004D32F8">
            <w:rPr>
              <w:rStyle w:val="PageNumber"/>
              <w:noProof/>
            </w:rPr>
            <w:t>1</w:t>
          </w:r>
          <w:r>
            <w:rPr>
              <w:rStyle w:val="PageNumber"/>
            </w:rPr>
            <w:fldChar w:fldCharType="end"/>
          </w:r>
        </w:p>
      </w:tc>
    </w:tr>
  </w:tbl>
  <w:p w:rsidR="00556489" w:rsidRDefault="00556489">
    <w:pPr>
      <w:pStyle w:val="FooterEnd"/>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2F8" w:rsidRDefault="004D32F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6489" w:rsidRDefault="00556489">
      <w:r>
        <w:separator/>
      </w:r>
    </w:p>
  </w:footnote>
  <w:footnote w:type="continuationSeparator" w:id="0">
    <w:p w:rsidR="00556489" w:rsidRDefault="00556489">
      <w:r>
        <w:continuationSeparator/>
      </w:r>
    </w:p>
  </w:footnote>
  <w:footnote w:id="1">
    <w:p w:rsidR="00556489" w:rsidRDefault="00556489" w:rsidP="00123B96">
      <w:pPr>
        <w:pStyle w:val="FootnoteText"/>
      </w:pPr>
      <w:r>
        <w:rPr>
          <w:rStyle w:val="FootnoteReference"/>
        </w:rPr>
        <w:footnoteRef/>
      </w:r>
      <w:r>
        <w:t xml:space="preserve"> COAG met in December 2013 and agreed to new Council arrangements, including the establishment of an Education Council. The Standing Council on School Education and Early Childhood (SCSEEC) </w:t>
      </w:r>
      <w:r w:rsidRPr="00123B96">
        <w:t>will transition to the new arrangements throughout 2014</w:t>
      </w:r>
      <w:r>
        <w:t xml:space="preserve">. The Standing Council on School Education and Early Childhood (SCSEEC) is the Ministerial forum for 2013. </w:t>
      </w:r>
    </w:p>
    <w:p w:rsidR="00556489" w:rsidRDefault="00556489" w:rsidP="00123B96">
      <w:pPr>
        <w:pStyle w:val="FootnoteText"/>
      </w:pPr>
      <w:r>
        <w:tab/>
        <w:t xml:space="preserve">SCSEEC replaced the Ministerial Council for Education, Early Childhood Development and Youth Affairs (MCEECDYA) on 1 July 2011. MCEECDYA was previously known as the Ministerial Council on Education, Employment, Training and Youth Affairs (MCEETYA). </w:t>
      </w:r>
    </w:p>
  </w:footnote>
  <w:footnote w:id="2">
    <w:p w:rsidR="00556489" w:rsidRDefault="00556489">
      <w:pPr>
        <w:pStyle w:val="FootnoteText"/>
      </w:pPr>
      <w:r>
        <w:rPr>
          <w:rStyle w:val="FootnoteReference"/>
        </w:rPr>
        <w:footnoteRef/>
      </w:r>
      <w:r>
        <w:t xml:space="preserve"> The compulsory starting age for WA changed from 6 to 5 years of age starting from 2013. </w:t>
      </w:r>
    </w:p>
  </w:footnote>
  <w:footnote w:id="3">
    <w:p w:rsidR="00556489" w:rsidRDefault="00556489">
      <w:pPr>
        <w:pStyle w:val="FootnoteText"/>
      </w:pPr>
      <w:r>
        <w:rPr>
          <w:rStyle w:val="FootnoteReference"/>
        </w:rPr>
        <w:footnoteRef/>
      </w:r>
      <w:r>
        <w:t xml:space="preserve"> </w:t>
      </w:r>
      <w:r w:rsidRPr="00B81661">
        <w:t xml:space="preserve">To investigate the possibility that these data may understate the proportion of students in remote areas as a result of relying on school location rather than students’ home location, the 2001 </w:t>
      </w:r>
      <w:r>
        <w:t xml:space="preserve">(then) </w:t>
      </w:r>
      <w:r w:rsidRPr="00B81661">
        <w:t>MCEETYA data were compared with data derived from the 2001 Census. The two data sets were found to be similar, except that Tasmania had about one third more remote area students in the Census data. This result may be indicative for the data</w:t>
      </w:r>
      <w:r>
        <w:t xml:space="preserve"> in this report</w:t>
      </w:r>
      <w:r w:rsidRPr="00B81661">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0" w:type="dxa"/>
        <w:right w:w="0" w:type="dxa"/>
      </w:tblCellMar>
      <w:tblLook w:val="0000" w:firstRow="0" w:lastRow="0" w:firstColumn="0" w:lastColumn="0" w:noHBand="0" w:noVBand="0"/>
    </w:tblPr>
    <w:tblGrid>
      <w:gridCol w:w="2155"/>
      <w:gridCol w:w="6634"/>
    </w:tblGrid>
    <w:tr w:rsidR="00556489">
      <w:tc>
        <w:tcPr>
          <w:tcW w:w="2155" w:type="dxa"/>
          <w:tcBorders>
            <w:top w:val="single" w:sz="24" w:space="0" w:color="auto"/>
          </w:tcBorders>
        </w:tcPr>
        <w:p w:rsidR="00556489" w:rsidRDefault="00556489" w:rsidP="0019293B">
          <w:pPr>
            <w:pStyle w:val="HeaderEven"/>
          </w:pPr>
        </w:p>
      </w:tc>
      <w:tc>
        <w:tcPr>
          <w:tcW w:w="6634" w:type="dxa"/>
          <w:tcBorders>
            <w:top w:val="single" w:sz="6" w:space="0" w:color="auto"/>
          </w:tcBorders>
        </w:tcPr>
        <w:p w:rsidR="00556489" w:rsidRDefault="00556489" w:rsidP="00DE6A7B">
          <w:pPr>
            <w:pStyle w:val="HeaderEven"/>
            <w:jc w:val="right"/>
          </w:pPr>
        </w:p>
      </w:tc>
    </w:tr>
  </w:tbl>
  <w:p w:rsidR="00556489" w:rsidRDefault="00556489" w:rsidP="0019293B">
    <w:pPr>
      <w:pStyle w:val="HeaderEn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6" w:space="0" w:color="auto"/>
      </w:tblBorders>
      <w:tblLayout w:type="fixed"/>
      <w:tblCellMar>
        <w:left w:w="0" w:type="dxa"/>
        <w:right w:w="0" w:type="dxa"/>
      </w:tblCellMar>
      <w:tblLook w:val="0000" w:firstRow="0" w:lastRow="0" w:firstColumn="0" w:lastColumn="0" w:noHBand="0" w:noVBand="0"/>
    </w:tblPr>
    <w:tblGrid>
      <w:gridCol w:w="6634"/>
      <w:gridCol w:w="2155"/>
    </w:tblGrid>
    <w:tr w:rsidR="00556489">
      <w:tc>
        <w:tcPr>
          <w:tcW w:w="6634" w:type="dxa"/>
          <w:tcBorders>
            <w:top w:val="single" w:sz="6" w:space="0" w:color="auto"/>
          </w:tcBorders>
        </w:tcPr>
        <w:p w:rsidR="00556489" w:rsidRPr="00D96018" w:rsidRDefault="00556489" w:rsidP="00E669E2">
          <w:pPr>
            <w:pStyle w:val="HeaderOdd"/>
          </w:pPr>
        </w:p>
      </w:tc>
      <w:tc>
        <w:tcPr>
          <w:tcW w:w="2155" w:type="dxa"/>
          <w:tcBorders>
            <w:top w:val="single" w:sz="24" w:space="0" w:color="auto"/>
          </w:tcBorders>
        </w:tcPr>
        <w:p w:rsidR="00556489" w:rsidRDefault="00556489" w:rsidP="00E669E2">
          <w:pPr>
            <w:pStyle w:val="HeaderOdd"/>
          </w:pPr>
        </w:p>
      </w:tc>
    </w:tr>
  </w:tbl>
  <w:p w:rsidR="00556489" w:rsidRDefault="00556489" w:rsidP="00E669E2">
    <w:pPr>
      <w:pStyle w:val="HeaderEn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2F8" w:rsidRDefault="004D32F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ED98921A"/>
    <w:lvl w:ilvl="0">
      <w:start w:val="1"/>
      <w:numFmt w:val="decimal"/>
      <w:lvlText w:val="%1."/>
      <w:lvlJc w:val="left"/>
      <w:pPr>
        <w:tabs>
          <w:tab w:val="num" w:pos="926"/>
        </w:tabs>
        <w:ind w:left="926" w:hanging="360"/>
      </w:pPr>
    </w:lvl>
  </w:abstractNum>
  <w:abstractNum w:abstractNumId="1">
    <w:nsid w:val="FFFFFF7F"/>
    <w:multiLevelType w:val="singleLevel"/>
    <w:tmpl w:val="69042E6A"/>
    <w:lvl w:ilvl="0">
      <w:start w:val="1"/>
      <w:numFmt w:val="decimal"/>
      <w:lvlText w:val="%1."/>
      <w:lvlJc w:val="left"/>
      <w:pPr>
        <w:tabs>
          <w:tab w:val="num" w:pos="643"/>
        </w:tabs>
        <w:ind w:left="643" w:hanging="360"/>
      </w:pPr>
    </w:lvl>
  </w:abstractNum>
  <w:abstractNum w:abstractNumId="2">
    <w:nsid w:val="FFFFFF82"/>
    <w:multiLevelType w:val="singleLevel"/>
    <w:tmpl w:val="3A3A2F08"/>
    <w:lvl w:ilvl="0">
      <w:start w:val="1"/>
      <w:numFmt w:val="bullet"/>
      <w:lvlText w:val=""/>
      <w:lvlJc w:val="left"/>
      <w:pPr>
        <w:tabs>
          <w:tab w:val="num" w:pos="926"/>
        </w:tabs>
        <w:ind w:left="926" w:hanging="360"/>
      </w:pPr>
      <w:rPr>
        <w:rFonts w:ascii="Symbol" w:hAnsi="Symbol" w:hint="default"/>
      </w:rPr>
    </w:lvl>
  </w:abstractNum>
  <w:abstractNum w:abstractNumId="3">
    <w:nsid w:val="FFFFFF83"/>
    <w:multiLevelType w:val="singleLevel"/>
    <w:tmpl w:val="0BA2943E"/>
    <w:lvl w:ilvl="0">
      <w:start w:val="1"/>
      <w:numFmt w:val="bullet"/>
      <w:lvlText w:val=""/>
      <w:lvlJc w:val="left"/>
      <w:pPr>
        <w:tabs>
          <w:tab w:val="num" w:pos="643"/>
        </w:tabs>
        <w:ind w:left="643" w:hanging="360"/>
      </w:pPr>
      <w:rPr>
        <w:rFonts w:ascii="Symbol" w:hAnsi="Symbol" w:hint="default"/>
      </w:rPr>
    </w:lvl>
  </w:abstractNum>
  <w:abstractNum w:abstractNumId="4">
    <w:nsid w:val="FFFFFF88"/>
    <w:multiLevelType w:val="singleLevel"/>
    <w:tmpl w:val="93104AE2"/>
    <w:lvl w:ilvl="0">
      <w:start w:val="1"/>
      <w:numFmt w:val="decimal"/>
      <w:lvlText w:val="%1."/>
      <w:lvlJc w:val="left"/>
      <w:pPr>
        <w:tabs>
          <w:tab w:val="num" w:pos="360"/>
        </w:tabs>
        <w:ind w:left="360" w:hanging="360"/>
      </w:pPr>
    </w:lvl>
  </w:abstractNum>
  <w:abstractNum w:abstractNumId="5">
    <w:nsid w:val="FFFFFF89"/>
    <w:multiLevelType w:val="singleLevel"/>
    <w:tmpl w:val="0F36FBA8"/>
    <w:lvl w:ilvl="0">
      <w:start w:val="1"/>
      <w:numFmt w:val="bullet"/>
      <w:lvlText w:val=""/>
      <w:lvlJc w:val="left"/>
      <w:pPr>
        <w:tabs>
          <w:tab w:val="num" w:pos="360"/>
        </w:tabs>
        <w:ind w:left="360" w:hanging="360"/>
      </w:pPr>
      <w:rPr>
        <w:rFonts w:ascii="Symbol" w:hAnsi="Symbol" w:hint="default"/>
      </w:rPr>
    </w:lvl>
  </w:abstractNum>
  <w:abstractNum w:abstractNumId="6">
    <w:nsid w:val="FFFFFFFE"/>
    <w:multiLevelType w:val="singleLevel"/>
    <w:tmpl w:val="FFFFFFFF"/>
    <w:lvl w:ilvl="0">
      <w:numFmt w:val="decimal"/>
      <w:lvlText w:val="*"/>
      <w:lvlJc w:val="left"/>
    </w:lvl>
  </w:abstractNum>
  <w:abstractNum w:abstractNumId="7">
    <w:nsid w:val="02D84BB9"/>
    <w:multiLevelType w:val="hybridMultilevel"/>
    <w:tmpl w:val="5F24570C"/>
    <w:lvl w:ilvl="0" w:tplc="6C209310">
      <w:start w:val="1"/>
      <w:numFmt w:val="bullet"/>
      <w:pStyle w:val="Jurisdictioncommentslistbullet"/>
      <w:lvlText w:val=""/>
      <w:lvlJc w:val="left"/>
      <w:pPr>
        <w:tabs>
          <w:tab w:val="num" w:pos="318"/>
        </w:tabs>
        <w:ind w:left="318" w:hanging="318"/>
      </w:pPr>
      <w:rPr>
        <w:rFonts w:ascii="Symbol" w:hAnsi="Symbol"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nsid w:val="033F2413"/>
    <w:multiLevelType w:val="multilevel"/>
    <w:tmpl w:val="8E3050E6"/>
    <w:lvl w:ilvl="0">
      <w:start w:val="1"/>
      <w:numFmt w:val="decimal"/>
      <w:lvlText w:val="%1)"/>
      <w:lvlJc w:val="left"/>
      <w:pPr>
        <w:tabs>
          <w:tab w:val="num" w:pos="340"/>
        </w:tabs>
        <w:ind w:left="340" w:hanging="340"/>
      </w:pPr>
      <w:rPr>
        <w:rFonts w:hint="default"/>
      </w:rPr>
    </w:lvl>
    <w:lvl w:ilvl="1">
      <w:start w:val="1"/>
      <w:numFmt w:val="lowerLetter"/>
      <w:lvlText w:val="%2)"/>
      <w:lvlJc w:val="left"/>
      <w:pPr>
        <w:tabs>
          <w:tab w:val="num" w:pos="794"/>
        </w:tabs>
        <w:ind w:left="794" w:hanging="454"/>
      </w:pPr>
      <w:rPr>
        <w:rFonts w:hint="default"/>
      </w:rPr>
    </w:lvl>
    <w:lvl w:ilvl="2">
      <w:start w:val="1"/>
      <w:numFmt w:val="lowerRoman"/>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nsid w:val="047A7C39"/>
    <w:multiLevelType w:val="singleLevel"/>
    <w:tmpl w:val="4438961C"/>
    <w:lvl w:ilvl="0">
      <w:numFmt w:val="bullet"/>
      <w:pStyle w:val="ListBullet2"/>
      <w:lvlText w:val="–"/>
      <w:lvlJc w:val="left"/>
      <w:pPr>
        <w:tabs>
          <w:tab w:val="num" w:pos="680"/>
        </w:tabs>
        <w:ind w:left="680" w:hanging="340"/>
      </w:pPr>
      <w:rPr>
        <w:rFonts w:ascii="Times New Roman" w:hAnsi="Times New Roman" w:cs="Times New Roman" w:hint="default"/>
      </w:rPr>
    </w:lvl>
  </w:abstractNum>
  <w:abstractNum w:abstractNumId="10">
    <w:nsid w:val="06214B87"/>
    <w:multiLevelType w:val="singleLevel"/>
    <w:tmpl w:val="AB185BC4"/>
    <w:lvl w:ilvl="0">
      <w:numFmt w:val="bullet"/>
      <w:pStyle w:val="BoxListBullet2"/>
      <w:lvlText w:val="–"/>
      <w:lvlJc w:val="left"/>
      <w:pPr>
        <w:tabs>
          <w:tab w:val="num" w:pos="567"/>
        </w:tabs>
        <w:ind w:left="567" w:hanging="283"/>
      </w:pPr>
      <w:rPr>
        <w:rFonts w:ascii="Times New Roman" w:hAnsi="Times New Roman" w:cs="Times New Roman" w:hint="default"/>
      </w:rPr>
    </w:lvl>
  </w:abstractNum>
  <w:abstractNum w:abstractNumId="11">
    <w:nsid w:val="06791123"/>
    <w:multiLevelType w:val="hybridMultilevel"/>
    <w:tmpl w:val="5F14156E"/>
    <w:lvl w:ilvl="0" w:tplc="2BD04F64">
      <w:numFmt w:val="bullet"/>
      <w:lvlText w:val=""/>
      <w:lvlJc w:val="left"/>
      <w:pPr>
        <w:ind w:left="1004" w:hanging="360"/>
      </w:pPr>
      <w:rPr>
        <w:rFonts w:ascii="MT Extra" w:hAnsi="MT Extra" w:cs="Times New Roman"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2">
    <w:nsid w:val="07057F34"/>
    <w:multiLevelType w:val="singleLevel"/>
    <w:tmpl w:val="ED98921A"/>
    <w:lvl w:ilvl="0">
      <w:start w:val="1"/>
      <w:numFmt w:val="decimal"/>
      <w:lvlText w:val="%1."/>
      <w:legacy w:legacy="1" w:legacySpace="0" w:legacyIndent="340"/>
      <w:lvlJc w:val="left"/>
      <w:pPr>
        <w:ind w:left="340" w:hanging="340"/>
      </w:pPr>
    </w:lvl>
  </w:abstractNum>
  <w:abstractNum w:abstractNumId="13">
    <w:nsid w:val="07405C8A"/>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0E116344"/>
    <w:multiLevelType w:val="multilevel"/>
    <w:tmpl w:val="3B188B36"/>
    <w:lvl w:ilvl="0">
      <w:start w:val="1"/>
      <w:numFmt w:val="decimal"/>
      <w:pStyle w:val="BoxListNumber"/>
      <w:lvlText w:val="%1."/>
      <w:lvlJc w:val="left"/>
      <w:pPr>
        <w:tabs>
          <w:tab w:val="num" w:pos="284"/>
        </w:tabs>
        <w:ind w:left="284" w:hanging="284"/>
      </w:pPr>
      <w:rPr>
        <w:rFonts w:hint="default"/>
      </w:rPr>
    </w:lvl>
    <w:lvl w:ilvl="1">
      <w:start w:val="1"/>
      <w:numFmt w:val="lowerLetter"/>
      <w:pStyle w:val="BoxListNumber2"/>
      <w:lvlText w:val="(%2)"/>
      <w:lvlJc w:val="left"/>
      <w:pPr>
        <w:tabs>
          <w:tab w:val="num" w:pos="680"/>
        </w:tabs>
        <w:ind w:left="680" w:hanging="396"/>
      </w:pPr>
      <w:rPr>
        <w:rFonts w:hint="default"/>
      </w:rPr>
    </w:lvl>
    <w:lvl w:ilvl="2">
      <w:start w:val="1"/>
      <w:numFmt w:val="lowerRoman"/>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nsid w:val="0ED95F65"/>
    <w:multiLevelType w:val="multilevel"/>
    <w:tmpl w:val="C444122C"/>
    <w:lvl w:ilvl="0">
      <w:start w:val="1"/>
      <w:numFmt w:val="decimal"/>
      <w:pStyle w:val="ListNumber"/>
      <w:lvlText w:val="%1."/>
      <w:lvlJc w:val="left"/>
      <w:pPr>
        <w:tabs>
          <w:tab w:val="num" w:pos="340"/>
        </w:tabs>
        <w:ind w:left="340" w:hanging="340"/>
      </w:pPr>
      <w:rPr>
        <w:rFonts w:hint="default"/>
      </w:rPr>
    </w:lvl>
    <w:lvl w:ilvl="1">
      <w:start w:val="1"/>
      <w:numFmt w:val="lowerLetter"/>
      <w:pStyle w:val="ListNumber2"/>
      <w:lvlText w:val="(%2)"/>
      <w:lvlJc w:val="left"/>
      <w:pPr>
        <w:tabs>
          <w:tab w:val="num" w:pos="794"/>
        </w:tabs>
        <w:ind w:left="794" w:hanging="454"/>
      </w:pPr>
      <w:rPr>
        <w:rFonts w:hint="default"/>
      </w:rPr>
    </w:lvl>
    <w:lvl w:ilvl="2">
      <w:start w:val="1"/>
      <w:numFmt w:val="lowerRoman"/>
      <w:pStyle w:val="ListNumber3"/>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nsid w:val="11CE45D8"/>
    <w:multiLevelType w:val="singleLevel"/>
    <w:tmpl w:val="650622E4"/>
    <w:lvl w:ilvl="0">
      <w:numFmt w:val="bullet"/>
      <w:pStyle w:val="SideNoteBullet"/>
      <w:lvlText w:val="–"/>
      <w:lvlJc w:val="left"/>
      <w:pPr>
        <w:tabs>
          <w:tab w:val="num" w:pos="360"/>
        </w:tabs>
        <w:ind w:left="227" w:hanging="227"/>
      </w:pPr>
      <w:rPr>
        <w:rFonts w:ascii="Times New Roman" w:hAnsi="Times New Roman" w:hint="default"/>
      </w:rPr>
    </w:lvl>
  </w:abstractNum>
  <w:abstractNum w:abstractNumId="17">
    <w:nsid w:val="23FF358D"/>
    <w:multiLevelType w:val="singleLevel"/>
    <w:tmpl w:val="4146A198"/>
    <w:lvl w:ilvl="0">
      <w:start w:val="1"/>
      <w:numFmt w:val="bullet"/>
      <w:pStyle w:val="RecBBullet"/>
      <w:lvlText w:val=""/>
      <w:lvlJc w:val="left"/>
      <w:pPr>
        <w:tabs>
          <w:tab w:val="num" w:pos="340"/>
        </w:tabs>
        <w:ind w:left="340" w:hanging="340"/>
      </w:pPr>
      <w:rPr>
        <w:rFonts w:ascii="Symbol" w:hAnsi="Symbol" w:hint="default"/>
        <w:b w:val="0"/>
        <w:i w:val="0"/>
        <w:sz w:val="18"/>
      </w:rPr>
    </w:lvl>
  </w:abstractNum>
  <w:abstractNum w:abstractNumId="18">
    <w:nsid w:val="27371796"/>
    <w:multiLevelType w:val="multilevel"/>
    <w:tmpl w:val="8E3050E6"/>
    <w:lvl w:ilvl="0">
      <w:start w:val="1"/>
      <w:numFmt w:val="decimal"/>
      <w:lvlText w:val="%1)"/>
      <w:lvlJc w:val="left"/>
      <w:pPr>
        <w:tabs>
          <w:tab w:val="num" w:pos="340"/>
        </w:tabs>
        <w:ind w:left="340" w:hanging="340"/>
      </w:pPr>
      <w:rPr>
        <w:rFonts w:hint="default"/>
      </w:rPr>
    </w:lvl>
    <w:lvl w:ilvl="1">
      <w:start w:val="1"/>
      <w:numFmt w:val="lowerLetter"/>
      <w:lvlText w:val="%2)"/>
      <w:lvlJc w:val="left"/>
      <w:pPr>
        <w:tabs>
          <w:tab w:val="num" w:pos="794"/>
        </w:tabs>
        <w:ind w:left="794" w:hanging="454"/>
      </w:pPr>
      <w:rPr>
        <w:rFonts w:hint="default"/>
      </w:rPr>
    </w:lvl>
    <w:lvl w:ilvl="2">
      <w:start w:val="1"/>
      <w:numFmt w:val="lowerRoman"/>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nsid w:val="2B466A13"/>
    <w:multiLevelType w:val="hybridMultilevel"/>
    <w:tmpl w:val="3E0CC5BA"/>
    <w:lvl w:ilvl="0" w:tplc="2B829644">
      <w:numFmt w:val="bullet"/>
      <w:pStyle w:val="BoxQuoteBullet"/>
      <w:lvlText w:val=""/>
      <w:lvlJc w:val="left"/>
      <w:pPr>
        <w:ind w:left="1004" w:hanging="360"/>
      </w:pPr>
      <w:rPr>
        <w:rFonts w:ascii="Symbol" w:hAnsi="Symbol" w:hint="default"/>
        <w:sz w:val="18"/>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0">
    <w:nsid w:val="2B6F0DFB"/>
    <w:multiLevelType w:val="hybridMultilevel"/>
    <w:tmpl w:val="EBB41D9C"/>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nsid w:val="30E90CE4"/>
    <w:multiLevelType w:val="singleLevel"/>
    <w:tmpl w:val="52F61D9A"/>
    <w:lvl w:ilvl="0">
      <w:start w:val="1"/>
      <w:numFmt w:val="bullet"/>
      <w:pStyle w:val="BoxListBullet"/>
      <w:lvlText w:val=""/>
      <w:lvlJc w:val="left"/>
      <w:pPr>
        <w:tabs>
          <w:tab w:val="num" w:pos="284"/>
        </w:tabs>
        <w:ind w:left="284" w:hanging="284"/>
      </w:pPr>
      <w:rPr>
        <w:rFonts w:ascii="Symbol" w:hAnsi="Symbol" w:hint="default"/>
        <w:sz w:val="18"/>
      </w:rPr>
    </w:lvl>
  </w:abstractNum>
  <w:abstractNum w:abstractNumId="22">
    <w:nsid w:val="39C335C1"/>
    <w:multiLevelType w:val="multilevel"/>
    <w:tmpl w:val="7DF6C670"/>
    <w:lvl w:ilvl="0">
      <w:start w:val="1"/>
      <w:numFmt w:val="decimal"/>
      <w:lvlText w:val="%1)"/>
      <w:lvlJc w:val="left"/>
      <w:pPr>
        <w:tabs>
          <w:tab w:val="num" w:pos="1134"/>
        </w:tabs>
        <w:ind w:left="1134" w:hanging="340"/>
      </w:pPr>
      <w:rPr>
        <w:rFonts w:hint="default"/>
      </w:rPr>
    </w:lvl>
    <w:lvl w:ilvl="1">
      <w:start w:val="1"/>
      <w:numFmt w:val="lowerLetter"/>
      <w:lvlText w:val="%2)"/>
      <w:lvlJc w:val="left"/>
      <w:pPr>
        <w:tabs>
          <w:tab w:val="num" w:pos="1588"/>
        </w:tabs>
        <w:ind w:left="1588" w:hanging="454"/>
      </w:pPr>
      <w:rPr>
        <w:rFonts w:hint="default"/>
      </w:rPr>
    </w:lvl>
    <w:lvl w:ilvl="2">
      <w:start w:val="1"/>
      <w:numFmt w:val="lowerRoman"/>
      <w:lvlText w:val="%3)"/>
      <w:lvlJc w:val="left"/>
      <w:pPr>
        <w:tabs>
          <w:tab w:val="num" w:pos="2098"/>
        </w:tabs>
        <w:ind w:left="2098" w:hanging="510"/>
      </w:pPr>
      <w:rPr>
        <w:rFonts w:hint="default"/>
      </w:rPr>
    </w:lvl>
    <w:lvl w:ilvl="3">
      <w:start w:val="1"/>
      <w:numFmt w:val="decimal"/>
      <w:lvlText w:val="(%4)"/>
      <w:lvlJc w:val="left"/>
      <w:pPr>
        <w:tabs>
          <w:tab w:val="num" w:pos="2234"/>
        </w:tabs>
        <w:ind w:left="2234" w:hanging="360"/>
      </w:pPr>
      <w:rPr>
        <w:rFonts w:hint="default"/>
      </w:rPr>
    </w:lvl>
    <w:lvl w:ilvl="4">
      <w:start w:val="1"/>
      <w:numFmt w:val="lowerLetter"/>
      <w:lvlText w:val="(%5)"/>
      <w:lvlJc w:val="left"/>
      <w:pPr>
        <w:tabs>
          <w:tab w:val="num" w:pos="2594"/>
        </w:tabs>
        <w:ind w:left="2594" w:hanging="360"/>
      </w:pPr>
      <w:rPr>
        <w:rFonts w:hint="default"/>
      </w:rPr>
    </w:lvl>
    <w:lvl w:ilvl="5">
      <w:start w:val="1"/>
      <w:numFmt w:val="lowerRoman"/>
      <w:lvlText w:val="(%6)"/>
      <w:lvlJc w:val="left"/>
      <w:pPr>
        <w:tabs>
          <w:tab w:val="num" w:pos="2954"/>
        </w:tabs>
        <w:ind w:left="2954" w:hanging="360"/>
      </w:pPr>
      <w:rPr>
        <w:rFonts w:hint="default"/>
      </w:rPr>
    </w:lvl>
    <w:lvl w:ilvl="6">
      <w:start w:val="1"/>
      <w:numFmt w:val="decimal"/>
      <w:lvlText w:val="%7."/>
      <w:lvlJc w:val="left"/>
      <w:pPr>
        <w:tabs>
          <w:tab w:val="num" w:pos="3314"/>
        </w:tabs>
        <w:ind w:left="3314" w:hanging="360"/>
      </w:pPr>
      <w:rPr>
        <w:rFonts w:hint="default"/>
      </w:rPr>
    </w:lvl>
    <w:lvl w:ilvl="7">
      <w:start w:val="1"/>
      <w:numFmt w:val="lowerLetter"/>
      <w:lvlText w:val="%8."/>
      <w:lvlJc w:val="left"/>
      <w:pPr>
        <w:tabs>
          <w:tab w:val="num" w:pos="3674"/>
        </w:tabs>
        <w:ind w:left="3674" w:hanging="360"/>
      </w:pPr>
      <w:rPr>
        <w:rFonts w:hint="default"/>
      </w:rPr>
    </w:lvl>
    <w:lvl w:ilvl="8">
      <w:start w:val="1"/>
      <w:numFmt w:val="lowerRoman"/>
      <w:lvlText w:val="%9."/>
      <w:lvlJc w:val="left"/>
      <w:pPr>
        <w:tabs>
          <w:tab w:val="num" w:pos="4034"/>
        </w:tabs>
        <w:ind w:left="4034" w:hanging="360"/>
      </w:pPr>
      <w:rPr>
        <w:rFonts w:hint="default"/>
      </w:rPr>
    </w:lvl>
  </w:abstractNum>
  <w:abstractNum w:abstractNumId="23">
    <w:nsid w:val="4C2B5347"/>
    <w:multiLevelType w:val="hybridMultilevel"/>
    <w:tmpl w:val="8B002072"/>
    <w:lvl w:ilvl="0" w:tplc="720CA4D2">
      <w:start w:val="1"/>
      <w:numFmt w:val="bullet"/>
      <w:pStyle w:val="InformationRequestBullet"/>
      <w:lvlText w:val=""/>
      <w:lvlJc w:val="left"/>
      <w:pPr>
        <w:ind w:left="360"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4D212809"/>
    <w:multiLevelType w:val="hybridMultilevel"/>
    <w:tmpl w:val="01EE78F8"/>
    <w:lvl w:ilvl="0" w:tplc="FEF0DFD2">
      <w:start w:val="1"/>
      <w:numFmt w:val="bullet"/>
      <w:lvlText w:val="–"/>
      <w:lvlJc w:val="left"/>
      <w:pPr>
        <w:ind w:left="700" w:hanging="360"/>
      </w:pPr>
      <w:rPr>
        <w:rFonts w:ascii="Times New Roman" w:hAnsi="Times New Roman" w:cs="Times New Roman" w:hint="default"/>
        <w:b w:val="0"/>
        <w:i w:val="0"/>
        <w:sz w:val="18"/>
      </w:rPr>
    </w:lvl>
    <w:lvl w:ilvl="1" w:tplc="0C090003" w:tentative="1">
      <w:start w:val="1"/>
      <w:numFmt w:val="bullet"/>
      <w:lvlText w:val="o"/>
      <w:lvlJc w:val="left"/>
      <w:pPr>
        <w:ind w:left="1780" w:hanging="360"/>
      </w:pPr>
      <w:rPr>
        <w:rFonts w:ascii="Courier New" w:hAnsi="Courier New" w:cs="Courier New" w:hint="default"/>
      </w:rPr>
    </w:lvl>
    <w:lvl w:ilvl="2" w:tplc="0C090005" w:tentative="1">
      <w:start w:val="1"/>
      <w:numFmt w:val="bullet"/>
      <w:lvlText w:val=""/>
      <w:lvlJc w:val="left"/>
      <w:pPr>
        <w:ind w:left="2500" w:hanging="360"/>
      </w:pPr>
      <w:rPr>
        <w:rFonts w:ascii="Wingdings" w:hAnsi="Wingdings" w:hint="default"/>
      </w:rPr>
    </w:lvl>
    <w:lvl w:ilvl="3" w:tplc="0C090001" w:tentative="1">
      <w:start w:val="1"/>
      <w:numFmt w:val="bullet"/>
      <w:lvlText w:val=""/>
      <w:lvlJc w:val="left"/>
      <w:pPr>
        <w:ind w:left="3220" w:hanging="360"/>
      </w:pPr>
      <w:rPr>
        <w:rFonts w:ascii="Symbol" w:hAnsi="Symbol" w:hint="default"/>
      </w:rPr>
    </w:lvl>
    <w:lvl w:ilvl="4" w:tplc="0C090003" w:tentative="1">
      <w:start w:val="1"/>
      <w:numFmt w:val="bullet"/>
      <w:lvlText w:val="o"/>
      <w:lvlJc w:val="left"/>
      <w:pPr>
        <w:ind w:left="3940" w:hanging="360"/>
      </w:pPr>
      <w:rPr>
        <w:rFonts w:ascii="Courier New" w:hAnsi="Courier New" w:cs="Courier New" w:hint="default"/>
      </w:rPr>
    </w:lvl>
    <w:lvl w:ilvl="5" w:tplc="0C090005" w:tentative="1">
      <w:start w:val="1"/>
      <w:numFmt w:val="bullet"/>
      <w:lvlText w:val=""/>
      <w:lvlJc w:val="left"/>
      <w:pPr>
        <w:ind w:left="4660" w:hanging="360"/>
      </w:pPr>
      <w:rPr>
        <w:rFonts w:ascii="Wingdings" w:hAnsi="Wingdings" w:hint="default"/>
      </w:rPr>
    </w:lvl>
    <w:lvl w:ilvl="6" w:tplc="0C090001" w:tentative="1">
      <w:start w:val="1"/>
      <w:numFmt w:val="bullet"/>
      <w:lvlText w:val=""/>
      <w:lvlJc w:val="left"/>
      <w:pPr>
        <w:ind w:left="5380" w:hanging="360"/>
      </w:pPr>
      <w:rPr>
        <w:rFonts w:ascii="Symbol" w:hAnsi="Symbol" w:hint="default"/>
      </w:rPr>
    </w:lvl>
    <w:lvl w:ilvl="7" w:tplc="0C090003" w:tentative="1">
      <w:start w:val="1"/>
      <w:numFmt w:val="bullet"/>
      <w:lvlText w:val="o"/>
      <w:lvlJc w:val="left"/>
      <w:pPr>
        <w:ind w:left="6100" w:hanging="360"/>
      </w:pPr>
      <w:rPr>
        <w:rFonts w:ascii="Courier New" w:hAnsi="Courier New" w:cs="Courier New" w:hint="default"/>
      </w:rPr>
    </w:lvl>
    <w:lvl w:ilvl="8" w:tplc="0C090005" w:tentative="1">
      <w:start w:val="1"/>
      <w:numFmt w:val="bullet"/>
      <w:lvlText w:val=""/>
      <w:lvlJc w:val="left"/>
      <w:pPr>
        <w:ind w:left="6820" w:hanging="360"/>
      </w:pPr>
      <w:rPr>
        <w:rFonts w:ascii="Wingdings" w:hAnsi="Wingdings" w:hint="default"/>
      </w:rPr>
    </w:lvl>
  </w:abstractNum>
  <w:abstractNum w:abstractNumId="25">
    <w:nsid w:val="51F74561"/>
    <w:multiLevelType w:val="singleLevel"/>
    <w:tmpl w:val="ED98921A"/>
    <w:lvl w:ilvl="0">
      <w:start w:val="1"/>
      <w:numFmt w:val="decimal"/>
      <w:lvlText w:val="%1."/>
      <w:legacy w:legacy="1" w:legacySpace="0" w:legacyIndent="340"/>
      <w:lvlJc w:val="left"/>
      <w:pPr>
        <w:ind w:left="340" w:hanging="340"/>
      </w:pPr>
    </w:lvl>
  </w:abstractNum>
  <w:abstractNum w:abstractNumId="26">
    <w:nsid w:val="54382D6E"/>
    <w:multiLevelType w:val="singleLevel"/>
    <w:tmpl w:val="315ABD1E"/>
    <w:lvl w:ilvl="0">
      <w:numFmt w:val="bullet"/>
      <w:pStyle w:val="ListBullet"/>
      <w:lvlText w:val=""/>
      <w:lvlJc w:val="left"/>
      <w:pPr>
        <w:tabs>
          <w:tab w:val="num" w:pos="340"/>
        </w:tabs>
        <w:ind w:left="340" w:hanging="340"/>
      </w:pPr>
      <w:rPr>
        <w:rFonts w:ascii="Symbol" w:hAnsi="Symbol" w:hint="default"/>
        <w:sz w:val="18"/>
      </w:rPr>
    </w:lvl>
  </w:abstractNum>
  <w:abstractNum w:abstractNumId="27">
    <w:nsid w:val="543E1FD6"/>
    <w:multiLevelType w:val="singleLevel"/>
    <w:tmpl w:val="039AA380"/>
    <w:lvl w:ilvl="0">
      <w:start w:val="1"/>
      <w:numFmt w:val="bullet"/>
      <w:pStyle w:val="TableBullet"/>
      <w:lvlText w:val=""/>
      <w:lvlJc w:val="left"/>
      <w:pPr>
        <w:tabs>
          <w:tab w:val="num" w:pos="170"/>
        </w:tabs>
        <w:ind w:left="170" w:hanging="170"/>
      </w:pPr>
      <w:rPr>
        <w:rFonts w:ascii="Symbol" w:hAnsi="Symbol" w:hint="default"/>
        <w:b w:val="0"/>
        <w:i w:val="0"/>
        <w:sz w:val="18"/>
      </w:rPr>
    </w:lvl>
  </w:abstractNum>
  <w:abstractNum w:abstractNumId="28">
    <w:nsid w:val="55532592"/>
    <w:multiLevelType w:val="singleLevel"/>
    <w:tmpl w:val="AD60D3B8"/>
    <w:lvl w:ilvl="0">
      <w:start w:val="1"/>
      <w:numFmt w:val="lowerLetter"/>
      <w:lvlText w:val="(%1)"/>
      <w:legacy w:legacy="1" w:legacySpace="0" w:legacyIndent="340"/>
      <w:lvlJc w:val="left"/>
      <w:pPr>
        <w:ind w:left="680" w:hanging="340"/>
      </w:pPr>
    </w:lvl>
  </w:abstractNum>
  <w:abstractNum w:abstractNumId="29">
    <w:nsid w:val="56107838"/>
    <w:multiLevelType w:val="singleLevel"/>
    <w:tmpl w:val="775A3F3A"/>
    <w:lvl w:ilvl="0">
      <w:start w:val="1"/>
      <w:numFmt w:val="bullet"/>
      <w:pStyle w:val="QuoteBullet"/>
      <w:lvlText w:val=""/>
      <w:lvlJc w:val="left"/>
      <w:pPr>
        <w:tabs>
          <w:tab w:val="num" w:pos="680"/>
        </w:tabs>
        <w:ind w:left="680" w:hanging="340"/>
      </w:pPr>
      <w:rPr>
        <w:rFonts w:ascii="Symbol" w:hAnsi="Symbol" w:hint="default"/>
        <w:sz w:val="18"/>
      </w:rPr>
    </w:lvl>
  </w:abstractNum>
  <w:abstractNum w:abstractNumId="30">
    <w:nsid w:val="58A04AF2"/>
    <w:multiLevelType w:val="singleLevel"/>
    <w:tmpl w:val="E9806908"/>
    <w:lvl w:ilvl="0">
      <w:start w:val="1"/>
      <w:numFmt w:val="lowerRoman"/>
      <w:lvlText w:val="(%1)"/>
      <w:legacy w:legacy="1" w:legacySpace="0" w:legacyIndent="340"/>
      <w:lvlJc w:val="left"/>
      <w:pPr>
        <w:ind w:left="1134" w:hanging="340"/>
      </w:pPr>
    </w:lvl>
  </w:abstractNum>
  <w:abstractNum w:abstractNumId="31">
    <w:nsid w:val="592D6D4E"/>
    <w:multiLevelType w:val="hybridMultilevel"/>
    <w:tmpl w:val="0C44FF7A"/>
    <w:lvl w:ilvl="0" w:tplc="B4385E08">
      <w:start w:val="1"/>
      <w:numFmt w:val="bullet"/>
      <w:pStyle w:val="BoxListBullet3"/>
      <w:lvlText w:val=""/>
      <w:lvlJc w:val="left"/>
      <w:pPr>
        <w:ind w:left="1287" w:hanging="360"/>
      </w:pPr>
      <w:rPr>
        <w:rFonts w:ascii="MT Extra" w:hAnsi="MT Extra" w:hint="default"/>
        <w:b w:val="0"/>
        <w:i w:val="0"/>
        <w:sz w:val="16"/>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32">
    <w:nsid w:val="5A096576"/>
    <w:multiLevelType w:val="singleLevel"/>
    <w:tmpl w:val="ED98921A"/>
    <w:lvl w:ilvl="0">
      <w:start w:val="1"/>
      <w:numFmt w:val="decimal"/>
      <w:lvlText w:val="%1."/>
      <w:legacy w:legacy="1" w:legacySpace="0" w:legacyIndent="340"/>
      <w:lvlJc w:val="left"/>
      <w:pPr>
        <w:ind w:left="340" w:hanging="340"/>
      </w:pPr>
    </w:lvl>
  </w:abstractNum>
  <w:abstractNum w:abstractNumId="33">
    <w:nsid w:val="5BB56A48"/>
    <w:multiLevelType w:val="multilevel"/>
    <w:tmpl w:val="6D248CEA"/>
    <w:lvl w:ilvl="0">
      <w:start w:val="1"/>
      <w:numFmt w:val="decimal"/>
      <w:lvlText w:val="%1)"/>
      <w:lvlJc w:val="left"/>
      <w:pPr>
        <w:tabs>
          <w:tab w:val="num" w:pos="340"/>
        </w:tabs>
        <w:ind w:left="340" w:hanging="340"/>
      </w:pPr>
      <w:rPr>
        <w:rFonts w:hint="default"/>
      </w:rPr>
    </w:lvl>
    <w:lvl w:ilvl="1">
      <w:start w:val="1"/>
      <w:numFmt w:val="lowerLetter"/>
      <w:lvlText w:val="%2)"/>
      <w:lvlJc w:val="left"/>
      <w:pPr>
        <w:tabs>
          <w:tab w:val="num" w:pos="794"/>
        </w:tabs>
        <w:ind w:left="794" w:hanging="454"/>
      </w:pPr>
      <w:rPr>
        <w:rFonts w:hint="default"/>
      </w:rPr>
    </w:lvl>
    <w:lvl w:ilvl="2">
      <w:start w:val="1"/>
      <w:numFmt w:val="lowerRoman"/>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4">
    <w:nsid w:val="60055F7F"/>
    <w:multiLevelType w:val="singleLevel"/>
    <w:tmpl w:val="ED98921A"/>
    <w:lvl w:ilvl="0">
      <w:start w:val="1"/>
      <w:numFmt w:val="decimal"/>
      <w:lvlText w:val="%1."/>
      <w:legacy w:legacy="1" w:legacySpace="0" w:legacyIndent="340"/>
      <w:lvlJc w:val="left"/>
      <w:pPr>
        <w:ind w:left="340" w:hanging="340"/>
      </w:pPr>
    </w:lvl>
  </w:abstractNum>
  <w:abstractNum w:abstractNumId="35">
    <w:nsid w:val="600E571D"/>
    <w:multiLevelType w:val="hybridMultilevel"/>
    <w:tmpl w:val="266E9292"/>
    <w:lvl w:ilvl="0" w:tplc="5DB0A19E">
      <w:start w:val="1"/>
      <w:numFmt w:val="decimal"/>
      <w:lvlText w:val="%1."/>
      <w:lvlJc w:val="left"/>
      <w:pPr>
        <w:ind w:left="360" w:hanging="360"/>
      </w:pPr>
      <w:rPr>
        <w:b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6">
    <w:nsid w:val="608E741E"/>
    <w:multiLevelType w:val="singleLevel"/>
    <w:tmpl w:val="ED98921A"/>
    <w:lvl w:ilvl="0">
      <w:start w:val="1"/>
      <w:numFmt w:val="decimal"/>
      <w:lvlText w:val="%1."/>
      <w:legacy w:legacy="1" w:legacySpace="0" w:legacyIndent="340"/>
      <w:lvlJc w:val="left"/>
      <w:pPr>
        <w:ind w:left="340" w:hanging="340"/>
      </w:pPr>
    </w:lvl>
  </w:abstractNum>
  <w:abstractNum w:abstractNumId="37">
    <w:nsid w:val="61320C1E"/>
    <w:multiLevelType w:val="singleLevel"/>
    <w:tmpl w:val="C444122C"/>
    <w:lvl w:ilvl="0">
      <w:start w:val="1"/>
      <w:numFmt w:val="decimal"/>
      <w:lvlText w:val="%1."/>
      <w:legacy w:legacy="1" w:legacySpace="0" w:legacyIndent="284"/>
      <w:lvlJc w:val="left"/>
      <w:pPr>
        <w:ind w:left="284" w:hanging="284"/>
      </w:pPr>
    </w:lvl>
  </w:abstractNum>
  <w:abstractNum w:abstractNumId="38">
    <w:nsid w:val="627154D2"/>
    <w:multiLevelType w:val="singleLevel"/>
    <w:tmpl w:val="AD60D3B8"/>
    <w:lvl w:ilvl="0">
      <w:start w:val="1"/>
      <w:numFmt w:val="lowerLetter"/>
      <w:lvlText w:val="(%1)"/>
      <w:legacy w:legacy="1" w:legacySpace="0" w:legacyIndent="340"/>
      <w:lvlJc w:val="left"/>
      <w:pPr>
        <w:ind w:left="680" w:hanging="340"/>
      </w:pPr>
    </w:lvl>
  </w:abstractNum>
  <w:abstractNum w:abstractNumId="39">
    <w:nsid w:val="643516F3"/>
    <w:multiLevelType w:val="singleLevel"/>
    <w:tmpl w:val="C05AE1DC"/>
    <w:lvl w:ilvl="0">
      <w:start w:val="1"/>
      <w:numFmt w:val="bullet"/>
      <w:pStyle w:val="ListBullet3"/>
      <w:lvlText w:val=""/>
      <w:lvlJc w:val="left"/>
      <w:pPr>
        <w:tabs>
          <w:tab w:val="num" w:pos="1021"/>
        </w:tabs>
        <w:ind w:left="1021" w:hanging="341"/>
      </w:pPr>
      <w:rPr>
        <w:rFonts w:ascii="MT Extra" w:hAnsi="MT Extra" w:hint="default"/>
        <w:b w:val="0"/>
        <w:i w:val="0"/>
        <w:sz w:val="16"/>
      </w:rPr>
    </w:lvl>
  </w:abstractNum>
  <w:abstractNum w:abstractNumId="40">
    <w:nsid w:val="67806EB5"/>
    <w:multiLevelType w:val="singleLevel"/>
    <w:tmpl w:val="AD60D3B8"/>
    <w:lvl w:ilvl="0">
      <w:start w:val="1"/>
      <w:numFmt w:val="lowerLetter"/>
      <w:lvlText w:val="(%1)"/>
      <w:legacy w:legacy="1" w:legacySpace="0" w:legacyIndent="340"/>
      <w:lvlJc w:val="left"/>
      <w:pPr>
        <w:ind w:left="680" w:hanging="340"/>
      </w:pPr>
    </w:lvl>
  </w:abstractNum>
  <w:abstractNum w:abstractNumId="41">
    <w:nsid w:val="707E6FEC"/>
    <w:multiLevelType w:val="singleLevel"/>
    <w:tmpl w:val="E9806908"/>
    <w:lvl w:ilvl="0">
      <w:start w:val="1"/>
      <w:numFmt w:val="lowerRoman"/>
      <w:lvlText w:val="(%1)"/>
      <w:legacy w:legacy="1" w:legacySpace="0" w:legacyIndent="340"/>
      <w:lvlJc w:val="left"/>
      <w:pPr>
        <w:ind w:left="1134" w:hanging="340"/>
      </w:pPr>
    </w:lvl>
  </w:abstractNum>
  <w:abstractNum w:abstractNumId="42">
    <w:nsid w:val="726A269B"/>
    <w:multiLevelType w:val="hybridMultilevel"/>
    <w:tmpl w:val="63760462"/>
    <w:lvl w:ilvl="0" w:tplc="F7BC8766">
      <w:start w:val="9"/>
      <w:numFmt w:val="decimal"/>
      <w:lvlText w:val="%1."/>
      <w:lvlJc w:val="left"/>
      <w:pPr>
        <w:ind w:left="36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nsid w:val="746E6DCF"/>
    <w:multiLevelType w:val="multilevel"/>
    <w:tmpl w:val="8E3050E6"/>
    <w:lvl w:ilvl="0">
      <w:start w:val="1"/>
      <w:numFmt w:val="decimal"/>
      <w:lvlText w:val="%1)"/>
      <w:lvlJc w:val="left"/>
      <w:pPr>
        <w:tabs>
          <w:tab w:val="num" w:pos="340"/>
        </w:tabs>
        <w:ind w:left="340" w:hanging="340"/>
      </w:pPr>
      <w:rPr>
        <w:rFonts w:hint="default"/>
      </w:rPr>
    </w:lvl>
    <w:lvl w:ilvl="1">
      <w:start w:val="1"/>
      <w:numFmt w:val="lowerLetter"/>
      <w:lvlText w:val="%2)"/>
      <w:lvlJc w:val="left"/>
      <w:pPr>
        <w:tabs>
          <w:tab w:val="num" w:pos="794"/>
        </w:tabs>
        <w:ind w:left="794" w:hanging="454"/>
      </w:pPr>
      <w:rPr>
        <w:rFonts w:hint="default"/>
      </w:rPr>
    </w:lvl>
    <w:lvl w:ilvl="2">
      <w:start w:val="1"/>
      <w:numFmt w:val="lowerRoman"/>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4">
    <w:nsid w:val="74E25280"/>
    <w:multiLevelType w:val="singleLevel"/>
    <w:tmpl w:val="AD60D3B8"/>
    <w:lvl w:ilvl="0">
      <w:start w:val="1"/>
      <w:numFmt w:val="lowerLetter"/>
      <w:lvlText w:val="(%1)"/>
      <w:legacy w:legacy="1" w:legacySpace="0" w:legacyIndent="340"/>
      <w:lvlJc w:val="left"/>
      <w:pPr>
        <w:ind w:left="680" w:hanging="340"/>
      </w:pPr>
    </w:lvl>
  </w:abstractNum>
  <w:abstractNum w:abstractNumId="45">
    <w:nsid w:val="7A1373DF"/>
    <w:multiLevelType w:val="singleLevel"/>
    <w:tmpl w:val="66CC34AA"/>
    <w:lvl w:ilvl="0">
      <w:start w:val="1"/>
      <w:numFmt w:val="bullet"/>
      <w:pStyle w:val="FindingBullet"/>
      <w:lvlText w:val=""/>
      <w:lvlJc w:val="left"/>
      <w:pPr>
        <w:tabs>
          <w:tab w:val="num" w:pos="340"/>
        </w:tabs>
        <w:ind w:left="340" w:hanging="340"/>
      </w:pPr>
      <w:rPr>
        <w:rFonts w:ascii="Symbol" w:hAnsi="Symbol" w:hint="default"/>
        <w:b w:val="0"/>
        <w:i w:val="0"/>
        <w:sz w:val="18"/>
      </w:rPr>
    </w:lvl>
  </w:abstractNum>
  <w:abstractNum w:abstractNumId="46">
    <w:nsid w:val="7BFA7D75"/>
    <w:multiLevelType w:val="singleLevel"/>
    <w:tmpl w:val="B4C476FC"/>
    <w:lvl w:ilvl="0">
      <w:start w:val="1"/>
      <w:numFmt w:val="bullet"/>
      <w:pStyle w:val="RecBullet"/>
      <w:lvlText w:val=""/>
      <w:lvlJc w:val="left"/>
      <w:pPr>
        <w:tabs>
          <w:tab w:val="num" w:pos="340"/>
        </w:tabs>
        <w:ind w:left="340" w:hanging="340"/>
      </w:pPr>
      <w:rPr>
        <w:rFonts w:ascii="Symbol" w:hAnsi="Symbol" w:hint="default"/>
        <w:b w:val="0"/>
        <w:i w:val="0"/>
        <w:sz w:val="18"/>
      </w:rPr>
    </w:lvl>
  </w:abstractNum>
  <w:abstractNum w:abstractNumId="47">
    <w:nsid w:val="7D6903E5"/>
    <w:multiLevelType w:val="hybridMultilevel"/>
    <w:tmpl w:val="4864964C"/>
    <w:lvl w:ilvl="0" w:tplc="6158D4DA">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8">
    <w:nsid w:val="7F5B19CF"/>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21"/>
  </w:num>
  <w:num w:numId="2">
    <w:abstractNumId w:val="45"/>
  </w:num>
  <w:num w:numId="3">
    <w:abstractNumId w:val="7"/>
  </w:num>
  <w:num w:numId="4">
    <w:abstractNumId w:val="26"/>
  </w:num>
  <w:num w:numId="5">
    <w:abstractNumId w:val="9"/>
  </w:num>
  <w:num w:numId="6">
    <w:abstractNumId w:val="39"/>
  </w:num>
  <w:num w:numId="7">
    <w:abstractNumId w:val="29"/>
  </w:num>
  <w:num w:numId="8">
    <w:abstractNumId w:val="46"/>
  </w:num>
  <w:num w:numId="9">
    <w:abstractNumId w:val="16"/>
  </w:num>
  <w:num w:numId="10">
    <w:abstractNumId w:val="27"/>
  </w:num>
  <w:num w:numId="11">
    <w:abstractNumId w:val="15"/>
  </w:num>
  <w:num w:numId="12">
    <w:abstractNumId w:val="14"/>
  </w:num>
  <w:num w:numId="13">
    <w:abstractNumId w:val="17"/>
  </w:num>
  <w:num w:numId="14">
    <w:abstractNumId w:val="19"/>
  </w:num>
  <w:num w:numId="15">
    <w:abstractNumId w:val="23"/>
  </w:num>
  <w:num w:numId="16">
    <w:abstractNumId w:val="10"/>
  </w:num>
  <w:num w:numId="17">
    <w:abstractNumId w:val="31"/>
  </w:num>
  <w:num w:numId="18">
    <w:abstractNumId w:val="20"/>
  </w:num>
  <w:num w:numId="19">
    <w:abstractNumId w:val="47"/>
  </w:num>
  <w:num w:numId="20">
    <w:abstractNumId w:val="35"/>
  </w:num>
  <w:num w:numId="21">
    <w:abstractNumId w:val="42"/>
  </w:num>
  <w:num w:numId="22">
    <w:abstractNumId w:val="5"/>
  </w:num>
  <w:num w:numId="23">
    <w:abstractNumId w:val="3"/>
  </w:num>
  <w:num w:numId="24">
    <w:abstractNumId w:val="2"/>
  </w:num>
  <w:num w:numId="25">
    <w:abstractNumId w:val="4"/>
  </w:num>
  <w:num w:numId="26">
    <w:abstractNumId w:val="1"/>
  </w:num>
  <w:num w:numId="27">
    <w:abstractNumId w:val="0"/>
  </w:num>
  <w:num w:numId="28">
    <w:abstractNumId w:val="12"/>
  </w:num>
  <w:num w:numId="29">
    <w:abstractNumId w:val="36"/>
  </w:num>
  <w:num w:numId="30">
    <w:abstractNumId w:val="38"/>
  </w:num>
  <w:num w:numId="31">
    <w:abstractNumId w:val="25"/>
  </w:num>
  <w:num w:numId="32">
    <w:abstractNumId w:val="28"/>
  </w:num>
  <w:num w:numId="33">
    <w:abstractNumId w:val="30"/>
  </w:num>
  <w:num w:numId="34">
    <w:abstractNumId w:val="44"/>
  </w:num>
  <w:num w:numId="35">
    <w:abstractNumId w:val="34"/>
  </w:num>
  <w:num w:numId="36">
    <w:abstractNumId w:val="40"/>
  </w:num>
  <w:num w:numId="37">
    <w:abstractNumId w:val="41"/>
  </w:num>
  <w:num w:numId="38">
    <w:abstractNumId w:val="32"/>
  </w:num>
  <w:num w:numId="39">
    <w:abstractNumId w:val="22"/>
  </w:num>
  <w:num w:numId="40">
    <w:abstractNumId w:val="48"/>
  </w:num>
  <w:num w:numId="41">
    <w:abstractNumId w:val="8"/>
  </w:num>
  <w:num w:numId="42">
    <w:abstractNumId w:val="18"/>
  </w:num>
  <w:num w:numId="43">
    <w:abstractNumId w:val="43"/>
  </w:num>
  <w:num w:numId="44">
    <w:abstractNumId w:val="33"/>
  </w:num>
  <w:num w:numId="45">
    <w:abstractNumId w:val="13"/>
  </w:num>
  <w:num w:numId="46">
    <w:abstractNumId w:val="37"/>
  </w:num>
  <w:num w:numId="47">
    <w:abstractNumId w:val="24"/>
  </w:num>
  <w:num w:numId="48">
    <w:abstractNumId w:val="6"/>
    <w:lvlOverride w:ilvl="0">
      <w:lvl w:ilvl="0">
        <w:start w:val="1"/>
        <w:numFmt w:val="bullet"/>
        <w:lvlText w:val=""/>
        <w:legacy w:legacy="1" w:legacySpace="0" w:legacyIndent="340"/>
        <w:lvlJc w:val="left"/>
        <w:pPr>
          <w:ind w:left="340" w:hanging="340"/>
        </w:pPr>
        <w:rPr>
          <w:rFonts w:ascii="Symbol" w:hAnsi="Symbol" w:hint="default"/>
          <w:sz w:val="18"/>
        </w:rPr>
      </w:lvl>
    </w:lvlOverride>
  </w:num>
  <w:num w:numId="49">
    <w:abstractNumId w:val="1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mirrorMargins/>
  <w:proofState w:spelling="clean"/>
  <w:linkStyles/>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clickAndTypeStyle w:val="BodyText"/>
  <w:evenAndOddHeaders/>
  <w:characterSpacingControl w:val="doNotCompress"/>
  <w:hdrShapeDefaults>
    <o:shapedefaults v:ext="edit" spidmax="1474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FindingOptions" w:val="1"/>
    <w:docVar w:name="RecOptions" w:val="111"/>
    <w:docVar w:name="ShortChapterTitle" w:val="Chapter"/>
    <w:docVar w:name="ShortReportTitle" w:val="Report"/>
  </w:docVars>
  <w:rsids>
    <w:rsidRoot w:val="002042CE"/>
    <w:rsid w:val="00007476"/>
    <w:rsid w:val="00012BCD"/>
    <w:rsid w:val="0001528B"/>
    <w:rsid w:val="000227D5"/>
    <w:rsid w:val="000245AA"/>
    <w:rsid w:val="0002575D"/>
    <w:rsid w:val="00025BCF"/>
    <w:rsid w:val="00031E0E"/>
    <w:rsid w:val="00035EC5"/>
    <w:rsid w:val="0003664B"/>
    <w:rsid w:val="00040184"/>
    <w:rsid w:val="0004111F"/>
    <w:rsid w:val="0004257D"/>
    <w:rsid w:val="00050F0D"/>
    <w:rsid w:val="000513EE"/>
    <w:rsid w:val="00054035"/>
    <w:rsid w:val="000565B3"/>
    <w:rsid w:val="00056C84"/>
    <w:rsid w:val="000573FB"/>
    <w:rsid w:val="00064695"/>
    <w:rsid w:val="0007150B"/>
    <w:rsid w:val="0007313B"/>
    <w:rsid w:val="00073FF3"/>
    <w:rsid w:val="00075BF1"/>
    <w:rsid w:val="000764AC"/>
    <w:rsid w:val="00081451"/>
    <w:rsid w:val="00085DDB"/>
    <w:rsid w:val="00086772"/>
    <w:rsid w:val="000900EF"/>
    <w:rsid w:val="000938F5"/>
    <w:rsid w:val="00093E48"/>
    <w:rsid w:val="00096E55"/>
    <w:rsid w:val="000A09B7"/>
    <w:rsid w:val="000A1AF4"/>
    <w:rsid w:val="000A44BA"/>
    <w:rsid w:val="000B1BB4"/>
    <w:rsid w:val="000B601B"/>
    <w:rsid w:val="000B7545"/>
    <w:rsid w:val="000C08CD"/>
    <w:rsid w:val="000C207E"/>
    <w:rsid w:val="000D0FCD"/>
    <w:rsid w:val="000D245D"/>
    <w:rsid w:val="000D4E99"/>
    <w:rsid w:val="000D6B09"/>
    <w:rsid w:val="000E0141"/>
    <w:rsid w:val="000E04A6"/>
    <w:rsid w:val="000E3DBA"/>
    <w:rsid w:val="000E6A52"/>
    <w:rsid w:val="000F0035"/>
    <w:rsid w:val="000F206B"/>
    <w:rsid w:val="000F2585"/>
    <w:rsid w:val="000F420B"/>
    <w:rsid w:val="000F458A"/>
    <w:rsid w:val="00100F64"/>
    <w:rsid w:val="00103EF5"/>
    <w:rsid w:val="001052F1"/>
    <w:rsid w:val="00110116"/>
    <w:rsid w:val="00116C64"/>
    <w:rsid w:val="00117921"/>
    <w:rsid w:val="00117C12"/>
    <w:rsid w:val="00120072"/>
    <w:rsid w:val="0012054D"/>
    <w:rsid w:val="00120830"/>
    <w:rsid w:val="0012085B"/>
    <w:rsid w:val="00121580"/>
    <w:rsid w:val="001235E9"/>
    <w:rsid w:val="001239B5"/>
    <w:rsid w:val="00123B96"/>
    <w:rsid w:val="00124D43"/>
    <w:rsid w:val="00124E60"/>
    <w:rsid w:val="00126EB8"/>
    <w:rsid w:val="001274D4"/>
    <w:rsid w:val="00131D8D"/>
    <w:rsid w:val="00132F15"/>
    <w:rsid w:val="001339E2"/>
    <w:rsid w:val="001363AA"/>
    <w:rsid w:val="001368EC"/>
    <w:rsid w:val="00145648"/>
    <w:rsid w:val="00150B24"/>
    <w:rsid w:val="0015595A"/>
    <w:rsid w:val="00156168"/>
    <w:rsid w:val="00162BCC"/>
    <w:rsid w:val="00163822"/>
    <w:rsid w:val="001714E9"/>
    <w:rsid w:val="001719F6"/>
    <w:rsid w:val="00175B91"/>
    <w:rsid w:val="00177D6F"/>
    <w:rsid w:val="00182D59"/>
    <w:rsid w:val="00183E82"/>
    <w:rsid w:val="001878BB"/>
    <w:rsid w:val="00191AE0"/>
    <w:rsid w:val="001922E4"/>
    <w:rsid w:val="0019293B"/>
    <w:rsid w:val="0019426B"/>
    <w:rsid w:val="001970C9"/>
    <w:rsid w:val="001A5777"/>
    <w:rsid w:val="001A5954"/>
    <w:rsid w:val="001A5D6A"/>
    <w:rsid w:val="001B1CBE"/>
    <w:rsid w:val="001C0865"/>
    <w:rsid w:val="001C26AC"/>
    <w:rsid w:val="001C3ABA"/>
    <w:rsid w:val="001C6503"/>
    <w:rsid w:val="001C659B"/>
    <w:rsid w:val="001C6F06"/>
    <w:rsid w:val="001D433D"/>
    <w:rsid w:val="001D541B"/>
    <w:rsid w:val="001D6BEA"/>
    <w:rsid w:val="001E4775"/>
    <w:rsid w:val="001E777B"/>
    <w:rsid w:val="001E7BE8"/>
    <w:rsid w:val="001F0248"/>
    <w:rsid w:val="001F08A4"/>
    <w:rsid w:val="001F0AF1"/>
    <w:rsid w:val="001F0F4B"/>
    <w:rsid w:val="001F3EB3"/>
    <w:rsid w:val="001F4F86"/>
    <w:rsid w:val="00200344"/>
    <w:rsid w:val="00202C2C"/>
    <w:rsid w:val="00202D06"/>
    <w:rsid w:val="002030DC"/>
    <w:rsid w:val="002042CE"/>
    <w:rsid w:val="002135AB"/>
    <w:rsid w:val="002144BE"/>
    <w:rsid w:val="00215EAA"/>
    <w:rsid w:val="002169A9"/>
    <w:rsid w:val="002175B1"/>
    <w:rsid w:val="00222C4C"/>
    <w:rsid w:val="002317C9"/>
    <w:rsid w:val="002333C4"/>
    <w:rsid w:val="00242279"/>
    <w:rsid w:val="0024586C"/>
    <w:rsid w:val="00245C82"/>
    <w:rsid w:val="00246439"/>
    <w:rsid w:val="00251FEF"/>
    <w:rsid w:val="0025485A"/>
    <w:rsid w:val="00273EA0"/>
    <w:rsid w:val="00276C5D"/>
    <w:rsid w:val="002861B4"/>
    <w:rsid w:val="00287473"/>
    <w:rsid w:val="00287D06"/>
    <w:rsid w:val="002905D1"/>
    <w:rsid w:val="00291B40"/>
    <w:rsid w:val="00292218"/>
    <w:rsid w:val="002949AD"/>
    <w:rsid w:val="00295180"/>
    <w:rsid w:val="002A1296"/>
    <w:rsid w:val="002A60E7"/>
    <w:rsid w:val="002A77C3"/>
    <w:rsid w:val="002B05FB"/>
    <w:rsid w:val="002B2DE6"/>
    <w:rsid w:val="002B38D7"/>
    <w:rsid w:val="002B4008"/>
    <w:rsid w:val="002B4FDD"/>
    <w:rsid w:val="002B546D"/>
    <w:rsid w:val="002B74BB"/>
    <w:rsid w:val="002C2FD9"/>
    <w:rsid w:val="002D06C2"/>
    <w:rsid w:val="002D0E8E"/>
    <w:rsid w:val="002E624D"/>
    <w:rsid w:val="002E78D7"/>
    <w:rsid w:val="002F1B21"/>
    <w:rsid w:val="002F47CA"/>
    <w:rsid w:val="002F4EE7"/>
    <w:rsid w:val="002F54F4"/>
    <w:rsid w:val="00300BD3"/>
    <w:rsid w:val="00301189"/>
    <w:rsid w:val="00305993"/>
    <w:rsid w:val="00317B67"/>
    <w:rsid w:val="00320BFC"/>
    <w:rsid w:val="00320E76"/>
    <w:rsid w:val="00323E09"/>
    <w:rsid w:val="0032561E"/>
    <w:rsid w:val="0032567C"/>
    <w:rsid w:val="00333932"/>
    <w:rsid w:val="00336791"/>
    <w:rsid w:val="0033708C"/>
    <w:rsid w:val="003518AA"/>
    <w:rsid w:val="00351FAC"/>
    <w:rsid w:val="0035205B"/>
    <w:rsid w:val="00352165"/>
    <w:rsid w:val="00353182"/>
    <w:rsid w:val="0035601B"/>
    <w:rsid w:val="003565D9"/>
    <w:rsid w:val="003575E1"/>
    <w:rsid w:val="003602E1"/>
    <w:rsid w:val="0036109B"/>
    <w:rsid w:val="0036701A"/>
    <w:rsid w:val="0037026F"/>
    <w:rsid w:val="00370BB4"/>
    <w:rsid w:val="00371240"/>
    <w:rsid w:val="00372809"/>
    <w:rsid w:val="00374731"/>
    <w:rsid w:val="00376E59"/>
    <w:rsid w:val="003808BA"/>
    <w:rsid w:val="0038207C"/>
    <w:rsid w:val="0038398F"/>
    <w:rsid w:val="00384A35"/>
    <w:rsid w:val="00386AA0"/>
    <w:rsid w:val="003904CE"/>
    <w:rsid w:val="003919F9"/>
    <w:rsid w:val="00395D66"/>
    <w:rsid w:val="003A784E"/>
    <w:rsid w:val="003B25EA"/>
    <w:rsid w:val="003C0134"/>
    <w:rsid w:val="003C0407"/>
    <w:rsid w:val="003C1FC0"/>
    <w:rsid w:val="003C3836"/>
    <w:rsid w:val="003C38B5"/>
    <w:rsid w:val="003C5D99"/>
    <w:rsid w:val="003C783C"/>
    <w:rsid w:val="003D1024"/>
    <w:rsid w:val="003E2F59"/>
    <w:rsid w:val="003F0181"/>
    <w:rsid w:val="003F0789"/>
    <w:rsid w:val="003F0B8A"/>
    <w:rsid w:val="003F0E99"/>
    <w:rsid w:val="003F4949"/>
    <w:rsid w:val="003F6030"/>
    <w:rsid w:val="00401882"/>
    <w:rsid w:val="004040CC"/>
    <w:rsid w:val="00404415"/>
    <w:rsid w:val="00405328"/>
    <w:rsid w:val="004100C8"/>
    <w:rsid w:val="00411DBD"/>
    <w:rsid w:val="004127E6"/>
    <w:rsid w:val="00412ACE"/>
    <w:rsid w:val="00416F19"/>
    <w:rsid w:val="004177CF"/>
    <w:rsid w:val="00424625"/>
    <w:rsid w:val="004255AC"/>
    <w:rsid w:val="004260BB"/>
    <w:rsid w:val="0042643C"/>
    <w:rsid w:val="00431249"/>
    <w:rsid w:val="00434C19"/>
    <w:rsid w:val="0043760B"/>
    <w:rsid w:val="00440197"/>
    <w:rsid w:val="004436A2"/>
    <w:rsid w:val="00450810"/>
    <w:rsid w:val="00452237"/>
    <w:rsid w:val="00455B56"/>
    <w:rsid w:val="00461366"/>
    <w:rsid w:val="00467E94"/>
    <w:rsid w:val="00473584"/>
    <w:rsid w:val="00475A3E"/>
    <w:rsid w:val="00475DEE"/>
    <w:rsid w:val="00477144"/>
    <w:rsid w:val="00477F3B"/>
    <w:rsid w:val="0048036C"/>
    <w:rsid w:val="00483891"/>
    <w:rsid w:val="004856C3"/>
    <w:rsid w:val="00487879"/>
    <w:rsid w:val="00487E7D"/>
    <w:rsid w:val="00491380"/>
    <w:rsid w:val="00491D3D"/>
    <w:rsid w:val="00492E41"/>
    <w:rsid w:val="0049459F"/>
    <w:rsid w:val="00496204"/>
    <w:rsid w:val="004A0FEA"/>
    <w:rsid w:val="004A38DD"/>
    <w:rsid w:val="004A5018"/>
    <w:rsid w:val="004A71CC"/>
    <w:rsid w:val="004B02B8"/>
    <w:rsid w:val="004B1098"/>
    <w:rsid w:val="004B43AE"/>
    <w:rsid w:val="004C242E"/>
    <w:rsid w:val="004C30ED"/>
    <w:rsid w:val="004C3A02"/>
    <w:rsid w:val="004C51A8"/>
    <w:rsid w:val="004C6774"/>
    <w:rsid w:val="004D32F8"/>
    <w:rsid w:val="004D3AA3"/>
    <w:rsid w:val="004D51F5"/>
    <w:rsid w:val="004D5675"/>
    <w:rsid w:val="004D6054"/>
    <w:rsid w:val="004D7D2B"/>
    <w:rsid w:val="004E6DA1"/>
    <w:rsid w:val="004F4C96"/>
    <w:rsid w:val="004F562E"/>
    <w:rsid w:val="004F72F5"/>
    <w:rsid w:val="00502BA5"/>
    <w:rsid w:val="00504FE4"/>
    <w:rsid w:val="005052C5"/>
    <w:rsid w:val="00510A51"/>
    <w:rsid w:val="00511BE6"/>
    <w:rsid w:val="0051256F"/>
    <w:rsid w:val="005127EB"/>
    <w:rsid w:val="005146F6"/>
    <w:rsid w:val="00523639"/>
    <w:rsid w:val="00523E58"/>
    <w:rsid w:val="0052478F"/>
    <w:rsid w:val="005272F6"/>
    <w:rsid w:val="00531FE5"/>
    <w:rsid w:val="00534A3D"/>
    <w:rsid w:val="005402FA"/>
    <w:rsid w:val="00542FDD"/>
    <w:rsid w:val="00550D33"/>
    <w:rsid w:val="00553F1B"/>
    <w:rsid w:val="00554483"/>
    <w:rsid w:val="005546DC"/>
    <w:rsid w:val="00556489"/>
    <w:rsid w:val="00563FC1"/>
    <w:rsid w:val="005665E9"/>
    <w:rsid w:val="00567D7B"/>
    <w:rsid w:val="0057375A"/>
    <w:rsid w:val="005768C4"/>
    <w:rsid w:val="00576D0F"/>
    <w:rsid w:val="00582C12"/>
    <w:rsid w:val="00583C39"/>
    <w:rsid w:val="00583FC0"/>
    <w:rsid w:val="0058716C"/>
    <w:rsid w:val="00587F28"/>
    <w:rsid w:val="00590837"/>
    <w:rsid w:val="005909CF"/>
    <w:rsid w:val="0059140A"/>
    <w:rsid w:val="00591891"/>
    <w:rsid w:val="00591E71"/>
    <w:rsid w:val="00593D92"/>
    <w:rsid w:val="00595E6A"/>
    <w:rsid w:val="00596FB9"/>
    <w:rsid w:val="005A0D41"/>
    <w:rsid w:val="005A7220"/>
    <w:rsid w:val="005A78A1"/>
    <w:rsid w:val="005A7ED8"/>
    <w:rsid w:val="005B108C"/>
    <w:rsid w:val="005B3458"/>
    <w:rsid w:val="005B460D"/>
    <w:rsid w:val="005B6C45"/>
    <w:rsid w:val="005B6D18"/>
    <w:rsid w:val="005D147E"/>
    <w:rsid w:val="005D3E65"/>
    <w:rsid w:val="005D4FB1"/>
    <w:rsid w:val="005E0422"/>
    <w:rsid w:val="005F046D"/>
    <w:rsid w:val="005F5618"/>
    <w:rsid w:val="005F6634"/>
    <w:rsid w:val="0060546D"/>
    <w:rsid w:val="00607BF1"/>
    <w:rsid w:val="00611194"/>
    <w:rsid w:val="00614F77"/>
    <w:rsid w:val="00616061"/>
    <w:rsid w:val="0061654D"/>
    <w:rsid w:val="00630348"/>
    <w:rsid w:val="00630D4D"/>
    <w:rsid w:val="00630F68"/>
    <w:rsid w:val="00632858"/>
    <w:rsid w:val="00632A74"/>
    <w:rsid w:val="0063417C"/>
    <w:rsid w:val="00642D33"/>
    <w:rsid w:val="006457EE"/>
    <w:rsid w:val="006465EE"/>
    <w:rsid w:val="00647FB7"/>
    <w:rsid w:val="00655D95"/>
    <w:rsid w:val="006560F8"/>
    <w:rsid w:val="0065793F"/>
    <w:rsid w:val="00660DD4"/>
    <w:rsid w:val="00665574"/>
    <w:rsid w:val="00665723"/>
    <w:rsid w:val="00665B97"/>
    <w:rsid w:val="006824E1"/>
    <w:rsid w:val="006839A4"/>
    <w:rsid w:val="00684152"/>
    <w:rsid w:val="00684C9F"/>
    <w:rsid w:val="006851E1"/>
    <w:rsid w:val="00694EF7"/>
    <w:rsid w:val="006972FD"/>
    <w:rsid w:val="006A37AB"/>
    <w:rsid w:val="006A4655"/>
    <w:rsid w:val="006A5608"/>
    <w:rsid w:val="006B1102"/>
    <w:rsid w:val="006B1448"/>
    <w:rsid w:val="006B14FB"/>
    <w:rsid w:val="006B20F6"/>
    <w:rsid w:val="006B29A1"/>
    <w:rsid w:val="006B2B3C"/>
    <w:rsid w:val="006B58B2"/>
    <w:rsid w:val="006B6A34"/>
    <w:rsid w:val="006C0BCB"/>
    <w:rsid w:val="006C131E"/>
    <w:rsid w:val="006C1D81"/>
    <w:rsid w:val="006C227C"/>
    <w:rsid w:val="006C4677"/>
    <w:rsid w:val="006C7038"/>
    <w:rsid w:val="006D3405"/>
    <w:rsid w:val="006E381C"/>
    <w:rsid w:val="006E3B6D"/>
    <w:rsid w:val="006E3DEE"/>
    <w:rsid w:val="006E73EF"/>
    <w:rsid w:val="006F3AC6"/>
    <w:rsid w:val="006F6837"/>
    <w:rsid w:val="00707637"/>
    <w:rsid w:val="007132C1"/>
    <w:rsid w:val="007137EB"/>
    <w:rsid w:val="007145C6"/>
    <w:rsid w:val="00714887"/>
    <w:rsid w:val="00714D4D"/>
    <w:rsid w:val="00715E4C"/>
    <w:rsid w:val="00722649"/>
    <w:rsid w:val="007232B8"/>
    <w:rsid w:val="00730A31"/>
    <w:rsid w:val="00731C0A"/>
    <w:rsid w:val="0073254A"/>
    <w:rsid w:val="00732638"/>
    <w:rsid w:val="00732819"/>
    <w:rsid w:val="00733A44"/>
    <w:rsid w:val="00736972"/>
    <w:rsid w:val="00737DCB"/>
    <w:rsid w:val="007401B7"/>
    <w:rsid w:val="007428F4"/>
    <w:rsid w:val="007530C2"/>
    <w:rsid w:val="0075418D"/>
    <w:rsid w:val="007604BB"/>
    <w:rsid w:val="00760542"/>
    <w:rsid w:val="007607BF"/>
    <w:rsid w:val="00763C37"/>
    <w:rsid w:val="00764F2D"/>
    <w:rsid w:val="00765760"/>
    <w:rsid w:val="007676B0"/>
    <w:rsid w:val="0076775F"/>
    <w:rsid w:val="00767A42"/>
    <w:rsid w:val="007848D0"/>
    <w:rsid w:val="00785232"/>
    <w:rsid w:val="00787892"/>
    <w:rsid w:val="007905FF"/>
    <w:rsid w:val="00792428"/>
    <w:rsid w:val="0079264B"/>
    <w:rsid w:val="00792821"/>
    <w:rsid w:val="00794378"/>
    <w:rsid w:val="007961B5"/>
    <w:rsid w:val="007A09AD"/>
    <w:rsid w:val="007A21EB"/>
    <w:rsid w:val="007B02E6"/>
    <w:rsid w:val="007B059B"/>
    <w:rsid w:val="007B1A93"/>
    <w:rsid w:val="007B3312"/>
    <w:rsid w:val="007B5243"/>
    <w:rsid w:val="007B6B6D"/>
    <w:rsid w:val="007C31AC"/>
    <w:rsid w:val="007C36C9"/>
    <w:rsid w:val="007D1311"/>
    <w:rsid w:val="007D1FEC"/>
    <w:rsid w:val="007D30C7"/>
    <w:rsid w:val="007D4851"/>
    <w:rsid w:val="007D616B"/>
    <w:rsid w:val="007D6401"/>
    <w:rsid w:val="007E01E4"/>
    <w:rsid w:val="007E0C2B"/>
    <w:rsid w:val="007E3451"/>
    <w:rsid w:val="007E3D46"/>
    <w:rsid w:val="007F6FC4"/>
    <w:rsid w:val="007F7107"/>
    <w:rsid w:val="00800D4C"/>
    <w:rsid w:val="00801332"/>
    <w:rsid w:val="008040E3"/>
    <w:rsid w:val="00805402"/>
    <w:rsid w:val="00806A11"/>
    <w:rsid w:val="0081030F"/>
    <w:rsid w:val="0081712B"/>
    <w:rsid w:val="0082087D"/>
    <w:rsid w:val="00820DC5"/>
    <w:rsid w:val="008212F0"/>
    <w:rsid w:val="008223DA"/>
    <w:rsid w:val="00827665"/>
    <w:rsid w:val="00830149"/>
    <w:rsid w:val="008341BB"/>
    <w:rsid w:val="00834845"/>
    <w:rsid w:val="00835771"/>
    <w:rsid w:val="00841889"/>
    <w:rsid w:val="00842933"/>
    <w:rsid w:val="0084361E"/>
    <w:rsid w:val="008437F3"/>
    <w:rsid w:val="008476A3"/>
    <w:rsid w:val="00847CBA"/>
    <w:rsid w:val="00851445"/>
    <w:rsid w:val="008529CC"/>
    <w:rsid w:val="00853405"/>
    <w:rsid w:val="008539DA"/>
    <w:rsid w:val="008576E5"/>
    <w:rsid w:val="0086082C"/>
    <w:rsid w:val="0086133C"/>
    <w:rsid w:val="00862EBE"/>
    <w:rsid w:val="00863152"/>
    <w:rsid w:val="00864ADC"/>
    <w:rsid w:val="008724B9"/>
    <w:rsid w:val="00880153"/>
    <w:rsid w:val="00880F97"/>
    <w:rsid w:val="0088133A"/>
    <w:rsid w:val="008842BD"/>
    <w:rsid w:val="00885408"/>
    <w:rsid w:val="00886210"/>
    <w:rsid w:val="00886DB0"/>
    <w:rsid w:val="0089285E"/>
    <w:rsid w:val="008930C0"/>
    <w:rsid w:val="0089436C"/>
    <w:rsid w:val="00897D1B"/>
    <w:rsid w:val="008A0CF7"/>
    <w:rsid w:val="008A61ED"/>
    <w:rsid w:val="008B2F89"/>
    <w:rsid w:val="008B4C23"/>
    <w:rsid w:val="008B5ADC"/>
    <w:rsid w:val="008B6B9E"/>
    <w:rsid w:val="008C2F47"/>
    <w:rsid w:val="008C5FB1"/>
    <w:rsid w:val="008C7CA4"/>
    <w:rsid w:val="008D1DE7"/>
    <w:rsid w:val="008D2688"/>
    <w:rsid w:val="008D365C"/>
    <w:rsid w:val="008D5DE8"/>
    <w:rsid w:val="008D773A"/>
    <w:rsid w:val="008E0650"/>
    <w:rsid w:val="008E220A"/>
    <w:rsid w:val="008E716E"/>
    <w:rsid w:val="008F0CD4"/>
    <w:rsid w:val="008F513E"/>
    <w:rsid w:val="008F527F"/>
    <w:rsid w:val="008F68A1"/>
    <w:rsid w:val="00901FE6"/>
    <w:rsid w:val="009030BF"/>
    <w:rsid w:val="0091032F"/>
    <w:rsid w:val="00913323"/>
    <w:rsid w:val="00914368"/>
    <w:rsid w:val="009155F2"/>
    <w:rsid w:val="00915C74"/>
    <w:rsid w:val="00917AE7"/>
    <w:rsid w:val="0092165C"/>
    <w:rsid w:val="00926FAC"/>
    <w:rsid w:val="00931076"/>
    <w:rsid w:val="0093337C"/>
    <w:rsid w:val="009345D9"/>
    <w:rsid w:val="00934B15"/>
    <w:rsid w:val="00940C87"/>
    <w:rsid w:val="00942B62"/>
    <w:rsid w:val="0095188C"/>
    <w:rsid w:val="00951F90"/>
    <w:rsid w:val="0095323B"/>
    <w:rsid w:val="00954C97"/>
    <w:rsid w:val="009563F0"/>
    <w:rsid w:val="00956A0C"/>
    <w:rsid w:val="00956BD9"/>
    <w:rsid w:val="00961833"/>
    <w:rsid w:val="00961A50"/>
    <w:rsid w:val="00962489"/>
    <w:rsid w:val="009645E0"/>
    <w:rsid w:val="00965137"/>
    <w:rsid w:val="00966FAA"/>
    <w:rsid w:val="00967269"/>
    <w:rsid w:val="009724B5"/>
    <w:rsid w:val="00973C47"/>
    <w:rsid w:val="00974668"/>
    <w:rsid w:val="00976AAC"/>
    <w:rsid w:val="0098335A"/>
    <w:rsid w:val="00983BD1"/>
    <w:rsid w:val="009855DA"/>
    <w:rsid w:val="00990C2C"/>
    <w:rsid w:val="00992355"/>
    <w:rsid w:val="009B0C22"/>
    <w:rsid w:val="009C0FB5"/>
    <w:rsid w:val="009C2A7D"/>
    <w:rsid w:val="009C3B52"/>
    <w:rsid w:val="009C613D"/>
    <w:rsid w:val="009C7797"/>
    <w:rsid w:val="009D2349"/>
    <w:rsid w:val="009D62BB"/>
    <w:rsid w:val="009D6EC2"/>
    <w:rsid w:val="009E1844"/>
    <w:rsid w:val="009E582C"/>
    <w:rsid w:val="009E5CFC"/>
    <w:rsid w:val="009E6DDD"/>
    <w:rsid w:val="009F02D2"/>
    <w:rsid w:val="009F06B8"/>
    <w:rsid w:val="009F0D1B"/>
    <w:rsid w:val="009F3F75"/>
    <w:rsid w:val="009F5EB6"/>
    <w:rsid w:val="009F63F0"/>
    <w:rsid w:val="009F696D"/>
    <w:rsid w:val="009F6BC6"/>
    <w:rsid w:val="00A023CB"/>
    <w:rsid w:val="00A10A7A"/>
    <w:rsid w:val="00A15EB6"/>
    <w:rsid w:val="00A17328"/>
    <w:rsid w:val="00A17A0B"/>
    <w:rsid w:val="00A213BC"/>
    <w:rsid w:val="00A23A20"/>
    <w:rsid w:val="00A248FC"/>
    <w:rsid w:val="00A268B9"/>
    <w:rsid w:val="00A2703A"/>
    <w:rsid w:val="00A30CCC"/>
    <w:rsid w:val="00A32546"/>
    <w:rsid w:val="00A33DFF"/>
    <w:rsid w:val="00A35115"/>
    <w:rsid w:val="00A35B6E"/>
    <w:rsid w:val="00A36D9A"/>
    <w:rsid w:val="00A40788"/>
    <w:rsid w:val="00A41EE9"/>
    <w:rsid w:val="00A42C0C"/>
    <w:rsid w:val="00A42F00"/>
    <w:rsid w:val="00A43741"/>
    <w:rsid w:val="00A4552E"/>
    <w:rsid w:val="00A47644"/>
    <w:rsid w:val="00A51AC8"/>
    <w:rsid w:val="00A52F92"/>
    <w:rsid w:val="00A554AB"/>
    <w:rsid w:val="00A5554D"/>
    <w:rsid w:val="00A55F0B"/>
    <w:rsid w:val="00A57062"/>
    <w:rsid w:val="00A61AC1"/>
    <w:rsid w:val="00A70263"/>
    <w:rsid w:val="00A7363B"/>
    <w:rsid w:val="00A73C56"/>
    <w:rsid w:val="00A73FF3"/>
    <w:rsid w:val="00A75F4E"/>
    <w:rsid w:val="00A830E5"/>
    <w:rsid w:val="00A9152A"/>
    <w:rsid w:val="00A91E17"/>
    <w:rsid w:val="00A92B53"/>
    <w:rsid w:val="00A938AD"/>
    <w:rsid w:val="00A94FA6"/>
    <w:rsid w:val="00A96098"/>
    <w:rsid w:val="00A964A4"/>
    <w:rsid w:val="00AA135B"/>
    <w:rsid w:val="00AA49A0"/>
    <w:rsid w:val="00AA6710"/>
    <w:rsid w:val="00AA7925"/>
    <w:rsid w:val="00AB0681"/>
    <w:rsid w:val="00AB69A2"/>
    <w:rsid w:val="00AC2DFB"/>
    <w:rsid w:val="00AC76CB"/>
    <w:rsid w:val="00AC795D"/>
    <w:rsid w:val="00AD2F37"/>
    <w:rsid w:val="00AD49F3"/>
    <w:rsid w:val="00AD520B"/>
    <w:rsid w:val="00AD7820"/>
    <w:rsid w:val="00AE404F"/>
    <w:rsid w:val="00AE492A"/>
    <w:rsid w:val="00AE5D50"/>
    <w:rsid w:val="00AF009C"/>
    <w:rsid w:val="00AF0F53"/>
    <w:rsid w:val="00B07125"/>
    <w:rsid w:val="00B10B19"/>
    <w:rsid w:val="00B1148A"/>
    <w:rsid w:val="00B12379"/>
    <w:rsid w:val="00B13A3E"/>
    <w:rsid w:val="00B16FBF"/>
    <w:rsid w:val="00B21FCC"/>
    <w:rsid w:val="00B22EE0"/>
    <w:rsid w:val="00B24EAA"/>
    <w:rsid w:val="00B26E3A"/>
    <w:rsid w:val="00B32219"/>
    <w:rsid w:val="00B3302D"/>
    <w:rsid w:val="00B35D74"/>
    <w:rsid w:val="00B37E85"/>
    <w:rsid w:val="00B425C3"/>
    <w:rsid w:val="00B440AD"/>
    <w:rsid w:val="00B469F8"/>
    <w:rsid w:val="00B479BB"/>
    <w:rsid w:val="00B52957"/>
    <w:rsid w:val="00B53E7E"/>
    <w:rsid w:val="00B6009B"/>
    <w:rsid w:val="00B609B2"/>
    <w:rsid w:val="00B60B62"/>
    <w:rsid w:val="00B62839"/>
    <w:rsid w:val="00B6342E"/>
    <w:rsid w:val="00B637ED"/>
    <w:rsid w:val="00B64146"/>
    <w:rsid w:val="00B67119"/>
    <w:rsid w:val="00B7027D"/>
    <w:rsid w:val="00B7113F"/>
    <w:rsid w:val="00B827A2"/>
    <w:rsid w:val="00B8288D"/>
    <w:rsid w:val="00B90623"/>
    <w:rsid w:val="00B90981"/>
    <w:rsid w:val="00BA0811"/>
    <w:rsid w:val="00BA215E"/>
    <w:rsid w:val="00BA4935"/>
    <w:rsid w:val="00BA73B6"/>
    <w:rsid w:val="00BA7E27"/>
    <w:rsid w:val="00BB09A3"/>
    <w:rsid w:val="00BB1700"/>
    <w:rsid w:val="00BB1934"/>
    <w:rsid w:val="00BB2603"/>
    <w:rsid w:val="00BB3385"/>
    <w:rsid w:val="00BB3F0D"/>
    <w:rsid w:val="00BB4FCD"/>
    <w:rsid w:val="00BB6748"/>
    <w:rsid w:val="00BB7A91"/>
    <w:rsid w:val="00BC00FB"/>
    <w:rsid w:val="00BC04E9"/>
    <w:rsid w:val="00BC1A2A"/>
    <w:rsid w:val="00BC2E79"/>
    <w:rsid w:val="00BC3CA5"/>
    <w:rsid w:val="00BC4474"/>
    <w:rsid w:val="00BC6DC6"/>
    <w:rsid w:val="00BC788D"/>
    <w:rsid w:val="00BD13EA"/>
    <w:rsid w:val="00BD568B"/>
    <w:rsid w:val="00BE3808"/>
    <w:rsid w:val="00BF3207"/>
    <w:rsid w:val="00BF4365"/>
    <w:rsid w:val="00BF467C"/>
    <w:rsid w:val="00C031E4"/>
    <w:rsid w:val="00C03857"/>
    <w:rsid w:val="00C05514"/>
    <w:rsid w:val="00C062E9"/>
    <w:rsid w:val="00C07B64"/>
    <w:rsid w:val="00C10BD4"/>
    <w:rsid w:val="00C11842"/>
    <w:rsid w:val="00C13721"/>
    <w:rsid w:val="00C14FE4"/>
    <w:rsid w:val="00C164C4"/>
    <w:rsid w:val="00C16854"/>
    <w:rsid w:val="00C24E55"/>
    <w:rsid w:val="00C254D9"/>
    <w:rsid w:val="00C3066D"/>
    <w:rsid w:val="00C31374"/>
    <w:rsid w:val="00C31DFE"/>
    <w:rsid w:val="00C37099"/>
    <w:rsid w:val="00C41C82"/>
    <w:rsid w:val="00C43FF3"/>
    <w:rsid w:val="00C44F5A"/>
    <w:rsid w:val="00C45B93"/>
    <w:rsid w:val="00C50A05"/>
    <w:rsid w:val="00C52416"/>
    <w:rsid w:val="00C52A15"/>
    <w:rsid w:val="00C53079"/>
    <w:rsid w:val="00C543F4"/>
    <w:rsid w:val="00C56FC3"/>
    <w:rsid w:val="00C57A3F"/>
    <w:rsid w:val="00C6291C"/>
    <w:rsid w:val="00C633CB"/>
    <w:rsid w:val="00C66297"/>
    <w:rsid w:val="00C67864"/>
    <w:rsid w:val="00C67FF6"/>
    <w:rsid w:val="00C701C7"/>
    <w:rsid w:val="00C736B7"/>
    <w:rsid w:val="00C77478"/>
    <w:rsid w:val="00C777BB"/>
    <w:rsid w:val="00C77D48"/>
    <w:rsid w:val="00C80723"/>
    <w:rsid w:val="00C81D4A"/>
    <w:rsid w:val="00C8762C"/>
    <w:rsid w:val="00C96742"/>
    <w:rsid w:val="00C96C36"/>
    <w:rsid w:val="00CA00F9"/>
    <w:rsid w:val="00CA064E"/>
    <w:rsid w:val="00CA236B"/>
    <w:rsid w:val="00CA2961"/>
    <w:rsid w:val="00CA42F3"/>
    <w:rsid w:val="00CA5CAA"/>
    <w:rsid w:val="00CA78CF"/>
    <w:rsid w:val="00CB124F"/>
    <w:rsid w:val="00CB50D7"/>
    <w:rsid w:val="00CB6594"/>
    <w:rsid w:val="00CB7177"/>
    <w:rsid w:val="00CC06F0"/>
    <w:rsid w:val="00CC0985"/>
    <w:rsid w:val="00CC1998"/>
    <w:rsid w:val="00CC3C86"/>
    <w:rsid w:val="00CC4946"/>
    <w:rsid w:val="00CC4C7B"/>
    <w:rsid w:val="00CD135C"/>
    <w:rsid w:val="00CD42CD"/>
    <w:rsid w:val="00CD77AA"/>
    <w:rsid w:val="00CD7D7A"/>
    <w:rsid w:val="00CE6252"/>
    <w:rsid w:val="00CE78D0"/>
    <w:rsid w:val="00CE78EE"/>
    <w:rsid w:val="00CF4788"/>
    <w:rsid w:val="00CF4E4A"/>
    <w:rsid w:val="00D04A61"/>
    <w:rsid w:val="00D056A2"/>
    <w:rsid w:val="00D074B1"/>
    <w:rsid w:val="00D1123B"/>
    <w:rsid w:val="00D119D7"/>
    <w:rsid w:val="00D11E5E"/>
    <w:rsid w:val="00D14738"/>
    <w:rsid w:val="00D15139"/>
    <w:rsid w:val="00D20CFA"/>
    <w:rsid w:val="00D257E2"/>
    <w:rsid w:val="00D2606C"/>
    <w:rsid w:val="00D26A7A"/>
    <w:rsid w:val="00D270A4"/>
    <w:rsid w:val="00D31FE9"/>
    <w:rsid w:val="00D33B6F"/>
    <w:rsid w:val="00D33BFC"/>
    <w:rsid w:val="00D34437"/>
    <w:rsid w:val="00D34E1B"/>
    <w:rsid w:val="00D376BA"/>
    <w:rsid w:val="00D37F29"/>
    <w:rsid w:val="00D40AB2"/>
    <w:rsid w:val="00D42AAC"/>
    <w:rsid w:val="00D45634"/>
    <w:rsid w:val="00D465FF"/>
    <w:rsid w:val="00D478B5"/>
    <w:rsid w:val="00D53DF0"/>
    <w:rsid w:val="00D5568A"/>
    <w:rsid w:val="00D56880"/>
    <w:rsid w:val="00D63D73"/>
    <w:rsid w:val="00D64452"/>
    <w:rsid w:val="00D645DA"/>
    <w:rsid w:val="00D64D21"/>
    <w:rsid w:val="00D663D8"/>
    <w:rsid w:val="00D66E1E"/>
    <w:rsid w:val="00D67B06"/>
    <w:rsid w:val="00D7218C"/>
    <w:rsid w:val="00D74965"/>
    <w:rsid w:val="00D75722"/>
    <w:rsid w:val="00D76EF5"/>
    <w:rsid w:val="00D779FE"/>
    <w:rsid w:val="00D80824"/>
    <w:rsid w:val="00D80CF5"/>
    <w:rsid w:val="00D83582"/>
    <w:rsid w:val="00D837E8"/>
    <w:rsid w:val="00D90A10"/>
    <w:rsid w:val="00D96018"/>
    <w:rsid w:val="00DA2A9F"/>
    <w:rsid w:val="00DA58ED"/>
    <w:rsid w:val="00DA5BBA"/>
    <w:rsid w:val="00DB2106"/>
    <w:rsid w:val="00DB26D2"/>
    <w:rsid w:val="00DB3EFE"/>
    <w:rsid w:val="00DB67C9"/>
    <w:rsid w:val="00DC0887"/>
    <w:rsid w:val="00DC0C95"/>
    <w:rsid w:val="00DC31AF"/>
    <w:rsid w:val="00DC4DEB"/>
    <w:rsid w:val="00DD51D0"/>
    <w:rsid w:val="00DD5307"/>
    <w:rsid w:val="00DD5E63"/>
    <w:rsid w:val="00DD6580"/>
    <w:rsid w:val="00DE07C1"/>
    <w:rsid w:val="00DE4C4A"/>
    <w:rsid w:val="00DE603C"/>
    <w:rsid w:val="00DE6A7B"/>
    <w:rsid w:val="00DE7F43"/>
    <w:rsid w:val="00DF6702"/>
    <w:rsid w:val="00DF7A9D"/>
    <w:rsid w:val="00E02EBE"/>
    <w:rsid w:val="00E04E8D"/>
    <w:rsid w:val="00E058E4"/>
    <w:rsid w:val="00E05CED"/>
    <w:rsid w:val="00E067C2"/>
    <w:rsid w:val="00E069B3"/>
    <w:rsid w:val="00E07005"/>
    <w:rsid w:val="00E141AA"/>
    <w:rsid w:val="00E1674D"/>
    <w:rsid w:val="00E17C72"/>
    <w:rsid w:val="00E21C7C"/>
    <w:rsid w:val="00E21FC6"/>
    <w:rsid w:val="00E23C42"/>
    <w:rsid w:val="00E25BC6"/>
    <w:rsid w:val="00E33336"/>
    <w:rsid w:val="00E40E4A"/>
    <w:rsid w:val="00E431A9"/>
    <w:rsid w:val="00E44033"/>
    <w:rsid w:val="00E51C81"/>
    <w:rsid w:val="00E52957"/>
    <w:rsid w:val="00E540BC"/>
    <w:rsid w:val="00E54D48"/>
    <w:rsid w:val="00E607FE"/>
    <w:rsid w:val="00E61824"/>
    <w:rsid w:val="00E62E7D"/>
    <w:rsid w:val="00E669E2"/>
    <w:rsid w:val="00E72A08"/>
    <w:rsid w:val="00E738D6"/>
    <w:rsid w:val="00E739D2"/>
    <w:rsid w:val="00E76135"/>
    <w:rsid w:val="00E82F4F"/>
    <w:rsid w:val="00E963BB"/>
    <w:rsid w:val="00E967DF"/>
    <w:rsid w:val="00E97189"/>
    <w:rsid w:val="00E979E3"/>
    <w:rsid w:val="00EA0D45"/>
    <w:rsid w:val="00EA69AC"/>
    <w:rsid w:val="00EB7770"/>
    <w:rsid w:val="00EB7F34"/>
    <w:rsid w:val="00EC02A8"/>
    <w:rsid w:val="00EC1FF0"/>
    <w:rsid w:val="00EC2844"/>
    <w:rsid w:val="00EC5500"/>
    <w:rsid w:val="00ED18F8"/>
    <w:rsid w:val="00ED1A66"/>
    <w:rsid w:val="00EE5F09"/>
    <w:rsid w:val="00EF08AC"/>
    <w:rsid w:val="00EF154E"/>
    <w:rsid w:val="00EF255E"/>
    <w:rsid w:val="00EF6C6C"/>
    <w:rsid w:val="00F048E2"/>
    <w:rsid w:val="00F04AD5"/>
    <w:rsid w:val="00F056FC"/>
    <w:rsid w:val="00F07C00"/>
    <w:rsid w:val="00F10476"/>
    <w:rsid w:val="00F135D8"/>
    <w:rsid w:val="00F200E5"/>
    <w:rsid w:val="00F21CE1"/>
    <w:rsid w:val="00F2244A"/>
    <w:rsid w:val="00F23EBD"/>
    <w:rsid w:val="00F249F7"/>
    <w:rsid w:val="00F25B46"/>
    <w:rsid w:val="00F26CB5"/>
    <w:rsid w:val="00F31299"/>
    <w:rsid w:val="00F3534A"/>
    <w:rsid w:val="00F36C4F"/>
    <w:rsid w:val="00F40769"/>
    <w:rsid w:val="00F425E8"/>
    <w:rsid w:val="00F42C59"/>
    <w:rsid w:val="00F437DE"/>
    <w:rsid w:val="00F44C05"/>
    <w:rsid w:val="00F454F3"/>
    <w:rsid w:val="00F51609"/>
    <w:rsid w:val="00F52368"/>
    <w:rsid w:val="00F54CBE"/>
    <w:rsid w:val="00F57C13"/>
    <w:rsid w:val="00F57CC7"/>
    <w:rsid w:val="00F60567"/>
    <w:rsid w:val="00F62712"/>
    <w:rsid w:val="00F6723D"/>
    <w:rsid w:val="00F747F5"/>
    <w:rsid w:val="00F75C63"/>
    <w:rsid w:val="00F81006"/>
    <w:rsid w:val="00F84889"/>
    <w:rsid w:val="00F85325"/>
    <w:rsid w:val="00F85BC0"/>
    <w:rsid w:val="00F87B84"/>
    <w:rsid w:val="00F93E84"/>
    <w:rsid w:val="00F95624"/>
    <w:rsid w:val="00F973DC"/>
    <w:rsid w:val="00F97913"/>
    <w:rsid w:val="00F9792D"/>
    <w:rsid w:val="00FA310B"/>
    <w:rsid w:val="00FA35B7"/>
    <w:rsid w:val="00FA3EE8"/>
    <w:rsid w:val="00FA72A5"/>
    <w:rsid w:val="00FB0EB3"/>
    <w:rsid w:val="00FB62F5"/>
    <w:rsid w:val="00FB73D3"/>
    <w:rsid w:val="00FC2322"/>
    <w:rsid w:val="00FC323C"/>
    <w:rsid w:val="00FC32A5"/>
    <w:rsid w:val="00FC59D6"/>
    <w:rsid w:val="00FD1538"/>
    <w:rsid w:val="00FD22B1"/>
    <w:rsid w:val="00FD6B72"/>
    <w:rsid w:val="00FE4399"/>
    <w:rsid w:val="00FE5397"/>
    <w:rsid w:val="00FE60BF"/>
    <w:rsid w:val="00FE7638"/>
    <w:rsid w:val="00FF5970"/>
    <w:rsid w:val="00FF6A03"/>
    <w:rsid w:val="00FF6D61"/>
    <w:rsid w:val="00FF72E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74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2" w:qFormat="1"/>
    <w:lsdException w:name="heading 3" w:qFormat="1"/>
    <w:lsdException w:name="heading 4" w:qFormat="1"/>
    <w:lsdException w:name="heading 5" w:qFormat="1"/>
    <w:lsdException w:name="Default Paragraph Font" w:uiPriority="1"/>
    <w:lsdException w:name="Body Text" w:qFormat="1"/>
    <w:lsdException w:name="Subtitle" w:qFormat="1"/>
    <w:lsdException w:name="Hyperlink" w:uiPriority="99"/>
    <w:lsdException w:name="No Lis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rsid w:val="004D32F8"/>
    <w:rPr>
      <w:sz w:val="26"/>
      <w:szCs w:val="24"/>
    </w:rPr>
  </w:style>
  <w:style w:type="paragraph" w:styleId="Heading1">
    <w:name w:val="heading 1"/>
    <w:basedOn w:val="BodyText"/>
    <w:next w:val="BodyText"/>
    <w:link w:val="Heading1Char"/>
    <w:rsid w:val="004D32F8"/>
    <w:pPr>
      <w:keepNext/>
      <w:spacing w:before="160" w:after="1360" w:line="600" w:lineRule="exact"/>
      <w:ind w:left="907" w:hanging="907"/>
      <w:jc w:val="left"/>
      <w:outlineLvl w:val="0"/>
    </w:pPr>
    <w:rPr>
      <w:sz w:val="52"/>
    </w:rPr>
  </w:style>
  <w:style w:type="paragraph" w:styleId="Heading2">
    <w:name w:val="heading 2"/>
    <w:basedOn w:val="Chapter"/>
    <w:next w:val="BodyText"/>
    <w:link w:val="Heading2Char"/>
    <w:qFormat/>
    <w:rsid w:val="004D32F8"/>
    <w:pPr>
      <w:spacing w:before="600" w:after="0" w:line="400" w:lineRule="exact"/>
      <w:ind w:left="907" w:hanging="907"/>
      <w:outlineLvl w:val="1"/>
    </w:pPr>
    <w:rPr>
      <w:rFonts w:ascii="Arial" w:hAnsi="Arial"/>
      <w:b/>
      <w:sz w:val="32"/>
    </w:rPr>
  </w:style>
  <w:style w:type="paragraph" w:styleId="Heading3">
    <w:name w:val="heading 3"/>
    <w:basedOn w:val="Heading2"/>
    <w:next w:val="BodyText"/>
    <w:link w:val="Heading3Char"/>
    <w:qFormat/>
    <w:rsid w:val="004D32F8"/>
    <w:pPr>
      <w:spacing w:before="560" w:line="320" w:lineRule="exact"/>
      <w:ind w:left="0" w:firstLine="0"/>
      <w:outlineLvl w:val="2"/>
    </w:pPr>
    <w:rPr>
      <w:sz w:val="26"/>
    </w:rPr>
  </w:style>
  <w:style w:type="paragraph" w:styleId="Heading4">
    <w:name w:val="heading 4"/>
    <w:basedOn w:val="Heading3"/>
    <w:next w:val="BodyText"/>
    <w:link w:val="Heading4Char"/>
    <w:qFormat/>
    <w:rsid w:val="004D32F8"/>
    <w:pPr>
      <w:spacing w:before="480"/>
      <w:outlineLvl w:val="3"/>
    </w:pPr>
    <w:rPr>
      <w:b w:val="0"/>
      <w:i/>
      <w:sz w:val="24"/>
    </w:rPr>
  </w:style>
  <w:style w:type="paragraph" w:styleId="Heading5">
    <w:name w:val="heading 5"/>
    <w:basedOn w:val="Heading4"/>
    <w:next w:val="BodyText"/>
    <w:link w:val="Heading5Char"/>
    <w:qFormat/>
    <w:rsid w:val="004D32F8"/>
    <w:pPr>
      <w:outlineLvl w:val="4"/>
    </w:pPr>
    <w:rPr>
      <w:rFonts w:ascii="Times New Roman" w:hAnsi="Times New Roman"/>
      <w:sz w:val="26"/>
    </w:rPr>
  </w:style>
  <w:style w:type="paragraph" w:styleId="Heading6">
    <w:name w:val="heading 6"/>
    <w:basedOn w:val="BodyText"/>
    <w:next w:val="BodyText"/>
    <w:link w:val="Heading6Char"/>
    <w:rsid w:val="004D32F8"/>
    <w:pPr>
      <w:spacing w:after="60"/>
      <w:jc w:val="left"/>
      <w:outlineLvl w:val="5"/>
    </w:pPr>
    <w:rPr>
      <w:i/>
      <w:sz w:val="22"/>
    </w:rPr>
  </w:style>
  <w:style w:type="paragraph" w:styleId="Heading7">
    <w:name w:val="heading 7"/>
    <w:basedOn w:val="BodyText"/>
    <w:next w:val="BodyText"/>
    <w:link w:val="Heading7Char"/>
    <w:rsid w:val="004D32F8"/>
    <w:pPr>
      <w:spacing w:after="60" w:line="240" w:lineRule="auto"/>
      <w:jc w:val="left"/>
      <w:outlineLvl w:val="6"/>
    </w:pPr>
    <w:rPr>
      <w:rFonts w:ascii="Arial" w:hAnsi="Arial"/>
      <w:sz w:val="20"/>
    </w:rPr>
  </w:style>
  <w:style w:type="paragraph" w:styleId="Heading8">
    <w:name w:val="heading 8"/>
    <w:basedOn w:val="BodyText"/>
    <w:next w:val="BodyText"/>
    <w:link w:val="Heading8Char"/>
    <w:rsid w:val="004D32F8"/>
    <w:pPr>
      <w:spacing w:after="60" w:line="240" w:lineRule="auto"/>
      <w:jc w:val="left"/>
      <w:outlineLvl w:val="7"/>
    </w:pPr>
    <w:rPr>
      <w:rFonts w:ascii="Arial" w:hAnsi="Arial"/>
      <w:i/>
      <w:sz w:val="20"/>
    </w:rPr>
  </w:style>
  <w:style w:type="paragraph" w:styleId="Heading9">
    <w:name w:val="heading 9"/>
    <w:basedOn w:val="BodyText"/>
    <w:next w:val="BodyText"/>
    <w:link w:val="Heading9Char"/>
    <w:rsid w:val="004D32F8"/>
    <w:pPr>
      <w:spacing w:after="60" w:line="240" w:lineRule="auto"/>
      <w:jc w:val="left"/>
      <w:outlineLvl w:val="8"/>
    </w:pPr>
    <w:rPr>
      <w:rFonts w:ascii="Arial" w:hAnsi="Arial"/>
      <w:b/>
      <w:i/>
      <w:sz w:val="18"/>
    </w:rPr>
  </w:style>
  <w:style w:type="character" w:default="1" w:styleId="DefaultParagraphFont">
    <w:name w:val="Default Paragraph Font"/>
    <w:uiPriority w:val="1"/>
    <w:semiHidden/>
    <w:unhideWhenUsed/>
    <w:rsid w:val="004D32F8"/>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4D32F8"/>
  </w:style>
  <w:style w:type="paragraph" w:styleId="BodyText">
    <w:name w:val="Body Text"/>
    <w:link w:val="BodyTextChar"/>
    <w:qFormat/>
    <w:rsid w:val="004D32F8"/>
    <w:pPr>
      <w:spacing w:before="240" w:line="320" w:lineRule="atLeast"/>
      <w:jc w:val="both"/>
    </w:pPr>
    <w:rPr>
      <w:sz w:val="26"/>
    </w:rPr>
  </w:style>
  <w:style w:type="paragraph" w:styleId="Footer">
    <w:name w:val="footer"/>
    <w:basedOn w:val="BodyText"/>
    <w:link w:val="FooterChar"/>
    <w:semiHidden/>
    <w:rsid w:val="004D32F8"/>
    <w:pPr>
      <w:spacing w:before="80" w:line="200" w:lineRule="exact"/>
      <w:ind w:right="6"/>
      <w:jc w:val="left"/>
    </w:pPr>
    <w:rPr>
      <w:caps/>
      <w:spacing w:val="-4"/>
      <w:sz w:val="16"/>
    </w:rPr>
  </w:style>
  <w:style w:type="paragraph" w:customStyle="1" w:styleId="FooterEnd">
    <w:name w:val="Footer End"/>
    <w:basedOn w:val="Footer"/>
    <w:rsid w:val="004D32F8"/>
    <w:pPr>
      <w:spacing w:before="0" w:line="20" w:lineRule="exact"/>
    </w:pPr>
  </w:style>
  <w:style w:type="paragraph" w:styleId="Header">
    <w:name w:val="header"/>
    <w:basedOn w:val="BodyText"/>
    <w:link w:val="HeaderChar"/>
    <w:rsid w:val="004D32F8"/>
    <w:pPr>
      <w:tabs>
        <w:tab w:val="center" w:pos="4394"/>
        <w:tab w:val="right" w:pos="8789"/>
      </w:tabs>
      <w:spacing w:before="0" w:line="240" w:lineRule="atLeast"/>
      <w:jc w:val="left"/>
    </w:pPr>
    <w:rPr>
      <w:rFonts w:ascii="Arial" w:hAnsi="Arial"/>
      <w:caps/>
    </w:rPr>
  </w:style>
  <w:style w:type="paragraph" w:customStyle="1" w:styleId="HeaderEnd">
    <w:name w:val="Header End"/>
    <w:basedOn w:val="Header"/>
    <w:autoRedefine/>
    <w:rsid w:val="004D32F8"/>
    <w:pPr>
      <w:spacing w:line="20" w:lineRule="exact"/>
    </w:pPr>
    <w:rPr>
      <w:sz w:val="16"/>
    </w:rPr>
  </w:style>
  <w:style w:type="paragraph" w:customStyle="1" w:styleId="HeaderEven">
    <w:name w:val="Header Even"/>
    <w:basedOn w:val="Header"/>
    <w:semiHidden/>
    <w:rsid w:val="004D32F8"/>
  </w:style>
  <w:style w:type="paragraph" w:customStyle="1" w:styleId="HeaderOdd">
    <w:name w:val="Header Odd"/>
    <w:basedOn w:val="Header"/>
    <w:semiHidden/>
    <w:rsid w:val="004D32F8"/>
  </w:style>
  <w:style w:type="character" w:styleId="PageNumber">
    <w:name w:val="page number"/>
    <w:basedOn w:val="DefaultParagraphFont"/>
    <w:rsid w:val="004D32F8"/>
    <w:rPr>
      <w:rFonts w:ascii="Arial" w:hAnsi="Arial"/>
      <w:b/>
      <w:sz w:val="16"/>
    </w:rPr>
  </w:style>
  <w:style w:type="paragraph" w:customStyle="1" w:styleId="Abbreviation">
    <w:name w:val="Abbreviation"/>
    <w:basedOn w:val="BodyText"/>
    <w:rsid w:val="004D32F8"/>
    <w:pPr>
      <w:spacing w:before="120"/>
      <w:ind w:left="2381" w:hanging="2381"/>
      <w:jc w:val="left"/>
    </w:pPr>
  </w:style>
  <w:style w:type="paragraph" w:customStyle="1" w:styleId="Box">
    <w:name w:val="Box"/>
    <w:basedOn w:val="BodyText"/>
    <w:qFormat/>
    <w:rsid w:val="004D32F8"/>
    <w:pPr>
      <w:keepNext/>
      <w:spacing w:before="120" w:line="280" w:lineRule="atLeast"/>
    </w:pPr>
    <w:rPr>
      <w:rFonts w:ascii="Arial" w:hAnsi="Arial"/>
      <w:sz w:val="22"/>
    </w:rPr>
  </w:style>
  <w:style w:type="paragraph" w:customStyle="1" w:styleId="BoxContinued">
    <w:name w:val="Box Continued"/>
    <w:basedOn w:val="BodyText"/>
    <w:next w:val="BodyText"/>
    <w:semiHidden/>
    <w:rsid w:val="004D32F8"/>
    <w:pPr>
      <w:spacing w:before="180" w:line="220" w:lineRule="exact"/>
      <w:jc w:val="right"/>
    </w:pPr>
    <w:rPr>
      <w:rFonts w:ascii="Arial" w:hAnsi="Arial"/>
      <w:sz w:val="18"/>
    </w:rPr>
  </w:style>
  <w:style w:type="paragraph" w:customStyle="1" w:styleId="BoxHeading1">
    <w:name w:val="Box Heading 1"/>
    <w:basedOn w:val="BodyText"/>
    <w:next w:val="Box"/>
    <w:rsid w:val="004D32F8"/>
    <w:pPr>
      <w:keepNext/>
      <w:spacing w:before="200" w:line="280" w:lineRule="atLeast"/>
    </w:pPr>
    <w:rPr>
      <w:rFonts w:ascii="Arial" w:hAnsi="Arial"/>
      <w:b/>
      <w:sz w:val="22"/>
    </w:rPr>
  </w:style>
  <w:style w:type="paragraph" w:customStyle="1" w:styleId="BoxHeading2">
    <w:name w:val="Box Heading 2"/>
    <w:basedOn w:val="BoxHeading1"/>
    <w:next w:val="Normal"/>
    <w:rsid w:val="004D32F8"/>
    <w:rPr>
      <w:b w:val="0"/>
      <w:i/>
    </w:rPr>
  </w:style>
  <w:style w:type="paragraph" w:customStyle="1" w:styleId="BoxListBullet">
    <w:name w:val="Box List Bullet"/>
    <w:basedOn w:val="BodyText"/>
    <w:rsid w:val="004D32F8"/>
    <w:pPr>
      <w:keepNext/>
      <w:numPr>
        <w:numId w:val="1"/>
      </w:numPr>
      <w:spacing w:before="60" w:line="280" w:lineRule="atLeast"/>
    </w:pPr>
    <w:rPr>
      <w:rFonts w:ascii="Arial" w:hAnsi="Arial"/>
      <w:sz w:val="22"/>
    </w:rPr>
  </w:style>
  <w:style w:type="paragraph" w:customStyle="1" w:styleId="BoxListBullet2">
    <w:name w:val="Box List Bullet 2"/>
    <w:basedOn w:val="BodyText"/>
    <w:rsid w:val="004D32F8"/>
    <w:pPr>
      <w:keepNext/>
      <w:numPr>
        <w:numId w:val="16"/>
      </w:numPr>
      <w:spacing w:before="60" w:line="280" w:lineRule="atLeast"/>
    </w:pPr>
    <w:rPr>
      <w:rFonts w:ascii="Arial" w:hAnsi="Arial"/>
      <w:sz w:val="22"/>
    </w:rPr>
  </w:style>
  <w:style w:type="paragraph" w:customStyle="1" w:styleId="BoxListNumber">
    <w:name w:val="Box List Number"/>
    <w:basedOn w:val="BodyText"/>
    <w:rsid w:val="004D32F8"/>
    <w:pPr>
      <w:keepNext/>
      <w:numPr>
        <w:numId w:val="12"/>
      </w:numPr>
      <w:spacing w:before="60" w:line="280" w:lineRule="atLeast"/>
    </w:pPr>
    <w:rPr>
      <w:rFonts w:ascii="Arial" w:hAnsi="Arial"/>
      <w:sz w:val="22"/>
    </w:rPr>
  </w:style>
  <w:style w:type="paragraph" w:customStyle="1" w:styleId="BoxListNumber2">
    <w:name w:val="Box List Number 2"/>
    <w:basedOn w:val="BoxListNumber"/>
    <w:rsid w:val="004D32F8"/>
    <w:pPr>
      <w:numPr>
        <w:ilvl w:val="1"/>
      </w:numPr>
    </w:pPr>
  </w:style>
  <w:style w:type="paragraph" w:customStyle="1" w:styleId="BoxQuote">
    <w:name w:val="Box Quote"/>
    <w:basedOn w:val="BodyText"/>
    <w:next w:val="Box"/>
    <w:rsid w:val="004D32F8"/>
    <w:pPr>
      <w:keepNext/>
      <w:spacing w:before="60" w:line="260" w:lineRule="exact"/>
      <w:ind w:left="284"/>
    </w:pPr>
    <w:rPr>
      <w:rFonts w:ascii="Arial" w:hAnsi="Arial"/>
      <w:sz w:val="20"/>
    </w:rPr>
  </w:style>
  <w:style w:type="paragraph" w:customStyle="1" w:styleId="Note">
    <w:name w:val="Note"/>
    <w:basedOn w:val="BodyText"/>
    <w:next w:val="BodyText"/>
    <w:link w:val="NoteChar"/>
    <w:rsid w:val="004D32F8"/>
    <w:pPr>
      <w:keepLines/>
      <w:spacing w:before="80" w:line="220" w:lineRule="exact"/>
    </w:pPr>
    <w:rPr>
      <w:rFonts w:ascii="Arial" w:hAnsi="Arial"/>
      <w:sz w:val="18"/>
    </w:rPr>
  </w:style>
  <w:style w:type="paragraph" w:customStyle="1" w:styleId="Source">
    <w:name w:val="Source"/>
    <w:basedOn w:val="Note"/>
    <w:next w:val="BodyText"/>
    <w:link w:val="SourceChar"/>
    <w:rsid w:val="004D32F8"/>
    <w:pPr>
      <w:spacing w:after="120"/>
    </w:pPr>
  </w:style>
  <w:style w:type="paragraph" w:customStyle="1" w:styleId="BoxSource">
    <w:name w:val="Box Source"/>
    <w:basedOn w:val="Source"/>
    <w:next w:val="BodyText"/>
    <w:rsid w:val="004D32F8"/>
    <w:pPr>
      <w:spacing w:before="180" w:after="0"/>
    </w:pPr>
  </w:style>
  <w:style w:type="paragraph" w:customStyle="1" w:styleId="BoxSpaceAbove">
    <w:name w:val="Box Space Above"/>
    <w:basedOn w:val="BodyText"/>
    <w:rsid w:val="004D32F8"/>
    <w:pPr>
      <w:keepNext/>
      <w:spacing w:before="360" w:line="80" w:lineRule="exact"/>
      <w:jc w:val="left"/>
    </w:pPr>
  </w:style>
  <w:style w:type="paragraph" w:styleId="Caption">
    <w:name w:val="caption"/>
    <w:basedOn w:val="Normal"/>
    <w:next w:val="BodyText"/>
    <w:rsid w:val="004D32F8"/>
    <w:pPr>
      <w:keepNext/>
      <w:keepLines/>
      <w:spacing w:before="360" w:after="80" w:line="280" w:lineRule="exact"/>
      <w:ind w:left="1474" w:hanging="1474"/>
    </w:pPr>
    <w:rPr>
      <w:rFonts w:ascii="Arial" w:hAnsi="Arial"/>
      <w:b/>
    </w:rPr>
  </w:style>
  <w:style w:type="paragraph" w:customStyle="1" w:styleId="BoxTitle">
    <w:name w:val="Box Title"/>
    <w:basedOn w:val="Caption"/>
    <w:next w:val="BoxSubtitle"/>
    <w:rsid w:val="004D32F8"/>
    <w:pPr>
      <w:spacing w:before="120" w:after="0"/>
      <w:ind w:left="1304" w:hanging="1304"/>
    </w:pPr>
    <w:rPr>
      <w:sz w:val="24"/>
    </w:rPr>
  </w:style>
  <w:style w:type="paragraph" w:customStyle="1" w:styleId="BoxSubtitle">
    <w:name w:val="Box Subtitle"/>
    <w:basedOn w:val="BoxTitle"/>
    <w:next w:val="Normal"/>
    <w:rsid w:val="004D32F8"/>
    <w:pPr>
      <w:spacing w:after="80" w:line="200" w:lineRule="exact"/>
      <w:ind w:firstLine="0"/>
    </w:pPr>
    <w:rPr>
      <w:b w:val="0"/>
      <w:sz w:val="20"/>
    </w:rPr>
  </w:style>
  <w:style w:type="paragraph" w:customStyle="1" w:styleId="Chapter">
    <w:name w:val="Chapter"/>
    <w:basedOn w:val="Heading1"/>
    <w:next w:val="BodyText"/>
    <w:semiHidden/>
    <w:rsid w:val="004D32F8"/>
    <w:pPr>
      <w:ind w:left="0" w:firstLine="0"/>
      <w:outlineLvl w:val="9"/>
    </w:pPr>
  </w:style>
  <w:style w:type="paragraph" w:customStyle="1" w:styleId="ChapterSummary">
    <w:name w:val="Chapter Summary"/>
    <w:basedOn w:val="BodyText"/>
    <w:rsid w:val="004D32F8"/>
    <w:pPr>
      <w:ind w:left="907"/>
    </w:pPr>
    <w:rPr>
      <w:rFonts w:ascii="Arial" w:hAnsi="Arial"/>
      <w:b/>
      <w:sz w:val="22"/>
    </w:rPr>
  </w:style>
  <w:style w:type="character" w:styleId="CommentReference">
    <w:name w:val="annotation reference"/>
    <w:basedOn w:val="DefaultParagraphFont"/>
    <w:semiHidden/>
    <w:rsid w:val="004D32F8"/>
    <w:rPr>
      <w:b/>
      <w:vanish/>
      <w:color w:val="FF00FF"/>
      <w:sz w:val="20"/>
    </w:rPr>
  </w:style>
  <w:style w:type="paragraph" w:styleId="CommentText">
    <w:name w:val="annotation text"/>
    <w:basedOn w:val="Normal"/>
    <w:link w:val="CommentTextChar"/>
    <w:semiHidden/>
    <w:rsid w:val="004D32F8"/>
    <w:pPr>
      <w:spacing w:before="120" w:line="240" w:lineRule="atLeast"/>
      <w:ind w:left="567" w:hanging="567"/>
    </w:pPr>
    <w:rPr>
      <w:sz w:val="20"/>
    </w:rPr>
  </w:style>
  <w:style w:type="paragraph" w:customStyle="1" w:styleId="Continued">
    <w:name w:val="Continued"/>
    <w:basedOn w:val="BoxContinued"/>
    <w:next w:val="BodyText"/>
    <w:rsid w:val="004D32F8"/>
  </w:style>
  <w:style w:type="character" w:customStyle="1" w:styleId="DocumentInfo">
    <w:name w:val="Document Info"/>
    <w:basedOn w:val="DefaultParagraphFont"/>
    <w:semiHidden/>
    <w:rsid w:val="004D32F8"/>
    <w:rPr>
      <w:rFonts w:ascii="Arial" w:hAnsi="Arial"/>
      <w:sz w:val="14"/>
    </w:rPr>
  </w:style>
  <w:style w:type="character" w:customStyle="1" w:styleId="DraftingNote">
    <w:name w:val="Drafting Note"/>
    <w:basedOn w:val="DefaultParagraphFont"/>
    <w:rsid w:val="004D32F8"/>
    <w:rPr>
      <w:b/>
      <w:color w:val="FF0000"/>
      <w:sz w:val="24"/>
      <w:u w:val="dotted"/>
    </w:rPr>
  </w:style>
  <w:style w:type="paragraph" w:customStyle="1" w:styleId="Figure">
    <w:name w:val="Figure"/>
    <w:basedOn w:val="BodyText"/>
    <w:rsid w:val="004D32F8"/>
    <w:pPr>
      <w:keepNext/>
      <w:spacing w:before="120" w:after="120" w:line="240" w:lineRule="atLeast"/>
      <w:jc w:val="center"/>
    </w:pPr>
  </w:style>
  <w:style w:type="paragraph" w:customStyle="1" w:styleId="FigureTitle">
    <w:name w:val="Figure Title"/>
    <w:basedOn w:val="Caption"/>
    <w:next w:val="Subtitle"/>
    <w:rsid w:val="004D32F8"/>
    <w:rPr>
      <w:sz w:val="24"/>
    </w:rPr>
  </w:style>
  <w:style w:type="paragraph" w:styleId="Subtitle">
    <w:name w:val="Subtitle"/>
    <w:basedOn w:val="Caption"/>
    <w:link w:val="SubtitleChar"/>
    <w:rsid w:val="004D32F8"/>
    <w:pPr>
      <w:spacing w:before="0" w:line="200" w:lineRule="exact"/>
      <w:ind w:firstLine="0"/>
    </w:pPr>
    <w:rPr>
      <w:b w:val="0"/>
      <w:sz w:val="20"/>
    </w:rPr>
  </w:style>
  <w:style w:type="paragraph" w:customStyle="1" w:styleId="Finding">
    <w:name w:val="Finding"/>
    <w:basedOn w:val="BodyText"/>
    <w:rsid w:val="004D32F8"/>
    <w:pPr>
      <w:keepLines/>
      <w:spacing w:before="180"/>
    </w:pPr>
    <w:rPr>
      <w:i/>
    </w:rPr>
  </w:style>
  <w:style w:type="paragraph" w:customStyle="1" w:styleId="FindingBullet">
    <w:name w:val="Finding Bullet"/>
    <w:basedOn w:val="Finding"/>
    <w:rsid w:val="004D32F8"/>
    <w:pPr>
      <w:numPr>
        <w:numId w:val="2"/>
      </w:numPr>
      <w:spacing w:before="80"/>
    </w:pPr>
  </w:style>
  <w:style w:type="paragraph" w:customStyle="1" w:styleId="FindingNoTitle">
    <w:name w:val="Finding NoTitle"/>
    <w:basedOn w:val="Finding"/>
    <w:semiHidden/>
    <w:rsid w:val="004D32F8"/>
    <w:pPr>
      <w:spacing w:before="240"/>
    </w:pPr>
  </w:style>
  <w:style w:type="paragraph" w:customStyle="1" w:styleId="RecTitle">
    <w:name w:val="Rec Title"/>
    <w:basedOn w:val="BodyText"/>
    <w:next w:val="Normal"/>
    <w:rsid w:val="004D32F8"/>
    <w:pPr>
      <w:keepNext/>
      <w:keepLines/>
    </w:pPr>
    <w:rPr>
      <w:caps/>
      <w:sz w:val="20"/>
    </w:rPr>
  </w:style>
  <w:style w:type="paragraph" w:customStyle="1" w:styleId="FindingTitle">
    <w:name w:val="Finding Title"/>
    <w:basedOn w:val="RecTitle"/>
    <w:next w:val="Finding"/>
    <w:rsid w:val="004D32F8"/>
    <w:pPr>
      <w:framePr w:wrap="notBeside" w:hAnchor="text"/>
    </w:pPr>
  </w:style>
  <w:style w:type="character" w:styleId="FootnoteReference">
    <w:name w:val="footnote reference"/>
    <w:basedOn w:val="DefaultParagraphFont"/>
    <w:semiHidden/>
    <w:rsid w:val="004D32F8"/>
    <w:rPr>
      <w:rFonts w:ascii="Times New Roman" w:hAnsi="Times New Roman"/>
      <w:position w:val="6"/>
      <w:sz w:val="22"/>
      <w:vertAlign w:val="baseline"/>
    </w:rPr>
  </w:style>
  <w:style w:type="paragraph" w:styleId="FootnoteText">
    <w:name w:val="footnote text"/>
    <w:basedOn w:val="BodyText"/>
    <w:link w:val="FootnoteTextChar"/>
    <w:rsid w:val="004D32F8"/>
    <w:pPr>
      <w:tabs>
        <w:tab w:val="left" w:pos="284"/>
      </w:tabs>
      <w:spacing w:before="80" w:line="260" w:lineRule="exact"/>
      <w:ind w:left="284" w:hanging="284"/>
    </w:pPr>
    <w:rPr>
      <w:sz w:val="22"/>
    </w:rPr>
  </w:style>
  <w:style w:type="paragraph" w:customStyle="1" w:styleId="InformationRequest">
    <w:name w:val="Information Request"/>
    <w:basedOn w:val="Finding"/>
    <w:next w:val="BodyText"/>
    <w:rsid w:val="004D32F8"/>
    <w:pPr>
      <w:spacing w:before="360" w:after="120"/>
    </w:pPr>
    <w:rPr>
      <w:rFonts w:ascii="Arial" w:hAnsi="Arial"/>
      <w:sz w:val="24"/>
    </w:rPr>
  </w:style>
  <w:style w:type="paragraph" w:customStyle="1" w:styleId="Jurisdictioncommentsbodytext">
    <w:name w:val="Jurisdiction comments body text"/>
    <w:rsid w:val="004D32F8"/>
    <w:pPr>
      <w:spacing w:after="140"/>
      <w:jc w:val="both"/>
    </w:pPr>
    <w:rPr>
      <w:rFonts w:ascii="Arial" w:hAnsi="Arial"/>
      <w:sz w:val="24"/>
      <w:lang w:eastAsia="en-US"/>
    </w:rPr>
  </w:style>
  <w:style w:type="paragraph" w:customStyle="1" w:styleId="Jurisdictioncommentsheading">
    <w:name w:val="Jurisdiction comments heading"/>
    <w:rsid w:val="004D32F8"/>
    <w:pPr>
      <w:spacing w:after="140" w:line="320" w:lineRule="atLeast"/>
      <w:jc w:val="both"/>
    </w:pPr>
    <w:rPr>
      <w:rFonts w:ascii="Arial" w:hAnsi="Arial"/>
      <w:b/>
      <w:sz w:val="24"/>
      <w:lang w:eastAsia="en-US"/>
    </w:rPr>
  </w:style>
  <w:style w:type="paragraph" w:customStyle="1" w:styleId="Jurisdictioncommentslistbullet">
    <w:name w:val="Jurisdiction comments list bullet"/>
    <w:rsid w:val="004D32F8"/>
    <w:pPr>
      <w:numPr>
        <w:numId w:val="3"/>
      </w:numPr>
      <w:spacing w:after="140"/>
      <w:jc w:val="both"/>
    </w:pPr>
    <w:rPr>
      <w:rFonts w:ascii="Arial" w:hAnsi="Arial"/>
      <w:sz w:val="24"/>
      <w:lang w:eastAsia="en-US"/>
    </w:rPr>
  </w:style>
  <w:style w:type="paragraph" w:styleId="ListBullet">
    <w:name w:val="List Bullet"/>
    <w:basedOn w:val="BodyText"/>
    <w:link w:val="ListBulletChar"/>
    <w:rsid w:val="004D32F8"/>
    <w:pPr>
      <w:numPr>
        <w:numId w:val="4"/>
      </w:numPr>
      <w:spacing w:before="120"/>
    </w:pPr>
  </w:style>
  <w:style w:type="paragraph" w:styleId="ListBullet2">
    <w:name w:val="List Bullet 2"/>
    <w:basedOn w:val="BodyText"/>
    <w:rsid w:val="004D32F8"/>
    <w:pPr>
      <w:numPr>
        <w:numId w:val="5"/>
      </w:numPr>
      <w:spacing w:before="120"/>
    </w:pPr>
  </w:style>
  <w:style w:type="paragraph" w:styleId="ListBullet3">
    <w:name w:val="List Bullet 3"/>
    <w:basedOn w:val="BodyText"/>
    <w:rsid w:val="004D32F8"/>
    <w:pPr>
      <w:numPr>
        <w:numId w:val="6"/>
      </w:numPr>
      <w:spacing w:before="120"/>
    </w:pPr>
  </w:style>
  <w:style w:type="paragraph" w:styleId="ListNumber">
    <w:name w:val="List Number"/>
    <w:basedOn w:val="BodyText"/>
    <w:rsid w:val="004D32F8"/>
    <w:pPr>
      <w:numPr>
        <w:numId w:val="11"/>
      </w:numPr>
      <w:spacing w:before="120"/>
    </w:pPr>
  </w:style>
  <w:style w:type="paragraph" w:styleId="ListNumber2">
    <w:name w:val="List Number 2"/>
    <w:basedOn w:val="ListNumber"/>
    <w:rsid w:val="004D32F8"/>
    <w:pPr>
      <w:numPr>
        <w:ilvl w:val="1"/>
      </w:numPr>
    </w:pPr>
  </w:style>
  <w:style w:type="paragraph" w:styleId="ListNumber3">
    <w:name w:val="List Number 3"/>
    <w:basedOn w:val="ListNumber2"/>
    <w:rsid w:val="004D32F8"/>
    <w:pPr>
      <w:numPr>
        <w:ilvl w:val="2"/>
      </w:numPr>
    </w:pPr>
  </w:style>
  <w:style w:type="character" w:customStyle="1" w:styleId="NoteLabel">
    <w:name w:val="Note Label"/>
    <w:basedOn w:val="DefaultParagraphFont"/>
    <w:rsid w:val="004D32F8"/>
    <w:rPr>
      <w:rFonts w:ascii="Arial" w:hAnsi="Arial"/>
      <w:b/>
      <w:position w:val="6"/>
      <w:sz w:val="18"/>
    </w:rPr>
  </w:style>
  <w:style w:type="paragraph" w:customStyle="1" w:styleId="PartDivider">
    <w:name w:val="Part Divider"/>
    <w:basedOn w:val="BodyText"/>
    <w:next w:val="BodyText"/>
    <w:semiHidden/>
    <w:rsid w:val="004D32F8"/>
    <w:pPr>
      <w:spacing w:before="0" w:line="40" w:lineRule="exact"/>
      <w:jc w:val="right"/>
    </w:pPr>
    <w:rPr>
      <w:smallCaps/>
      <w:sz w:val="16"/>
    </w:rPr>
  </w:style>
  <w:style w:type="paragraph" w:customStyle="1" w:styleId="PartNumber">
    <w:name w:val="Part Number"/>
    <w:basedOn w:val="BodyText"/>
    <w:next w:val="BodyText"/>
    <w:semiHidden/>
    <w:rsid w:val="004D32F8"/>
    <w:pPr>
      <w:spacing w:before="4000" w:line="320" w:lineRule="exact"/>
      <w:ind w:left="6634"/>
      <w:jc w:val="right"/>
    </w:pPr>
    <w:rPr>
      <w:smallCaps/>
      <w:spacing w:val="60"/>
      <w:sz w:val="32"/>
    </w:rPr>
  </w:style>
  <w:style w:type="paragraph" w:customStyle="1" w:styleId="PartTitle">
    <w:name w:val="Part Title"/>
    <w:basedOn w:val="BodyText"/>
    <w:semiHidden/>
    <w:rsid w:val="004D32F8"/>
    <w:pPr>
      <w:spacing w:before="160" w:after="1360" w:line="520" w:lineRule="exact"/>
      <w:ind w:right="2381"/>
      <w:jc w:val="right"/>
    </w:pPr>
    <w:rPr>
      <w:smallCaps/>
      <w:sz w:val="52"/>
    </w:rPr>
  </w:style>
  <w:style w:type="paragraph" w:styleId="Quote">
    <w:name w:val="Quote"/>
    <w:basedOn w:val="BodyText"/>
    <w:next w:val="BodyText"/>
    <w:link w:val="QuoteChar"/>
    <w:qFormat/>
    <w:rsid w:val="004D32F8"/>
    <w:pPr>
      <w:spacing w:before="120" w:line="280" w:lineRule="exact"/>
      <w:ind w:left="340"/>
    </w:pPr>
    <w:rPr>
      <w:sz w:val="24"/>
    </w:rPr>
  </w:style>
  <w:style w:type="paragraph" w:customStyle="1" w:styleId="QuoteBullet">
    <w:name w:val="Quote Bullet"/>
    <w:basedOn w:val="Quote"/>
    <w:rsid w:val="004D32F8"/>
    <w:pPr>
      <w:numPr>
        <w:numId w:val="7"/>
      </w:numPr>
    </w:pPr>
  </w:style>
  <w:style w:type="paragraph" w:customStyle="1" w:styleId="Rec">
    <w:name w:val="Rec"/>
    <w:basedOn w:val="BodyText"/>
    <w:rsid w:val="004D32F8"/>
    <w:pPr>
      <w:keepLines/>
      <w:spacing w:before="180"/>
    </w:pPr>
    <w:rPr>
      <w:b/>
      <w:i/>
    </w:rPr>
  </w:style>
  <w:style w:type="paragraph" w:customStyle="1" w:styleId="RecBullet">
    <w:name w:val="Rec Bullet"/>
    <w:basedOn w:val="Rec"/>
    <w:rsid w:val="004D32F8"/>
    <w:pPr>
      <w:numPr>
        <w:numId w:val="8"/>
      </w:numPr>
      <w:spacing w:before="80"/>
    </w:pPr>
  </w:style>
  <w:style w:type="paragraph" w:customStyle="1" w:styleId="RecB">
    <w:name w:val="RecB"/>
    <w:basedOn w:val="Normal"/>
    <w:semiHidden/>
    <w:rsid w:val="004D32F8"/>
    <w:pPr>
      <w:keepLines/>
      <w:pBdr>
        <w:left w:val="single" w:sz="24" w:space="12" w:color="C0C0C0"/>
      </w:pBdr>
      <w:spacing w:before="180" w:line="320" w:lineRule="atLeast"/>
      <w:jc w:val="both"/>
    </w:pPr>
    <w:rPr>
      <w:b/>
      <w:i/>
      <w:szCs w:val="20"/>
    </w:rPr>
  </w:style>
  <w:style w:type="paragraph" w:customStyle="1" w:styleId="RecBBullet">
    <w:name w:val="RecB Bullet"/>
    <w:basedOn w:val="RecB"/>
    <w:semiHidden/>
    <w:rsid w:val="004D32F8"/>
    <w:pPr>
      <w:numPr>
        <w:numId w:val="13"/>
      </w:numPr>
      <w:spacing w:before="80"/>
    </w:pPr>
  </w:style>
  <w:style w:type="paragraph" w:customStyle="1" w:styleId="RecBNoTitle">
    <w:name w:val="RecB NoTitle"/>
    <w:basedOn w:val="RecB"/>
    <w:semiHidden/>
    <w:rsid w:val="004D32F8"/>
    <w:pPr>
      <w:spacing w:before="240"/>
    </w:pPr>
  </w:style>
  <w:style w:type="paragraph" w:customStyle="1" w:styleId="Reference">
    <w:name w:val="Reference"/>
    <w:basedOn w:val="BodyText"/>
    <w:link w:val="ReferenceChar"/>
    <w:rsid w:val="004D32F8"/>
    <w:pPr>
      <w:spacing w:before="120"/>
      <w:ind w:left="340" w:hanging="340"/>
    </w:pPr>
  </w:style>
  <w:style w:type="paragraph" w:customStyle="1" w:styleId="SequenceInfo">
    <w:name w:val="Sequence Info"/>
    <w:basedOn w:val="BodyText"/>
    <w:semiHidden/>
    <w:rsid w:val="004D32F8"/>
    <w:rPr>
      <w:vanish/>
      <w:sz w:val="16"/>
    </w:rPr>
  </w:style>
  <w:style w:type="paragraph" w:customStyle="1" w:styleId="SideNote">
    <w:name w:val="Side Note"/>
    <w:basedOn w:val="BodyText"/>
    <w:next w:val="BodyText"/>
    <w:semiHidden/>
    <w:rsid w:val="004D32F8"/>
    <w:pPr>
      <w:keepNext/>
      <w:keepLines/>
      <w:framePr w:w="2155" w:hSpace="227" w:vSpace="181" w:wrap="around" w:vAnchor="text" w:hAnchor="page" w:xAlign="outside" w:y="1"/>
      <w:jc w:val="left"/>
    </w:pPr>
    <w:rPr>
      <w:i/>
      <w:sz w:val="24"/>
    </w:rPr>
  </w:style>
  <w:style w:type="paragraph" w:customStyle="1" w:styleId="SideNoteBullet">
    <w:name w:val="Side Note Bullet"/>
    <w:basedOn w:val="SideNote"/>
    <w:next w:val="BodyText"/>
    <w:semiHidden/>
    <w:rsid w:val="004D32F8"/>
    <w:pPr>
      <w:framePr w:wrap="around"/>
      <w:numPr>
        <w:numId w:val="9"/>
      </w:numPr>
      <w:tabs>
        <w:tab w:val="left" w:pos="227"/>
      </w:tabs>
    </w:pPr>
  </w:style>
  <w:style w:type="paragraph" w:customStyle="1" w:styleId="SideNoteGraphic">
    <w:name w:val="Side Note Graphic"/>
    <w:basedOn w:val="SideNote"/>
    <w:next w:val="BodyText"/>
    <w:semiHidden/>
    <w:rsid w:val="004D32F8"/>
    <w:pPr>
      <w:framePr w:wrap="around"/>
    </w:pPr>
  </w:style>
  <w:style w:type="paragraph" w:customStyle="1" w:styleId="TableBodyText">
    <w:name w:val="Table Body Text"/>
    <w:basedOn w:val="BodyText"/>
    <w:link w:val="TableBodyTextChar"/>
    <w:rsid w:val="004D32F8"/>
    <w:pPr>
      <w:keepNext/>
      <w:keepLines/>
      <w:spacing w:before="0" w:after="40" w:line="220" w:lineRule="atLeast"/>
      <w:ind w:left="6" w:right="113"/>
      <w:jc w:val="right"/>
    </w:pPr>
    <w:rPr>
      <w:rFonts w:ascii="Arial" w:hAnsi="Arial"/>
      <w:sz w:val="20"/>
    </w:rPr>
  </w:style>
  <w:style w:type="paragraph" w:customStyle="1" w:styleId="TableBullet">
    <w:name w:val="Table Bullet"/>
    <w:basedOn w:val="TableBodyText"/>
    <w:link w:val="TableBulletChar"/>
    <w:rsid w:val="004D32F8"/>
    <w:pPr>
      <w:numPr>
        <w:numId w:val="10"/>
      </w:numPr>
      <w:jc w:val="left"/>
    </w:pPr>
  </w:style>
  <w:style w:type="paragraph" w:customStyle="1" w:styleId="TableColumnHeading">
    <w:name w:val="Table Column Heading"/>
    <w:basedOn w:val="TableBodyText"/>
    <w:rsid w:val="004D32F8"/>
    <w:pPr>
      <w:spacing w:before="80" w:after="80"/>
    </w:pPr>
    <w:rPr>
      <w:i/>
    </w:rPr>
  </w:style>
  <w:style w:type="paragraph" w:styleId="TOC2">
    <w:name w:val="toc 2"/>
    <w:basedOn w:val="BodyText"/>
    <w:semiHidden/>
    <w:rsid w:val="004D32F8"/>
    <w:pPr>
      <w:tabs>
        <w:tab w:val="right" w:pos="8789"/>
      </w:tabs>
      <w:ind w:left="510" w:right="851" w:hanging="510"/>
      <w:jc w:val="left"/>
    </w:pPr>
    <w:rPr>
      <w:b/>
    </w:rPr>
  </w:style>
  <w:style w:type="paragraph" w:styleId="TOC3">
    <w:name w:val="toc 3"/>
    <w:basedOn w:val="TOC2"/>
    <w:semiHidden/>
    <w:rsid w:val="004D32F8"/>
    <w:pPr>
      <w:spacing w:before="60"/>
      <w:ind w:left="1190" w:hanging="680"/>
    </w:pPr>
    <w:rPr>
      <w:b w:val="0"/>
    </w:rPr>
  </w:style>
  <w:style w:type="paragraph" w:styleId="TableofFigures">
    <w:name w:val="table of figures"/>
    <w:basedOn w:val="TOC3"/>
    <w:next w:val="BodyText"/>
    <w:semiHidden/>
    <w:rsid w:val="004D32F8"/>
    <w:pPr>
      <w:ind w:left="737" w:hanging="737"/>
    </w:pPr>
  </w:style>
  <w:style w:type="paragraph" w:customStyle="1" w:styleId="TableTitle">
    <w:name w:val="Table Title"/>
    <w:basedOn w:val="Caption"/>
    <w:next w:val="Subtitle"/>
    <w:rsid w:val="004D32F8"/>
    <w:rPr>
      <w:sz w:val="24"/>
    </w:rPr>
  </w:style>
  <w:style w:type="paragraph" w:customStyle="1" w:styleId="TableUnitsRow">
    <w:name w:val="Table Units Row"/>
    <w:basedOn w:val="TableBodyText"/>
    <w:rsid w:val="004D32F8"/>
    <w:pPr>
      <w:spacing w:before="80" w:after="80"/>
    </w:pPr>
  </w:style>
  <w:style w:type="paragraph" w:styleId="TOC1">
    <w:name w:val="toc 1"/>
    <w:basedOn w:val="Normal"/>
    <w:next w:val="TOC2"/>
    <w:semiHidden/>
    <w:rsid w:val="004D32F8"/>
    <w:pPr>
      <w:tabs>
        <w:tab w:val="right" w:pos="8789"/>
      </w:tabs>
      <w:spacing w:before="480" w:after="60" w:line="320" w:lineRule="exact"/>
      <w:ind w:left="1191" w:right="851" w:hanging="1191"/>
    </w:pPr>
    <w:rPr>
      <w:b/>
      <w:caps/>
    </w:rPr>
  </w:style>
  <w:style w:type="paragraph" w:styleId="TOC4">
    <w:name w:val="toc 4"/>
    <w:basedOn w:val="TOC3"/>
    <w:semiHidden/>
    <w:rsid w:val="004D32F8"/>
    <w:pPr>
      <w:ind w:left="1191" w:firstLine="0"/>
    </w:pPr>
  </w:style>
  <w:style w:type="paragraph" w:customStyle="1" w:styleId="RecBBullet2">
    <w:name w:val="RecB Bullet 2"/>
    <w:basedOn w:val="ListBullet2"/>
    <w:semiHidden/>
    <w:rsid w:val="004D32F8"/>
    <w:pPr>
      <w:numPr>
        <w:numId w:val="0"/>
      </w:numPr>
      <w:pBdr>
        <w:left w:val="single" w:sz="24" w:space="29" w:color="C0C0C0"/>
      </w:pBdr>
    </w:pPr>
    <w:rPr>
      <w:b/>
      <w:i/>
    </w:rPr>
  </w:style>
  <w:style w:type="paragraph" w:styleId="BalloonText">
    <w:name w:val="Balloon Text"/>
    <w:basedOn w:val="Normal"/>
    <w:link w:val="BalloonTextChar"/>
    <w:rsid w:val="004D32F8"/>
    <w:rPr>
      <w:rFonts w:ascii="Tahoma" w:hAnsi="Tahoma" w:cs="Tahoma"/>
      <w:sz w:val="16"/>
      <w:szCs w:val="16"/>
    </w:rPr>
  </w:style>
  <w:style w:type="character" w:customStyle="1" w:styleId="BalloonTextChar">
    <w:name w:val="Balloon Text Char"/>
    <w:basedOn w:val="DefaultParagraphFont"/>
    <w:link w:val="BalloonText"/>
    <w:rsid w:val="004D32F8"/>
    <w:rPr>
      <w:rFonts w:ascii="Tahoma" w:hAnsi="Tahoma" w:cs="Tahoma"/>
      <w:sz w:val="16"/>
      <w:szCs w:val="16"/>
    </w:rPr>
  </w:style>
  <w:style w:type="character" w:customStyle="1" w:styleId="SubtitleChar">
    <w:name w:val="Subtitle Char"/>
    <w:basedOn w:val="DefaultParagraphFont"/>
    <w:link w:val="Subtitle"/>
    <w:rsid w:val="004D32F8"/>
    <w:rPr>
      <w:rFonts w:ascii="Arial" w:hAnsi="Arial"/>
      <w:szCs w:val="24"/>
    </w:rPr>
  </w:style>
  <w:style w:type="paragraph" w:customStyle="1" w:styleId="BoxListBullet3">
    <w:name w:val="Box List Bullet 3"/>
    <w:basedOn w:val="ListBullet3"/>
    <w:rsid w:val="004D32F8"/>
    <w:pPr>
      <w:numPr>
        <w:numId w:val="17"/>
      </w:numPr>
      <w:tabs>
        <w:tab w:val="left" w:pos="907"/>
      </w:tabs>
      <w:spacing w:before="60" w:line="280" w:lineRule="atLeast"/>
    </w:pPr>
    <w:rPr>
      <w:rFonts w:ascii="Arial" w:hAnsi="Arial"/>
      <w:sz w:val="22"/>
    </w:rPr>
  </w:style>
  <w:style w:type="character" w:styleId="Emphasis">
    <w:name w:val="Emphasis"/>
    <w:basedOn w:val="DefaultParagraphFont"/>
    <w:rsid w:val="004D32F8"/>
    <w:rPr>
      <w:i/>
      <w:iCs/>
    </w:rPr>
  </w:style>
  <w:style w:type="paragraph" w:customStyle="1" w:styleId="BoxQuoteBullet">
    <w:name w:val="Box Quote Bullet"/>
    <w:basedOn w:val="BoxQuote"/>
    <w:next w:val="Box"/>
    <w:rsid w:val="004D32F8"/>
    <w:pPr>
      <w:numPr>
        <w:numId w:val="14"/>
      </w:numPr>
    </w:pPr>
  </w:style>
  <w:style w:type="paragraph" w:customStyle="1" w:styleId="InformationRequestBullet">
    <w:name w:val="Information Request Bullet"/>
    <w:basedOn w:val="ListBullet"/>
    <w:next w:val="BodyText"/>
    <w:rsid w:val="004D32F8"/>
    <w:pPr>
      <w:numPr>
        <w:numId w:val="15"/>
      </w:numPr>
    </w:pPr>
    <w:rPr>
      <w:rFonts w:ascii="Arial" w:hAnsi="Arial"/>
      <w:i/>
      <w:sz w:val="24"/>
    </w:rPr>
  </w:style>
  <w:style w:type="paragraph" w:customStyle="1" w:styleId="BoxSpaceBelow">
    <w:name w:val="Box Space Below"/>
    <w:basedOn w:val="Box"/>
    <w:rsid w:val="004D32F8"/>
    <w:pPr>
      <w:keepNext w:val="0"/>
      <w:spacing w:before="60" w:after="60" w:line="80" w:lineRule="exact"/>
    </w:pPr>
    <w:rPr>
      <w:sz w:val="14"/>
    </w:rPr>
  </w:style>
  <w:style w:type="character" w:styleId="Hyperlink">
    <w:name w:val="Hyperlink"/>
    <w:basedOn w:val="DefaultParagraphFont"/>
    <w:uiPriority w:val="99"/>
    <w:rsid w:val="008B2F89"/>
    <w:rPr>
      <w:color w:val="0000FF" w:themeColor="hyperlink"/>
      <w:u w:val="single"/>
    </w:rPr>
  </w:style>
  <w:style w:type="character" w:customStyle="1" w:styleId="ReferenceChar">
    <w:name w:val="Reference Char"/>
    <w:basedOn w:val="DefaultParagraphFont"/>
    <w:link w:val="Reference"/>
    <w:rsid w:val="0073254A"/>
    <w:rPr>
      <w:sz w:val="26"/>
    </w:rPr>
  </w:style>
  <w:style w:type="paragraph" w:styleId="CommentSubject">
    <w:name w:val="annotation subject"/>
    <w:basedOn w:val="CommentText"/>
    <w:next w:val="CommentText"/>
    <w:link w:val="CommentSubjectChar"/>
    <w:rsid w:val="00064695"/>
    <w:pPr>
      <w:spacing w:before="0" w:line="240" w:lineRule="auto"/>
      <w:ind w:left="0" w:firstLine="0"/>
    </w:pPr>
    <w:rPr>
      <w:b/>
      <w:bCs/>
      <w:szCs w:val="20"/>
    </w:rPr>
  </w:style>
  <w:style w:type="character" w:customStyle="1" w:styleId="CommentTextChar">
    <w:name w:val="Comment Text Char"/>
    <w:basedOn w:val="DefaultParagraphFont"/>
    <w:link w:val="CommentText"/>
    <w:semiHidden/>
    <w:rsid w:val="004D32F8"/>
    <w:rPr>
      <w:szCs w:val="24"/>
    </w:rPr>
  </w:style>
  <w:style w:type="character" w:customStyle="1" w:styleId="CommentSubjectChar">
    <w:name w:val="Comment Subject Char"/>
    <w:basedOn w:val="CommentTextChar"/>
    <w:link w:val="CommentSubject"/>
    <w:rsid w:val="00064695"/>
    <w:rPr>
      <w:b/>
      <w:bCs/>
      <w:szCs w:val="24"/>
    </w:rPr>
  </w:style>
  <w:style w:type="character" w:customStyle="1" w:styleId="TableBodyTextChar">
    <w:name w:val="Table Body Text Char"/>
    <w:basedOn w:val="DefaultParagraphFont"/>
    <w:link w:val="TableBodyText"/>
    <w:rsid w:val="00534A3D"/>
    <w:rPr>
      <w:rFonts w:ascii="Arial" w:hAnsi="Arial"/>
    </w:rPr>
  </w:style>
  <w:style w:type="character" w:customStyle="1" w:styleId="NoteChar">
    <w:name w:val="Note Char"/>
    <w:basedOn w:val="DefaultParagraphFont"/>
    <w:link w:val="Note"/>
    <w:rsid w:val="00534A3D"/>
    <w:rPr>
      <w:rFonts w:ascii="Arial" w:hAnsi="Arial"/>
      <w:sz w:val="18"/>
    </w:rPr>
  </w:style>
  <w:style w:type="character" w:customStyle="1" w:styleId="SourceChar">
    <w:name w:val="Source Char"/>
    <w:basedOn w:val="DefaultParagraphFont"/>
    <w:link w:val="Source"/>
    <w:rsid w:val="00534A3D"/>
    <w:rPr>
      <w:rFonts w:ascii="Arial" w:hAnsi="Arial"/>
      <w:sz w:val="18"/>
    </w:rPr>
  </w:style>
  <w:style w:type="character" w:customStyle="1" w:styleId="Heading4Char">
    <w:name w:val="Heading 4 Char"/>
    <w:basedOn w:val="DefaultParagraphFont"/>
    <w:link w:val="Heading4"/>
    <w:rsid w:val="004D32F8"/>
    <w:rPr>
      <w:rFonts w:ascii="Arial" w:hAnsi="Arial"/>
      <w:i/>
      <w:sz w:val="24"/>
    </w:rPr>
  </w:style>
  <w:style w:type="character" w:customStyle="1" w:styleId="Heading2Char">
    <w:name w:val="Heading 2 Char"/>
    <w:basedOn w:val="DefaultParagraphFont"/>
    <w:link w:val="Heading2"/>
    <w:rsid w:val="004D32F8"/>
    <w:rPr>
      <w:rFonts w:ascii="Arial" w:hAnsi="Arial"/>
      <w:b/>
      <w:sz w:val="32"/>
    </w:rPr>
  </w:style>
  <w:style w:type="character" w:customStyle="1" w:styleId="FootnoteTextChar">
    <w:name w:val="Footnote Text Char"/>
    <w:basedOn w:val="DefaultParagraphFont"/>
    <w:link w:val="FootnoteText"/>
    <w:rsid w:val="004D32F8"/>
    <w:rPr>
      <w:sz w:val="22"/>
    </w:rPr>
  </w:style>
  <w:style w:type="character" w:customStyle="1" w:styleId="TableBulletChar">
    <w:name w:val="Table Bullet Char"/>
    <w:basedOn w:val="TableBodyTextChar"/>
    <w:link w:val="TableBullet"/>
    <w:locked/>
    <w:rsid w:val="0098335A"/>
    <w:rPr>
      <w:rFonts w:ascii="Arial" w:hAnsi="Arial"/>
    </w:rPr>
  </w:style>
  <w:style w:type="paragraph" w:customStyle="1" w:styleId="BoxSpace">
    <w:name w:val="Box Space"/>
    <w:basedOn w:val="BodyText"/>
    <w:rsid w:val="0095188C"/>
    <w:pPr>
      <w:keepNext/>
      <w:spacing w:before="360" w:line="80" w:lineRule="exact"/>
      <w:jc w:val="left"/>
    </w:pPr>
  </w:style>
  <w:style w:type="character" w:customStyle="1" w:styleId="Heading3Char">
    <w:name w:val="Heading 3 Char"/>
    <w:basedOn w:val="DefaultParagraphFont"/>
    <w:link w:val="Heading3"/>
    <w:rsid w:val="004D32F8"/>
    <w:rPr>
      <w:rFonts w:ascii="Arial" w:hAnsi="Arial"/>
      <w:b/>
      <w:sz w:val="26"/>
    </w:rPr>
  </w:style>
  <w:style w:type="character" w:customStyle="1" w:styleId="BodyTextChar">
    <w:name w:val="Body Text Char"/>
    <w:basedOn w:val="DefaultParagraphFont"/>
    <w:link w:val="BodyText"/>
    <w:locked/>
    <w:rsid w:val="004D32F8"/>
    <w:rPr>
      <w:sz w:val="26"/>
    </w:rPr>
  </w:style>
  <w:style w:type="table" w:styleId="TableGrid">
    <w:name w:val="Table Grid"/>
    <w:basedOn w:val="TableNormal"/>
    <w:rsid w:val="0025485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272F6"/>
    <w:pPr>
      <w:ind w:left="720"/>
      <w:contextualSpacing/>
    </w:pPr>
  </w:style>
  <w:style w:type="character" w:customStyle="1" w:styleId="ListBulletChar">
    <w:name w:val="List Bullet Char"/>
    <w:link w:val="ListBullet"/>
    <w:rsid w:val="00AD49F3"/>
    <w:rPr>
      <w:sz w:val="26"/>
    </w:rPr>
  </w:style>
  <w:style w:type="character" w:styleId="FollowedHyperlink">
    <w:name w:val="FollowedHyperlink"/>
    <w:basedOn w:val="DefaultParagraphFont"/>
    <w:rsid w:val="001F08A4"/>
    <w:rPr>
      <w:color w:val="800080" w:themeColor="followedHyperlink"/>
      <w:u w:val="single"/>
    </w:rPr>
  </w:style>
  <w:style w:type="paragraph" w:styleId="Revision">
    <w:name w:val="Revision"/>
    <w:hidden/>
    <w:uiPriority w:val="99"/>
    <w:semiHidden/>
    <w:rsid w:val="00CF4788"/>
    <w:rPr>
      <w:sz w:val="26"/>
      <w:szCs w:val="24"/>
    </w:rPr>
  </w:style>
  <w:style w:type="character" w:customStyle="1" w:styleId="Heading1Char">
    <w:name w:val="Heading 1 Char"/>
    <w:basedOn w:val="DefaultParagraphFont"/>
    <w:link w:val="Heading1"/>
    <w:rsid w:val="004D32F8"/>
    <w:rPr>
      <w:sz w:val="52"/>
    </w:rPr>
  </w:style>
  <w:style w:type="character" w:customStyle="1" w:styleId="FooterChar">
    <w:name w:val="Footer Char"/>
    <w:basedOn w:val="DefaultParagraphFont"/>
    <w:link w:val="Footer"/>
    <w:semiHidden/>
    <w:rsid w:val="004D32F8"/>
    <w:rPr>
      <w:caps/>
      <w:spacing w:val="-4"/>
      <w:sz w:val="16"/>
    </w:rPr>
  </w:style>
  <w:style w:type="character" w:customStyle="1" w:styleId="HeaderChar">
    <w:name w:val="Header Char"/>
    <w:basedOn w:val="DefaultParagraphFont"/>
    <w:link w:val="Header"/>
    <w:rsid w:val="004D32F8"/>
    <w:rPr>
      <w:rFonts w:ascii="Arial" w:hAnsi="Arial"/>
      <w:caps/>
      <w:sz w:val="26"/>
    </w:rPr>
  </w:style>
  <w:style w:type="character" w:customStyle="1" w:styleId="Heading5Char">
    <w:name w:val="Heading 5 Char"/>
    <w:basedOn w:val="DefaultParagraphFont"/>
    <w:link w:val="Heading5"/>
    <w:rsid w:val="004D32F8"/>
    <w:rPr>
      <w:i/>
      <w:sz w:val="26"/>
    </w:rPr>
  </w:style>
  <w:style w:type="character" w:customStyle="1" w:styleId="Heading6Char">
    <w:name w:val="Heading 6 Char"/>
    <w:basedOn w:val="DefaultParagraphFont"/>
    <w:link w:val="Heading6"/>
    <w:rsid w:val="004D32F8"/>
    <w:rPr>
      <w:i/>
      <w:sz w:val="22"/>
    </w:rPr>
  </w:style>
  <w:style w:type="character" w:customStyle="1" w:styleId="Heading7Char">
    <w:name w:val="Heading 7 Char"/>
    <w:basedOn w:val="DefaultParagraphFont"/>
    <w:link w:val="Heading7"/>
    <w:rsid w:val="004D32F8"/>
    <w:rPr>
      <w:rFonts w:ascii="Arial" w:hAnsi="Arial"/>
    </w:rPr>
  </w:style>
  <w:style w:type="character" w:customStyle="1" w:styleId="Heading8Char">
    <w:name w:val="Heading 8 Char"/>
    <w:basedOn w:val="DefaultParagraphFont"/>
    <w:link w:val="Heading8"/>
    <w:rsid w:val="004D32F8"/>
    <w:rPr>
      <w:rFonts w:ascii="Arial" w:hAnsi="Arial"/>
      <w:i/>
    </w:rPr>
  </w:style>
  <w:style w:type="character" w:customStyle="1" w:styleId="Heading9Char">
    <w:name w:val="Heading 9 Char"/>
    <w:basedOn w:val="DefaultParagraphFont"/>
    <w:link w:val="Heading9"/>
    <w:rsid w:val="004D32F8"/>
    <w:rPr>
      <w:rFonts w:ascii="Arial" w:hAnsi="Arial"/>
      <w:b/>
      <w:i/>
      <w:sz w:val="18"/>
    </w:rPr>
  </w:style>
  <w:style w:type="character" w:customStyle="1" w:styleId="QuoteChar">
    <w:name w:val="Quote Char"/>
    <w:basedOn w:val="DefaultParagraphFont"/>
    <w:link w:val="Quote"/>
    <w:rsid w:val="004D32F8"/>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2" w:qFormat="1"/>
    <w:lsdException w:name="heading 3" w:qFormat="1"/>
    <w:lsdException w:name="heading 4" w:qFormat="1"/>
    <w:lsdException w:name="heading 5" w:qFormat="1"/>
    <w:lsdException w:name="Default Paragraph Font" w:uiPriority="1"/>
    <w:lsdException w:name="Body Text" w:qFormat="1"/>
    <w:lsdException w:name="Subtitle" w:qFormat="1"/>
    <w:lsdException w:name="Hyperlink" w:uiPriority="99"/>
    <w:lsdException w:name="No Lis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rsid w:val="004D32F8"/>
    <w:rPr>
      <w:sz w:val="26"/>
      <w:szCs w:val="24"/>
    </w:rPr>
  </w:style>
  <w:style w:type="paragraph" w:styleId="Heading1">
    <w:name w:val="heading 1"/>
    <w:basedOn w:val="BodyText"/>
    <w:next w:val="BodyText"/>
    <w:link w:val="Heading1Char"/>
    <w:rsid w:val="004D32F8"/>
    <w:pPr>
      <w:keepNext/>
      <w:spacing w:before="160" w:after="1360" w:line="600" w:lineRule="exact"/>
      <w:ind w:left="907" w:hanging="907"/>
      <w:jc w:val="left"/>
      <w:outlineLvl w:val="0"/>
    </w:pPr>
    <w:rPr>
      <w:sz w:val="52"/>
    </w:rPr>
  </w:style>
  <w:style w:type="paragraph" w:styleId="Heading2">
    <w:name w:val="heading 2"/>
    <w:basedOn w:val="Chapter"/>
    <w:next w:val="BodyText"/>
    <w:link w:val="Heading2Char"/>
    <w:qFormat/>
    <w:rsid w:val="004D32F8"/>
    <w:pPr>
      <w:spacing w:before="600" w:after="0" w:line="400" w:lineRule="exact"/>
      <w:ind w:left="907" w:hanging="907"/>
      <w:outlineLvl w:val="1"/>
    </w:pPr>
    <w:rPr>
      <w:rFonts w:ascii="Arial" w:hAnsi="Arial"/>
      <w:b/>
      <w:sz w:val="32"/>
    </w:rPr>
  </w:style>
  <w:style w:type="paragraph" w:styleId="Heading3">
    <w:name w:val="heading 3"/>
    <w:basedOn w:val="Heading2"/>
    <w:next w:val="BodyText"/>
    <w:link w:val="Heading3Char"/>
    <w:qFormat/>
    <w:rsid w:val="004D32F8"/>
    <w:pPr>
      <w:spacing w:before="560" w:line="320" w:lineRule="exact"/>
      <w:ind w:left="0" w:firstLine="0"/>
      <w:outlineLvl w:val="2"/>
    </w:pPr>
    <w:rPr>
      <w:sz w:val="26"/>
    </w:rPr>
  </w:style>
  <w:style w:type="paragraph" w:styleId="Heading4">
    <w:name w:val="heading 4"/>
    <w:basedOn w:val="Heading3"/>
    <w:next w:val="BodyText"/>
    <w:link w:val="Heading4Char"/>
    <w:qFormat/>
    <w:rsid w:val="004D32F8"/>
    <w:pPr>
      <w:spacing w:before="480"/>
      <w:outlineLvl w:val="3"/>
    </w:pPr>
    <w:rPr>
      <w:b w:val="0"/>
      <w:i/>
      <w:sz w:val="24"/>
    </w:rPr>
  </w:style>
  <w:style w:type="paragraph" w:styleId="Heading5">
    <w:name w:val="heading 5"/>
    <w:basedOn w:val="Heading4"/>
    <w:next w:val="BodyText"/>
    <w:link w:val="Heading5Char"/>
    <w:qFormat/>
    <w:rsid w:val="004D32F8"/>
    <w:pPr>
      <w:outlineLvl w:val="4"/>
    </w:pPr>
    <w:rPr>
      <w:rFonts w:ascii="Times New Roman" w:hAnsi="Times New Roman"/>
      <w:sz w:val="26"/>
    </w:rPr>
  </w:style>
  <w:style w:type="paragraph" w:styleId="Heading6">
    <w:name w:val="heading 6"/>
    <w:basedOn w:val="BodyText"/>
    <w:next w:val="BodyText"/>
    <w:link w:val="Heading6Char"/>
    <w:rsid w:val="004D32F8"/>
    <w:pPr>
      <w:spacing w:after="60"/>
      <w:jc w:val="left"/>
      <w:outlineLvl w:val="5"/>
    </w:pPr>
    <w:rPr>
      <w:i/>
      <w:sz w:val="22"/>
    </w:rPr>
  </w:style>
  <w:style w:type="paragraph" w:styleId="Heading7">
    <w:name w:val="heading 7"/>
    <w:basedOn w:val="BodyText"/>
    <w:next w:val="BodyText"/>
    <w:link w:val="Heading7Char"/>
    <w:rsid w:val="004D32F8"/>
    <w:pPr>
      <w:spacing w:after="60" w:line="240" w:lineRule="auto"/>
      <w:jc w:val="left"/>
      <w:outlineLvl w:val="6"/>
    </w:pPr>
    <w:rPr>
      <w:rFonts w:ascii="Arial" w:hAnsi="Arial"/>
      <w:sz w:val="20"/>
    </w:rPr>
  </w:style>
  <w:style w:type="paragraph" w:styleId="Heading8">
    <w:name w:val="heading 8"/>
    <w:basedOn w:val="BodyText"/>
    <w:next w:val="BodyText"/>
    <w:link w:val="Heading8Char"/>
    <w:rsid w:val="004D32F8"/>
    <w:pPr>
      <w:spacing w:after="60" w:line="240" w:lineRule="auto"/>
      <w:jc w:val="left"/>
      <w:outlineLvl w:val="7"/>
    </w:pPr>
    <w:rPr>
      <w:rFonts w:ascii="Arial" w:hAnsi="Arial"/>
      <w:i/>
      <w:sz w:val="20"/>
    </w:rPr>
  </w:style>
  <w:style w:type="paragraph" w:styleId="Heading9">
    <w:name w:val="heading 9"/>
    <w:basedOn w:val="BodyText"/>
    <w:next w:val="BodyText"/>
    <w:link w:val="Heading9Char"/>
    <w:rsid w:val="004D32F8"/>
    <w:pPr>
      <w:spacing w:after="60" w:line="240" w:lineRule="auto"/>
      <w:jc w:val="left"/>
      <w:outlineLvl w:val="8"/>
    </w:pPr>
    <w:rPr>
      <w:rFonts w:ascii="Arial" w:hAnsi="Arial"/>
      <w:b/>
      <w:i/>
      <w:sz w:val="18"/>
    </w:rPr>
  </w:style>
  <w:style w:type="character" w:default="1" w:styleId="DefaultParagraphFont">
    <w:name w:val="Default Paragraph Font"/>
    <w:uiPriority w:val="1"/>
    <w:semiHidden/>
    <w:unhideWhenUsed/>
    <w:rsid w:val="004D32F8"/>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4D32F8"/>
  </w:style>
  <w:style w:type="paragraph" w:styleId="BodyText">
    <w:name w:val="Body Text"/>
    <w:link w:val="BodyTextChar"/>
    <w:qFormat/>
    <w:rsid w:val="004D32F8"/>
    <w:pPr>
      <w:spacing w:before="240" w:line="320" w:lineRule="atLeast"/>
      <w:jc w:val="both"/>
    </w:pPr>
    <w:rPr>
      <w:sz w:val="26"/>
    </w:rPr>
  </w:style>
  <w:style w:type="paragraph" w:styleId="Footer">
    <w:name w:val="footer"/>
    <w:basedOn w:val="BodyText"/>
    <w:link w:val="FooterChar"/>
    <w:semiHidden/>
    <w:rsid w:val="004D32F8"/>
    <w:pPr>
      <w:spacing w:before="80" w:line="200" w:lineRule="exact"/>
      <w:ind w:right="6"/>
      <w:jc w:val="left"/>
    </w:pPr>
    <w:rPr>
      <w:caps/>
      <w:spacing w:val="-4"/>
      <w:sz w:val="16"/>
    </w:rPr>
  </w:style>
  <w:style w:type="paragraph" w:customStyle="1" w:styleId="FooterEnd">
    <w:name w:val="Footer End"/>
    <w:basedOn w:val="Footer"/>
    <w:rsid w:val="004D32F8"/>
    <w:pPr>
      <w:spacing w:before="0" w:line="20" w:lineRule="exact"/>
    </w:pPr>
  </w:style>
  <w:style w:type="paragraph" w:styleId="Header">
    <w:name w:val="header"/>
    <w:basedOn w:val="BodyText"/>
    <w:link w:val="HeaderChar"/>
    <w:rsid w:val="004D32F8"/>
    <w:pPr>
      <w:tabs>
        <w:tab w:val="center" w:pos="4394"/>
        <w:tab w:val="right" w:pos="8789"/>
      </w:tabs>
      <w:spacing w:before="0" w:line="240" w:lineRule="atLeast"/>
      <w:jc w:val="left"/>
    </w:pPr>
    <w:rPr>
      <w:rFonts w:ascii="Arial" w:hAnsi="Arial"/>
      <w:caps/>
    </w:rPr>
  </w:style>
  <w:style w:type="paragraph" w:customStyle="1" w:styleId="HeaderEnd">
    <w:name w:val="Header End"/>
    <w:basedOn w:val="Header"/>
    <w:autoRedefine/>
    <w:rsid w:val="004D32F8"/>
    <w:pPr>
      <w:spacing w:line="20" w:lineRule="exact"/>
    </w:pPr>
    <w:rPr>
      <w:sz w:val="16"/>
    </w:rPr>
  </w:style>
  <w:style w:type="paragraph" w:customStyle="1" w:styleId="HeaderEven">
    <w:name w:val="Header Even"/>
    <w:basedOn w:val="Header"/>
    <w:semiHidden/>
    <w:rsid w:val="004D32F8"/>
  </w:style>
  <w:style w:type="paragraph" w:customStyle="1" w:styleId="HeaderOdd">
    <w:name w:val="Header Odd"/>
    <w:basedOn w:val="Header"/>
    <w:semiHidden/>
    <w:rsid w:val="004D32F8"/>
  </w:style>
  <w:style w:type="character" w:styleId="PageNumber">
    <w:name w:val="page number"/>
    <w:basedOn w:val="DefaultParagraphFont"/>
    <w:rsid w:val="004D32F8"/>
    <w:rPr>
      <w:rFonts w:ascii="Arial" w:hAnsi="Arial"/>
      <w:b/>
      <w:sz w:val="16"/>
    </w:rPr>
  </w:style>
  <w:style w:type="paragraph" w:customStyle="1" w:styleId="Abbreviation">
    <w:name w:val="Abbreviation"/>
    <w:basedOn w:val="BodyText"/>
    <w:rsid w:val="004D32F8"/>
    <w:pPr>
      <w:spacing w:before="120"/>
      <w:ind w:left="2381" w:hanging="2381"/>
      <w:jc w:val="left"/>
    </w:pPr>
  </w:style>
  <w:style w:type="paragraph" w:customStyle="1" w:styleId="Box">
    <w:name w:val="Box"/>
    <w:basedOn w:val="BodyText"/>
    <w:qFormat/>
    <w:rsid w:val="004D32F8"/>
    <w:pPr>
      <w:keepNext/>
      <w:spacing w:before="120" w:line="280" w:lineRule="atLeast"/>
    </w:pPr>
    <w:rPr>
      <w:rFonts w:ascii="Arial" w:hAnsi="Arial"/>
      <w:sz w:val="22"/>
    </w:rPr>
  </w:style>
  <w:style w:type="paragraph" w:customStyle="1" w:styleId="BoxContinued">
    <w:name w:val="Box Continued"/>
    <w:basedOn w:val="BodyText"/>
    <w:next w:val="BodyText"/>
    <w:semiHidden/>
    <w:rsid w:val="004D32F8"/>
    <w:pPr>
      <w:spacing w:before="180" w:line="220" w:lineRule="exact"/>
      <w:jc w:val="right"/>
    </w:pPr>
    <w:rPr>
      <w:rFonts w:ascii="Arial" w:hAnsi="Arial"/>
      <w:sz w:val="18"/>
    </w:rPr>
  </w:style>
  <w:style w:type="paragraph" w:customStyle="1" w:styleId="BoxHeading1">
    <w:name w:val="Box Heading 1"/>
    <w:basedOn w:val="BodyText"/>
    <w:next w:val="Box"/>
    <w:rsid w:val="004D32F8"/>
    <w:pPr>
      <w:keepNext/>
      <w:spacing w:before="200" w:line="280" w:lineRule="atLeast"/>
    </w:pPr>
    <w:rPr>
      <w:rFonts w:ascii="Arial" w:hAnsi="Arial"/>
      <w:b/>
      <w:sz w:val="22"/>
    </w:rPr>
  </w:style>
  <w:style w:type="paragraph" w:customStyle="1" w:styleId="BoxHeading2">
    <w:name w:val="Box Heading 2"/>
    <w:basedOn w:val="BoxHeading1"/>
    <w:next w:val="Normal"/>
    <w:rsid w:val="004D32F8"/>
    <w:rPr>
      <w:b w:val="0"/>
      <w:i/>
    </w:rPr>
  </w:style>
  <w:style w:type="paragraph" w:customStyle="1" w:styleId="BoxListBullet">
    <w:name w:val="Box List Bullet"/>
    <w:basedOn w:val="BodyText"/>
    <w:rsid w:val="004D32F8"/>
    <w:pPr>
      <w:keepNext/>
      <w:numPr>
        <w:numId w:val="1"/>
      </w:numPr>
      <w:spacing w:before="60" w:line="280" w:lineRule="atLeast"/>
    </w:pPr>
    <w:rPr>
      <w:rFonts w:ascii="Arial" w:hAnsi="Arial"/>
      <w:sz w:val="22"/>
    </w:rPr>
  </w:style>
  <w:style w:type="paragraph" w:customStyle="1" w:styleId="BoxListBullet2">
    <w:name w:val="Box List Bullet 2"/>
    <w:basedOn w:val="BodyText"/>
    <w:rsid w:val="004D32F8"/>
    <w:pPr>
      <w:keepNext/>
      <w:numPr>
        <w:numId w:val="16"/>
      </w:numPr>
      <w:spacing w:before="60" w:line="280" w:lineRule="atLeast"/>
    </w:pPr>
    <w:rPr>
      <w:rFonts w:ascii="Arial" w:hAnsi="Arial"/>
      <w:sz w:val="22"/>
    </w:rPr>
  </w:style>
  <w:style w:type="paragraph" w:customStyle="1" w:styleId="BoxListNumber">
    <w:name w:val="Box List Number"/>
    <w:basedOn w:val="BodyText"/>
    <w:rsid w:val="004D32F8"/>
    <w:pPr>
      <w:keepNext/>
      <w:numPr>
        <w:numId w:val="12"/>
      </w:numPr>
      <w:spacing w:before="60" w:line="280" w:lineRule="atLeast"/>
    </w:pPr>
    <w:rPr>
      <w:rFonts w:ascii="Arial" w:hAnsi="Arial"/>
      <w:sz w:val="22"/>
    </w:rPr>
  </w:style>
  <w:style w:type="paragraph" w:customStyle="1" w:styleId="BoxListNumber2">
    <w:name w:val="Box List Number 2"/>
    <w:basedOn w:val="BoxListNumber"/>
    <w:rsid w:val="004D32F8"/>
    <w:pPr>
      <w:numPr>
        <w:ilvl w:val="1"/>
      </w:numPr>
    </w:pPr>
  </w:style>
  <w:style w:type="paragraph" w:customStyle="1" w:styleId="BoxQuote">
    <w:name w:val="Box Quote"/>
    <w:basedOn w:val="BodyText"/>
    <w:next w:val="Box"/>
    <w:rsid w:val="004D32F8"/>
    <w:pPr>
      <w:keepNext/>
      <w:spacing w:before="60" w:line="260" w:lineRule="exact"/>
      <w:ind w:left="284"/>
    </w:pPr>
    <w:rPr>
      <w:rFonts w:ascii="Arial" w:hAnsi="Arial"/>
      <w:sz w:val="20"/>
    </w:rPr>
  </w:style>
  <w:style w:type="paragraph" w:customStyle="1" w:styleId="Note">
    <w:name w:val="Note"/>
    <w:basedOn w:val="BodyText"/>
    <w:next w:val="BodyText"/>
    <w:link w:val="NoteChar"/>
    <w:rsid w:val="004D32F8"/>
    <w:pPr>
      <w:keepLines/>
      <w:spacing w:before="80" w:line="220" w:lineRule="exact"/>
    </w:pPr>
    <w:rPr>
      <w:rFonts w:ascii="Arial" w:hAnsi="Arial"/>
      <w:sz w:val="18"/>
    </w:rPr>
  </w:style>
  <w:style w:type="paragraph" w:customStyle="1" w:styleId="Source">
    <w:name w:val="Source"/>
    <w:basedOn w:val="Note"/>
    <w:next w:val="BodyText"/>
    <w:link w:val="SourceChar"/>
    <w:rsid w:val="004D32F8"/>
    <w:pPr>
      <w:spacing w:after="120"/>
    </w:pPr>
  </w:style>
  <w:style w:type="paragraph" w:customStyle="1" w:styleId="BoxSource">
    <w:name w:val="Box Source"/>
    <w:basedOn w:val="Source"/>
    <w:next w:val="BodyText"/>
    <w:rsid w:val="004D32F8"/>
    <w:pPr>
      <w:spacing w:before="180" w:after="0"/>
    </w:pPr>
  </w:style>
  <w:style w:type="paragraph" w:customStyle="1" w:styleId="BoxSpaceAbove">
    <w:name w:val="Box Space Above"/>
    <w:basedOn w:val="BodyText"/>
    <w:rsid w:val="004D32F8"/>
    <w:pPr>
      <w:keepNext/>
      <w:spacing w:before="360" w:line="80" w:lineRule="exact"/>
      <w:jc w:val="left"/>
    </w:pPr>
  </w:style>
  <w:style w:type="paragraph" w:styleId="Caption">
    <w:name w:val="caption"/>
    <w:basedOn w:val="Normal"/>
    <w:next w:val="BodyText"/>
    <w:rsid w:val="004D32F8"/>
    <w:pPr>
      <w:keepNext/>
      <w:keepLines/>
      <w:spacing w:before="360" w:after="80" w:line="280" w:lineRule="exact"/>
      <w:ind w:left="1474" w:hanging="1474"/>
    </w:pPr>
    <w:rPr>
      <w:rFonts w:ascii="Arial" w:hAnsi="Arial"/>
      <w:b/>
    </w:rPr>
  </w:style>
  <w:style w:type="paragraph" w:customStyle="1" w:styleId="BoxTitle">
    <w:name w:val="Box Title"/>
    <w:basedOn w:val="Caption"/>
    <w:next w:val="BoxSubtitle"/>
    <w:rsid w:val="004D32F8"/>
    <w:pPr>
      <w:spacing w:before="120" w:after="0"/>
      <w:ind w:left="1304" w:hanging="1304"/>
    </w:pPr>
    <w:rPr>
      <w:sz w:val="24"/>
    </w:rPr>
  </w:style>
  <w:style w:type="paragraph" w:customStyle="1" w:styleId="BoxSubtitle">
    <w:name w:val="Box Subtitle"/>
    <w:basedOn w:val="BoxTitle"/>
    <w:next w:val="Normal"/>
    <w:rsid w:val="004D32F8"/>
    <w:pPr>
      <w:spacing w:after="80" w:line="200" w:lineRule="exact"/>
      <w:ind w:firstLine="0"/>
    </w:pPr>
    <w:rPr>
      <w:b w:val="0"/>
      <w:sz w:val="20"/>
    </w:rPr>
  </w:style>
  <w:style w:type="paragraph" w:customStyle="1" w:styleId="Chapter">
    <w:name w:val="Chapter"/>
    <w:basedOn w:val="Heading1"/>
    <w:next w:val="BodyText"/>
    <w:semiHidden/>
    <w:rsid w:val="004D32F8"/>
    <w:pPr>
      <w:ind w:left="0" w:firstLine="0"/>
      <w:outlineLvl w:val="9"/>
    </w:pPr>
  </w:style>
  <w:style w:type="paragraph" w:customStyle="1" w:styleId="ChapterSummary">
    <w:name w:val="Chapter Summary"/>
    <w:basedOn w:val="BodyText"/>
    <w:rsid w:val="004D32F8"/>
    <w:pPr>
      <w:ind w:left="907"/>
    </w:pPr>
    <w:rPr>
      <w:rFonts w:ascii="Arial" w:hAnsi="Arial"/>
      <w:b/>
      <w:sz w:val="22"/>
    </w:rPr>
  </w:style>
  <w:style w:type="character" w:styleId="CommentReference">
    <w:name w:val="annotation reference"/>
    <w:basedOn w:val="DefaultParagraphFont"/>
    <w:semiHidden/>
    <w:rsid w:val="004D32F8"/>
    <w:rPr>
      <w:b/>
      <w:vanish/>
      <w:color w:val="FF00FF"/>
      <w:sz w:val="20"/>
    </w:rPr>
  </w:style>
  <w:style w:type="paragraph" w:styleId="CommentText">
    <w:name w:val="annotation text"/>
    <w:basedOn w:val="Normal"/>
    <w:link w:val="CommentTextChar"/>
    <w:semiHidden/>
    <w:rsid w:val="004D32F8"/>
    <w:pPr>
      <w:spacing w:before="120" w:line="240" w:lineRule="atLeast"/>
      <w:ind w:left="567" w:hanging="567"/>
    </w:pPr>
    <w:rPr>
      <w:sz w:val="20"/>
    </w:rPr>
  </w:style>
  <w:style w:type="paragraph" w:customStyle="1" w:styleId="Continued">
    <w:name w:val="Continued"/>
    <w:basedOn w:val="BoxContinued"/>
    <w:next w:val="BodyText"/>
    <w:rsid w:val="004D32F8"/>
  </w:style>
  <w:style w:type="character" w:customStyle="1" w:styleId="DocumentInfo">
    <w:name w:val="Document Info"/>
    <w:basedOn w:val="DefaultParagraphFont"/>
    <w:semiHidden/>
    <w:rsid w:val="004D32F8"/>
    <w:rPr>
      <w:rFonts w:ascii="Arial" w:hAnsi="Arial"/>
      <w:sz w:val="14"/>
    </w:rPr>
  </w:style>
  <w:style w:type="character" w:customStyle="1" w:styleId="DraftingNote">
    <w:name w:val="Drafting Note"/>
    <w:basedOn w:val="DefaultParagraphFont"/>
    <w:rsid w:val="004D32F8"/>
    <w:rPr>
      <w:b/>
      <w:color w:val="FF0000"/>
      <w:sz w:val="24"/>
      <w:u w:val="dotted"/>
    </w:rPr>
  </w:style>
  <w:style w:type="paragraph" w:customStyle="1" w:styleId="Figure">
    <w:name w:val="Figure"/>
    <w:basedOn w:val="BodyText"/>
    <w:rsid w:val="004D32F8"/>
    <w:pPr>
      <w:keepNext/>
      <w:spacing w:before="120" w:after="120" w:line="240" w:lineRule="atLeast"/>
      <w:jc w:val="center"/>
    </w:pPr>
  </w:style>
  <w:style w:type="paragraph" w:customStyle="1" w:styleId="FigureTitle">
    <w:name w:val="Figure Title"/>
    <w:basedOn w:val="Caption"/>
    <w:next w:val="Subtitle"/>
    <w:rsid w:val="004D32F8"/>
    <w:rPr>
      <w:sz w:val="24"/>
    </w:rPr>
  </w:style>
  <w:style w:type="paragraph" w:styleId="Subtitle">
    <w:name w:val="Subtitle"/>
    <w:basedOn w:val="Caption"/>
    <w:link w:val="SubtitleChar"/>
    <w:rsid w:val="004D32F8"/>
    <w:pPr>
      <w:spacing w:before="0" w:line="200" w:lineRule="exact"/>
      <w:ind w:firstLine="0"/>
    </w:pPr>
    <w:rPr>
      <w:b w:val="0"/>
      <w:sz w:val="20"/>
    </w:rPr>
  </w:style>
  <w:style w:type="paragraph" w:customStyle="1" w:styleId="Finding">
    <w:name w:val="Finding"/>
    <w:basedOn w:val="BodyText"/>
    <w:rsid w:val="004D32F8"/>
    <w:pPr>
      <w:keepLines/>
      <w:spacing w:before="180"/>
    </w:pPr>
    <w:rPr>
      <w:i/>
    </w:rPr>
  </w:style>
  <w:style w:type="paragraph" w:customStyle="1" w:styleId="FindingBullet">
    <w:name w:val="Finding Bullet"/>
    <w:basedOn w:val="Finding"/>
    <w:rsid w:val="004D32F8"/>
    <w:pPr>
      <w:numPr>
        <w:numId w:val="2"/>
      </w:numPr>
      <w:spacing w:before="80"/>
    </w:pPr>
  </w:style>
  <w:style w:type="paragraph" w:customStyle="1" w:styleId="FindingNoTitle">
    <w:name w:val="Finding NoTitle"/>
    <w:basedOn w:val="Finding"/>
    <w:semiHidden/>
    <w:rsid w:val="004D32F8"/>
    <w:pPr>
      <w:spacing w:before="240"/>
    </w:pPr>
  </w:style>
  <w:style w:type="paragraph" w:customStyle="1" w:styleId="RecTitle">
    <w:name w:val="Rec Title"/>
    <w:basedOn w:val="BodyText"/>
    <w:next w:val="Normal"/>
    <w:rsid w:val="004D32F8"/>
    <w:pPr>
      <w:keepNext/>
      <w:keepLines/>
    </w:pPr>
    <w:rPr>
      <w:caps/>
      <w:sz w:val="20"/>
    </w:rPr>
  </w:style>
  <w:style w:type="paragraph" w:customStyle="1" w:styleId="FindingTitle">
    <w:name w:val="Finding Title"/>
    <w:basedOn w:val="RecTitle"/>
    <w:next w:val="Finding"/>
    <w:rsid w:val="004D32F8"/>
    <w:pPr>
      <w:framePr w:wrap="notBeside" w:hAnchor="text"/>
    </w:pPr>
  </w:style>
  <w:style w:type="character" w:styleId="FootnoteReference">
    <w:name w:val="footnote reference"/>
    <w:basedOn w:val="DefaultParagraphFont"/>
    <w:semiHidden/>
    <w:rsid w:val="004D32F8"/>
    <w:rPr>
      <w:rFonts w:ascii="Times New Roman" w:hAnsi="Times New Roman"/>
      <w:position w:val="6"/>
      <w:sz w:val="22"/>
      <w:vertAlign w:val="baseline"/>
    </w:rPr>
  </w:style>
  <w:style w:type="paragraph" w:styleId="FootnoteText">
    <w:name w:val="footnote text"/>
    <w:basedOn w:val="BodyText"/>
    <w:link w:val="FootnoteTextChar"/>
    <w:rsid w:val="004D32F8"/>
    <w:pPr>
      <w:tabs>
        <w:tab w:val="left" w:pos="284"/>
      </w:tabs>
      <w:spacing w:before="80" w:line="260" w:lineRule="exact"/>
      <w:ind w:left="284" w:hanging="284"/>
    </w:pPr>
    <w:rPr>
      <w:sz w:val="22"/>
    </w:rPr>
  </w:style>
  <w:style w:type="paragraph" w:customStyle="1" w:styleId="InformationRequest">
    <w:name w:val="Information Request"/>
    <w:basedOn w:val="Finding"/>
    <w:next w:val="BodyText"/>
    <w:rsid w:val="004D32F8"/>
    <w:pPr>
      <w:spacing w:before="360" w:after="120"/>
    </w:pPr>
    <w:rPr>
      <w:rFonts w:ascii="Arial" w:hAnsi="Arial"/>
      <w:sz w:val="24"/>
    </w:rPr>
  </w:style>
  <w:style w:type="paragraph" w:customStyle="1" w:styleId="Jurisdictioncommentsbodytext">
    <w:name w:val="Jurisdiction comments body text"/>
    <w:rsid w:val="004D32F8"/>
    <w:pPr>
      <w:spacing w:after="140"/>
      <w:jc w:val="both"/>
    </w:pPr>
    <w:rPr>
      <w:rFonts w:ascii="Arial" w:hAnsi="Arial"/>
      <w:sz w:val="24"/>
      <w:lang w:eastAsia="en-US"/>
    </w:rPr>
  </w:style>
  <w:style w:type="paragraph" w:customStyle="1" w:styleId="Jurisdictioncommentsheading">
    <w:name w:val="Jurisdiction comments heading"/>
    <w:rsid w:val="004D32F8"/>
    <w:pPr>
      <w:spacing w:after="140" w:line="320" w:lineRule="atLeast"/>
      <w:jc w:val="both"/>
    </w:pPr>
    <w:rPr>
      <w:rFonts w:ascii="Arial" w:hAnsi="Arial"/>
      <w:b/>
      <w:sz w:val="24"/>
      <w:lang w:eastAsia="en-US"/>
    </w:rPr>
  </w:style>
  <w:style w:type="paragraph" w:customStyle="1" w:styleId="Jurisdictioncommentslistbullet">
    <w:name w:val="Jurisdiction comments list bullet"/>
    <w:rsid w:val="004D32F8"/>
    <w:pPr>
      <w:numPr>
        <w:numId w:val="3"/>
      </w:numPr>
      <w:spacing w:after="140"/>
      <w:jc w:val="both"/>
    </w:pPr>
    <w:rPr>
      <w:rFonts w:ascii="Arial" w:hAnsi="Arial"/>
      <w:sz w:val="24"/>
      <w:lang w:eastAsia="en-US"/>
    </w:rPr>
  </w:style>
  <w:style w:type="paragraph" w:styleId="ListBullet">
    <w:name w:val="List Bullet"/>
    <w:basedOn w:val="BodyText"/>
    <w:link w:val="ListBulletChar"/>
    <w:rsid w:val="004D32F8"/>
    <w:pPr>
      <w:numPr>
        <w:numId w:val="4"/>
      </w:numPr>
      <w:spacing w:before="120"/>
    </w:pPr>
  </w:style>
  <w:style w:type="paragraph" w:styleId="ListBullet2">
    <w:name w:val="List Bullet 2"/>
    <w:basedOn w:val="BodyText"/>
    <w:rsid w:val="004D32F8"/>
    <w:pPr>
      <w:numPr>
        <w:numId w:val="5"/>
      </w:numPr>
      <w:spacing w:before="120"/>
    </w:pPr>
  </w:style>
  <w:style w:type="paragraph" w:styleId="ListBullet3">
    <w:name w:val="List Bullet 3"/>
    <w:basedOn w:val="BodyText"/>
    <w:rsid w:val="004D32F8"/>
    <w:pPr>
      <w:numPr>
        <w:numId w:val="6"/>
      </w:numPr>
      <w:spacing w:before="120"/>
    </w:pPr>
  </w:style>
  <w:style w:type="paragraph" w:styleId="ListNumber">
    <w:name w:val="List Number"/>
    <w:basedOn w:val="BodyText"/>
    <w:rsid w:val="004D32F8"/>
    <w:pPr>
      <w:numPr>
        <w:numId w:val="11"/>
      </w:numPr>
      <w:spacing w:before="120"/>
    </w:pPr>
  </w:style>
  <w:style w:type="paragraph" w:styleId="ListNumber2">
    <w:name w:val="List Number 2"/>
    <w:basedOn w:val="ListNumber"/>
    <w:rsid w:val="004D32F8"/>
    <w:pPr>
      <w:numPr>
        <w:ilvl w:val="1"/>
      </w:numPr>
    </w:pPr>
  </w:style>
  <w:style w:type="paragraph" w:styleId="ListNumber3">
    <w:name w:val="List Number 3"/>
    <w:basedOn w:val="ListNumber2"/>
    <w:rsid w:val="004D32F8"/>
    <w:pPr>
      <w:numPr>
        <w:ilvl w:val="2"/>
      </w:numPr>
    </w:pPr>
  </w:style>
  <w:style w:type="character" w:customStyle="1" w:styleId="NoteLabel">
    <w:name w:val="Note Label"/>
    <w:basedOn w:val="DefaultParagraphFont"/>
    <w:rsid w:val="004D32F8"/>
    <w:rPr>
      <w:rFonts w:ascii="Arial" w:hAnsi="Arial"/>
      <w:b/>
      <w:position w:val="6"/>
      <w:sz w:val="18"/>
    </w:rPr>
  </w:style>
  <w:style w:type="paragraph" w:customStyle="1" w:styleId="PartDivider">
    <w:name w:val="Part Divider"/>
    <w:basedOn w:val="BodyText"/>
    <w:next w:val="BodyText"/>
    <w:semiHidden/>
    <w:rsid w:val="004D32F8"/>
    <w:pPr>
      <w:spacing w:before="0" w:line="40" w:lineRule="exact"/>
      <w:jc w:val="right"/>
    </w:pPr>
    <w:rPr>
      <w:smallCaps/>
      <w:sz w:val="16"/>
    </w:rPr>
  </w:style>
  <w:style w:type="paragraph" w:customStyle="1" w:styleId="PartNumber">
    <w:name w:val="Part Number"/>
    <w:basedOn w:val="BodyText"/>
    <w:next w:val="BodyText"/>
    <w:semiHidden/>
    <w:rsid w:val="004D32F8"/>
    <w:pPr>
      <w:spacing w:before="4000" w:line="320" w:lineRule="exact"/>
      <w:ind w:left="6634"/>
      <w:jc w:val="right"/>
    </w:pPr>
    <w:rPr>
      <w:smallCaps/>
      <w:spacing w:val="60"/>
      <w:sz w:val="32"/>
    </w:rPr>
  </w:style>
  <w:style w:type="paragraph" w:customStyle="1" w:styleId="PartTitle">
    <w:name w:val="Part Title"/>
    <w:basedOn w:val="BodyText"/>
    <w:semiHidden/>
    <w:rsid w:val="004D32F8"/>
    <w:pPr>
      <w:spacing w:before="160" w:after="1360" w:line="520" w:lineRule="exact"/>
      <w:ind w:right="2381"/>
      <w:jc w:val="right"/>
    </w:pPr>
    <w:rPr>
      <w:smallCaps/>
      <w:sz w:val="52"/>
    </w:rPr>
  </w:style>
  <w:style w:type="paragraph" w:styleId="Quote">
    <w:name w:val="Quote"/>
    <w:basedOn w:val="BodyText"/>
    <w:next w:val="BodyText"/>
    <w:link w:val="QuoteChar"/>
    <w:qFormat/>
    <w:rsid w:val="004D32F8"/>
    <w:pPr>
      <w:spacing w:before="120" w:line="280" w:lineRule="exact"/>
      <w:ind w:left="340"/>
    </w:pPr>
    <w:rPr>
      <w:sz w:val="24"/>
    </w:rPr>
  </w:style>
  <w:style w:type="paragraph" w:customStyle="1" w:styleId="QuoteBullet">
    <w:name w:val="Quote Bullet"/>
    <w:basedOn w:val="Quote"/>
    <w:rsid w:val="004D32F8"/>
    <w:pPr>
      <w:numPr>
        <w:numId w:val="7"/>
      </w:numPr>
    </w:pPr>
  </w:style>
  <w:style w:type="paragraph" w:customStyle="1" w:styleId="Rec">
    <w:name w:val="Rec"/>
    <w:basedOn w:val="BodyText"/>
    <w:rsid w:val="004D32F8"/>
    <w:pPr>
      <w:keepLines/>
      <w:spacing w:before="180"/>
    </w:pPr>
    <w:rPr>
      <w:b/>
      <w:i/>
    </w:rPr>
  </w:style>
  <w:style w:type="paragraph" w:customStyle="1" w:styleId="RecBullet">
    <w:name w:val="Rec Bullet"/>
    <w:basedOn w:val="Rec"/>
    <w:rsid w:val="004D32F8"/>
    <w:pPr>
      <w:numPr>
        <w:numId w:val="8"/>
      </w:numPr>
      <w:spacing w:before="80"/>
    </w:pPr>
  </w:style>
  <w:style w:type="paragraph" w:customStyle="1" w:styleId="RecB">
    <w:name w:val="RecB"/>
    <w:basedOn w:val="Normal"/>
    <w:semiHidden/>
    <w:rsid w:val="004D32F8"/>
    <w:pPr>
      <w:keepLines/>
      <w:pBdr>
        <w:left w:val="single" w:sz="24" w:space="12" w:color="C0C0C0"/>
      </w:pBdr>
      <w:spacing w:before="180" w:line="320" w:lineRule="atLeast"/>
      <w:jc w:val="both"/>
    </w:pPr>
    <w:rPr>
      <w:b/>
      <w:i/>
      <w:szCs w:val="20"/>
    </w:rPr>
  </w:style>
  <w:style w:type="paragraph" w:customStyle="1" w:styleId="RecBBullet">
    <w:name w:val="RecB Bullet"/>
    <w:basedOn w:val="RecB"/>
    <w:semiHidden/>
    <w:rsid w:val="004D32F8"/>
    <w:pPr>
      <w:numPr>
        <w:numId w:val="13"/>
      </w:numPr>
      <w:spacing w:before="80"/>
    </w:pPr>
  </w:style>
  <w:style w:type="paragraph" w:customStyle="1" w:styleId="RecBNoTitle">
    <w:name w:val="RecB NoTitle"/>
    <w:basedOn w:val="RecB"/>
    <w:semiHidden/>
    <w:rsid w:val="004D32F8"/>
    <w:pPr>
      <w:spacing w:before="240"/>
    </w:pPr>
  </w:style>
  <w:style w:type="paragraph" w:customStyle="1" w:styleId="Reference">
    <w:name w:val="Reference"/>
    <w:basedOn w:val="BodyText"/>
    <w:link w:val="ReferenceChar"/>
    <w:rsid w:val="004D32F8"/>
    <w:pPr>
      <w:spacing w:before="120"/>
      <w:ind w:left="340" w:hanging="340"/>
    </w:pPr>
  </w:style>
  <w:style w:type="paragraph" w:customStyle="1" w:styleId="SequenceInfo">
    <w:name w:val="Sequence Info"/>
    <w:basedOn w:val="BodyText"/>
    <w:semiHidden/>
    <w:rsid w:val="004D32F8"/>
    <w:rPr>
      <w:vanish/>
      <w:sz w:val="16"/>
    </w:rPr>
  </w:style>
  <w:style w:type="paragraph" w:customStyle="1" w:styleId="SideNote">
    <w:name w:val="Side Note"/>
    <w:basedOn w:val="BodyText"/>
    <w:next w:val="BodyText"/>
    <w:semiHidden/>
    <w:rsid w:val="004D32F8"/>
    <w:pPr>
      <w:keepNext/>
      <w:keepLines/>
      <w:framePr w:w="2155" w:hSpace="227" w:vSpace="181" w:wrap="around" w:vAnchor="text" w:hAnchor="page" w:xAlign="outside" w:y="1"/>
      <w:jc w:val="left"/>
    </w:pPr>
    <w:rPr>
      <w:i/>
      <w:sz w:val="24"/>
    </w:rPr>
  </w:style>
  <w:style w:type="paragraph" w:customStyle="1" w:styleId="SideNoteBullet">
    <w:name w:val="Side Note Bullet"/>
    <w:basedOn w:val="SideNote"/>
    <w:next w:val="BodyText"/>
    <w:semiHidden/>
    <w:rsid w:val="004D32F8"/>
    <w:pPr>
      <w:framePr w:wrap="around"/>
      <w:numPr>
        <w:numId w:val="9"/>
      </w:numPr>
      <w:tabs>
        <w:tab w:val="left" w:pos="227"/>
      </w:tabs>
    </w:pPr>
  </w:style>
  <w:style w:type="paragraph" w:customStyle="1" w:styleId="SideNoteGraphic">
    <w:name w:val="Side Note Graphic"/>
    <w:basedOn w:val="SideNote"/>
    <w:next w:val="BodyText"/>
    <w:semiHidden/>
    <w:rsid w:val="004D32F8"/>
    <w:pPr>
      <w:framePr w:wrap="around"/>
    </w:pPr>
  </w:style>
  <w:style w:type="paragraph" w:customStyle="1" w:styleId="TableBodyText">
    <w:name w:val="Table Body Text"/>
    <w:basedOn w:val="BodyText"/>
    <w:link w:val="TableBodyTextChar"/>
    <w:rsid w:val="004D32F8"/>
    <w:pPr>
      <w:keepNext/>
      <w:keepLines/>
      <w:spacing w:before="0" w:after="40" w:line="220" w:lineRule="atLeast"/>
      <w:ind w:left="6" w:right="113"/>
      <w:jc w:val="right"/>
    </w:pPr>
    <w:rPr>
      <w:rFonts w:ascii="Arial" w:hAnsi="Arial"/>
      <w:sz w:val="20"/>
    </w:rPr>
  </w:style>
  <w:style w:type="paragraph" w:customStyle="1" w:styleId="TableBullet">
    <w:name w:val="Table Bullet"/>
    <w:basedOn w:val="TableBodyText"/>
    <w:link w:val="TableBulletChar"/>
    <w:rsid w:val="004D32F8"/>
    <w:pPr>
      <w:numPr>
        <w:numId w:val="10"/>
      </w:numPr>
      <w:jc w:val="left"/>
    </w:pPr>
  </w:style>
  <w:style w:type="paragraph" w:customStyle="1" w:styleId="TableColumnHeading">
    <w:name w:val="Table Column Heading"/>
    <w:basedOn w:val="TableBodyText"/>
    <w:rsid w:val="004D32F8"/>
    <w:pPr>
      <w:spacing w:before="80" w:after="80"/>
    </w:pPr>
    <w:rPr>
      <w:i/>
    </w:rPr>
  </w:style>
  <w:style w:type="paragraph" w:styleId="TOC2">
    <w:name w:val="toc 2"/>
    <w:basedOn w:val="BodyText"/>
    <w:semiHidden/>
    <w:rsid w:val="004D32F8"/>
    <w:pPr>
      <w:tabs>
        <w:tab w:val="right" w:pos="8789"/>
      </w:tabs>
      <w:ind w:left="510" w:right="851" w:hanging="510"/>
      <w:jc w:val="left"/>
    </w:pPr>
    <w:rPr>
      <w:b/>
    </w:rPr>
  </w:style>
  <w:style w:type="paragraph" w:styleId="TOC3">
    <w:name w:val="toc 3"/>
    <w:basedOn w:val="TOC2"/>
    <w:semiHidden/>
    <w:rsid w:val="004D32F8"/>
    <w:pPr>
      <w:spacing w:before="60"/>
      <w:ind w:left="1190" w:hanging="680"/>
    </w:pPr>
    <w:rPr>
      <w:b w:val="0"/>
    </w:rPr>
  </w:style>
  <w:style w:type="paragraph" w:styleId="TableofFigures">
    <w:name w:val="table of figures"/>
    <w:basedOn w:val="TOC3"/>
    <w:next w:val="BodyText"/>
    <w:semiHidden/>
    <w:rsid w:val="004D32F8"/>
    <w:pPr>
      <w:ind w:left="737" w:hanging="737"/>
    </w:pPr>
  </w:style>
  <w:style w:type="paragraph" w:customStyle="1" w:styleId="TableTitle">
    <w:name w:val="Table Title"/>
    <w:basedOn w:val="Caption"/>
    <w:next w:val="Subtitle"/>
    <w:rsid w:val="004D32F8"/>
    <w:rPr>
      <w:sz w:val="24"/>
    </w:rPr>
  </w:style>
  <w:style w:type="paragraph" w:customStyle="1" w:styleId="TableUnitsRow">
    <w:name w:val="Table Units Row"/>
    <w:basedOn w:val="TableBodyText"/>
    <w:rsid w:val="004D32F8"/>
    <w:pPr>
      <w:spacing w:before="80" w:after="80"/>
    </w:pPr>
  </w:style>
  <w:style w:type="paragraph" w:styleId="TOC1">
    <w:name w:val="toc 1"/>
    <w:basedOn w:val="Normal"/>
    <w:next w:val="TOC2"/>
    <w:semiHidden/>
    <w:rsid w:val="004D32F8"/>
    <w:pPr>
      <w:tabs>
        <w:tab w:val="right" w:pos="8789"/>
      </w:tabs>
      <w:spacing w:before="480" w:after="60" w:line="320" w:lineRule="exact"/>
      <w:ind w:left="1191" w:right="851" w:hanging="1191"/>
    </w:pPr>
    <w:rPr>
      <w:b/>
      <w:caps/>
    </w:rPr>
  </w:style>
  <w:style w:type="paragraph" w:styleId="TOC4">
    <w:name w:val="toc 4"/>
    <w:basedOn w:val="TOC3"/>
    <w:semiHidden/>
    <w:rsid w:val="004D32F8"/>
    <w:pPr>
      <w:ind w:left="1191" w:firstLine="0"/>
    </w:pPr>
  </w:style>
  <w:style w:type="paragraph" w:customStyle="1" w:styleId="RecBBullet2">
    <w:name w:val="RecB Bullet 2"/>
    <w:basedOn w:val="ListBullet2"/>
    <w:semiHidden/>
    <w:rsid w:val="004D32F8"/>
    <w:pPr>
      <w:numPr>
        <w:numId w:val="0"/>
      </w:numPr>
      <w:pBdr>
        <w:left w:val="single" w:sz="24" w:space="29" w:color="C0C0C0"/>
      </w:pBdr>
    </w:pPr>
    <w:rPr>
      <w:b/>
      <w:i/>
    </w:rPr>
  </w:style>
  <w:style w:type="paragraph" w:styleId="BalloonText">
    <w:name w:val="Balloon Text"/>
    <w:basedOn w:val="Normal"/>
    <w:link w:val="BalloonTextChar"/>
    <w:rsid w:val="004D32F8"/>
    <w:rPr>
      <w:rFonts w:ascii="Tahoma" w:hAnsi="Tahoma" w:cs="Tahoma"/>
      <w:sz w:val="16"/>
      <w:szCs w:val="16"/>
    </w:rPr>
  </w:style>
  <w:style w:type="character" w:customStyle="1" w:styleId="BalloonTextChar">
    <w:name w:val="Balloon Text Char"/>
    <w:basedOn w:val="DefaultParagraphFont"/>
    <w:link w:val="BalloonText"/>
    <w:rsid w:val="004D32F8"/>
    <w:rPr>
      <w:rFonts w:ascii="Tahoma" w:hAnsi="Tahoma" w:cs="Tahoma"/>
      <w:sz w:val="16"/>
      <w:szCs w:val="16"/>
    </w:rPr>
  </w:style>
  <w:style w:type="character" w:customStyle="1" w:styleId="SubtitleChar">
    <w:name w:val="Subtitle Char"/>
    <w:basedOn w:val="DefaultParagraphFont"/>
    <w:link w:val="Subtitle"/>
    <w:rsid w:val="004D32F8"/>
    <w:rPr>
      <w:rFonts w:ascii="Arial" w:hAnsi="Arial"/>
      <w:szCs w:val="24"/>
    </w:rPr>
  </w:style>
  <w:style w:type="paragraph" w:customStyle="1" w:styleId="BoxListBullet3">
    <w:name w:val="Box List Bullet 3"/>
    <w:basedOn w:val="ListBullet3"/>
    <w:rsid w:val="004D32F8"/>
    <w:pPr>
      <w:numPr>
        <w:numId w:val="17"/>
      </w:numPr>
      <w:tabs>
        <w:tab w:val="left" w:pos="907"/>
      </w:tabs>
      <w:spacing w:before="60" w:line="280" w:lineRule="atLeast"/>
    </w:pPr>
    <w:rPr>
      <w:rFonts w:ascii="Arial" w:hAnsi="Arial"/>
      <w:sz w:val="22"/>
    </w:rPr>
  </w:style>
  <w:style w:type="character" w:styleId="Emphasis">
    <w:name w:val="Emphasis"/>
    <w:basedOn w:val="DefaultParagraphFont"/>
    <w:rsid w:val="004D32F8"/>
    <w:rPr>
      <w:i/>
      <w:iCs/>
    </w:rPr>
  </w:style>
  <w:style w:type="paragraph" w:customStyle="1" w:styleId="BoxQuoteBullet">
    <w:name w:val="Box Quote Bullet"/>
    <w:basedOn w:val="BoxQuote"/>
    <w:next w:val="Box"/>
    <w:rsid w:val="004D32F8"/>
    <w:pPr>
      <w:numPr>
        <w:numId w:val="14"/>
      </w:numPr>
    </w:pPr>
  </w:style>
  <w:style w:type="paragraph" w:customStyle="1" w:styleId="InformationRequestBullet">
    <w:name w:val="Information Request Bullet"/>
    <w:basedOn w:val="ListBullet"/>
    <w:next w:val="BodyText"/>
    <w:rsid w:val="004D32F8"/>
    <w:pPr>
      <w:numPr>
        <w:numId w:val="15"/>
      </w:numPr>
    </w:pPr>
    <w:rPr>
      <w:rFonts w:ascii="Arial" w:hAnsi="Arial"/>
      <w:i/>
      <w:sz w:val="24"/>
    </w:rPr>
  </w:style>
  <w:style w:type="paragraph" w:customStyle="1" w:styleId="BoxSpaceBelow">
    <w:name w:val="Box Space Below"/>
    <w:basedOn w:val="Box"/>
    <w:rsid w:val="004D32F8"/>
    <w:pPr>
      <w:keepNext w:val="0"/>
      <w:spacing w:before="60" w:after="60" w:line="80" w:lineRule="exact"/>
    </w:pPr>
    <w:rPr>
      <w:sz w:val="14"/>
    </w:rPr>
  </w:style>
  <w:style w:type="character" w:styleId="Hyperlink">
    <w:name w:val="Hyperlink"/>
    <w:basedOn w:val="DefaultParagraphFont"/>
    <w:uiPriority w:val="99"/>
    <w:rsid w:val="008B2F89"/>
    <w:rPr>
      <w:color w:val="0000FF" w:themeColor="hyperlink"/>
      <w:u w:val="single"/>
    </w:rPr>
  </w:style>
  <w:style w:type="character" w:customStyle="1" w:styleId="ReferenceChar">
    <w:name w:val="Reference Char"/>
    <w:basedOn w:val="DefaultParagraphFont"/>
    <w:link w:val="Reference"/>
    <w:rsid w:val="0073254A"/>
    <w:rPr>
      <w:sz w:val="26"/>
    </w:rPr>
  </w:style>
  <w:style w:type="paragraph" w:styleId="CommentSubject">
    <w:name w:val="annotation subject"/>
    <w:basedOn w:val="CommentText"/>
    <w:next w:val="CommentText"/>
    <w:link w:val="CommentSubjectChar"/>
    <w:rsid w:val="00064695"/>
    <w:pPr>
      <w:spacing w:before="0" w:line="240" w:lineRule="auto"/>
      <w:ind w:left="0" w:firstLine="0"/>
    </w:pPr>
    <w:rPr>
      <w:b/>
      <w:bCs/>
      <w:szCs w:val="20"/>
    </w:rPr>
  </w:style>
  <w:style w:type="character" w:customStyle="1" w:styleId="CommentTextChar">
    <w:name w:val="Comment Text Char"/>
    <w:basedOn w:val="DefaultParagraphFont"/>
    <w:link w:val="CommentText"/>
    <w:semiHidden/>
    <w:rsid w:val="004D32F8"/>
    <w:rPr>
      <w:szCs w:val="24"/>
    </w:rPr>
  </w:style>
  <w:style w:type="character" w:customStyle="1" w:styleId="CommentSubjectChar">
    <w:name w:val="Comment Subject Char"/>
    <w:basedOn w:val="CommentTextChar"/>
    <w:link w:val="CommentSubject"/>
    <w:rsid w:val="00064695"/>
    <w:rPr>
      <w:b/>
      <w:bCs/>
      <w:szCs w:val="24"/>
    </w:rPr>
  </w:style>
  <w:style w:type="character" w:customStyle="1" w:styleId="TableBodyTextChar">
    <w:name w:val="Table Body Text Char"/>
    <w:basedOn w:val="DefaultParagraphFont"/>
    <w:link w:val="TableBodyText"/>
    <w:rsid w:val="00534A3D"/>
    <w:rPr>
      <w:rFonts w:ascii="Arial" w:hAnsi="Arial"/>
    </w:rPr>
  </w:style>
  <w:style w:type="character" w:customStyle="1" w:styleId="NoteChar">
    <w:name w:val="Note Char"/>
    <w:basedOn w:val="DefaultParagraphFont"/>
    <w:link w:val="Note"/>
    <w:rsid w:val="00534A3D"/>
    <w:rPr>
      <w:rFonts w:ascii="Arial" w:hAnsi="Arial"/>
      <w:sz w:val="18"/>
    </w:rPr>
  </w:style>
  <w:style w:type="character" w:customStyle="1" w:styleId="SourceChar">
    <w:name w:val="Source Char"/>
    <w:basedOn w:val="DefaultParagraphFont"/>
    <w:link w:val="Source"/>
    <w:rsid w:val="00534A3D"/>
    <w:rPr>
      <w:rFonts w:ascii="Arial" w:hAnsi="Arial"/>
      <w:sz w:val="18"/>
    </w:rPr>
  </w:style>
  <w:style w:type="character" w:customStyle="1" w:styleId="Heading4Char">
    <w:name w:val="Heading 4 Char"/>
    <w:basedOn w:val="DefaultParagraphFont"/>
    <w:link w:val="Heading4"/>
    <w:rsid w:val="004D32F8"/>
    <w:rPr>
      <w:rFonts w:ascii="Arial" w:hAnsi="Arial"/>
      <w:i/>
      <w:sz w:val="24"/>
    </w:rPr>
  </w:style>
  <w:style w:type="character" w:customStyle="1" w:styleId="Heading2Char">
    <w:name w:val="Heading 2 Char"/>
    <w:basedOn w:val="DefaultParagraphFont"/>
    <w:link w:val="Heading2"/>
    <w:rsid w:val="004D32F8"/>
    <w:rPr>
      <w:rFonts w:ascii="Arial" w:hAnsi="Arial"/>
      <w:b/>
      <w:sz w:val="32"/>
    </w:rPr>
  </w:style>
  <w:style w:type="character" w:customStyle="1" w:styleId="FootnoteTextChar">
    <w:name w:val="Footnote Text Char"/>
    <w:basedOn w:val="DefaultParagraphFont"/>
    <w:link w:val="FootnoteText"/>
    <w:rsid w:val="004D32F8"/>
    <w:rPr>
      <w:sz w:val="22"/>
    </w:rPr>
  </w:style>
  <w:style w:type="character" w:customStyle="1" w:styleId="TableBulletChar">
    <w:name w:val="Table Bullet Char"/>
    <w:basedOn w:val="TableBodyTextChar"/>
    <w:link w:val="TableBullet"/>
    <w:locked/>
    <w:rsid w:val="0098335A"/>
    <w:rPr>
      <w:rFonts w:ascii="Arial" w:hAnsi="Arial"/>
    </w:rPr>
  </w:style>
  <w:style w:type="paragraph" w:customStyle="1" w:styleId="BoxSpace">
    <w:name w:val="Box Space"/>
    <w:basedOn w:val="BodyText"/>
    <w:rsid w:val="0095188C"/>
    <w:pPr>
      <w:keepNext/>
      <w:spacing w:before="360" w:line="80" w:lineRule="exact"/>
      <w:jc w:val="left"/>
    </w:pPr>
  </w:style>
  <w:style w:type="character" w:customStyle="1" w:styleId="Heading3Char">
    <w:name w:val="Heading 3 Char"/>
    <w:basedOn w:val="DefaultParagraphFont"/>
    <w:link w:val="Heading3"/>
    <w:rsid w:val="004D32F8"/>
    <w:rPr>
      <w:rFonts w:ascii="Arial" w:hAnsi="Arial"/>
      <w:b/>
      <w:sz w:val="26"/>
    </w:rPr>
  </w:style>
  <w:style w:type="character" w:customStyle="1" w:styleId="BodyTextChar">
    <w:name w:val="Body Text Char"/>
    <w:basedOn w:val="DefaultParagraphFont"/>
    <w:link w:val="BodyText"/>
    <w:locked/>
    <w:rsid w:val="004D32F8"/>
    <w:rPr>
      <w:sz w:val="26"/>
    </w:rPr>
  </w:style>
  <w:style w:type="table" w:styleId="TableGrid">
    <w:name w:val="Table Grid"/>
    <w:basedOn w:val="TableNormal"/>
    <w:rsid w:val="0025485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272F6"/>
    <w:pPr>
      <w:ind w:left="720"/>
      <w:contextualSpacing/>
    </w:pPr>
  </w:style>
  <w:style w:type="character" w:customStyle="1" w:styleId="ListBulletChar">
    <w:name w:val="List Bullet Char"/>
    <w:link w:val="ListBullet"/>
    <w:rsid w:val="00AD49F3"/>
    <w:rPr>
      <w:sz w:val="26"/>
    </w:rPr>
  </w:style>
  <w:style w:type="character" w:styleId="FollowedHyperlink">
    <w:name w:val="FollowedHyperlink"/>
    <w:basedOn w:val="DefaultParagraphFont"/>
    <w:rsid w:val="001F08A4"/>
    <w:rPr>
      <w:color w:val="800080" w:themeColor="followedHyperlink"/>
      <w:u w:val="single"/>
    </w:rPr>
  </w:style>
  <w:style w:type="paragraph" w:styleId="Revision">
    <w:name w:val="Revision"/>
    <w:hidden/>
    <w:uiPriority w:val="99"/>
    <w:semiHidden/>
    <w:rsid w:val="00CF4788"/>
    <w:rPr>
      <w:sz w:val="26"/>
      <w:szCs w:val="24"/>
    </w:rPr>
  </w:style>
  <w:style w:type="character" w:customStyle="1" w:styleId="Heading1Char">
    <w:name w:val="Heading 1 Char"/>
    <w:basedOn w:val="DefaultParagraphFont"/>
    <w:link w:val="Heading1"/>
    <w:rsid w:val="004D32F8"/>
    <w:rPr>
      <w:sz w:val="52"/>
    </w:rPr>
  </w:style>
  <w:style w:type="character" w:customStyle="1" w:styleId="FooterChar">
    <w:name w:val="Footer Char"/>
    <w:basedOn w:val="DefaultParagraphFont"/>
    <w:link w:val="Footer"/>
    <w:semiHidden/>
    <w:rsid w:val="004D32F8"/>
    <w:rPr>
      <w:caps/>
      <w:spacing w:val="-4"/>
      <w:sz w:val="16"/>
    </w:rPr>
  </w:style>
  <w:style w:type="character" w:customStyle="1" w:styleId="HeaderChar">
    <w:name w:val="Header Char"/>
    <w:basedOn w:val="DefaultParagraphFont"/>
    <w:link w:val="Header"/>
    <w:rsid w:val="004D32F8"/>
    <w:rPr>
      <w:rFonts w:ascii="Arial" w:hAnsi="Arial"/>
      <w:caps/>
      <w:sz w:val="26"/>
    </w:rPr>
  </w:style>
  <w:style w:type="character" w:customStyle="1" w:styleId="Heading5Char">
    <w:name w:val="Heading 5 Char"/>
    <w:basedOn w:val="DefaultParagraphFont"/>
    <w:link w:val="Heading5"/>
    <w:rsid w:val="004D32F8"/>
    <w:rPr>
      <w:i/>
      <w:sz w:val="26"/>
    </w:rPr>
  </w:style>
  <w:style w:type="character" w:customStyle="1" w:styleId="Heading6Char">
    <w:name w:val="Heading 6 Char"/>
    <w:basedOn w:val="DefaultParagraphFont"/>
    <w:link w:val="Heading6"/>
    <w:rsid w:val="004D32F8"/>
    <w:rPr>
      <w:i/>
      <w:sz w:val="22"/>
    </w:rPr>
  </w:style>
  <w:style w:type="character" w:customStyle="1" w:styleId="Heading7Char">
    <w:name w:val="Heading 7 Char"/>
    <w:basedOn w:val="DefaultParagraphFont"/>
    <w:link w:val="Heading7"/>
    <w:rsid w:val="004D32F8"/>
    <w:rPr>
      <w:rFonts w:ascii="Arial" w:hAnsi="Arial"/>
    </w:rPr>
  </w:style>
  <w:style w:type="character" w:customStyle="1" w:styleId="Heading8Char">
    <w:name w:val="Heading 8 Char"/>
    <w:basedOn w:val="DefaultParagraphFont"/>
    <w:link w:val="Heading8"/>
    <w:rsid w:val="004D32F8"/>
    <w:rPr>
      <w:rFonts w:ascii="Arial" w:hAnsi="Arial"/>
      <w:i/>
    </w:rPr>
  </w:style>
  <w:style w:type="character" w:customStyle="1" w:styleId="Heading9Char">
    <w:name w:val="Heading 9 Char"/>
    <w:basedOn w:val="DefaultParagraphFont"/>
    <w:link w:val="Heading9"/>
    <w:rsid w:val="004D32F8"/>
    <w:rPr>
      <w:rFonts w:ascii="Arial" w:hAnsi="Arial"/>
      <w:b/>
      <w:i/>
      <w:sz w:val="18"/>
    </w:rPr>
  </w:style>
  <w:style w:type="character" w:customStyle="1" w:styleId="QuoteChar">
    <w:name w:val="Quote Char"/>
    <w:basedOn w:val="DefaultParagraphFont"/>
    <w:link w:val="Quote"/>
    <w:rsid w:val="004D32F8"/>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3137661">
      <w:bodyDiv w:val="1"/>
      <w:marLeft w:val="0"/>
      <w:marRight w:val="0"/>
      <w:marTop w:val="0"/>
      <w:marBottom w:val="0"/>
      <w:divBdr>
        <w:top w:val="none" w:sz="0" w:space="0" w:color="auto"/>
        <w:left w:val="none" w:sz="0" w:space="0" w:color="auto"/>
        <w:bottom w:val="none" w:sz="0" w:space="0" w:color="auto"/>
        <w:right w:val="none" w:sz="0" w:space="0" w:color="auto"/>
      </w:divBdr>
      <w:divsChild>
        <w:div w:id="2018657082">
          <w:marLeft w:val="0"/>
          <w:marRight w:val="0"/>
          <w:marTop w:val="0"/>
          <w:marBottom w:val="0"/>
          <w:divBdr>
            <w:top w:val="none" w:sz="0" w:space="0" w:color="auto"/>
            <w:left w:val="none" w:sz="0" w:space="0" w:color="auto"/>
            <w:bottom w:val="none" w:sz="0" w:space="0" w:color="auto"/>
            <w:right w:val="none" w:sz="0" w:space="0" w:color="auto"/>
          </w:divBdr>
          <w:divsChild>
            <w:div w:id="2057242377">
              <w:marLeft w:val="0"/>
              <w:marRight w:val="0"/>
              <w:marTop w:val="0"/>
              <w:marBottom w:val="0"/>
              <w:divBdr>
                <w:top w:val="none" w:sz="0" w:space="0" w:color="auto"/>
                <w:left w:val="none" w:sz="0" w:space="0" w:color="auto"/>
                <w:bottom w:val="none" w:sz="0" w:space="0" w:color="auto"/>
                <w:right w:val="none" w:sz="0" w:space="0" w:color="auto"/>
              </w:divBdr>
              <w:divsChild>
                <w:div w:id="427119975">
                  <w:marLeft w:val="0"/>
                  <w:marRight w:val="0"/>
                  <w:marTop w:val="0"/>
                  <w:marBottom w:val="0"/>
                  <w:divBdr>
                    <w:top w:val="none" w:sz="0" w:space="0" w:color="auto"/>
                    <w:left w:val="none" w:sz="0" w:space="0" w:color="auto"/>
                    <w:bottom w:val="none" w:sz="0" w:space="0" w:color="auto"/>
                    <w:right w:val="none" w:sz="0" w:space="0" w:color="auto"/>
                  </w:divBdr>
                  <w:divsChild>
                    <w:div w:id="1530529233">
                      <w:marLeft w:val="0"/>
                      <w:marRight w:val="0"/>
                      <w:marTop w:val="0"/>
                      <w:marBottom w:val="0"/>
                      <w:divBdr>
                        <w:top w:val="none" w:sz="0" w:space="0" w:color="auto"/>
                        <w:left w:val="none" w:sz="0" w:space="0" w:color="auto"/>
                        <w:bottom w:val="none" w:sz="0" w:space="0" w:color="auto"/>
                        <w:right w:val="none" w:sz="0" w:space="0" w:color="auto"/>
                      </w:divBdr>
                      <w:divsChild>
                        <w:div w:id="1716542459">
                          <w:marLeft w:val="0"/>
                          <w:marRight w:val="0"/>
                          <w:marTop w:val="0"/>
                          <w:marBottom w:val="0"/>
                          <w:divBdr>
                            <w:top w:val="none" w:sz="0" w:space="0" w:color="auto"/>
                            <w:left w:val="none" w:sz="0" w:space="0" w:color="auto"/>
                            <w:bottom w:val="none" w:sz="0" w:space="0" w:color="auto"/>
                            <w:right w:val="none" w:sz="0" w:space="0" w:color="auto"/>
                          </w:divBdr>
                          <w:divsChild>
                            <w:div w:id="50541524">
                              <w:marLeft w:val="0"/>
                              <w:marRight w:val="0"/>
                              <w:marTop w:val="0"/>
                              <w:marBottom w:val="0"/>
                              <w:divBdr>
                                <w:top w:val="none" w:sz="0" w:space="0" w:color="auto"/>
                                <w:left w:val="none" w:sz="0" w:space="0" w:color="auto"/>
                                <w:bottom w:val="none" w:sz="0" w:space="0" w:color="auto"/>
                                <w:right w:val="none" w:sz="0" w:space="0" w:color="auto"/>
                              </w:divBdr>
                              <w:divsChild>
                                <w:div w:id="1931307716">
                                  <w:marLeft w:val="0"/>
                                  <w:marRight w:val="0"/>
                                  <w:marTop w:val="0"/>
                                  <w:marBottom w:val="0"/>
                                  <w:divBdr>
                                    <w:top w:val="none" w:sz="0" w:space="0" w:color="auto"/>
                                    <w:left w:val="none" w:sz="0" w:space="0" w:color="auto"/>
                                    <w:bottom w:val="none" w:sz="0" w:space="0" w:color="auto"/>
                                    <w:right w:val="none" w:sz="0" w:space="0" w:color="auto"/>
                                  </w:divBdr>
                                  <w:divsChild>
                                    <w:div w:id="1736774503">
                                      <w:marLeft w:val="0"/>
                                      <w:marRight w:val="0"/>
                                      <w:marTop w:val="0"/>
                                      <w:marBottom w:val="0"/>
                                      <w:divBdr>
                                        <w:top w:val="none" w:sz="0" w:space="0" w:color="auto"/>
                                        <w:left w:val="none" w:sz="0" w:space="0" w:color="auto"/>
                                        <w:bottom w:val="none" w:sz="0" w:space="0" w:color="auto"/>
                                        <w:right w:val="none" w:sz="0" w:space="0" w:color="auto"/>
                                      </w:divBdr>
                                      <w:divsChild>
                                        <w:div w:id="124703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33284679">
      <w:bodyDiv w:val="1"/>
      <w:marLeft w:val="0"/>
      <w:marRight w:val="0"/>
      <w:marTop w:val="0"/>
      <w:marBottom w:val="0"/>
      <w:divBdr>
        <w:top w:val="none" w:sz="0" w:space="0" w:color="auto"/>
        <w:left w:val="none" w:sz="0" w:space="0" w:color="auto"/>
        <w:bottom w:val="none" w:sz="0" w:space="0" w:color="auto"/>
        <w:right w:val="none" w:sz="0" w:space="0" w:color="auto"/>
      </w:divBdr>
    </w:div>
    <w:div w:id="540282989">
      <w:bodyDiv w:val="1"/>
      <w:marLeft w:val="0"/>
      <w:marRight w:val="0"/>
      <w:marTop w:val="0"/>
      <w:marBottom w:val="0"/>
      <w:divBdr>
        <w:top w:val="none" w:sz="0" w:space="0" w:color="auto"/>
        <w:left w:val="none" w:sz="0" w:space="0" w:color="auto"/>
        <w:bottom w:val="none" w:sz="0" w:space="0" w:color="auto"/>
        <w:right w:val="none" w:sz="0" w:space="0" w:color="auto"/>
      </w:divBdr>
    </w:div>
    <w:div w:id="557130632">
      <w:bodyDiv w:val="1"/>
      <w:marLeft w:val="0"/>
      <w:marRight w:val="0"/>
      <w:marTop w:val="0"/>
      <w:marBottom w:val="0"/>
      <w:divBdr>
        <w:top w:val="none" w:sz="0" w:space="0" w:color="auto"/>
        <w:left w:val="none" w:sz="0" w:space="0" w:color="auto"/>
        <w:bottom w:val="none" w:sz="0" w:space="0" w:color="auto"/>
        <w:right w:val="none" w:sz="0" w:space="0" w:color="auto"/>
      </w:divBdr>
    </w:div>
    <w:div w:id="652224198">
      <w:bodyDiv w:val="1"/>
      <w:marLeft w:val="0"/>
      <w:marRight w:val="0"/>
      <w:marTop w:val="0"/>
      <w:marBottom w:val="0"/>
      <w:divBdr>
        <w:top w:val="none" w:sz="0" w:space="0" w:color="auto"/>
        <w:left w:val="none" w:sz="0" w:space="0" w:color="auto"/>
        <w:bottom w:val="none" w:sz="0" w:space="0" w:color="auto"/>
        <w:right w:val="none" w:sz="0" w:space="0" w:color="auto"/>
      </w:divBdr>
    </w:div>
    <w:div w:id="757796762">
      <w:bodyDiv w:val="1"/>
      <w:marLeft w:val="0"/>
      <w:marRight w:val="0"/>
      <w:marTop w:val="0"/>
      <w:marBottom w:val="0"/>
      <w:divBdr>
        <w:top w:val="none" w:sz="0" w:space="0" w:color="auto"/>
        <w:left w:val="none" w:sz="0" w:space="0" w:color="auto"/>
        <w:bottom w:val="none" w:sz="0" w:space="0" w:color="auto"/>
        <w:right w:val="none" w:sz="0" w:space="0" w:color="auto"/>
      </w:divBdr>
    </w:div>
    <w:div w:id="1647585607">
      <w:bodyDiv w:val="1"/>
      <w:marLeft w:val="0"/>
      <w:marRight w:val="0"/>
      <w:marTop w:val="0"/>
      <w:marBottom w:val="0"/>
      <w:divBdr>
        <w:top w:val="none" w:sz="0" w:space="0" w:color="auto"/>
        <w:left w:val="none" w:sz="0" w:space="0" w:color="auto"/>
        <w:bottom w:val="none" w:sz="0" w:space="0" w:color="auto"/>
        <w:right w:val="none" w:sz="0" w:space="0" w:color="auto"/>
      </w:divBdr>
      <w:divsChild>
        <w:div w:id="527834537">
          <w:marLeft w:val="0"/>
          <w:marRight w:val="0"/>
          <w:marTop w:val="0"/>
          <w:marBottom w:val="0"/>
          <w:divBdr>
            <w:top w:val="none" w:sz="0" w:space="0" w:color="auto"/>
            <w:left w:val="none" w:sz="0" w:space="0" w:color="auto"/>
            <w:bottom w:val="none" w:sz="0" w:space="0" w:color="auto"/>
            <w:right w:val="none" w:sz="0" w:space="0" w:color="auto"/>
          </w:divBdr>
          <w:divsChild>
            <w:div w:id="1461920207">
              <w:marLeft w:val="0"/>
              <w:marRight w:val="0"/>
              <w:marTop w:val="0"/>
              <w:marBottom w:val="0"/>
              <w:divBdr>
                <w:top w:val="none" w:sz="0" w:space="0" w:color="auto"/>
                <w:left w:val="none" w:sz="0" w:space="0" w:color="auto"/>
                <w:bottom w:val="none" w:sz="0" w:space="0" w:color="auto"/>
                <w:right w:val="none" w:sz="0" w:space="0" w:color="auto"/>
              </w:divBdr>
              <w:divsChild>
                <w:div w:id="542905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9529422">
      <w:bodyDiv w:val="1"/>
      <w:marLeft w:val="0"/>
      <w:marRight w:val="0"/>
      <w:marTop w:val="0"/>
      <w:marBottom w:val="0"/>
      <w:divBdr>
        <w:top w:val="none" w:sz="0" w:space="0" w:color="auto"/>
        <w:left w:val="none" w:sz="0" w:space="0" w:color="auto"/>
        <w:bottom w:val="none" w:sz="0" w:space="0" w:color="auto"/>
        <w:right w:val="none" w:sz="0" w:space="0" w:color="auto"/>
      </w:divBdr>
    </w:div>
    <w:div w:id="1761296281">
      <w:bodyDiv w:val="1"/>
      <w:marLeft w:val="0"/>
      <w:marRight w:val="0"/>
      <w:marTop w:val="0"/>
      <w:marBottom w:val="0"/>
      <w:divBdr>
        <w:top w:val="none" w:sz="0" w:space="0" w:color="auto"/>
        <w:left w:val="none" w:sz="0" w:space="0" w:color="auto"/>
        <w:bottom w:val="none" w:sz="0" w:space="0" w:color="auto"/>
        <w:right w:val="none" w:sz="0" w:space="0" w:color="auto"/>
      </w:divBdr>
    </w:div>
    <w:div w:id="1901749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abs.gov.au/websitedbs/d3310114.nsf/4a256353001af3ed4b2562bb00121564/10ca14cb967e5b83ca2573ae00197b65!OpenDocument" TargetMode="External"/><Relationship Id="rId26" Type="http://schemas.openxmlformats.org/officeDocument/2006/relationships/hyperlink" Target="http://www.abs.gov.au/websitedbs/D3310114.nsf/home/National+Information+and+Referral+Service" TargetMode="External"/><Relationship Id="rId3" Type="http://schemas.microsoft.com/office/2007/relationships/stylesWithEffects" Target="stylesWithEffects.xml"/><Relationship Id="rId21" Type="http://schemas.openxmlformats.org/officeDocument/2006/relationships/hyperlink" Target="http://www.abs.gov.au/websitedbs/censushome.nsf/home/census?opendocument&amp;navpos=10" TargetMode="External"/><Relationship Id="rId34" Type="http://schemas.openxmlformats.org/officeDocument/2006/relationships/hyperlink" Target="http://www.abs.gov.au/websitedbs/d3310114.nsf/4a256353001af3ed4b2562bb00121564/10ca14cb967e5b83ca2573ae00197b65!OpenDocument"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acer.edu.au/ozpisa/reports/" TargetMode="External"/><Relationship Id="rId25" Type="http://schemas.openxmlformats.org/officeDocument/2006/relationships/hyperlink" Target="http://www.abs.gov.au/AUSSTATS/abs@.nsf/ProductsbyCatalogue/556A439CD3D7E8A8CA257242007B3F32?OpenDocument" TargetMode="External"/><Relationship Id="rId33" Type="http://schemas.openxmlformats.org/officeDocument/2006/relationships/hyperlink" Target="http://www.abs.gov.au/ausstats/abs@.nsf/mf/6227.0.30.001"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nap.edu.au/results-and-reports/national-reports.html" TargetMode="External"/><Relationship Id="rId20" Type="http://schemas.openxmlformats.org/officeDocument/2006/relationships/hyperlink" Target="http://www.abs.gov.au/AUSSTATS/ABS@.NSF/0/F501C031BD9AC9C5CA256AAF001FCA33?opendocument" TargetMode="External"/><Relationship Id="rId29" Type="http://schemas.openxmlformats.org/officeDocument/2006/relationships/hyperlink" Target="http://www.abs.gov.au/AUSSTATS/abs@.nsf/allprimarymainfeatures/556A439CD3D7E8A8CA257242007B3F32?opendocument"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www.abs.gov.au" TargetMode="External"/><Relationship Id="rId32" Type="http://schemas.openxmlformats.org/officeDocument/2006/relationships/hyperlink" Target="http://www.abs.gov.au/websitedbs/D3310114.nsf/home/National+Information+and+Referral+Service"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reports.acara.edu.au/" TargetMode="External"/><Relationship Id="rId23" Type="http://schemas.openxmlformats.org/officeDocument/2006/relationships/hyperlink" Target="http://www.abs.gov.au/AUSSTATS/abs@.nsf/Lookup/6227.0Explanatory%20Notes1May%202012?OpenDocument" TargetMode="External"/><Relationship Id="rId28" Type="http://schemas.openxmlformats.org/officeDocument/2006/relationships/hyperlink" Target="http://www.abs.gov.au/websitedbs/d3310114.nsf/4a256353001af3ed4b2562bb00121564/10ca14cb967e5b83ca2573ae00197b65!OpenDocument" TargetMode="External"/><Relationship Id="rId36" Type="http://schemas.openxmlformats.org/officeDocument/2006/relationships/hyperlink" Target="http://www.abs.gov.au/websitedbs/D3310114.nsf/home/National+Information+and+Referral+Service" TargetMode="External"/><Relationship Id="rId10" Type="http://schemas.openxmlformats.org/officeDocument/2006/relationships/footer" Target="footer1.xml"/><Relationship Id="rId19" Type="http://schemas.openxmlformats.org/officeDocument/2006/relationships/hyperlink" Target="http://www.abs.gov.au/AUSSTATS/ABS@.NSF/0/F501C031BD9AC9C5CA256AAF001FCA33?opendocument" TargetMode="External"/><Relationship Id="rId31" Type="http://schemas.openxmlformats.org/officeDocument/2006/relationships/hyperlink" Target="http://www.abs.gov.au/AUSSTATS/abs@.nsf/ProductsbyCatalogue/556A439CD3D7E8A8CA257242007B3F32?OpenDocument"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nap.edu.au/information/faqs/faqs.html" TargetMode="External"/><Relationship Id="rId22" Type="http://schemas.openxmlformats.org/officeDocument/2006/relationships/hyperlink" Target="http://www.abs.gov.au/ausstats/abs@.nsf/mf/4235.0" TargetMode="External"/><Relationship Id="rId27" Type="http://schemas.openxmlformats.org/officeDocument/2006/relationships/hyperlink" Target="http://www.abs.gov.au/ausstats/abs@.nsf/mf/6227.0.30.001" TargetMode="External"/><Relationship Id="rId30" Type="http://schemas.openxmlformats.org/officeDocument/2006/relationships/hyperlink" Target="http://www.abs.gov.au" TargetMode="External"/><Relationship Id="rId35" Type="http://schemas.openxmlformats.org/officeDocument/2006/relationships/hyperlink" Target="http://www.abs.gov.au/ausstats/abs@.nsf/mf/6227.0.30.0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ln>
          <a:solidFill>
            <a:schemeClr val="tx1"/>
          </a:solidFill>
        </a:ln>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89</Pages>
  <Words>26704</Words>
  <Characters>156582</Characters>
  <Application>Microsoft Office Word</Application>
  <DocSecurity>0</DocSecurity>
  <Lines>1304</Lines>
  <Paragraphs>365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182921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2014-04-28T04:06:00Z</dcterms:created>
  <dcterms:modified xsi:type="dcterms:W3CDTF">2014-10-24T00:04:00Z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