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6817F7" w:rsidP="006817F7">
      <w:pPr>
        <w:pStyle w:val="ListBullet"/>
        <w:numPr>
          <w:ilvl w:val="0"/>
          <w:numId w:val="0"/>
        </w:numPr>
        <w:ind w:left="340"/>
        <w:rPr>
          <w:szCs w:val="26"/>
        </w:rPr>
      </w:pPr>
      <w:bookmarkStart w:id="0" w:name="_GoBack"/>
      <w:r>
        <w:rPr>
          <w:noProof/>
          <w:szCs w:val="26"/>
        </w:rPr>
        <w:drawing>
          <wp:anchor distT="0" distB="0" distL="114300" distR="114300" simplePos="0" relativeHeight="251658240" behindDoc="1" locked="0" layoutInCell="1" allowOverlap="1">
            <wp:simplePos x="1371600" y="1339702"/>
            <wp:positionH relativeFrom="page">
              <wp:align>center</wp:align>
            </wp:positionH>
            <wp:positionV relativeFrom="page">
              <wp:align>bottom</wp:align>
            </wp:positionV>
            <wp:extent cx="7560000" cy="10731600"/>
            <wp:effectExtent l="0" t="0" r="3175" b="0"/>
            <wp:wrapNone/>
            <wp:docPr id="1" name="Picture 1" descr="H:\Monitor\09 National Agreement Report\02 NAR Report WIP\2013-14 NIRA report\2013-14 December distribution to PM&amp;C - 24 December\Final Covers\2013-14-NIRA-web-titl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9 National Agreement Report\02 NAR Report WIP\2013-14 NIRA report\2013-14 December distribution to PM&amp;C - 24 December\Final Covers\2013-14-NIRA-web-title-p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16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64089F" w:rsidRPr="007809B8" w:rsidRDefault="0064089F">
      <w:pPr>
        <w:pStyle w:val="BodyText"/>
        <w:tabs>
          <w:tab w:val="left" w:pos="851"/>
        </w:tabs>
        <w:spacing w:before="200" w:after="120"/>
        <w:jc w:val="left"/>
        <w:rPr>
          <w:b/>
        </w:rPr>
      </w:pPr>
      <w:bookmarkStart w:id="1" w:name="ISSN"/>
      <w:bookmarkEnd w:id="1"/>
      <w:r>
        <w:rPr>
          <w:b/>
        </w:rPr>
        <w:t>ISBN</w:t>
      </w:r>
      <w:r>
        <w:rPr>
          <w:b/>
        </w:rPr>
        <w:tab/>
      </w:r>
      <w:r w:rsidR="00F9029B" w:rsidRPr="00F9029B">
        <w:rPr>
          <w:b/>
        </w:rPr>
        <w:t>978-1-74037-534-4</w:t>
      </w:r>
      <w:r>
        <w:rPr>
          <w:b/>
        </w:rPr>
        <w:t xml:space="preserve"> (PDF)</w:t>
      </w:r>
    </w:p>
    <w:p w:rsidR="008A3857" w:rsidRDefault="008A3857" w:rsidP="008E242D">
      <w:pPr>
        <w:pStyle w:val="BodyText"/>
        <w:spacing w:after="120"/>
      </w:pPr>
      <w:r w:rsidRPr="00862D8F">
        <w:rPr>
          <w:noProof/>
          <w:sz w:val="22"/>
          <w:szCs w:val="22"/>
        </w:rPr>
        <w:drawing>
          <wp:inline distT="0" distB="0" distL="0" distR="0" wp14:anchorId="690BF899" wp14:editId="0B4CE9C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64089F" w:rsidRPr="008A3857" w:rsidRDefault="0064089F" w:rsidP="0064089F">
      <w:pPr>
        <w:pStyle w:val="Copyrightbodytext"/>
      </w:pPr>
      <w:r w:rsidRPr="008A3857">
        <w:t xml:space="preserve">Except for the content supplied by third parties, this 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 xml:space="preserve">Steering Committee </w:t>
      </w:r>
      <w:r w:rsidRPr="008A3857">
        <w:t>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64089F" w:rsidRPr="008A3857" w:rsidRDefault="0064089F" w:rsidP="0064089F">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64089F" w:rsidRPr="008A3857" w:rsidRDefault="0064089F" w:rsidP="0064089F">
      <w:pPr>
        <w:pStyle w:val="Copyrightbodytext"/>
      </w:pPr>
      <w:r w:rsidRPr="008A3857">
        <w:t xml:space="preserve">This work should be attributed as follows, </w:t>
      </w:r>
      <w:r w:rsidRPr="008E242D">
        <w:rPr>
          <w:i/>
        </w:rPr>
        <w:t xml:space="preserve">Source: </w:t>
      </w:r>
      <w:r>
        <w:rPr>
          <w:i/>
        </w:rPr>
        <w:t>Steering Committee for the Review of Government Service Provision</w:t>
      </w:r>
      <w:r>
        <w:t xml:space="preserve">, </w:t>
      </w:r>
      <w:r>
        <w:rPr>
          <w:i/>
        </w:rPr>
        <w:t>National Agreement performance information 2013-14: National Indigenous Reform Agreement</w:t>
      </w:r>
      <w:r>
        <w:t xml:space="preserve">. </w:t>
      </w:r>
    </w:p>
    <w:p w:rsidR="0064089F" w:rsidRPr="004B6DB9" w:rsidRDefault="0064089F" w:rsidP="0064089F">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w:t>
      </w:r>
      <w:r w:rsidRPr="008E242D">
        <w:rPr>
          <w:i/>
        </w:rPr>
        <w:t xml:space="preserve">, </w:t>
      </w:r>
      <w:r>
        <w:rPr>
          <w:i/>
        </w:rPr>
        <w:t>National Agreement performance information 2013-14: National Indigenous Reform Agreement</w:t>
      </w:r>
      <w:r>
        <w:t xml:space="preserve">. </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64089F" w:rsidRPr="004B6DB9" w:rsidRDefault="0064089F" w:rsidP="0064089F">
      <w:pPr>
        <w:pStyle w:val="Copyrightbodytext"/>
      </w:pPr>
      <w:r>
        <w:t xml:space="preserve">SCRGSP (Steering Committee for the Review of Government Service Provision) 2014, </w:t>
      </w:r>
      <w:r>
        <w:rPr>
          <w:i/>
        </w:rPr>
        <w:t>National Agreement performance information 2013-14: National Indigenous Reform Agreement</w:t>
      </w:r>
      <w:r>
        <w:t>, Productivity Commission, Canberra.</w:t>
      </w:r>
    </w:p>
    <w:p w:rsidR="008A3857" w:rsidRPr="008A3857" w:rsidRDefault="008A3857" w:rsidP="008A3857">
      <w:pPr>
        <w:pStyle w:val="Copyrightsubtitle"/>
      </w:pPr>
      <w:r w:rsidRPr="008A3857">
        <w:t>Publications enquiries</w:t>
      </w:r>
    </w:p>
    <w:p w:rsidR="0064089F" w:rsidRDefault="0064089F" w:rsidP="0064089F">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hyperlink r:id="rId11" w:history="1">
        <w:r w:rsidRPr="001E3DDC">
          <w:rPr>
            <w:rStyle w:val="Hyperlink"/>
          </w:rPr>
          <w:t>www.pc.gov.au</w:t>
        </w:r>
      </w:hyperlink>
      <w:r>
        <w:t>.</w:t>
      </w:r>
    </w:p>
    <w:p w:rsidR="0064089F" w:rsidRDefault="0064089F" w:rsidP="0064089F">
      <w:pPr>
        <w:pStyle w:val="Copyrightbodytext"/>
      </w:pPr>
      <w:r>
        <w:t xml:space="preserve">The Steering Committee welcomes enquiries and suggestions on the information contained in this report. Contact the Secretariat by phone: (03) 9653 2100 or email: </w:t>
      </w:r>
      <w:hyperlink r:id="rId12" w:history="1">
        <w:proofErr w:type="spellStart"/>
        <w:r w:rsidRPr="001E3DDC">
          <w:rPr>
            <w:rStyle w:val="Hyperlink"/>
          </w:rPr>
          <w:t>gsp@pc.gov.au</w:t>
        </w:r>
        <w:proofErr w:type="spellEnd"/>
      </w:hyperlink>
    </w:p>
    <w:p w:rsidR="004A1851" w:rsidRDefault="004A1851" w:rsidP="004A1851">
      <w:pPr>
        <w:pStyle w:val="BodyText"/>
        <w:sectPr w:rsidR="004A1851" w:rsidSect="007448F7">
          <w:type w:val="oddPage"/>
          <w:pgSz w:w="11907" w:h="16840" w:code="9"/>
          <w:pgMar w:top="1985" w:right="1304" w:bottom="1247" w:left="1814" w:header="1701" w:footer="397" w:gutter="0"/>
          <w:pgNumType w:fmt="lowerRoman"/>
          <w:cols w:space="720"/>
        </w:sectPr>
      </w:pPr>
      <w:bookmarkStart w:id="2" w:name="cov"/>
      <w:bookmarkStart w:id="3" w:name="Contents"/>
      <w:bookmarkEnd w:id="2"/>
      <w:bookmarkEnd w:id="3"/>
    </w:p>
    <w:p w:rsidR="008775A8" w:rsidRDefault="00735FEA" w:rsidP="004A1851">
      <w:pPr>
        <w:pStyle w:val="Heading1NotTOC"/>
        <w:rPr>
          <w:noProof/>
        </w:rPr>
      </w:pPr>
      <w:r w:rsidRPr="00B153C3">
        <w:lastRenderedPageBreak/>
        <w:t>Contents</w:t>
      </w:r>
      <w:bookmarkStart w:id="4" w:name="InsertContents"/>
      <w:bookmarkEnd w:id="4"/>
      <w:r w:rsidR="008775A8">
        <w:fldChar w:fldCharType="begin"/>
      </w:r>
      <w:r w:rsidR="008775A8">
        <w:instrText xml:space="preserve"> TOC \t "Part Title,1,Heading 1,1,Heading 1 (no chapter no.),1,chapter,1,Heading 2,2,Heading 2 (no section no.),2,3" </w:instrText>
      </w:r>
      <w:r w:rsidR="008775A8">
        <w:fldChar w:fldCharType="separate"/>
      </w:r>
    </w:p>
    <w:p w:rsidR="008775A8" w:rsidRDefault="008775A8">
      <w:pPr>
        <w:pStyle w:val="TOC1"/>
        <w:rPr>
          <w:rFonts w:asciiTheme="minorHAnsi" w:eastAsiaTheme="minorEastAsia" w:hAnsiTheme="minorHAnsi" w:cstheme="minorBidi"/>
          <w:b w:val="0"/>
          <w:noProof/>
          <w:sz w:val="22"/>
          <w:szCs w:val="22"/>
          <w:lang w:eastAsia="en-AU"/>
        </w:rPr>
      </w:pPr>
      <w:r>
        <w:rPr>
          <w:noProof/>
        </w:rPr>
        <w:t>Preface</w:t>
      </w:r>
      <w:r>
        <w:rPr>
          <w:noProof/>
        </w:rPr>
        <w:tab/>
      </w:r>
      <w:r>
        <w:rPr>
          <w:noProof/>
        </w:rPr>
        <w:fldChar w:fldCharType="begin"/>
      </w:r>
      <w:r>
        <w:rPr>
          <w:noProof/>
        </w:rPr>
        <w:instrText xml:space="preserve"> PAGEREF _Toc405968619 \h </w:instrText>
      </w:r>
      <w:r>
        <w:rPr>
          <w:noProof/>
        </w:rPr>
      </w:r>
      <w:r>
        <w:rPr>
          <w:noProof/>
        </w:rPr>
        <w:fldChar w:fldCharType="separate"/>
      </w:r>
      <w:r w:rsidR="00B22EE8">
        <w:rPr>
          <w:noProof/>
        </w:rPr>
        <w:t>iv</w:t>
      </w:r>
      <w:r>
        <w:rPr>
          <w:noProof/>
        </w:rPr>
        <w:fldChar w:fldCharType="end"/>
      </w:r>
    </w:p>
    <w:p w:rsidR="008775A8" w:rsidRDefault="008775A8">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sidR="00CC1504">
        <w:rPr>
          <w:noProof/>
        </w:rPr>
        <w:t>v</w:t>
      </w:r>
    </w:p>
    <w:p w:rsidR="008775A8" w:rsidRDefault="008775A8">
      <w:pPr>
        <w:pStyle w:val="TOC1"/>
        <w:rPr>
          <w:rFonts w:asciiTheme="minorHAnsi" w:eastAsiaTheme="minorEastAsia" w:hAnsiTheme="minorHAnsi" w:cstheme="minorBidi"/>
          <w:b w:val="0"/>
          <w:noProof/>
          <w:sz w:val="22"/>
          <w:szCs w:val="22"/>
          <w:lang w:eastAsia="en-AU"/>
        </w:rPr>
      </w:pPr>
      <w:r>
        <w:rPr>
          <w:noProof/>
        </w:rPr>
        <w:t>National Indigenous Reform Agreement (Closing the Gap) performance reporting</w:t>
      </w:r>
      <w:r>
        <w:rPr>
          <w:noProof/>
        </w:rPr>
        <w:tab/>
      </w:r>
      <w:r w:rsidR="00CE1C21">
        <w:rPr>
          <w:noProof/>
        </w:rPr>
        <w:t>1</w:t>
      </w:r>
    </w:p>
    <w:p w:rsidR="008775A8" w:rsidRDefault="008775A8">
      <w:pPr>
        <w:pStyle w:val="TOC2"/>
        <w:rPr>
          <w:rFonts w:asciiTheme="minorHAnsi" w:eastAsiaTheme="minorEastAsia" w:hAnsiTheme="minorHAnsi" w:cstheme="minorBidi"/>
          <w:noProof/>
          <w:sz w:val="22"/>
          <w:szCs w:val="22"/>
          <w:lang w:eastAsia="en-AU"/>
        </w:rPr>
      </w:pPr>
      <w:r>
        <w:rPr>
          <w:noProof/>
        </w:rPr>
        <w:t>Performance Reporting</w:t>
      </w:r>
      <w:r>
        <w:rPr>
          <w:noProof/>
        </w:rPr>
        <w:tab/>
      </w:r>
      <w:r w:rsidR="00CE1C21">
        <w:rPr>
          <w:noProof/>
        </w:rPr>
        <w:t>1</w:t>
      </w:r>
    </w:p>
    <w:p w:rsidR="008775A8" w:rsidRDefault="008775A8">
      <w:pPr>
        <w:pStyle w:val="TOC2"/>
        <w:rPr>
          <w:rFonts w:asciiTheme="minorHAnsi" w:eastAsiaTheme="minorEastAsia" w:hAnsiTheme="minorHAnsi" w:cstheme="minorBidi"/>
          <w:noProof/>
          <w:sz w:val="22"/>
          <w:szCs w:val="22"/>
          <w:lang w:eastAsia="en-AU"/>
        </w:rPr>
      </w:pPr>
      <w:r>
        <w:rPr>
          <w:noProof/>
        </w:rPr>
        <w:t>COAG reform agenda and additional contextual information</w:t>
      </w:r>
      <w:r>
        <w:rPr>
          <w:noProof/>
        </w:rPr>
        <w:tab/>
      </w:r>
      <w:r w:rsidR="00CE1C21">
        <w:rPr>
          <w:noProof/>
        </w:rPr>
        <w:t>2</w:t>
      </w:r>
    </w:p>
    <w:p w:rsidR="008775A8" w:rsidRDefault="008775A8">
      <w:pPr>
        <w:pStyle w:val="TOC2"/>
        <w:rPr>
          <w:rFonts w:asciiTheme="minorHAnsi" w:eastAsiaTheme="minorEastAsia" w:hAnsiTheme="minorHAnsi" w:cstheme="minorBidi"/>
          <w:noProof/>
          <w:sz w:val="22"/>
          <w:szCs w:val="22"/>
          <w:lang w:eastAsia="en-AU"/>
        </w:rPr>
      </w:pPr>
      <w:r>
        <w:rPr>
          <w:noProof/>
        </w:rPr>
        <w:t>Changes from the previous National Indigenous Reform Agreement performance report</w:t>
      </w:r>
      <w:r>
        <w:rPr>
          <w:noProof/>
        </w:rPr>
        <w:tab/>
      </w:r>
      <w:r w:rsidR="00CE1C21">
        <w:rPr>
          <w:noProof/>
        </w:rPr>
        <w:t>6</w:t>
      </w:r>
    </w:p>
    <w:p w:rsidR="008775A8" w:rsidRDefault="008775A8">
      <w:pPr>
        <w:pStyle w:val="TOC2"/>
        <w:rPr>
          <w:rFonts w:asciiTheme="minorHAnsi" w:eastAsiaTheme="minorEastAsia" w:hAnsiTheme="minorHAnsi" w:cstheme="minorBidi"/>
          <w:noProof/>
          <w:sz w:val="22"/>
          <w:szCs w:val="22"/>
          <w:lang w:eastAsia="en-AU"/>
        </w:rPr>
      </w:pPr>
      <w:r>
        <w:rPr>
          <w:noProof/>
        </w:rPr>
        <w:t>Performance targets</w:t>
      </w:r>
      <w:r>
        <w:rPr>
          <w:noProof/>
        </w:rPr>
        <w:tab/>
      </w:r>
      <w:r w:rsidR="00CE1C21">
        <w:rPr>
          <w:noProof/>
        </w:rPr>
        <w:t>7</w:t>
      </w:r>
    </w:p>
    <w:p w:rsidR="008775A8" w:rsidRDefault="008775A8">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CE1C21">
        <w:rPr>
          <w:noProof/>
        </w:rPr>
        <w:t>19</w:t>
      </w:r>
    </w:p>
    <w:p w:rsidR="00071535" w:rsidRDefault="00071535" w:rsidP="00071535">
      <w:pPr>
        <w:pStyle w:val="TOC2"/>
        <w:rPr>
          <w:rFonts w:asciiTheme="minorHAnsi" w:eastAsiaTheme="minorEastAsia" w:hAnsiTheme="minorHAnsi" w:cstheme="minorBidi"/>
          <w:noProof/>
          <w:sz w:val="22"/>
          <w:szCs w:val="22"/>
          <w:lang w:eastAsia="en-AU"/>
        </w:rPr>
      </w:pPr>
      <w:r>
        <w:rPr>
          <w:noProof/>
        </w:rPr>
        <w:t>References</w:t>
      </w:r>
      <w:r>
        <w:rPr>
          <w:noProof/>
        </w:rPr>
        <w:tab/>
        <w:t>6</w:t>
      </w:r>
      <w:r w:rsidR="009779E6">
        <w:rPr>
          <w:noProof/>
        </w:rPr>
        <w:t>1</w:t>
      </w:r>
    </w:p>
    <w:p w:rsidR="00071535" w:rsidRDefault="00071535" w:rsidP="00071535">
      <w:pPr>
        <w:pStyle w:val="TOC2"/>
        <w:rPr>
          <w:rFonts w:asciiTheme="minorHAnsi" w:eastAsiaTheme="minorEastAsia" w:hAnsiTheme="minorHAnsi" w:cstheme="minorBidi"/>
          <w:noProof/>
          <w:sz w:val="22"/>
          <w:szCs w:val="22"/>
          <w:lang w:eastAsia="en-AU"/>
        </w:rPr>
      </w:pPr>
      <w:r>
        <w:rPr>
          <w:noProof/>
        </w:rPr>
        <w:t>Acronyms and abbreviations</w:t>
      </w:r>
      <w:r>
        <w:rPr>
          <w:noProof/>
        </w:rPr>
        <w:tab/>
        <w:t>6</w:t>
      </w:r>
      <w:r w:rsidR="009779E6">
        <w:rPr>
          <w:noProof/>
        </w:rPr>
        <w:t>2</w:t>
      </w:r>
    </w:p>
    <w:p w:rsidR="008775A8" w:rsidRDefault="00071535">
      <w:pPr>
        <w:pStyle w:val="TOC2"/>
        <w:rPr>
          <w:rFonts w:asciiTheme="minorHAnsi" w:eastAsiaTheme="minorEastAsia" w:hAnsiTheme="minorHAnsi" w:cstheme="minorBidi"/>
          <w:noProof/>
          <w:sz w:val="22"/>
          <w:szCs w:val="22"/>
          <w:lang w:eastAsia="en-AU"/>
        </w:rPr>
      </w:pPr>
      <w:r>
        <w:rPr>
          <w:noProof/>
        </w:rPr>
        <w:t>Glossary</w:t>
      </w:r>
      <w:r w:rsidR="008775A8">
        <w:rPr>
          <w:noProof/>
        </w:rPr>
        <w:tab/>
      </w:r>
      <w:r>
        <w:rPr>
          <w:noProof/>
        </w:rPr>
        <w:t>6</w:t>
      </w:r>
      <w:r w:rsidR="009779E6">
        <w:rPr>
          <w:noProof/>
        </w:rPr>
        <w:t>4</w:t>
      </w:r>
    </w:p>
    <w:p w:rsidR="00C058AB" w:rsidRDefault="008775A8" w:rsidP="004A1851">
      <w:pPr>
        <w:pStyle w:val="Heading1NotTOC"/>
      </w:pPr>
      <w:r>
        <w:fldChar w:fldCharType="end"/>
      </w:r>
    </w:p>
    <w:p w:rsidR="004D3F58" w:rsidRDefault="004D3F58">
      <w:pPr>
        <w:pStyle w:val="BodyText"/>
        <w:sectPr w:rsidR="004D3F58" w:rsidSect="007448F7">
          <w:headerReference w:type="default" r:id="rId13"/>
          <w:footerReference w:type="default" r:id="rId14"/>
          <w:type w:val="oddPage"/>
          <w:pgSz w:w="11907" w:h="16840" w:code="9"/>
          <w:pgMar w:top="1985" w:right="1304" w:bottom="1247" w:left="1814" w:header="1701" w:footer="397" w:gutter="0"/>
          <w:pgNumType w:fmt="lowerRoman"/>
          <w:cols w:space="720"/>
        </w:sectPr>
      </w:pPr>
    </w:p>
    <w:p w:rsidR="0064089F" w:rsidRDefault="0064089F">
      <w:pPr>
        <w:pStyle w:val="Heading1"/>
      </w:pPr>
      <w:bookmarkStart w:id="5" w:name="Abbreviations"/>
      <w:bookmarkStart w:id="6" w:name="RDnote"/>
      <w:bookmarkStart w:id="7" w:name="_Toc405968619"/>
      <w:bookmarkEnd w:id="5"/>
      <w:bookmarkEnd w:id="6"/>
      <w:r>
        <w:lastRenderedPageBreak/>
        <w:t>Preface</w:t>
      </w:r>
      <w:bookmarkEnd w:id="7"/>
    </w:p>
    <w:p w:rsidR="0053564D" w:rsidRDefault="0053564D">
      <w:pPr>
        <w:pStyle w:val="BoxSpaceAbove"/>
      </w:pPr>
      <w:r>
        <w:rPr>
          <w:b/>
          <w:vanish/>
          <w:color w:val="FF00FF"/>
          <w:sz w:val="14"/>
        </w:rPr>
        <w:t>Do not delete this RETURN as it gives space between the box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564D" w:rsidTr="00D27860">
        <w:tc>
          <w:tcPr>
            <w:tcW w:w="8771" w:type="dxa"/>
            <w:tcBorders>
              <w:top w:val="single" w:sz="6" w:space="0" w:color="78A22F"/>
              <w:left w:val="nil"/>
              <w:bottom w:val="nil"/>
              <w:right w:val="nil"/>
            </w:tcBorders>
            <w:shd w:val="clear" w:color="auto" w:fill="F2F2F2"/>
          </w:tcPr>
          <w:p w:rsidR="0053564D" w:rsidRDefault="0053564D">
            <w:pPr>
              <w:pStyle w:val="BoxTitle"/>
            </w:pPr>
          </w:p>
        </w:tc>
      </w:tr>
      <w:tr w:rsidR="0053564D" w:rsidTr="00D27860">
        <w:trPr>
          <w:cantSplit/>
        </w:trPr>
        <w:tc>
          <w:tcPr>
            <w:tcW w:w="8771" w:type="dxa"/>
            <w:tcBorders>
              <w:top w:val="nil"/>
              <w:left w:val="nil"/>
              <w:bottom w:val="nil"/>
              <w:right w:val="nil"/>
            </w:tcBorders>
            <w:shd w:val="clear" w:color="auto" w:fill="F2F2F2"/>
          </w:tcPr>
          <w:p w:rsidR="0053564D" w:rsidRPr="0053564D" w:rsidRDefault="0053564D" w:rsidP="0053564D">
            <w:pPr>
              <w:pStyle w:val="Box"/>
            </w:pPr>
            <w:r w:rsidRPr="0053564D">
              <w:t xml:space="preserve">The Steering Committee for the Review of Government Service Provision (the Steering Committee) was requested by COAG under the Intergovernmental Agreement on Federal Financial Relations (IGA) to collate information relevant to the performance indicators in the National Agreements, and to provide it to the COAG Reform Council. </w:t>
            </w:r>
          </w:p>
          <w:p w:rsidR="0053564D" w:rsidRDefault="0053564D" w:rsidP="0053564D">
            <w:pPr>
              <w:pStyle w:val="Box"/>
            </w:pPr>
            <w:r w:rsidRPr="0053564D">
              <w:t>In the May 2014 Commonwealth budget, it was announced that the COAG Reform Council would cease operations from 30 June 2014, and ongoing monitoring of the performance under the National Agreements would transfer to the Department of the Prime Minister and Cabinet (PM&amp;C). Senior members of PM&amp;C contacted the Productivity Commission (PC) as Secretariat of the Steering Committee and requested that the Steering Committee continue to collate the data for the National Indigenous Reform Agreement (NIRA), at least for this 2013-14 cycle of reporting.</w:t>
            </w:r>
          </w:p>
          <w:p w:rsidR="0053564D" w:rsidRDefault="0053564D" w:rsidP="0053564D">
            <w:pPr>
              <w:pStyle w:val="Box"/>
            </w:pPr>
            <w:r w:rsidRPr="0053564D">
              <w:t>This report contains the following information:</w:t>
            </w:r>
          </w:p>
          <w:p w:rsidR="0053564D" w:rsidRDefault="0053564D" w:rsidP="0053564D">
            <w:pPr>
              <w:pStyle w:val="BoxListBullet"/>
            </w:pPr>
            <w:r>
              <w:t xml:space="preserve">overview of the performance indicators, performance targets and key issues in performance </w:t>
            </w:r>
            <w:r>
              <w:br/>
              <w:t xml:space="preserve">reporting for the </w:t>
            </w:r>
            <w:r>
              <w:rPr>
                <w:i/>
              </w:rPr>
              <w:t>National Indigenous Reform Agreement</w:t>
            </w:r>
            <w:r>
              <w:t xml:space="preserve"> </w:t>
            </w:r>
          </w:p>
          <w:p w:rsidR="0053564D" w:rsidRDefault="0053564D" w:rsidP="0053564D">
            <w:pPr>
              <w:pStyle w:val="BoxListBullet"/>
            </w:pPr>
            <w:r>
              <w:t>individual indicator specifications and summaries of data issues</w:t>
            </w:r>
          </w:p>
          <w:p w:rsidR="0053564D" w:rsidRDefault="0053564D" w:rsidP="0053564D">
            <w:pPr>
              <w:pStyle w:val="BoxListBullet"/>
            </w:pPr>
            <w:r w:rsidRPr="0053564D">
              <w:t>attachment tables containing the performance data. The electronic version of this report contains electronic links between indicator specifications and attachment tables, to assist navigation through the report. Attachment tables are also available in excel format.</w:t>
            </w:r>
          </w:p>
          <w:p w:rsidR="0053564D" w:rsidRDefault="0053564D" w:rsidP="0053564D">
            <w:pPr>
              <w:pStyle w:val="Box"/>
            </w:pPr>
            <w:r w:rsidRPr="006F7E4A">
              <w:t>Previous reports (most recently the 2012-13 NIRA report [SCRGSP 2013]) included detailed data quality statements produced by data providers. Previous reports are available on the Review website for reference. Any data issues that have changed since the previous report, have been included in the summaries of key data issues in this report.</w:t>
            </w:r>
          </w:p>
        </w:tc>
      </w:tr>
      <w:tr w:rsidR="0053564D" w:rsidTr="00D27860">
        <w:trPr>
          <w:cantSplit/>
        </w:trPr>
        <w:tc>
          <w:tcPr>
            <w:tcW w:w="8771" w:type="dxa"/>
            <w:tcBorders>
              <w:top w:val="nil"/>
              <w:left w:val="nil"/>
              <w:bottom w:val="single" w:sz="6" w:space="0" w:color="78A22F"/>
              <w:right w:val="nil"/>
            </w:tcBorders>
            <w:shd w:val="clear" w:color="auto" w:fill="F2F2F2"/>
          </w:tcPr>
          <w:p w:rsidR="0053564D" w:rsidRDefault="0053564D">
            <w:pPr>
              <w:pStyle w:val="Box"/>
              <w:spacing w:before="0" w:line="120" w:lineRule="exact"/>
            </w:pPr>
          </w:p>
        </w:tc>
      </w:tr>
      <w:tr w:rsidR="0053564D" w:rsidRPr="000863A5" w:rsidTr="00176D3F">
        <w:trPr>
          <w:hidden/>
        </w:trPr>
        <w:tc>
          <w:tcPr>
            <w:tcW w:w="8771" w:type="dxa"/>
            <w:tcBorders>
              <w:top w:val="single" w:sz="6" w:space="0" w:color="78A22F"/>
              <w:left w:val="nil"/>
              <w:bottom w:val="nil"/>
              <w:right w:val="nil"/>
            </w:tcBorders>
          </w:tcPr>
          <w:p w:rsidR="0053564D" w:rsidRPr="00626D32" w:rsidRDefault="0053564D" w:rsidP="00537BB4">
            <w:pPr>
              <w:pStyle w:val="BoxSpaceBelow"/>
            </w:pPr>
            <w:r w:rsidRPr="00626D32">
              <w:rPr>
                <w:rFonts w:ascii="Times New Roman" w:hAnsi="Times New Roman"/>
                <w:b/>
                <w:vanish/>
                <w:color w:val="FF00FF"/>
              </w:rPr>
              <w:t>Do not delete this ROW as it gives space between the box and what follows it.</w:t>
            </w:r>
          </w:p>
        </w:tc>
      </w:tr>
    </w:tbl>
    <w:p w:rsidR="0064089F" w:rsidRDefault="0064089F">
      <w:pPr>
        <w:pStyle w:val="BodyText"/>
      </w:pPr>
    </w:p>
    <w:p w:rsidR="0064089F" w:rsidRDefault="0064089F">
      <w:pPr>
        <w:pStyle w:val="BodyText"/>
        <w:sectPr w:rsidR="0064089F" w:rsidSect="00720E2F">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64089F" w:rsidRDefault="0053564D">
      <w:pPr>
        <w:pStyle w:val="Heading1"/>
      </w:pPr>
      <w:r>
        <w:lastRenderedPageBreak/>
        <w:t>Steering Committee</w:t>
      </w:r>
    </w:p>
    <w:p w:rsidR="00476C3B" w:rsidRDefault="00476C3B" w:rsidP="00476C3B">
      <w:pPr>
        <w:pStyle w:val="BodyText"/>
        <w:rPr>
          <w:lang w:eastAsia="en-US"/>
        </w:rPr>
      </w:pPr>
      <w:r>
        <w:rPr>
          <w:lang w:eastAsia="en-US"/>
        </w:rPr>
        <w:t>This Report was produced under the direction of the Steering Committee for the Review of Government Service Provision (SCRGSP). The Steering Committee comprises the following current members:</w:t>
      </w:r>
    </w:p>
    <w:p w:rsidR="00476C3B" w:rsidRPr="00E60842" w:rsidRDefault="00476C3B" w:rsidP="00476C3B">
      <w:pPr>
        <w:pStyle w:val="BodyText"/>
        <w:jc w:val="left"/>
        <w:rPr>
          <w:lang w:eastAsia="en-US"/>
        </w:rPr>
      </w:pPr>
      <w:r>
        <w:rPr>
          <w:lang w:eastAsia="en-US"/>
        </w:rPr>
        <w:t>Mr Peter Harris</w:t>
      </w:r>
      <w:r>
        <w:rPr>
          <w:lang w:eastAsia="en-US"/>
        </w:rPr>
        <w:tab/>
      </w:r>
      <w:r>
        <w:rPr>
          <w:lang w:eastAsia="en-US"/>
        </w:rPr>
        <w:tab/>
      </w:r>
      <w:r>
        <w:rPr>
          <w:lang w:eastAsia="en-US"/>
        </w:rPr>
        <w:tab/>
        <w:t>Chairman</w:t>
      </w:r>
      <w:r>
        <w:rPr>
          <w:lang w:eastAsia="en-US"/>
        </w:rPr>
        <w:tab/>
      </w:r>
      <w:r>
        <w:rPr>
          <w:lang w:eastAsia="en-US"/>
        </w:rPr>
        <w:tab/>
        <w:t>Productivity Commission</w:t>
      </w:r>
      <w:r w:rsidR="00067AB8">
        <w:rPr>
          <w:lang w:eastAsia="en-US"/>
        </w:rPr>
        <w:br/>
      </w:r>
      <w:r w:rsidR="00067AB8" w:rsidRPr="00E60842">
        <w:rPr>
          <w:lang w:eastAsia="en-US"/>
        </w:rPr>
        <w:t>Mr Daryl Quinlivan</w:t>
      </w:r>
      <w:r w:rsidR="00067AB8" w:rsidRPr="00E60842">
        <w:rPr>
          <w:lang w:eastAsia="en-US"/>
        </w:rPr>
        <w:tab/>
      </w:r>
      <w:r w:rsidR="00067AB8" w:rsidRPr="00E60842">
        <w:rPr>
          <w:lang w:eastAsia="en-US"/>
        </w:rPr>
        <w:tab/>
        <w:t>Acting Chair</w:t>
      </w:r>
      <w:r w:rsidR="00067AB8" w:rsidRPr="00E60842">
        <w:rPr>
          <w:lang w:eastAsia="en-US"/>
        </w:rPr>
        <w:tab/>
        <w:t>Productivity Commission</w:t>
      </w:r>
    </w:p>
    <w:p w:rsidR="00476C3B" w:rsidRDefault="00476C3B" w:rsidP="00476C3B">
      <w:pPr>
        <w:pStyle w:val="BodyText"/>
        <w:ind w:right="-284"/>
        <w:jc w:val="left"/>
        <w:rPr>
          <w:lang w:eastAsia="en-US"/>
        </w:rPr>
      </w:pPr>
      <w:r>
        <w:rPr>
          <w:lang w:eastAsia="en-US"/>
        </w:rPr>
        <w:t>Mr Mark Thomann</w:t>
      </w:r>
      <w:r>
        <w:rPr>
          <w:lang w:eastAsia="en-US"/>
        </w:rPr>
        <w:tab/>
      </w:r>
      <w:r>
        <w:rPr>
          <w:lang w:eastAsia="en-US"/>
        </w:rPr>
        <w:tab/>
        <w:t>Aust. Govt.</w:t>
      </w:r>
      <w:r>
        <w:rPr>
          <w:lang w:eastAsia="en-US"/>
        </w:rPr>
        <w:tab/>
      </w:r>
      <w:r>
        <w:rPr>
          <w:lang w:eastAsia="en-US"/>
        </w:rPr>
        <w:tab/>
        <w:t>Department of Finance and Deregulation</w:t>
      </w:r>
      <w:r>
        <w:rPr>
          <w:lang w:eastAsia="en-US"/>
        </w:rPr>
        <w:br/>
        <w:t>Ms Sam Reinhardt</w:t>
      </w:r>
      <w:r>
        <w:rPr>
          <w:lang w:eastAsia="en-US"/>
        </w:rPr>
        <w:tab/>
      </w:r>
      <w:r>
        <w:rPr>
          <w:lang w:eastAsia="en-US"/>
        </w:rPr>
        <w:tab/>
        <w:t>Aust. Govt.</w:t>
      </w:r>
      <w:r>
        <w:rPr>
          <w:lang w:eastAsia="en-US"/>
        </w:rPr>
        <w:tab/>
      </w:r>
      <w:r>
        <w:rPr>
          <w:lang w:eastAsia="en-US"/>
        </w:rPr>
        <w:tab/>
        <w:t>The Treasury</w:t>
      </w:r>
      <w:r>
        <w:rPr>
          <w:lang w:eastAsia="en-US"/>
        </w:rPr>
        <w:br/>
        <w:t xml:space="preserve">Ms Josephine </w:t>
      </w:r>
      <w:proofErr w:type="spellStart"/>
      <w:r>
        <w:rPr>
          <w:lang w:eastAsia="en-US"/>
        </w:rPr>
        <w:t>Laduzko</w:t>
      </w:r>
      <w:proofErr w:type="spellEnd"/>
      <w:r>
        <w:rPr>
          <w:lang w:eastAsia="en-US"/>
        </w:rPr>
        <w:tab/>
      </w:r>
      <w:r>
        <w:rPr>
          <w:lang w:eastAsia="en-US"/>
        </w:rPr>
        <w:tab/>
        <w:t>Aust. Govt.</w:t>
      </w:r>
      <w:r>
        <w:rPr>
          <w:lang w:eastAsia="en-US"/>
        </w:rPr>
        <w:tab/>
      </w:r>
      <w:r>
        <w:rPr>
          <w:lang w:eastAsia="en-US"/>
        </w:rPr>
        <w:tab/>
        <w:t>Department of the Prime Minister and Cabinet</w:t>
      </w:r>
    </w:p>
    <w:p w:rsidR="00476C3B" w:rsidRDefault="00476C3B" w:rsidP="00476C3B">
      <w:pPr>
        <w:pStyle w:val="BodyText"/>
        <w:ind w:right="-284"/>
        <w:jc w:val="left"/>
        <w:rPr>
          <w:lang w:eastAsia="en-US"/>
        </w:rPr>
      </w:pPr>
      <w:r>
        <w:rPr>
          <w:lang w:eastAsia="en-US"/>
        </w:rPr>
        <w:t>Mr Rick Sondalini</w:t>
      </w:r>
      <w:r>
        <w:rPr>
          <w:lang w:eastAsia="en-US"/>
        </w:rPr>
        <w:tab/>
      </w:r>
      <w:r>
        <w:rPr>
          <w:lang w:eastAsia="en-US"/>
        </w:rPr>
        <w:tab/>
        <w:t>NSW</w:t>
      </w:r>
      <w:r>
        <w:rPr>
          <w:lang w:eastAsia="en-US"/>
        </w:rPr>
        <w:tab/>
      </w:r>
      <w:r>
        <w:rPr>
          <w:lang w:eastAsia="en-US"/>
        </w:rPr>
        <w:tab/>
      </w:r>
      <w:r>
        <w:rPr>
          <w:lang w:eastAsia="en-US"/>
        </w:rPr>
        <w:tab/>
      </w:r>
      <w:proofErr w:type="spellStart"/>
      <w:r>
        <w:rPr>
          <w:lang w:eastAsia="en-US"/>
        </w:rPr>
        <w:t>NSW</w:t>
      </w:r>
      <w:proofErr w:type="spellEnd"/>
      <w:r>
        <w:rPr>
          <w:lang w:eastAsia="en-US"/>
        </w:rPr>
        <w:t xml:space="preserve"> Treasury</w:t>
      </w:r>
      <w:r>
        <w:rPr>
          <w:lang w:eastAsia="en-US"/>
        </w:rPr>
        <w:br/>
        <w:t xml:space="preserve">Ms Michelle </w:t>
      </w:r>
      <w:proofErr w:type="spellStart"/>
      <w:r>
        <w:rPr>
          <w:lang w:eastAsia="en-US"/>
        </w:rPr>
        <w:t>Dumazel</w:t>
      </w:r>
      <w:proofErr w:type="spellEnd"/>
      <w:r>
        <w:rPr>
          <w:lang w:eastAsia="en-US"/>
        </w:rPr>
        <w:tab/>
      </w:r>
      <w:r>
        <w:rPr>
          <w:lang w:eastAsia="en-US"/>
        </w:rPr>
        <w:tab/>
        <w:t>NSW</w:t>
      </w:r>
      <w:r>
        <w:rPr>
          <w:lang w:eastAsia="en-US"/>
        </w:rPr>
        <w:tab/>
      </w:r>
      <w:r>
        <w:rPr>
          <w:lang w:eastAsia="en-US"/>
        </w:rPr>
        <w:tab/>
      </w:r>
      <w:r>
        <w:rPr>
          <w:lang w:eastAsia="en-US"/>
        </w:rPr>
        <w:tab/>
        <w:t>Department of Premier and Cabinet</w:t>
      </w:r>
    </w:p>
    <w:p w:rsidR="00476C3B" w:rsidRDefault="00476C3B" w:rsidP="00476C3B">
      <w:pPr>
        <w:pStyle w:val="BodyText"/>
        <w:ind w:right="-284"/>
        <w:jc w:val="left"/>
        <w:rPr>
          <w:lang w:eastAsia="en-US"/>
        </w:rPr>
      </w:pPr>
      <w:r>
        <w:rPr>
          <w:lang w:eastAsia="en-US"/>
        </w:rPr>
        <w:t xml:space="preserve">Ms Katherine </w:t>
      </w:r>
      <w:proofErr w:type="spellStart"/>
      <w:r>
        <w:rPr>
          <w:lang w:eastAsia="en-US"/>
        </w:rPr>
        <w:t>Whetton</w:t>
      </w:r>
      <w:proofErr w:type="spellEnd"/>
      <w:r>
        <w:rPr>
          <w:lang w:eastAsia="en-US"/>
        </w:rPr>
        <w:tab/>
      </w:r>
      <w:r>
        <w:rPr>
          <w:lang w:eastAsia="en-US"/>
        </w:rPr>
        <w:tab/>
        <w:t>Vic</w:t>
      </w:r>
      <w:r>
        <w:rPr>
          <w:lang w:eastAsia="en-US"/>
        </w:rPr>
        <w:tab/>
      </w:r>
      <w:r>
        <w:rPr>
          <w:lang w:eastAsia="en-US"/>
        </w:rPr>
        <w:tab/>
        <w:t xml:space="preserve"> </w:t>
      </w:r>
      <w:r>
        <w:rPr>
          <w:lang w:eastAsia="en-US"/>
        </w:rPr>
        <w:tab/>
        <w:t>Department of Premier and Cabinet</w:t>
      </w:r>
      <w:r>
        <w:rPr>
          <w:lang w:eastAsia="en-US"/>
        </w:rPr>
        <w:br/>
        <w:t>Mr Jeremy Nott</w:t>
      </w:r>
      <w:r>
        <w:rPr>
          <w:lang w:eastAsia="en-US"/>
        </w:rPr>
        <w:tab/>
      </w:r>
      <w:r>
        <w:rPr>
          <w:lang w:eastAsia="en-US"/>
        </w:rPr>
        <w:tab/>
      </w:r>
      <w:r>
        <w:rPr>
          <w:lang w:eastAsia="en-US"/>
        </w:rPr>
        <w:tab/>
        <w:t>Vic</w:t>
      </w:r>
      <w:r>
        <w:rPr>
          <w:lang w:eastAsia="en-US"/>
        </w:rPr>
        <w:tab/>
      </w:r>
      <w:r>
        <w:rPr>
          <w:lang w:eastAsia="en-US"/>
        </w:rPr>
        <w:tab/>
      </w:r>
      <w:r>
        <w:rPr>
          <w:lang w:eastAsia="en-US"/>
        </w:rPr>
        <w:tab/>
        <w:t>Department of Treasury and Finance</w:t>
      </w:r>
    </w:p>
    <w:p w:rsidR="00476C3B" w:rsidRDefault="00476C3B" w:rsidP="00476C3B">
      <w:pPr>
        <w:pStyle w:val="BodyText"/>
        <w:ind w:right="-284"/>
        <w:jc w:val="left"/>
        <w:rPr>
          <w:lang w:eastAsia="en-US"/>
        </w:rPr>
      </w:pPr>
      <w:r>
        <w:rPr>
          <w:lang w:eastAsia="en-US"/>
        </w:rPr>
        <w:t>Mr Chris Chinn</w:t>
      </w:r>
      <w:r>
        <w:rPr>
          <w:lang w:eastAsia="en-US"/>
        </w:rPr>
        <w:tab/>
      </w:r>
      <w:r>
        <w:rPr>
          <w:lang w:eastAsia="en-US"/>
        </w:rPr>
        <w:tab/>
      </w:r>
      <w:r>
        <w:rPr>
          <w:lang w:eastAsia="en-US"/>
        </w:rPr>
        <w:tab/>
        <w:t>Qld</w:t>
      </w:r>
      <w:r>
        <w:rPr>
          <w:lang w:eastAsia="en-US"/>
        </w:rPr>
        <w:tab/>
      </w:r>
      <w:r>
        <w:rPr>
          <w:lang w:eastAsia="en-US"/>
        </w:rPr>
        <w:tab/>
      </w:r>
      <w:r>
        <w:rPr>
          <w:lang w:eastAsia="en-US"/>
        </w:rPr>
        <w:tab/>
        <w:t>Department of the Premier and Cabinet</w:t>
      </w:r>
      <w:r>
        <w:rPr>
          <w:lang w:eastAsia="en-US"/>
        </w:rPr>
        <w:br/>
        <w:t>Ms Janelle Thurlby</w:t>
      </w:r>
      <w:r>
        <w:rPr>
          <w:lang w:eastAsia="en-US"/>
        </w:rPr>
        <w:tab/>
      </w:r>
      <w:r>
        <w:rPr>
          <w:lang w:eastAsia="en-US"/>
        </w:rPr>
        <w:tab/>
        <w:t>Qld</w:t>
      </w:r>
      <w:r>
        <w:rPr>
          <w:lang w:eastAsia="en-US"/>
        </w:rPr>
        <w:tab/>
      </w:r>
      <w:r>
        <w:rPr>
          <w:lang w:eastAsia="en-US"/>
        </w:rPr>
        <w:tab/>
      </w:r>
      <w:r>
        <w:rPr>
          <w:lang w:eastAsia="en-US"/>
        </w:rPr>
        <w:tab/>
        <w:t>Queensland Treasury</w:t>
      </w:r>
    </w:p>
    <w:p w:rsidR="00476C3B" w:rsidRDefault="00476C3B" w:rsidP="00476C3B">
      <w:pPr>
        <w:pStyle w:val="BodyText"/>
        <w:ind w:right="-284"/>
        <w:jc w:val="left"/>
        <w:rPr>
          <w:lang w:eastAsia="en-US"/>
        </w:rPr>
      </w:pPr>
      <w:r>
        <w:rPr>
          <w:lang w:eastAsia="en-US"/>
        </w:rPr>
        <w:t>Ms Marion Burchell</w:t>
      </w:r>
      <w:r>
        <w:rPr>
          <w:lang w:eastAsia="en-US"/>
        </w:rPr>
        <w:tab/>
      </w:r>
      <w:r>
        <w:rPr>
          <w:lang w:eastAsia="en-US"/>
        </w:rPr>
        <w:tab/>
        <w:t>WA</w:t>
      </w:r>
      <w:r>
        <w:rPr>
          <w:lang w:eastAsia="en-US"/>
        </w:rPr>
        <w:tab/>
      </w:r>
      <w:r>
        <w:rPr>
          <w:lang w:eastAsia="en-US"/>
        </w:rPr>
        <w:tab/>
      </w:r>
      <w:r>
        <w:rPr>
          <w:lang w:eastAsia="en-US"/>
        </w:rPr>
        <w:tab/>
        <w:t>Department of the Premier and Cabinet</w:t>
      </w:r>
      <w:r>
        <w:rPr>
          <w:lang w:eastAsia="en-US"/>
        </w:rPr>
        <w:br/>
        <w:t>Mr Barry Thomas</w:t>
      </w:r>
      <w:r>
        <w:rPr>
          <w:lang w:eastAsia="en-US"/>
        </w:rPr>
        <w:tab/>
      </w:r>
      <w:r>
        <w:rPr>
          <w:lang w:eastAsia="en-US"/>
        </w:rPr>
        <w:tab/>
        <w:t>WA</w:t>
      </w:r>
      <w:r>
        <w:rPr>
          <w:lang w:eastAsia="en-US"/>
        </w:rPr>
        <w:tab/>
      </w:r>
      <w:r>
        <w:rPr>
          <w:lang w:eastAsia="en-US"/>
        </w:rPr>
        <w:tab/>
      </w:r>
      <w:r>
        <w:rPr>
          <w:lang w:eastAsia="en-US"/>
        </w:rPr>
        <w:tab/>
        <w:t>Department of Treasury</w:t>
      </w:r>
    </w:p>
    <w:p w:rsidR="00476C3B" w:rsidRDefault="00476C3B" w:rsidP="00476C3B">
      <w:pPr>
        <w:pStyle w:val="BodyText"/>
        <w:ind w:right="-284"/>
        <w:jc w:val="left"/>
        <w:rPr>
          <w:lang w:eastAsia="en-US"/>
        </w:rPr>
      </w:pPr>
      <w:r>
        <w:rPr>
          <w:lang w:eastAsia="en-US"/>
        </w:rPr>
        <w:t>Ms Katrina Ball</w:t>
      </w:r>
      <w:r>
        <w:rPr>
          <w:lang w:eastAsia="en-US"/>
        </w:rPr>
        <w:tab/>
      </w:r>
      <w:r>
        <w:rPr>
          <w:lang w:eastAsia="en-US"/>
        </w:rPr>
        <w:tab/>
      </w:r>
      <w:r>
        <w:rPr>
          <w:lang w:eastAsia="en-US"/>
        </w:rPr>
        <w:tab/>
        <w:t>SA</w:t>
      </w:r>
      <w:r>
        <w:rPr>
          <w:lang w:eastAsia="en-US"/>
        </w:rPr>
        <w:tab/>
      </w:r>
      <w:r>
        <w:rPr>
          <w:lang w:eastAsia="en-US"/>
        </w:rPr>
        <w:tab/>
      </w:r>
      <w:r>
        <w:rPr>
          <w:lang w:eastAsia="en-US"/>
        </w:rPr>
        <w:tab/>
        <w:t>Department of Treasury and Finance</w:t>
      </w:r>
      <w:r>
        <w:rPr>
          <w:lang w:eastAsia="en-US"/>
        </w:rPr>
        <w:br/>
        <w:t>Mr Chris McGowan</w:t>
      </w:r>
      <w:r>
        <w:rPr>
          <w:lang w:eastAsia="en-US"/>
        </w:rPr>
        <w:tab/>
      </w:r>
      <w:r>
        <w:rPr>
          <w:lang w:eastAsia="en-US"/>
        </w:rPr>
        <w:tab/>
        <w:t>SA</w:t>
      </w:r>
      <w:r>
        <w:rPr>
          <w:lang w:eastAsia="en-US"/>
        </w:rPr>
        <w:tab/>
      </w:r>
      <w:r>
        <w:rPr>
          <w:lang w:eastAsia="en-US"/>
        </w:rPr>
        <w:tab/>
      </w:r>
      <w:r>
        <w:rPr>
          <w:lang w:eastAsia="en-US"/>
        </w:rPr>
        <w:tab/>
        <w:t>Department of the Premier and Cabinet</w:t>
      </w:r>
    </w:p>
    <w:p w:rsidR="00476C3B" w:rsidRDefault="00476C3B" w:rsidP="00476C3B">
      <w:pPr>
        <w:pStyle w:val="BodyText"/>
        <w:ind w:right="-284"/>
        <w:jc w:val="left"/>
        <w:rPr>
          <w:lang w:eastAsia="en-US"/>
        </w:rPr>
      </w:pPr>
      <w:r>
        <w:rPr>
          <w:lang w:eastAsia="en-US"/>
        </w:rPr>
        <w:t>Ms Rebekah Burton</w:t>
      </w:r>
      <w:r>
        <w:rPr>
          <w:lang w:eastAsia="en-US"/>
        </w:rPr>
        <w:tab/>
      </w:r>
      <w:r>
        <w:rPr>
          <w:lang w:eastAsia="en-US"/>
        </w:rPr>
        <w:tab/>
        <w:t>Tas</w:t>
      </w:r>
      <w:r>
        <w:rPr>
          <w:lang w:eastAsia="en-US"/>
        </w:rPr>
        <w:tab/>
      </w:r>
      <w:r>
        <w:rPr>
          <w:lang w:eastAsia="en-US"/>
        </w:rPr>
        <w:tab/>
      </w:r>
      <w:r>
        <w:rPr>
          <w:lang w:eastAsia="en-US"/>
        </w:rPr>
        <w:tab/>
        <w:t>Department of Premier and Cabinet</w:t>
      </w:r>
    </w:p>
    <w:p w:rsidR="00476C3B" w:rsidRDefault="00476C3B" w:rsidP="00476C3B">
      <w:pPr>
        <w:pStyle w:val="BodyText"/>
        <w:ind w:right="-284"/>
        <w:jc w:val="left"/>
        <w:rPr>
          <w:lang w:eastAsia="en-US"/>
        </w:rPr>
      </w:pPr>
      <w:r>
        <w:rPr>
          <w:lang w:eastAsia="en-US"/>
        </w:rPr>
        <w:t>Mr Geoffrey Rutledge</w:t>
      </w:r>
      <w:r>
        <w:rPr>
          <w:lang w:eastAsia="en-US"/>
        </w:rPr>
        <w:tab/>
      </w:r>
      <w:r>
        <w:rPr>
          <w:lang w:eastAsia="en-US"/>
        </w:rPr>
        <w:tab/>
        <w:t>ACT</w:t>
      </w:r>
      <w:r>
        <w:rPr>
          <w:lang w:eastAsia="en-US"/>
        </w:rPr>
        <w:tab/>
      </w:r>
      <w:r>
        <w:rPr>
          <w:lang w:eastAsia="en-US"/>
        </w:rPr>
        <w:tab/>
      </w:r>
      <w:r>
        <w:rPr>
          <w:lang w:eastAsia="en-US"/>
        </w:rPr>
        <w:tab/>
        <w:t xml:space="preserve">Chief Minister, Treasury and Economic </w:t>
      </w:r>
      <w:r>
        <w:rPr>
          <w:lang w:eastAsia="en-US"/>
        </w:rPr>
        <w:br/>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Development Directorate</w:t>
      </w:r>
    </w:p>
    <w:p w:rsidR="00476C3B" w:rsidRDefault="00476C3B" w:rsidP="00476C3B">
      <w:pPr>
        <w:pStyle w:val="BodyText"/>
        <w:ind w:right="-284"/>
        <w:jc w:val="left"/>
        <w:rPr>
          <w:lang w:eastAsia="en-US"/>
        </w:rPr>
      </w:pPr>
      <w:r>
        <w:rPr>
          <w:lang w:eastAsia="en-US"/>
        </w:rPr>
        <w:t>Ms Jean Doherty</w:t>
      </w:r>
      <w:r>
        <w:rPr>
          <w:lang w:eastAsia="en-US"/>
        </w:rPr>
        <w:tab/>
      </w:r>
      <w:r>
        <w:rPr>
          <w:lang w:eastAsia="en-US"/>
        </w:rPr>
        <w:tab/>
      </w:r>
      <w:r>
        <w:rPr>
          <w:lang w:eastAsia="en-US"/>
        </w:rPr>
        <w:tab/>
        <w:t>NT</w:t>
      </w:r>
      <w:r>
        <w:rPr>
          <w:lang w:eastAsia="en-US"/>
        </w:rPr>
        <w:tab/>
      </w:r>
      <w:r>
        <w:rPr>
          <w:lang w:eastAsia="en-US"/>
        </w:rPr>
        <w:tab/>
      </w:r>
      <w:r>
        <w:rPr>
          <w:lang w:eastAsia="en-US"/>
        </w:rPr>
        <w:tab/>
        <w:t>Department of the Chief Minister</w:t>
      </w:r>
      <w:r>
        <w:rPr>
          <w:lang w:eastAsia="en-US"/>
        </w:rPr>
        <w:br/>
        <w:t>Ms Linda Weatherhead</w:t>
      </w:r>
      <w:r>
        <w:rPr>
          <w:lang w:eastAsia="en-US"/>
        </w:rPr>
        <w:tab/>
      </w:r>
      <w:r>
        <w:rPr>
          <w:lang w:eastAsia="en-US"/>
        </w:rPr>
        <w:tab/>
        <w:t>NT</w:t>
      </w:r>
      <w:r>
        <w:rPr>
          <w:lang w:eastAsia="en-US"/>
        </w:rPr>
        <w:tab/>
      </w:r>
      <w:r>
        <w:rPr>
          <w:lang w:eastAsia="en-US"/>
        </w:rPr>
        <w:tab/>
      </w:r>
      <w:r>
        <w:rPr>
          <w:lang w:eastAsia="en-US"/>
        </w:rPr>
        <w:tab/>
        <w:t>Department of the Chief Minister</w:t>
      </w:r>
      <w:r>
        <w:rPr>
          <w:lang w:eastAsia="en-US"/>
        </w:rPr>
        <w:br/>
        <w:t>Ms Tracey Scott</w:t>
      </w:r>
      <w:r>
        <w:rPr>
          <w:lang w:eastAsia="en-US"/>
        </w:rPr>
        <w:tab/>
      </w:r>
      <w:r>
        <w:rPr>
          <w:lang w:eastAsia="en-US"/>
        </w:rPr>
        <w:tab/>
      </w:r>
      <w:r>
        <w:rPr>
          <w:lang w:eastAsia="en-US"/>
        </w:rPr>
        <w:tab/>
        <w:t>NT</w:t>
      </w:r>
      <w:r>
        <w:rPr>
          <w:lang w:eastAsia="en-US"/>
        </w:rPr>
        <w:tab/>
      </w:r>
      <w:r>
        <w:rPr>
          <w:lang w:eastAsia="en-US"/>
        </w:rPr>
        <w:tab/>
      </w:r>
      <w:r>
        <w:rPr>
          <w:lang w:eastAsia="en-US"/>
        </w:rPr>
        <w:tab/>
        <w:t>Department of Treasury and Finance</w:t>
      </w:r>
    </w:p>
    <w:p w:rsidR="00476C3B" w:rsidRDefault="00476C3B" w:rsidP="00476C3B">
      <w:pPr>
        <w:pStyle w:val="BodyText"/>
        <w:ind w:right="-284"/>
        <w:jc w:val="left"/>
        <w:rPr>
          <w:lang w:eastAsia="en-US"/>
        </w:rPr>
      </w:pPr>
      <w:r>
        <w:rPr>
          <w:lang w:eastAsia="en-US"/>
        </w:rPr>
        <w:t>Mr Peter Harper</w:t>
      </w:r>
      <w:r>
        <w:rPr>
          <w:lang w:eastAsia="en-US"/>
        </w:rPr>
        <w:tab/>
      </w:r>
      <w:r>
        <w:rPr>
          <w:lang w:eastAsia="en-US"/>
        </w:rPr>
        <w:tab/>
      </w:r>
      <w:r>
        <w:rPr>
          <w:lang w:eastAsia="en-US"/>
        </w:rPr>
        <w:tab/>
      </w:r>
      <w:r>
        <w:rPr>
          <w:lang w:eastAsia="en-US"/>
        </w:rPr>
        <w:tab/>
      </w:r>
      <w:r>
        <w:rPr>
          <w:lang w:eastAsia="en-US"/>
        </w:rPr>
        <w:tab/>
      </w:r>
      <w:r>
        <w:rPr>
          <w:lang w:eastAsia="en-US"/>
        </w:rPr>
        <w:tab/>
        <w:t>Australian Bureau of Statistics</w:t>
      </w:r>
    </w:p>
    <w:p w:rsidR="00476C3B" w:rsidRPr="00476C3B" w:rsidRDefault="00476C3B" w:rsidP="00476C3B">
      <w:pPr>
        <w:pStyle w:val="BodyText"/>
        <w:ind w:right="-284"/>
        <w:jc w:val="left"/>
        <w:rPr>
          <w:lang w:eastAsia="en-US"/>
        </w:rPr>
      </w:pPr>
      <w:r>
        <w:rPr>
          <w:lang w:eastAsia="en-US"/>
        </w:rPr>
        <w:t>Mr David Kalisch</w:t>
      </w:r>
      <w:r w:rsidR="00067AB8">
        <w:rPr>
          <w:lang w:eastAsia="en-US"/>
        </w:rPr>
        <w:tab/>
      </w:r>
      <w:r w:rsidR="00067AB8">
        <w:rPr>
          <w:lang w:eastAsia="en-US"/>
        </w:rPr>
        <w:tab/>
      </w:r>
      <w:r>
        <w:rPr>
          <w:lang w:eastAsia="en-US"/>
        </w:rPr>
        <w:tab/>
      </w:r>
      <w:r>
        <w:rPr>
          <w:lang w:eastAsia="en-US"/>
        </w:rPr>
        <w:tab/>
      </w:r>
      <w:r>
        <w:rPr>
          <w:lang w:eastAsia="en-US"/>
        </w:rPr>
        <w:tab/>
        <w:t>Australian Institute of Health &amp; Welfare</w:t>
      </w:r>
      <w:r>
        <w:rPr>
          <w:lang w:eastAsia="en-US"/>
        </w:rPr>
        <w:br/>
      </w:r>
      <w:r w:rsidR="00067AB8">
        <w:rPr>
          <w:lang w:eastAsia="en-US"/>
        </w:rPr>
        <w:tab/>
      </w:r>
      <w:r w:rsidR="00067AB8">
        <w:rPr>
          <w:lang w:eastAsia="en-US"/>
        </w:rPr>
        <w:tab/>
      </w:r>
    </w:p>
    <w:p w:rsidR="00067AB8" w:rsidRDefault="00067AB8" w:rsidP="00883E8C">
      <w:pPr>
        <w:pStyle w:val="BodyText"/>
        <w:rPr>
          <w:lang w:eastAsia="en-US"/>
        </w:rPr>
      </w:pPr>
      <w:r>
        <w:rPr>
          <w:lang w:eastAsia="en-US"/>
        </w:rPr>
        <w:lastRenderedPageBreak/>
        <w:t>People who also served on the Steering Committee during the production of this report include:</w:t>
      </w:r>
    </w:p>
    <w:p w:rsidR="00997EED" w:rsidRDefault="00067AB8" w:rsidP="00997EED">
      <w:pPr>
        <w:pStyle w:val="BodyText"/>
        <w:ind w:right="-284"/>
        <w:jc w:val="left"/>
        <w:rPr>
          <w:lang w:eastAsia="en-US"/>
        </w:rPr>
      </w:pPr>
      <w:r>
        <w:rPr>
          <w:lang w:eastAsia="en-US"/>
        </w:rPr>
        <w:t>Mr Peter Robinson</w:t>
      </w:r>
      <w:r>
        <w:rPr>
          <w:lang w:eastAsia="en-US"/>
        </w:rPr>
        <w:tab/>
      </w:r>
      <w:r>
        <w:rPr>
          <w:lang w:eastAsia="en-US"/>
        </w:rPr>
        <w:tab/>
        <w:t>Aust. Govt.</w:t>
      </w:r>
      <w:r>
        <w:rPr>
          <w:lang w:eastAsia="en-US"/>
        </w:rPr>
        <w:tab/>
      </w:r>
      <w:r>
        <w:rPr>
          <w:lang w:eastAsia="en-US"/>
        </w:rPr>
        <w:tab/>
        <w:t>The Treasury</w:t>
      </w:r>
      <w:r w:rsidR="00997EED">
        <w:rPr>
          <w:lang w:eastAsia="en-US"/>
        </w:rPr>
        <w:br/>
        <w:t>Ms Madonna Morton</w:t>
      </w:r>
      <w:r w:rsidR="00997EED">
        <w:rPr>
          <w:lang w:eastAsia="en-US"/>
        </w:rPr>
        <w:tab/>
      </w:r>
      <w:r w:rsidR="00997EED">
        <w:rPr>
          <w:lang w:eastAsia="en-US"/>
        </w:rPr>
        <w:tab/>
        <w:t>Aust. Govt.</w:t>
      </w:r>
      <w:r w:rsidR="00997EED">
        <w:rPr>
          <w:lang w:eastAsia="en-US"/>
        </w:rPr>
        <w:tab/>
      </w:r>
      <w:r w:rsidR="00997EED">
        <w:rPr>
          <w:lang w:eastAsia="en-US"/>
        </w:rPr>
        <w:tab/>
        <w:t>Department of the Prime Minister and Cabinet</w:t>
      </w:r>
    </w:p>
    <w:p w:rsidR="00997EED" w:rsidRDefault="00997EED" w:rsidP="00997EED">
      <w:pPr>
        <w:pStyle w:val="BodyText"/>
        <w:ind w:right="-284"/>
        <w:jc w:val="left"/>
        <w:rPr>
          <w:lang w:eastAsia="en-US"/>
        </w:rPr>
      </w:pPr>
      <w:r>
        <w:rPr>
          <w:lang w:eastAsia="en-US"/>
        </w:rPr>
        <w:t xml:space="preserve">Ms Janet </w:t>
      </w:r>
      <w:proofErr w:type="spellStart"/>
      <w:r>
        <w:rPr>
          <w:lang w:eastAsia="en-US"/>
        </w:rPr>
        <w:t>Schorer</w:t>
      </w:r>
      <w:proofErr w:type="spellEnd"/>
      <w:r>
        <w:rPr>
          <w:lang w:eastAsia="en-US"/>
        </w:rPr>
        <w:tab/>
      </w:r>
      <w:r>
        <w:rPr>
          <w:lang w:eastAsia="en-US"/>
        </w:rPr>
        <w:tab/>
      </w:r>
      <w:r>
        <w:rPr>
          <w:lang w:eastAsia="en-US"/>
        </w:rPr>
        <w:tab/>
        <w:t>NSW</w:t>
      </w:r>
      <w:r>
        <w:rPr>
          <w:lang w:eastAsia="en-US"/>
        </w:rPr>
        <w:tab/>
      </w:r>
      <w:r>
        <w:rPr>
          <w:lang w:eastAsia="en-US"/>
        </w:rPr>
        <w:tab/>
      </w:r>
      <w:r>
        <w:rPr>
          <w:lang w:eastAsia="en-US"/>
        </w:rPr>
        <w:tab/>
        <w:t>Department of Premier and Cabinet</w:t>
      </w:r>
    </w:p>
    <w:p w:rsidR="00997EED" w:rsidRDefault="00997EED" w:rsidP="00997EED">
      <w:pPr>
        <w:pStyle w:val="BodyText"/>
        <w:ind w:right="-284"/>
        <w:jc w:val="left"/>
        <w:rPr>
          <w:lang w:eastAsia="en-US"/>
        </w:rPr>
      </w:pPr>
      <w:r>
        <w:rPr>
          <w:lang w:eastAsia="en-US"/>
        </w:rPr>
        <w:t>Mr David Reynolds</w:t>
      </w:r>
      <w:r>
        <w:rPr>
          <w:lang w:eastAsia="en-US"/>
        </w:rPr>
        <w:tab/>
      </w:r>
      <w:r>
        <w:rPr>
          <w:lang w:eastAsia="en-US"/>
        </w:rPr>
        <w:tab/>
        <w:t>SA</w:t>
      </w:r>
      <w:r>
        <w:rPr>
          <w:lang w:eastAsia="en-US"/>
        </w:rPr>
        <w:tab/>
      </w:r>
      <w:r>
        <w:rPr>
          <w:lang w:eastAsia="en-US"/>
        </w:rPr>
        <w:tab/>
      </w:r>
      <w:r>
        <w:rPr>
          <w:lang w:eastAsia="en-US"/>
        </w:rPr>
        <w:tab/>
        <w:t>Department of Treasury and Finance</w:t>
      </w:r>
    </w:p>
    <w:p w:rsidR="00997EED" w:rsidRDefault="00997EED" w:rsidP="00997EED">
      <w:pPr>
        <w:pStyle w:val="BodyText"/>
        <w:ind w:right="-284"/>
        <w:jc w:val="left"/>
        <w:rPr>
          <w:lang w:eastAsia="en-US"/>
        </w:rPr>
      </w:pPr>
      <w:r>
        <w:rPr>
          <w:lang w:eastAsia="en-US"/>
        </w:rPr>
        <w:t>Ms Nicole Masters</w:t>
      </w:r>
      <w:r>
        <w:rPr>
          <w:lang w:eastAsia="en-US"/>
        </w:rPr>
        <w:tab/>
      </w:r>
      <w:r>
        <w:rPr>
          <w:lang w:eastAsia="en-US"/>
        </w:rPr>
        <w:tab/>
        <w:t>ACT</w:t>
      </w:r>
      <w:r>
        <w:rPr>
          <w:lang w:eastAsia="en-US"/>
        </w:rPr>
        <w:tab/>
      </w:r>
      <w:r>
        <w:rPr>
          <w:lang w:eastAsia="en-US"/>
        </w:rPr>
        <w:tab/>
      </w:r>
      <w:r>
        <w:rPr>
          <w:lang w:eastAsia="en-US"/>
        </w:rPr>
        <w:tab/>
        <w:t xml:space="preserve">Chief Minister’s Directorate </w:t>
      </w:r>
    </w:p>
    <w:p w:rsidR="008775A8" w:rsidRPr="004A1851" w:rsidRDefault="00067AB8" w:rsidP="00071535">
      <w:pPr>
        <w:pStyle w:val="BodyText"/>
        <w:ind w:right="-284"/>
        <w:jc w:val="left"/>
        <w:rPr>
          <w:b/>
          <w:vanish/>
          <w:lang w:eastAsia="en-US"/>
        </w:rPr>
      </w:pPr>
      <w:r>
        <w:rPr>
          <w:lang w:eastAsia="en-US"/>
        </w:rPr>
        <w:t>Mr Craig Graham</w:t>
      </w:r>
      <w:r>
        <w:rPr>
          <w:lang w:eastAsia="en-US"/>
        </w:rPr>
        <w:tab/>
      </w:r>
      <w:r>
        <w:rPr>
          <w:lang w:eastAsia="en-US"/>
        </w:rPr>
        <w:tab/>
        <w:t>NT</w:t>
      </w:r>
      <w:r>
        <w:rPr>
          <w:lang w:eastAsia="en-US"/>
        </w:rPr>
        <w:tab/>
      </w:r>
      <w:r>
        <w:rPr>
          <w:lang w:eastAsia="en-US"/>
        </w:rPr>
        <w:tab/>
      </w:r>
      <w:r>
        <w:rPr>
          <w:lang w:eastAsia="en-US"/>
        </w:rPr>
        <w:tab/>
        <w:t>Department of Treasury and Finance</w:t>
      </w:r>
      <w:r w:rsidR="00997EED">
        <w:rPr>
          <w:lang w:eastAsia="en-US"/>
        </w:rPr>
        <w:br/>
        <w:t>Mr Bruce Michael</w:t>
      </w:r>
      <w:r w:rsidR="00997EED">
        <w:rPr>
          <w:lang w:eastAsia="en-US"/>
        </w:rPr>
        <w:tab/>
      </w:r>
      <w:r w:rsidR="00997EED">
        <w:rPr>
          <w:lang w:eastAsia="en-US"/>
        </w:rPr>
        <w:tab/>
        <w:t>NT</w:t>
      </w:r>
      <w:r w:rsidR="00997EED">
        <w:rPr>
          <w:lang w:eastAsia="en-US"/>
        </w:rPr>
        <w:tab/>
      </w:r>
      <w:r w:rsidR="00997EED">
        <w:rPr>
          <w:lang w:eastAsia="en-US"/>
        </w:rPr>
        <w:tab/>
      </w:r>
      <w:r w:rsidR="00997EED">
        <w:rPr>
          <w:lang w:eastAsia="en-US"/>
        </w:rPr>
        <w:tab/>
        <w:t>Department of Treasury and Finance</w:t>
      </w:r>
      <w:r w:rsidR="00997EED">
        <w:rPr>
          <w:lang w:eastAsia="en-US"/>
        </w:rPr>
        <w:br/>
        <w:t>Mr Leigh Eldridge</w:t>
      </w:r>
      <w:r w:rsidR="00997EED">
        <w:rPr>
          <w:lang w:eastAsia="en-US"/>
        </w:rPr>
        <w:tab/>
      </w:r>
      <w:r w:rsidR="00997EED">
        <w:rPr>
          <w:lang w:eastAsia="en-US"/>
        </w:rPr>
        <w:tab/>
        <w:t>NT</w:t>
      </w:r>
      <w:r w:rsidR="00997EED">
        <w:rPr>
          <w:lang w:eastAsia="en-US"/>
        </w:rPr>
        <w:tab/>
      </w:r>
      <w:r w:rsidR="00997EED">
        <w:rPr>
          <w:lang w:eastAsia="en-US"/>
        </w:rPr>
        <w:tab/>
      </w:r>
      <w:r w:rsidR="00997EED">
        <w:rPr>
          <w:lang w:eastAsia="en-US"/>
        </w:rPr>
        <w:tab/>
        <w:t>Department of the Chief Minister</w:t>
      </w:r>
      <w:bookmarkStart w:id="8" w:name="EndContents"/>
      <w:bookmarkStart w:id="9" w:name="Glossary"/>
      <w:bookmarkEnd w:id="8"/>
      <w:bookmarkEnd w:id="9"/>
    </w:p>
    <w:sectPr w:rsidR="008775A8" w:rsidRPr="004A1851" w:rsidSect="00585B3F">
      <w:headerReference w:type="even" r:id="rId19"/>
      <w:headerReference w:type="default" r:id="rId20"/>
      <w:footerReference w:type="even" r:id="rId21"/>
      <w:footerReference w:type="default" r:id="rId2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89F" w:rsidRDefault="0064089F">
      <w:r>
        <w:separator/>
      </w:r>
    </w:p>
    <w:p w:rsidR="0064089F" w:rsidRDefault="0064089F"/>
    <w:p w:rsidR="0064089F" w:rsidRDefault="0064089F"/>
  </w:endnote>
  <w:endnote w:type="continuationSeparator" w:id="0">
    <w:p w:rsidR="0064089F" w:rsidRDefault="0064089F">
      <w:r>
        <w:continuationSeparator/>
      </w:r>
    </w:p>
    <w:p w:rsidR="0064089F" w:rsidRDefault="0064089F"/>
    <w:p w:rsidR="0064089F" w:rsidRDefault="00640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9029B" w:rsidTr="005F48ED">
      <w:trPr>
        <w:trHeight w:hRule="exact" w:val="567"/>
      </w:trPr>
      <w:tc>
        <w:tcPr>
          <w:tcW w:w="510" w:type="dxa"/>
        </w:tcPr>
        <w:p w:rsidR="00F9029B" w:rsidRDefault="00F9029B">
          <w:pPr>
            <w:pStyle w:val="Footer"/>
            <w:ind w:right="360" w:firstLine="360"/>
          </w:pPr>
        </w:p>
      </w:tc>
      <w:tc>
        <w:tcPr>
          <w:tcW w:w="7767" w:type="dxa"/>
        </w:tcPr>
        <w:p w:rsidR="00F9029B" w:rsidRPr="00BA5B14" w:rsidRDefault="00F9029B"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6817F7">
            <w:rPr>
              <w:noProof/>
            </w:rPr>
            <w:t>Contents</w:t>
          </w:r>
          <w:r w:rsidRPr="008F7DB7">
            <w:rPr>
              <w:noProof/>
            </w:rPr>
            <w:fldChar w:fldCharType="end"/>
          </w:r>
          <w:r>
            <w:rPr>
              <w:rFonts w:cs="Arial"/>
            </w:rPr>
            <w:t xml:space="preserve"> </w:t>
          </w:r>
        </w:p>
      </w:tc>
      <w:tc>
        <w:tcPr>
          <w:tcW w:w="510" w:type="dxa"/>
        </w:tcPr>
        <w:p w:rsidR="00F9029B" w:rsidRPr="007448F7" w:rsidRDefault="00F9029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817F7">
            <w:rPr>
              <w:rStyle w:val="PageNumber"/>
              <w:caps w:val="0"/>
              <w:noProof/>
            </w:rPr>
            <w:t>iii</w:t>
          </w:r>
          <w:r w:rsidRPr="007448F7">
            <w:rPr>
              <w:rStyle w:val="PageNumber"/>
              <w:caps w:val="0"/>
            </w:rPr>
            <w:fldChar w:fldCharType="end"/>
          </w:r>
        </w:p>
      </w:tc>
    </w:tr>
  </w:tbl>
  <w:p w:rsidR="00F9029B" w:rsidRDefault="00F9029B">
    <w:pPr>
      <w:pStyle w:val="FooterEnd"/>
    </w:pPr>
  </w:p>
  <w:p w:rsidR="00F9029B" w:rsidRDefault="00F9029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4089F" w:rsidTr="005F48ED">
      <w:trPr>
        <w:trHeight w:hRule="exact" w:val="567"/>
      </w:trPr>
      <w:tc>
        <w:tcPr>
          <w:tcW w:w="510" w:type="dxa"/>
        </w:tcPr>
        <w:p w:rsidR="0064089F" w:rsidRPr="000A26A1" w:rsidRDefault="0064089F" w:rsidP="0019293B">
          <w:pPr>
            <w:pStyle w:val="Footer"/>
            <w:tabs>
              <w:tab w:val="left" w:pos="0"/>
            </w:tabs>
            <w:ind w:right="0"/>
            <w:rPr>
              <w:rStyle w:val="PageNumber"/>
              <w:caps w:val="0"/>
            </w:rPr>
          </w:pPr>
          <w:r w:rsidRPr="000A26A1">
            <w:rPr>
              <w:rStyle w:val="PageNumber"/>
              <w:caps w:val="0"/>
            </w:rPr>
            <w:fldChar w:fldCharType="begin"/>
          </w:r>
          <w:r w:rsidRPr="000A26A1">
            <w:rPr>
              <w:rStyle w:val="PageNumber"/>
              <w:caps w:val="0"/>
            </w:rPr>
            <w:instrText xml:space="preserve">PAGE  </w:instrText>
          </w:r>
          <w:r w:rsidRPr="000A26A1">
            <w:rPr>
              <w:rStyle w:val="PageNumber"/>
              <w:caps w:val="0"/>
            </w:rPr>
            <w:fldChar w:fldCharType="separate"/>
          </w:r>
          <w:r w:rsidR="006817F7">
            <w:rPr>
              <w:rStyle w:val="PageNumber"/>
              <w:caps w:val="0"/>
              <w:noProof/>
            </w:rPr>
            <w:t>iv</w:t>
          </w:r>
          <w:r w:rsidRPr="000A26A1">
            <w:rPr>
              <w:rStyle w:val="PageNumber"/>
              <w:caps w:val="0"/>
            </w:rPr>
            <w:fldChar w:fldCharType="end"/>
          </w:r>
        </w:p>
      </w:tc>
      <w:tc>
        <w:tcPr>
          <w:tcW w:w="7767" w:type="dxa"/>
        </w:tcPr>
        <w:p w:rsidR="0064089F" w:rsidRPr="0013739A" w:rsidRDefault="00B22EE8" w:rsidP="004A1851">
          <w:pPr>
            <w:pStyle w:val="Footer"/>
            <w:rPr>
              <w:rFonts w:cs="Arial"/>
            </w:rPr>
          </w:pPr>
          <w:r>
            <w:rPr>
              <w:rFonts w:cs="Arial"/>
            </w:rPr>
            <w:t>scrgsp report december 2014</w:t>
          </w:r>
        </w:p>
      </w:tc>
      <w:tc>
        <w:tcPr>
          <w:tcW w:w="510" w:type="dxa"/>
        </w:tcPr>
        <w:p w:rsidR="0064089F" w:rsidRDefault="0064089F" w:rsidP="0019293B">
          <w:pPr>
            <w:pStyle w:val="Footer"/>
          </w:pPr>
        </w:p>
      </w:tc>
    </w:tr>
  </w:tbl>
  <w:p w:rsidR="0064089F" w:rsidRDefault="0064089F" w:rsidP="0019293B">
    <w:pPr>
      <w:pStyle w:val="FooterEnd"/>
    </w:pPr>
  </w:p>
  <w:p w:rsidR="0064089F" w:rsidRDefault="0064089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4089F" w:rsidTr="005F48ED">
      <w:trPr>
        <w:trHeight w:hRule="exact" w:val="567"/>
      </w:trPr>
      <w:tc>
        <w:tcPr>
          <w:tcW w:w="510" w:type="dxa"/>
        </w:tcPr>
        <w:p w:rsidR="0064089F" w:rsidRDefault="0064089F">
          <w:pPr>
            <w:pStyle w:val="Footer"/>
            <w:ind w:right="360" w:firstLine="360"/>
          </w:pPr>
        </w:p>
      </w:tc>
      <w:tc>
        <w:tcPr>
          <w:tcW w:w="7767" w:type="dxa"/>
        </w:tcPr>
        <w:p w:rsidR="0064089F" w:rsidRPr="000A26A1" w:rsidRDefault="0064089F" w:rsidP="000A26A1">
          <w:pPr>
            <w:pStyle w:val="Footer"/>
            <w:jc w:val="right"/>
            <w:rPr>
              <w:rFonts w:cs="Arial"/>
            </w:rPr>
          </w:pPr>
          <w:r w:rsidRPr="000A26A1">
            <w:rPr>
              <w:noProof/>
            </w:rPr>
            <w:fldChar w:fldCharType="begin"/>
          </w:r>
          <w:r w:rsidRPr="000A26A1">
            <w:rPr>
              <w:noProof/>
            </w:rPr>
            <w:instrText xml:space="preserve"> STYLEREF "Heading 1" \* MERGEFORMAT </w:instrText>
          </w:r>
          <w:r w:rsidRPr="000A26A1">
            <w:rPr>
              <w:noProof/>
            </w:rPr>
            <w:fldChar w:fldCharType="separate"/>
          </w:r>
          <w:r w:rsidR="00B22EE8" w:rsidRPr="00B22EE8">
            <w:rPr>
              <w:bCs/>
              <w:noProof/>
              <w:lang w:val="en-US"/>
            </w:rPr>
            <w:t>Preface</w:t>
          </w:r>
          <w:r w:rsidRPr="000A26A1">
            <w:rPr>
              <w:noProof/>
            </w:rPr>
            <w:fldChar w:fldCharType="end"/>
          </w:r>
        </w:p>
      </w:tc>
      <w:tc>
        <w:tcPr>
          <w:tcW w:w="510" w:type="dxa"/>
        </w:tcPr>
        <w:p w:rsidR="0064089F" w:rsidRPr="00A24443" w:rsidRDefault="0064089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vi</w:t>
          </w:r>
          <w:r w:rsidRPr="00A24443">
            <w:rPr>
              <w:rStyle w:val="PageNumber"/>
              <w:caps w:val="0"/>
            </w:rPr>
            <w:fldChar w:fldCharType="end"/>
          </w:r>
        </w:p>
      </w:tc>
    </w:tr>
  </w:tbl>
  <w:p w:rsidR="0064089F" w:rsidRDefault="0064089F">
    <w:pPr>
      <w:pStyle w:val="FooterEnd"/>
    </w:pPr>
  </w:p>
  <w:p w:rsidR="0064089F" w:rsidRDefault="0064089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817F7">
            <w:rPr>
              <w:rStyle w:val="PageNumber"/>
              <w:caps w:val="0"/>
              <w:noProof/>
            </w:rPr>
            <w:t>vi</w:t>
          </w:r>
          <w:r w:rsidRPr="007448F7">
            <w:rPr>
              <w:rStyle w:val="PageNumber"/>
              <w:caps w:val="0"/>
            </w:rPr>
            <w:fldChar w:fldCharType="end"/>
          </w:r>
        </w:p>
      </w:tc>
      <w:tc>
        <w:tcPr>
          <w:tcW w:w="7767" w:type="dxa"/>
        </w:tcPr>
        <w:p w:rsidR="007448F7" w:rsidRPr="0013739A" w:rsidRDefault="00B22EE8" w:rsidP="00271B0C">
          <w:pPr>
            <w:pStyle w:val="Footer"/>
            <w:rPr>
              <w:rFonts w:cs="Arial"/>
            </w:rPr>
          </w:pPr>
          <w:r>
            <w:rPr>
              <w:rFonts w:cs="Arial"/>
            </w:rPr>
            <w:t>scrgsp report december 2014</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6817F7">
            <w:rPr>
              <w:noProof/>
            </w:rPr>
            <w:t>Steering Committee</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817F7">
            <w:rPr>
              <w:rStyle w:val="PageNumber"/>
              <w:caps w:val="0"/>
              <w:noProof/>
            </w:rPr>
            <w:t>v</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89F" w:rsidRDefault="0064089F">
      <w:r>
        <w:separator/>
      </w:r>
    </w:p>
    <w:p w:rsidR="0064089F" w:rsidRDefault="0064089F"/>
    <w:p w:rsidR="0064089F" w:rsidRDefault="0064089F"/>
  </w:footnote>
  <w:footnote w:type="continuationSeparator" w:id="0">
    <w:p w:rsidR="0064089F" w:rsidRDefault="0064089F">
      <w:r>
        <w:continuationSeparator/>
      </w:r>
    </w:p>
    <w:p w:rsidR="0064089F" w:rsidRDefault="0064089F"/>
    <w:p w:rsidR="0064089F" w:rsidRDefault="006408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9029B" w:rsidTr="005C68FE">
      <w:tc>
        <w:tcPr>
          <w:tcW w:w="6634" w:type="dxa"/>
          <w:tcBorders>
            <w:top w:val="single" w:sz="6" w:space="0" w:color="auto"/>
          </w:tcBorders>
        </w:tcPr>
        <w:p w:rsidR="00F9029B" w:rsidRDefault="00F9029B" w:rsidP="005C68FE">
          <w:pPr>
            <w:pStyle w:val="HeaderOdd"/>
          </w:pPr>
        </w:p>
      </w:tc>
      <w:tc>
        <w:tcPr>
          <w:tcW w:w="2155" w:type="dxa"/>
          <w:tcBorders>
            <w:top w:val="single" w:sz="24" w:space="0" w:color="auto"/>
          </w:tcBorders>
        </w:tcPr>
        <w:p w:rsidR="00F9029B" w:rsidRDefault="00F9029B" w:rsidP="005C68FE">
          <w:pPr>
            <w:pStyle w:val="HeaderOdd"/>
          </w:pPr>
        </w:p>
      </w:tc>
    </w:tr>
  </w:tbl>
  <w:p w:rsidR="00F9029B" w:rsidRPr="005C68FE" w:rsidRDefault="00F9029B" w:rsidP="005C68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A1851">
      <w:tc>
        <w:tcPr>
          <w:tcW w:w="2155" w:type="dxa"/>
          <w:tcBorders>
            <w:top w:val="single" w:sz="24" w:space="0" w:color="auto"/>
          </w:tcBorders>
        </w:tcPr>
        <w:p w:rsidR="004A1851" w:rsidRDefault="004A1851">
          <w:pPr>
            <w:pStyle w:val="Header"/>
          </w:pPr>
        </w:p>
      </w:tc>
      <w:tc>
        <w:tcPr>
          <w:tcW w:w="6634" w:type="dxa"/>
          <w:tcBorders>
            <w:top w:val="single" w:sz="6" w:space="0" w:color="auto"/>
          </w:tcBorders>
        </w:tcPr>
        <w:p w:rsidR="004A1851" w:rsidRDefault="004A1851">
          <w:pPr>
            <w:pStyle w:val="Header"/>
          </w:pPr>
        </w:p>
      </w:tc>
    </w:tr>
  </w:tbl>
  <w:p w:rsidR="004A1851" w:rsidRDefault="004A185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4089F">
      <w:tc>
        <w:tcPr>
          <w:tcW w:w="6634" w:type="dxa"/>
          <w:tcBorders>
            <w:top w:val="single" w:sz="6" w:space="0" w:color="auto"/>
          </w:tcBorders>
        </w:tcPr>
        <w:p w:rsidR="0064089F" w:rsidRDefault="0064089F">
          <w:pPr>
            <w:pStyle w:val="HeaderOdd"/>
          </w:pPr>
        </w:p>
      </w:tc>
      <w:tc>
        <w:tcPr>
          <w:tcW w:w="2155" w:type="dxa"/>
          <w:tcBorders>
            <w:top w:val="single" w:sz="24" w:space="0" w:color="auto"/>
          </w:tcBorders>
        </w:tcPr>
        <w:p w:rsidR="0064089F" w:rsidRDefault="0064089F">
          <w:pPr>
            <w:pStyle w:val="HeaderOdd"/>
          </w:pPr>
        </w:p>
      </w:tc>
    </w:tr>
  </w:tbl>
  <w:p w:rsidR="0064089F" w:rsidRDefault="0064089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89F"/>
    <w:rsid w:val="00017AFC"/>
    <w:rsid w:val="00025878"/>
    <w:rsid w:val="00026B38"/>
    <w:rsid w:val="000502D3"/>
    <w:rsid w:val="00052CB2"/>
    <w:rsid w:val="000623BF"/>
    <w:rsid w:val="00067AB8"/>
    <w:rsid w:val="00071535"/>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76B1E"/>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C7D12"/>
    <w:rsid w:val="003D624D"/>
    <w:rsid w:val="003E7802"/>
    <w:rsid w:val="0042007A"/>
    <w:rsid w:val="00433C81"/>
    <w:rsid w:val="00446D6B"/>
    <w:rsid w:val="00457B3F"/>
    <w:rsid w:val="00463022"/>
    <w:rsid w:val="00476C3B"/>
    <w:rsid w:val="00481CF0"/>
    <w:rsid w:val="004A1851"/>
    <w:rsid w:val="004B492A"/>
    <w:rsid w:val="004C0B0C"/>
    <w:rsid w:val="004D3F58"/>
    <w:rsid w:val="004E52E2"/>
    <w:rsid w:val="004E6BB4"/>
    <w:rsid w:val="004E7D3C"/>
    <w:rsid w:val="00515D43"/>
    <w:rsid w:val="0052544D"/>
    <w:rsid w:val="00526B19"/>
    <w:rsid w:val="0053564D"/>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089F"/>
    <w:rsid w:val="00641AE2"/>
    <w:rsid w:val="0064456A"/>
    <w:rsid w:val="00650DDA"/>
    <w:rsid w:val="0065126A"/>
    <w:rsid w:val="00653FA6"/>
    <w:rsid w:val="00661F03"/>
    <w:rsid w:val="0067557D"/>
    <w:rsid w:val="006802D4"/>
    <w:rsid w:val="006817F7"/>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775A8"/>
    <w:rsid w:val="00880BF7"/>
    <w:rsid w:val="0089269F"/>
    <w:rsid w:val="008A2133"/>
    <w:rsid w:val="008A3857"/>
    <w:rsid w:val="008B2205"/>
    <w:rsid w:val="008C305F"/>
    <w:rsid w:val="008C3AD2"/>
    <w:rsid w:val="008C7C3D"/>
    <w:rsid w:val="008D6F66"/>
    <w:rsid w:val="008E1BEA"/>
    <w:rsid w:val="008E242D"/>
    <w:rsid w:val="008E325B"/>
    <w:rsid w:val="008E43D2"/>
    <w:rsid w:val="008E5248"/>
    <w:rsid w:val="008F04C9"/>
    <w:rsid w:val="008F7C50"/>
    <w:rsid w:val="008F7DB7"/>
    <w:rsid w:val="009064D3"/>
    <w:rsid w:val="00915300"/>
    <w:rsid w:val="00933B0C"/>
    <w:rsid w:val="00935676"/>
    <w:rsid w:val="009534A3"/>
    <w:rsid w:val="009779E6"/>
    <w:rsid w:val="0098401D"/>
    <w:rsid w:val="00997EE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22EE8"/>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C1504"/>
    <w:rsid w:val="00CD2163"/>
    <w:rsid w:val="00CD4FE7"/>
    <w:rsid w:val="00CD5E6B"/>
    <w:rsid w:val="00CE1C21"/>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0842"/>
    <w:rsid w:val="00E6632E"/>
    <w:rsid w:val="00E90CF2"/>
    <w:rsid w:val="00EC38C1"/>
    <w:rsid w:val="00EC628B"/>
    <w:rsid w:val="00ED0F61"/>
    <w:rsid w:val="00EE3F6D"/>
    <w:rsid w:val="00EE73E1"/>
    <w:rsid w:val="00F12107"/>
    <w:rsid w:val="00F13165"/>
    <w:rsid w:val="00F4234E"/>
    <w:rsid w:val="00F61429"/>
    <w:rsid w:val="00F7477E"/>
    <w:rsid w:val="00F85393"/>
    <w:rsid w:val="00F9029B"/>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40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4089F"/>
    <w:rPr>
      <w:kern w:val="28"/>
      <w:sz w:val="52"/>
      <w:lang w:eastAsia="en-US"/>
    </w:rPr>
  </w:style>
  <w:style w:type="character" w:customStyle="1" w:styleId="BoxChar">
    <w:name w:val="Box Char"/>
    <w:link w:val="Box"/>
    <w:rsid w:val="0053564D"/>
    <w:rPr>
      <w:rFonts w:ascii="Arial" w:hAnsi="Arial"/>
    </w:rPr>
  </w:style>
  <w:style w:type="character" w:customStyle="1" w:styleId="BoxListBulletChar">
    <w:name w:val="Box List Bullet Char"/>
    <w:link w:val="BoxListBullet"/>
    <w:rsid w:val="0053564D"/>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40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4089F"/>
    <w:rPr>
      <w:kern w:val="28"/>
      <w:sz w:val="52"/>
      <w:lang w:eastAsia="en-US"/>
    </w:rPr>
  </w:style>
  <w:style w:type="character" w:customStyle="1" w:styleId="BoxChar">
    <w:name w:val="Box Char"/>
    <w:link w:val="Box"/>
    <w:rsid w:val="0053564D"/>
    <w:rPr>
      <w:rFonts w:ascii="Arial" w:hAnsi="Arial"/>
    </w:rPr>
  </w:style>
  <w:style w:type="character" w:customStyle="1" w:styleId="BoxListBulletChar">
    <w:name w:val="Box List Bullet Char"/>
    <w:link w:val="BoxListBullet"/>
    <w:rsid w:val="0053564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gsp@pc.gov.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c.gov.a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0018628-5458-49A5-B82E-15742102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6</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Productivity Commission</dc:creator>
  <cp:lastModifiedBy>Frech, Tanya</cp:lastModifiedBy>
  <cp:revision>2</cp:revision>
  <cp:lastPrinted>2014-12-22T00:01:00Z</cp:lastPrinted>
  <dcterms:created xsi:type="dcterms:W3CDTF">2015-11-23T00:47:00Z</dcterms:created>
  <dcterms:modified xsi:type="dcterms:W3CDTF">2015-11-23T00:47:00Z</dcterms:modified>
</cp:coreProperties>
</file>