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0A19C6" w14:textId="77777777" w:rsidR="00666E02" w:rsidRDefault="00057AE9" w:rsidP="00152E6B">
      <w:pPr>
        <w:pStyle w:val="Heading1"/>
      </w:pPr>
      <w:r>
        <w:t>National Indigenous Reform Agreement (Closing the Gap) performance reporting</w:t>
      </w:r>
    </w:p>
    <w:p w14:paraId="5F8B8D48" w14:textId="77777777" w:rsidR="00591511" w:rsidRPr="00E41AF6" w:rsidRDefault="00591511" w:rsidP="00591511">
      <w:pPr>
        <w:pStyle w:val="Heading2"/>
      </w:pPr>
      <w:r w:rsidRPr="00E41AF6">
        <w:t>Performance Reporting</w:t>
      </w:r>
    </w:p>
    <w:p w14:paraId="07B7E085" w14:textId="01CEEF0C" w:rsidR="00591511" w:rsidRDefault="00591511" w:rsidP="00591511">
      <w:pPr>
        <w:pStyle w:val="BodyText"/>
      </w:pPr>
      <w:r>
        <w:t xml:space="preserve">This is the </w:t>
      </w:r>
      <w:r w:rsidR="00166183">
        <w:t xml:space="preserve">tenth </w:t>
      </w:r>
      <w:r w:rsidRPr="00841D2E">
        <w:rPr>
          <w:i/>
        </w:rPr>
        <w:t>National Indigenous Reform Agreement</w:t>
      </w:r>
      <w:r>
        <w:t xml:space="preserve"> (</w:t>
      </w:r>
      <w:proofErr w:type="spellStart"/>
      <w:r>
        <w:t>NIRA</w:t>
      </w:r>
      <w:proofErr w:type="spellEnd"/>
      <w:r>
        <w:t>) performance report prepared by the Steering Committee. This report provide</w:t>
      </w:r>
      <w:r w:rsidR="0000643B">
        <w:t>s</w:t>
      </w:r>
      <w:r>
        <w:t xml:space="preserve"> performance information for the </w:t>
      </w:r>
      <w:proofErr w:type="spellStart"/>
      <w:r>
        <w:t>NIRA</w:t>
      </w:r>
      <w:proofErr w:type="spellEnd"/>
      <w:r>
        <w:t xml:space="preserve"> performance indicator framework (COAG 2012).</w:t>
      </w:r>
    </w:p>
    <w:p w14:paraId="342D0E3B" w14:textId="77777777" w:rsidR="00591511" w:rsidRDefault="00591511" w:rsidP="00591511">
      <w:pPr>
        <w:pStyle w:val="BodyText"/>
      </w:pPr>
      <w:r>
        <w:t xml:space="preserve">The </w:t>
      </w:r>
      <w:proofErr w:type="spellStart"/>
      <w:r>
        <w:t>NIRA</w:t>
      </w:r>
      <w:proofErr w:type="spellEnd"/>
      <w:r>
        <w:t xml:space="preserve"> includes the performance categories of ‘performance indicators’ and ‘performance targets’. The Steering Committee provides information and available data for both these performance categories. The links between the objectives, outcomes and associated performance categories in the </w:t>
      </w:r>
      <w:proofErr w:type="spellStart"/>
      <w:r>
        <w:t>NIRA</w:t>
      </w:r>
      <w:proofErr w:type="spellEnd"/>
      <w:r>
        <w:t xml:space="preserve"> are illustrated in figure 1.</w:t>
      </w:r>
    </w:p>
    <w:p w14:paraId="3F87C4F3" w14:textId="77777777" w:rsidR="009719EC" w:rsidRDefault="009719EC" w:rsidP="00AA69CF">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9719EC" w14:paraId="2641DE3A" w14:textId="77777777" w:rsidTr="008F5A63">
        <w:tc>
          <w:tcPr>
            <w:tcW w:w="8789" w:type="dxa"/>
            <w:tcBorders>
              <w:top w:val="single" w:sz="6" w:space="0" w:color="78A22F"/>
              <w:left w:val="nil"/>
              <w:bottom w:val="nil"/>
              <w:right w:val="nil"/>
            </w:tcBorders>
            <w:shd w:val="clear" w:color="auto" w:fill="auto"/>
          </w:tcPr>
          <w:p w14:paraId="569B7E1C" w14:textId="77777777" w:rsidR="009719EC" w:rsidRPr="00176D3F" w:rsidRDefault="009719EC" w:rsidP="00F62402">
            <w:pPr>
              <w:pStyle w:val="FigureTitle"/>
            </w:pPr>
            <w:r w:rsidRPr="00784A05">
              <w:rPr>
                <w:b w:val="0"/>
              </w:rPr>
              <w:t xml:space="preserve">Figure </w:t>
            </w:r>
            <w:r w:rsidR="009508CD">
              <w:rPr>
                <w:b w:val="0"/>
                <w:noProof/>
              </w:rPr>
              <w:t>1</w:t>
            </w:r>
            <w:r>
              <w:tab/>
            </w:r>
            <w:proofErr w:type="spellStart"/>
            <w:r w:rsidRPr="00841D2E">
              <w:t>NIRA</w:t>
            </w:r>
            <w:proofErr w:type="spellEnd"/>
            <w:r w:rsidRPr="00841D2E">
              <w:t xml:space="preserve"> performance reporting</w:t>
            </w:r>
            <w:r w:rsidRPr="00841D2E">
              <w:rPr>
                <w:rStyle w:val="NoteLabel"/>
                <w:b/>
              </w:rPr>
              <w:t>a, b</w:t>
            </w:r>
          </w:p>
        </w:tc>
      </w:tr>
      <w:tr w:rsidR="009719EC" w14:paraId="19D9195F" w14:textId="77777777" w:rsidTr="008F5A63">
        <w:tc>
          <w:tcPr>
            <w:tcW w:w="8789"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719EC" w14:paraId="6DA11468" w14:textId="77777777" w:rsidTr="00AA69CF">
              <w:trPr>
                <w:jc w:val="center"/>
              </w:trPr>
              <w:tc>
                <w:tcPr>
                  <w:tcW w:w="5000" w:type="pct"/>
                  <w:tcBorders>
                    <w:top w:val="nil"/>
                    <w:bottom w:val="nil"/>
                  </w:tcBorders>
                </w:tcPr>
                <w:p w14:paraId="47F719AE" w14:textId="77777777" w:rsidR="009719EC" w:rsidRDefault="009719EC" w:rsidP="00AA69CF">
                  <w:pPr>
                    <w:pStyle w:val="Figure"/>
                    <w:spacing w:before="60" w:after="60"/>
                  </w:pPr>
                  <w:r>
                    <w:rPr>
                      <w:noProof/>
                    </w:rPr>
                    <mc:AlternateContent>
                      <mc:Choice Requires="wpc">
                        <w:drawing>
                          <wp:inline distT="0" distB="0" distL="0" distR="0" wp14:anchorId="2E688562" wp14:editId="781410B4">
                            <wp:extent cx="5511165" cy="2400300"/>
                            <wp:effectExtent l="0" t="0" r="0" b="0"/>
                            <wp:docPr id="8" name="Canvas 2" descr="Title: NIRA performance reporting - Description: This diagram depicts the way in which the objective of the NIRA links with the outcomes, performance targets and performance indicators. The objectives and outcomes of the NIRA Agreement will be achieved through a range of outputs. And to assist the community to assess the performance of governments toward achieving these outcomes, performance will be indicated by the performance indicators. The aspirational objective of the NIRA is that working together with Indigenous Australians to Close the Gap in Indigenous disadvantage.&#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AutoShape 4" descr="Figure 1 NIRA performance reporting&#10;&#10;Objective&#10;&#10;Working together with Indigenous Australians to Close the Gap in Indigenous disadvantage"/>
                                    <wps:cNvSpPr>
                                      <a:spLocks noChangeArrowheads="1"/>
                                    </wps:cNvSpPr>
                                    <wps:spPr bwMode="auto">
                                      <a:xfrm>
                                        <a:off x="83820" y="571500"/>
                                        <a:ext cx="1059180" cy="1143000"/>
                                      </a:xfrm>
                                      <a:prstGeom prst="roundRect">
                                        <a:avLst>
                                          <a:gd name="adj" fmla="val 16667"/>
                                        </a:avLst>
                                      </a:prstGeom>
                                      <a:solidFill>
                                        <a:srgbClr val="FFFFFF"/>
                                      </a:solidFill>
                                      <a:ln w="9525">
                                        <a:solidFill>
                                          <a:srgbClr val="000000"/>
                                        </a:solidFill>
                                        <a:round/>
                                        <a:headEnd/>
                                        <a:tailEnd/>
                                      </a:ln>
                                    </wps:spPr>
                                    <wps:txbx>
                                      <w:txbxContent>
                                        <w:p w14:paraId="22423F39" w14:textId="77777777" w:rsidR="0040006D" w:rsidRDefault="0040006D" w:rsidP="009719EC">
                                          <w:pPr>
                                            <w:spacing w:after="120"/>
                                            <w:rPr>
                                              <w:rFonts w:ascii="Arial" w:hAnsi="Arial" w:cs="Arial"/>
                                              <w:b/>
                                              <w:sz w:val="18"/>
                                              <w:szCs w:val="18"/>
                                            </w:rPr>
                                          </w:pPr>
                                          <w:r>
                                            <w:rPr>
                                              <w:rFonts w:ascii="Arial" w:hAnsi="Arial" w:cs="Arial"/>
                                              <w:b/>
                                              <w:sz w:val="18"/>
                                              <w:szCs w:val="18"/>
                                            </w:rPr>
                                            <w:t>Objective</w:t>
                                          </w:r>
                                        </w:p>
                                        <w:p w14:paraId="628044B2" w14:textId="76C46EC5" w:rsidR="0040006D" w:rsidRPr="00252FDD" w:rsidRDefault="0040006D" w:rsidP="009719EC">
                                          <w:pPr>
                                            <w:spacing w:after="120"/>
                                            <w:rPr>
                                              <w:rFonts w:ascii="Arial" w:hAnsi="Arial" w:cs="Arial"/>
                                              <w:i/>
                                              <w:sz w:val="16"/>
                                              <w:szCs w:val="16"/>
                                            </w:rPr>
                                          </w:pPr>
                                          <w:r w:rsidRPr="00252FDD">
                                            <w:rPr>
                                              <w:rFonts w:ascii="Arial" w:hAnsi="Arial" w:cs="Arial"/>
                                              <w:i/>
                                              <w:sz w:val="16"/>
                                              <w:szCs w:val="16"/>
                                            </w:rPr>
                                            <w:t xml:space="preserve">Working together with </w:t>
                                          </w:r>
                                          <w:r>
                                            <w:rPr>
                                              <w:rFonts w:ascii="Arial" w:hAnsi="Arial" w:cs="Arial"/>
                                              <w:i/>
                                              <w:sz w:val="16"/>
                                              <w:szCs w:val="16"/>
                                            </w:rPr>
                                            <w:t xml:space="preserve">Aboriginal and Torres Strait Islander </w:t>
                                          </w:r>
                                          <w:r w:rsidRPr="00252FDD">
                                            <w:rPr>
                                              <w:rFonts w:ascii="Arial" w:hAnsi="Arial" w:cs="Arial"/>
                                              <w:i/>
                                              <w:sz w:val="16"/>
                                              <w:szCs w:val="16"/>
                                            </w:rPr>
                                            <w:t>Australians to Close the Gap in disadvantage</w:t>
                                          </w:r>
                                        </w:p>
                                      </w:txbxContent>
                                    </wps:txbx>
                                    <wps:bodyPr rot="0" vert="horz" wrap="square" lIns="18000" tIns="18000" rIns="18000" bIns="18000" anchor="t" anchorCtr="0" upright="1">
                                      <a:noAutofit/>
                                    </wps:bodyPr>
                                  </wps:wsp>
                                  <wps:wsp>
                                    <wps:cNvPr id="2" name="AutoShape 5" descr="Figure 1 NIRA performance reporting&#10;&#10;Performance targets&#10;&#10;eg. Close the life expenctancy gap within a generation"/>
                                    <wps:cNvSpPr>
                                      <a:spLocks noChangeArrowheads="1"/>
                                    </wps:cNvSpPr>
                                    <wps:spPr bwMode="auto">
                                      <a:xfrm>
                                        <a:off x="2781300" y="571500"/>
                                        <a:ext cx="1143000" cy="1143000"/>
                                      </a:xfrm>
                                      <a:prstGeom prst="roundRect">
                                        <a:avLst>
                                          <a:gd name="adj" fmla="val 16667"/>
                                        </a:avLst>
                                      </a:prstGeom>
                                      <a:solidFill>
                                        <a:srgbClr val="DDDDDD"/>
                                      </a:solidFill>
                                      <a:ln w="9525">
                                        <a:solidFill>
                                          <a:srgbClr val="000000"/>
                                        </a:solidFill>
                                        <a:round/>
                                        <a:headEnd/>
                                        <a:tailEnd/>
                                      </a:ln>
                                    </wps:spPr>
                                    <wps:txbx>
                                      <w:txbxContent>
                                        <w:p w14:paraId="205F5DF4" w14:textId="77777777" w:rsidR="0040006D" w:rsidRDefault="0040006D" w:rsidP="009719EC">
                                          <w:pPr>
                                            <w:spacing w:after="100" w:afterAutospacing="1"/>
                                            <w:rPr>
                                              <w:rFonts w:ascii="Arial" w:hAnsi="Arial" w:cs="Arial"/>
                                              <w:b/>
                                              <w:sz w:val="18"/>
                                              <w:szCs w:val="18"/>
                                            </w:rPr>
                                          </w:pPr>
                                          <w:r>
                                            <w:rPr>
                                              <w:rFonts w:ascii="Arial" w:hAnsi="Arial" w:cs="Arial"/>
                                              <w:b/>
                                              <w:sz w:val="18"/>
                                              <w:szCs w:val="18"/>
                                            </w:rPr>
                                            <w:t>Performance targets</w:t>
                                          </w:r>
                                        </w:p>
                                        <w:p w14:paraId="05A419B5" w14:textId="77777777" w:rsidR="0040006D" w:rsidRPr="0026587F" w:rsidRDefault="0040006D" w:rsidP="009719EC">
                                          <w:pPr>
                                            <w:spacing w:after="100" w:afterAutospacing="1"/>
                                            <w:rPr>
                                              <w:rFonts w:ascii="Arial" w:hAnsi="Arial" w:cs="Arial"/>
                                              <w:i/>
                                              <w:sz w:val="16"/>
                                              <w:szCs w:val="16"/>
                                            </w:rPr>
                                          </w:pPr>
                                          <w:proofErr w:type="spellStart"/>
                                          <w:r>
                                            <w:rPr>
                                              <w:rFonts w:ascii="Arial" w:hAnsi="Arial" w:cs="Arial"/>
                                              <w:i/>
                                              <w:sz w:val="16"/>
                                              <w:szCs w:val="16"/>
                                            </w:rPr>
                                            <w:t>eg</w:t>
                                          </w:r>
                                          <w:proofErr w:type="spellEnd"/>
                                          <w:r>
                                            <w:rPr>
                                              <w:rFonts w:ascii="Arial" w:hAnsi="Arial" w:cs="Arial"/>
                                              <w:i/>
                                              <w:sz w:val="16"/>
                                              <w:szCs w:val="16"/>
                                            </w:rPr>
                                            <w:t>. Close the life expectancy gap within a generation</w:t>
                                          </w:r>
                                        </w:p>
                                        <w:p w14:paraId="037AF3D9" w14:textId="77777777" w:rsidR="0040006D" w:rsidRDefault="0040006D" w:rsidP="009719EC"/>
                                      </w:txbxContent>
                                    </wps:txbx>
                                    <wps:bodyPr rot="0" vert="horz" wrap="square" lIns="18000" tIns="18000" rIns="18000" bIns="18000" anchor="t" anchorCtr="0" upright="1">
                                      <a:noAutofit/>
                                    </wps:bodyPr>
                                  </wps:wsp>
                                  <wps:wsp>
                                    <wps:cNvPr id="3" name="AutoShape 6" descr="Figure 1 NIRA performance reporting&#10;&#10;Performance indicators&#10;&#10;eg. Estimated life expectancy at birth"/>
                                    <wps:cNvSpPr>
                                      <a:spLocks noChangeArrowheads="1"/>
                                    </wps:cNvSpPr>
                                    <wps:spPr bwMode="auto">
                                      <a:xfrm>
                                        <a:off x="4181475" y="571500"/>
                                        <a:ext cx="1151890" cy="1143000"/>
                                      </a:xfrm>
                                      <a:prstGeom prst="roundRect">
                                        <a:avLst>
                                          <a:gd name="adj" fmla="val 16667"/>
                                        </a:avLst>
                                      </a:prstGeom>
                                      <a:solidFill>
                                        <a:srgbClr val="DDDDDD"/>
                                      </a:solidFill>
                                      <a:ln w="9525">
                                        <a:solidFill>
                                          <a:srgbClr val="000000"/>
                                        </a:solidFill>
                                        <a:round/>
                                        <a:headEnd/>
                                        <a:tailEnd/>
                                      </a:ln>
                                    </wps:spPr>
                                    <wps:txbx>
                                      <w:txbxContent>
                                        <w:p w14:paraId="7E6F8F3F" w14:textId="77777777" w:rsidR="0040006D" w:rsidRPr="00235B33" w:rsidRDefault="0040006D" w:rsidP="009719EC">
                                          <w:pPr>
                                            <w:spacing w:after="120"/>
                                            <w:rPr>
                                              <w:rFonts w:ascii="Arial" w:hAnsi="Arial" w:cs="Arial"/>
                                              <w:b/>
                                              <w:sz w:val="18"/>
                                              <w:szCs w:val="18"/>
                                            </w:rPr>
                                          </w:pPr>
                                          <w:r>
                                            <w:rPr>
                                              <w:rFonts w:ascii="Arial" w:hAnsi="Arial" w:cs="Arial"/>
                                              <w:b/>
                                              <w:sz w:val="18"/>
                                              <w:szCs w:val="18"/>
                                            </w:rPr>
                                            <w:t>Performance indicators</w:t>
                                          </w:r>
                                        </w:p>
                                        <w:p w14:paraId="18D76C2F" w14:textId="77777777" w:rsidR="0040006D" w:rsidRPr="00235B33" w:rsidRDefault="0040006D" w:rsidP="009719EC">
                                          <w:pPr>
                                            <w:rPr>
                                              <w:rFonts w:ascii="Arial" w:hAnsi="Arial" w:cs="Arial"/>
                                              <w:i/>
                                              <w:sz w:val="18"/>
                                              <w:szCs w:val="18"/>
                                            </w:rPr>
                                          </w:pPr>
                                          <w:proofErr w:type="spellStart"/>
                                          <w:r>
                                            <w:rPr>
                                              <w:rFonts w:ascii="Arial" w:hAnsi="Arial" w:cs="Arial"/>
                                              <w:i/>
                                              <w:sz w:val="16"/>
                                              <w:szCs w:val="16"/>
                                            </w:rPr>
                                            <w:t>eg</w:t>
                                          </w:r>
                                          <w:proofErr w:type="spellEnd"/>
                                          <w:r>
                                            <w:rPr>
                                              <w:rFonts w:ascii="Arial" w:hAnsi="Arial" w:cs="Arial"/>
                                              <w:i/>
                                              <w:sz w:val="16"/>
                                              <w:szCs w:val="16"/>
                                            </w:rPr>
                                            <w:t>. Estimated life expectancy at birth</w:t>
                                          </w:r>
                                        </w:p>
                                        <w:p w14:paraId="1B5E0A23" w14:textId="77777777" w:rsidR="0040006D" w:rsidRPr="00C523F7" w:rsidRDefault="0040006D" w:rsidP="009719EC">
                                          <w:pPr>
                                            <w:rPr>
                                              <w:rFonts w:ascii="Arial" w:hAnsi="Arial" w:cs="Arial"/>
                                              <w:i/>
                                              <w:sz w:val="16"/>
                                              <w:szCs w:val="16"/>
                                            </w:rPr>
                                          </w:pPr>
                                        </w:p>
                                      </w:txbxContent>
                                    </wps:txbx>
                                    <wps:bodyPr rot="0" vert="horz" wrap="square" lIns="18000" tIns="18000" rIns="18000" bIns="18000" anchor="t" anchorCtr="0" upright="1">
                                      <a:noAutofit/>
                                    </wps:bodyPr>
                                  </wps:wsp>
                                  <wps:wsp>
                                    <wps:cNvPr id="4" name="AutoShape 7"/>
                                    <wps:cNvCnPr>
                                      <a:cxnSpLocks noChangeShapeType="1"/>
                                      <a:stCxn id="6" idx="3"/>
                                    </wps:cNvCnPr>
                                    <wps:spPr bwMode="auto">
                                      <a:xfrm>
                                        <a:off x="2514600" y="1143000"/>
                                        <a:ext cx="266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8"/>
                                    <wps:cNvCnPr>
                                      <a:cxnSpLocks noChangeShapeType="1"/>
                                    </wps:cNvCnPr>
                                    <wps:spPr bwMode="auto">
                                      <a:xfrm>
                                        <a:off x="3924300" y="1143635"/>
                                        <a:ext cx="257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9" descr="Figure 1 NIRA performance reporting&#10;&#10;Outcomes&#10;&#10;eg. Indigenous people remain healthy and free of preventable disease"/>
                                    <wps:cNvSpPr>
                                      <a:spLocks noChangeArrowheads="1"/>
                                    </wps:cNvSpPr>
                                    <wps:spPr bwMode="auto">
                                      <a:xfrm>
                                        <a:off x="1371600" y="571500"/>
                                        <a:ext cx="1143000" cy="1143000"/>
                                      </a:xfrm>
                                      <a:prstGeom prst="roundRect">
                                        <a:avLst>
                                          <a:gd name="adj" fmla="val 16667"/>
                                        </a:avLst>
                                      </a:prstGeom>
                                      <a:solidFill>
                                        <a:srgbClr val="FFFFFF"/>
                                      </a:solidFill>
                                      <a:ln w="9525">
                                        <a:solidFill>
                                          <a:srgbClr val="000000"/>
                                        </a:solidFill>
                                        <a:round/>
                                        <a:headEnd/>
                                        <a:tailEnd/>
                                      </a:ln>
                                    </wps:spPr>
                                    <wps:txbx>
                                      <w:txbxContent>
                                        <w:p w14:paraId="7E0167D6" w14:textId="77777777" w:rsidR="0040006D" w:rsidRPr="00235B33" w:rsidRDefault="0040006D" w:rsidP="009719EC">
                                          <w:pPr>
                                            <w:spacing w:after="120"/>
                                            <w:rPr>
                                              <w:rFonts w:ascii="Arial" w:hAnsi="Arial" w:cs="Arial"/>
                                              <w:b/>
                                              <w:sz w:val="18"/>
                                              <w:szCs w:val="18"/>
                                            </w:rPr>
                                          </w:pPr>
                                          <w:r w:rsidRPr="00235B33">
                                            <w:rPr>
                                              <w:rFonts w:ascii="Arial" w:hAnsi="Arial" w:cs="Arial"/>
                                              <w:b/>
                                              <w:sz w:val="18"/>
                                              <w:szCs w:val="18"/>
                                            </w:rPr>
                                            <w:t>Outcomes</w:t>
                                          </w:r>
                                        </w:p>
                                        <w:p w14:paraId="16F97289" w14:textId="77777777" w:rsidR="0040006D" w:rsidRPr="00235B33" w:rsidRDefault="0040006D" w:rsidP="009719EC">
                                          <w:pPr>
                                            <w:rPr>
                                              <w:rFonts w:ascii="Arial" w:hAnsi="Arial" w:cs="Arial"/>
                                              <w:sz w:val="16"/>
                                              <w:szCs w:val="16"/>
                                            </w:rPr>
                                          </w:pPr>
                                          <w:proofErr w:type="spellStart"/>
                                          <w:r>
                                            <w:rPr>
                                              <w:rFonts w:ascii="Arial" w:hAnsi="Arial" w:cs="Arial"/>
                                              <w:i/>
                                              <w:sz w:val="16"/>
                                              <w:szCs w:val="16"/>
                                            </w:rPr>
                                            <w:t>eg</w:t>
                                          </w:r>
                                          <w:proofErr w:type="spellEnd"/>
                                          <w:r>
                                            <w:rPr>
                                              <w:rFonts w:ascii="Arial" w:hAnsi="Arial" w:cs="Arial"/>
                                              <w:i/>
                                              <w:sz w:val="16"/>
                                              <w:szCs w:val="16"/>
                                            </w:rPr>
                                            <w:t>. Aboriginal and Torres Strait Islander people remain healthy and free of preventable disease</w:t>
                                          </w:r>
                                        </w:p>
                                        <w:p w14:paraId="7AABAAA3" w14:textId="77777777" w:rsidR="0040006D" w:rsidRPr="00235B33" w:rsidRDefault="0040006D" w:rsidP="009719EC">
                                          <w:pPr>
                                            <w:rPr>
                                              <w:rFonts w:ascii="Arial" w:hAnsi="Arial" w:cs="Arial"/>
                                              <w:sz w:val="18"/>
                                              <w:szCs w:val="18"/>
                                            </w:rPr>
                                          </w:pPr>
                                        </w:p>
                                      </w:txbxContent>
                                    </wps:txbx>
                                    <wps:bodyPr rot="0" vert="horz" wrap="square" lIns="18000" tIns="18000" rIns="18000" bIns="18000" anchor="t" anchorCtr="0" upright="1">
                                      <a:noAutofit/>
                                    </wps:bodyPr>
                                  </wps:wsp>
                                  <wps:wsp>
                                    <wps:cNvPr id="7" name="AutoShape 10"/>
                                    <wps:cNvCnPr>
                                      <a:cxnSpLocks noChangeShapeType="1"/>
                                      <a:endCxn id="6" idx="1"/>
                                    </wps:cNvCnPr>
                                    <wps:spPr bwMode="auto">
                                      <a:xfrm>
                                        <a:off x="1143000" y="1142365"/>
                                        <a:ext cx="228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2E688562" id="Canvas 2" o:spid="_x0000_s1026" editas="canvas" alt="Title: NIRA performance reporting - Description: This diagram depicts the way in which the objective of the NIRA links with the outcomes, performance targets and performance indicators. The objectives and outcomes of the NIRA Agreement will be achieved through a range of outputs. And to assist the community to assess the performance of governments toward achieving these outcomes, performance will be indicated by the performance indicators. The aspirational objective of the NIRA is that working together with Indigenous Australians to Close the Gap in Indigenous disadvantage.&#10;" style="width:433.95pt;height:189pt;mso-position-horizontal-relative:char;mso-position-vertical-relative:line" coordsize="55111,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Title: NIRA performance reporting - Description: This diagram depicts the way in which the objective of the NIRA links with the outcomes, performance targets and performance indicators. The objectives and outcomes of the NIRA Agreement will be achieved through a range of outputs. And to assist the community to assess the performance of governments toward achieving these outcomes, performance will be indicated by the performance indicators. The aspirational objective of the NIRA is that working together with Indigenous Australians to Close the Gap in Indigenous disadvantage.&#10;" style="position:absolute;width:55111;height:24003;visibility:visible;mso-wrap-style:square">
                              <v:fill o:detectmouseclick="t"/>
                              <v:path o:connecttype="none"/>
                            </v:shape>
                            <v:roundrect id="AutoShape 4" o:spid="_x0000_s1028" alt="Figure 1 NIRA performance reporting&#10;&#10;Objective&#10;&#10;Working together with Indigenous Australians to Close the Gap in Indigenous disadvantage" style="position:absolute;left:838;top:5715;width:10592;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LaBcEA&#10;AADaAAAADwAAAGRycy9kb3ducmV2LnhtbERPS2vCQBC+F/wPywi9lLqxhyjRVYIgiKXBR8HrkJ0m&#10;odnZkF2T9N93A4Kn4eN7zno7mFp01LrKsoL5LAJBnFtdcaHg+7p/X4JwHlljbZkU/JGD7WbyssZE&#10;257P1F18IUIIuwQVlN43iZQuL8mgm9mGOHA/tjXoA2wLqVvsQ7ip5UcUxdJgxaGhxIZ2JeW/l7tR&#10;sDh9zo/cpzd6I1t/pdkxOxexUq/TIV2B8DT4p/jhPugwH8ZXxis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y2gXBAAAA2gAAAA8AAAAAAAAAAAAAAAAAmAIAAGRycy9kb3du&#10;cmV2LnhtbFBLBQYAAAAABAAEAPUAAACGAwAAAAA=&#10;">
                              <v:textbox inset=".5mm,.5mm,.5mm,.5mm">
                                <w:txbxContent>
                                  <w:p w14:paraId="22423F39" w14:textId="77777777" w:rsidR="0040006D" w:rsidRDefault="0040006D" w:rsidP="009719EC">
                                    <w:pPr>
                                      <w:spacing w:after="120"/>
                                      <w:rPr>
                                        <w:rFonts w:ascii="Arial" w:hAnsi="Arial" w:cs="Arial"/>
                                        <w:b/>
                                        <w:sz w:val="18"/>
                                        <w:szCs w:val="18"/>
                                      </w:rPr>
                                    </w:pPr>
                                    <w:r>
                                      <w:rPr>
                                        <w:rFonts w:ascii="Arial" w:hAnsi="Arial" w:cs="Arial"/>
                                        <w:b/>
                                        <w:sz w:val="18"/>
                                        <w:szCs w:val="18"/>
                                      </w:rPr>
                                      <w:t>Objective</w:t>
                                    </w:r>
                                  </w:p>
                                  <w:p w14:paraId="628044B2" w14:textId="76C46EC5" w:rsidR="0040006D" w:rsidRPr="00252FDD" w:rsidRDefault="0040006D" w:rsidP="009719EC">
                                    <w:pPr>
                                      <w:spacing w:after="120"/>
                                      <w:rPr>
                                        <w:rFonts w:ascii="Arial" w:hAnsi="Arial" w:cs="Arial"/>
                                        <w:i/>
                                        <w:sz w:val="16"/>
                                        <w:szCs w:val="16"/>
                                      </w:rPr>
                                    </w:pPr>
                                    <w:r w:rsidRPr="00252FDD">
                                      <w:rPr>
                                        <w:rFonts w:ascii="Arial" w:hAnsi="Arial" w:cs="Arial"/>
                                        <w:i/>
                                        <w:sz w:val="16"/>
                                        <w:szCs w:val="16"/>
                                      </w:rPr>
                                      <w:t xml:space="preserve">Working together with </w:t>
                                    </w:r>
                                    <w:r>
                                      <w:rPr>
                                        <w:rFonts w:ascii="Arial" w:hAnsi="Arial" w:cs="Arial"/>
                                        <w:i/>
                                        <w:sz w:val="16"/>
                                        <w:szCs w:val="16"/>
                                      </w:rPr>
                                      <w:t xml:space="preserve">Aboriginal and Torres Strait Islander </w:t>
                                    </w:r>
                                    <w:r w:rsidRPr="00252FDD">
                                      <w:rPr>
                                        <w:rFonts w:ascii="Arial" w:hAnsi="Arial" w:cs="Arial"/>
                                        <w:i/>
                                        <w:sz w:val="16"/>
                                        <w:szCs w:val="16"/>
                                      </w:rPr>
                                      <w:t>Australians to Close the Gap in disadvantage</w:t>
                                    </w:r>
                                  </w:p>
                                </w:txbxContent>
                              </v:textbox>
                            </v:roundrect>
                            <v:roundrect id="AutoShape 5" o:spid="_x0000_s1029" alt="Figure 1 NIRA performance reporting&#10;&#10;Performance targets&#10;&#10;eg. Close the life expenctancy gap within a generation" style="position:absolute;left:27813;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81psUA&#10;AADaAAAADwAAAGRycy9kb3ducmV2LnhtbESPQWvCQBSE74L/YXmF3symKQRJXUUEaWihok0P3h7Z&#10;ZxLMvk2z2xj767uC0OMwM98wi9VoWjFQ7xrLCp6iGARxaXXDlYLiczubg3AeWWNrmRRcycFqOZ0s&#10;MNP2wnsaDr4SAcIuQwW1910mpStrMugi2xEH72R7gz7IvpK6x0uAm1YmcZxKgw2HhRo72tRUng8/&#10;RkH6kRTpe47t1+vz/vh77b536/hNqceHcf0CwtPo/8P3dq4VJHC7Em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zWmxQAAANoAAAAPAAAAAAAAAAAAAAAAAJgCAABkcnMv&#10;ZG93bnJldi54bWxQSwUGAAAAAAQABAD1AAAAigMAAAAA&#10;" fillcolor="#ddd">
                              <v:textbox inset=".5mm,.5mm,.5mm,.5mm">
                                <w:txbxContent>
                                  <w:p w14:paraId="205F5DF4" w14:textId="77777777" w:rsidR="0040006D" w:rsidRDefault="0040006D" w:rsidP="009719EC">
                                    <w:pPr>
                                      <w:spacing w:after="100" w:afterAutospacing="1"/>
                                      <w:rPr>
                                        <w:rFonts w:ascii="Arial" w:hAnsi="Arial" w:cs="Arial"/>
                                        <w:b/>
                                        <w:sz w:val="18"/>
                                        <w:szCs w:val="18"/>
                                      </w:rPr>
                                    </w:pPr>
                                    <w:r>
                                      <w:rPr>
                                        <w:rFonts w:ascii="Arial" w:hAnsi="Arial" w:cs="Arial"/>
                                        <w:b/>
                                        <w:sz w:val="18"/>
                                        <w:szCs w:val="18"/>
                                      </w:rPr>
                                      <w:t>Performance targets</w:t>
                                    </w:r>
                                  </w:p>
                                  <w:p w14:paraId="05A419B5" w14:textId="77777777" w:rsidR="0040006D" w:rsidRPr="0026587F" w:rsidRDefault="0040006D" w:rsidP="009719EC">
                                    <w:pPr>
                                      <w:spacing w:after="100" w:afterAutospacing="1"/>
                                      <w:rPr>
                                        <w:rFonts w:ascii="Arial" w:hAnsi="Arial" w:cs="Arial"/>
                                        <w:i/>
                                        <w:sz w:val="16"/>
                                        <w:szCs w:val="16"/>
                                      </w:rPr>
                                    </w:pPr>
                                    <w:proofErr w:type="spellStart"/>
                                    <w:r>
                                      <w:rPr>
                                        <w:rFonts w:ascii="Arial" w:hAnsi="Arial" w:cs="Arial"/>
                                        <w:i/>
                                        <w:sz w:val="16"/>
                                        <w:szCs w:val="16"/>
                                      </w:rPr>
                                      <w:t>eg</w:t>
                                    </w:r>
                                    <w:proofErr w:type="spellEnd"/>
                                    <w:r>
                                      <w:rPr>
                                        <w:rFonts w:ascii="Arial" w:hAnsi="Arial" w:cs="Arial"/>
                                        <w:i/>
                                        <w:sz w:val="16"/>
                                        <w:szCs w:val="16"/>
                                      </w:rPr>
                                      <w:t>. Close the life expectancy gap within a generation</w:t>
                                    </w:r>
                                  </w:p>
                                  <w:p w14:paraId="037AF3D9" w14:textId="77777777" w:rsidR="0040006D" w:rsidRDefault="0040006D" w:rsidP="009719EC"/>
                                </w:txbxContent>
                              </v:textbox>
                            </v:roundrect>
                            <v:roundrect id="AutoShape 6" o:spid="_x0000_s1030" alt="Figure 1 NIRA performance reporting&#10;&#10;Performance indicators&#10;&#10;eg. Estimated life expectancy at birth" style="position:absolute;left:41814;top:5715;width:11519;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OQPcQA&#10;AADaAAAADwAAAGRycy9kb3ducmV2LnhtbESPQYvCMBSE74L/ITzBm6YqFOkaRQRZcWFFrYe9PZq3&#10;bdnmpTZZrf56Iwgeh5n5hpktWlOJCzWutKxgNIxAEGdWl5wrSI/rwRSE88gaK8uk4EYOFvNuZ4aJ&#10;tlfe0+XgcxEg7BJUUHhfJ1K6rCCDbmhr4uD92sagD7LJpW7wGuCmkuMoiqXBksNCgTWtCsr+Dv9G&#10;Qfw9TuOvDVanz8n+536rz7tltFWq32uXHyA8tf4dfrU3WsEEnlfCD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DkD3EAAAA2gAAAA8AAAAAAAAAAAAAAAAAmAIAAGRycy9k&#10;b3ducmV2LnhtbFBLBQYAAAAABAAEAPUAAACJAwAAAAA=&#10;" fillcolor="#ddd">
                              <v:textbox inset=".5mm,.5mm,.5mm,.5mm">
                                <w:txbxContent>
                                  <w:p w14:paraId="7E6F8F3F" w14:textId="77777777" w:rsidR="0040006D" w:rsidRPr="00235B33" w:rsidRDefault="0040006D" w:rsidP="009719EC">
                                    <w:pPr>
                                      <w:spacing w:after="120"/>
                                      <w:rPr>
                                        <w:rFonts w:ascii="Arial" w:hAnsi="Arial" w:cs="Arial"/>
                                        <w:b/>
                                        <w:sz w:val="18"/>
                                        <w:szCs w:val="18"/>
                                      </w:rPr>
                                    </w:pPr>
                                    <w:r>
                                      <w:rPr>
                                        <w:rFonts w:ascii="Arial" w:hAnsi="Arial" w:cs="Arial"/>
                                        <w:b/>
                                        <w:sz w:val="18"/>
                                        <w:szCs w:val="18"/>
                                      </w:rPr>
                                      <w:t>Performance indicators</w:t>
                                    </w:r>
                                  </w:p>
                                  <w:p w14:paraId="18D76C2F" w14:textId="77777777" w:rsidR="0040006D" w:rsidRPr="00235B33" w:rsidRDefault="0040006D" w:rsidP="009719EC">
                                    <w:pPr>
                                      <w:rPr>
                                        <w:rFonts w:ascii="Arial" w:hAnsi="Arial" w:cs="Arial"/>
                                        <w:i/>
                                        <w:sz w:val="18"/>
                                        <w:szCs w:val="18"/>
                                      </w:rPr>
                                    </w:pPr>
                                    <w:proofErr w:type="spellStart"/>
                                    <w:r>
                                      <w:rPr>
                                        <w:rFonts w:ascii="Arial" w:hAnsi="Arial" w:cs="Arial"/>
                                        <w:i/>
                                        <w:sz w:val="16"/>
                                        <w:szCs w:val="16"/>
                                      </w:rPr>
                                      <w:t>eg</w:t>
                                    </w:r>
                                    <w:proofErr w:type="spellEnd"/>
                                    <w:r>
                                      <w:rPr>
                                        <w:rFonts w:ascii="Arial" w:hAnsi="Arial" w:cs="Arial"/>
                                        <w:i/>
                                        <w:sz w:val="16"/>
                                        <w:szCs w:val="16"/>
                                      </w:rPr>
                                      <w:t>. Estimated life expectancy at birth</w:t>
                                    </w:r>
                                  </w:p>
                                  <w:p w14:paraId="1B5E0A23" w14:textId="77777777" w:rsidR="0040006D" w:rsidRPr="00C523F7" w:rsidRDefault="0040006D" w:rsidP="009719EC">
                                    <w:pPr>
                                      <w:rPr>
                                        <w:rFonts w:ascii="Arial" w:hAnsi="Arial" w:cs="Arial"/>
                                        <w:i/>
                                        <w:sz w:val="16"/>
                                        <w:szCs w:val="16"/>
                                      </w:rPr>
                                    </w:pPr>
                                  </w:p>
                                </w:txbxContent>
                              </v:textbox>
                            </v:roundrect>
                            <v:shapetype id="_x0000_t32" coordsize="21600,21600" o:spt="32" o:oned="t" path="m,l21600,21600e" filled="f">
                              <v:path arrowok="t" fillok="f" o:connecttype="none"/>
                              <o:lock v:ext="edit" shapetype="t"/>
                            </v:shapetype>
                            <v:shape id="AutoShape 7" o:spid="_x0000_s1031" type="#_x0000_t32" style="position:absolute;left:25146;top:11430;width:26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52n8QAAADaAAAADwAAAGRycy9kb3ducmV2LnhtbESPQWvCQBSE7wX/w/IEb3UTk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nafxAAAANoAAAAPAAAAAAAAAAAA&#10;AAAAAKECAABkcnMvZG93bnJldi54bWxQSwUGAAAAAAQABAD5AAAAkgMAAAAA&#10;">
                              <v:stroke endarrow="block"/>
                            </v:shape>
                            <v:shape id="AutoShape 8" o:spid="_x0000_s1032" type="#_x0000_t32" style="position:absolute;left:39243;top:11436;width:25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v:roundrect id="AutoShape 9" o:spid="_x0000_s1033" alt="Figure 1 NIRA performance reporting&#10;&#10;Outcomes&#10;&#10;eg. Indigenous people remain healthy and free of preventable disease" style="position:absolute;left:13716;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tCccQA&#10;AADaAAAADwAAAGRycy9kb3ducmV2LnhtbESPzWrDMBCE74W8g9hALqWRnYMbXMvGBAoloaH5gV4X&#10;a2ubWCtjKbHz9lGh0OMwM98wWTGZTtxocK1lBfEyAkFcWd1yreB8en9Zg3AeWWNnmRTcyUGRz54y&#10;TLUd+UC3o69FgLBLUUHjfZ9K6aqGDLql7YmD92MHgz7IoZZ6wDHATSdXUZRIgy2HhQZ72jRUXY5X&#10;o+D1axdveSy/6Zls91nut/tDnSi1mE/lGwhPk/8P/7U/tIIEfq+EGy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bQnHEAAAA2gAAAA8AAAAAAAAAAAAAAAAAmAIAAGRycy9k&#10;b3ducmV2LnhtbFBLBQYAAAAABAAEAPUAAACJAwAAAAA=&#10;">
                              <v:textbox inset=".5mm,.5mm,.5mm,.5mm">
                                <w:txbxContent>
                                  <w:p w14:paraId="7E0167D6" w14:textId="77777777" w:rsidR="0040006D" w:rsidRPr="00235B33" w:rsidRDefault="0040006D" w:rsidP="009719EC">
                                    <w:pPr>
                                      <w:spacing w:after="120"/>
                                      <w:rPr>
                                        <w:rFonts w:ascii="Arial" w:hAnsi="Arial" w:cs="Arial"/>
                                        <w:b/>
                                        <w:sz w:val="18"/>
                                        <w:szCs w:val="18"/>
                                      </w:rPr>
                                    </w:pPr>
                                    <w:r w:rsidRPr="00235B33">
                                      <w:rPr>
                                        <w:rFonts w:ascii="Arial" w:hAnsi="Arial" w:cs="Arial"/>
                                        <w:b/>
                                        <w:sz w:val="18"/>
                                        <w:szCs w:val="18"/>
                                      </w:rPr>
                                      <w:t>Outcomes</w:t>
                                    </w:r>
                                  </w:p>
                                  <w:p w14:paraId="16F97289" w14:textId="77777777" w:rsidR="0040006D" w:rsidRPr="00235B33" w:rsidRDefault="0040006D" w:rsidP="009719EC">
                                    <w:pPr>
                                      <w:rPr>
                                        <w:rFonts w:ascii="Arial" w:hAnsi="Arial" w:cs="Arial"/>
                                        <w:sz w:val="16"/>
                                        <w:szCs w:val="16"/>
                                      </w:rPr>
                                    </w:pPr>
                                    <w:proofErr w:type="spellStart"/>
                                    <w:r>
                                      <w:rPr>
                                        <w:rFonts w:ascii="Arial" w:hAnsi="Arial" w:cs="Arial"/>
                                        <w:i/>
                                        <w:sz w:val="16"/>
                                        <w:szCs w:val="16"/>
                                      </w:rPr>
                                      <w:t>eg</w:t>
                                    </w:r>
                                    <w:proofErr w:type="spellEnd"/>
                                    <w:r>
                                      <w:rPr>
                                        <w:rFonts w:ascii="Arial" w:hAnsi="Arial" w:cs="Arial"/>
                                        <w:i/>
                                        <w:sz w:val="16"/>
                                        <w:szCs w:val="16"/>
                                      </w:rPr>
                                      <w:t>. Aboriginal and Torres Strait Islander people remain healthy and free of preventable disease</w:t>
                                    </w:r>
                                  </w:p>
                                  <w:p w14:paraId="7AABAAA3" w14:textId="77777777" w:rsidR="0040006D" w:rsidRPr="00235B33" w:rsidRDefault="0040006D" w:rsidP="009719EC">
                                    <w:pPr>
                                      <w:rPr>
                                        <w:rFonts w:ascii="Arial" w:hAnsi="Arial" w:cs="Arial"/>
                                        <w:sz w:val="18"/>
                                        <w:szCs w:val="18"/>
                                      </w:rPr>
                                    </w:pPr>
                                  </w:p>
                                </w:txbxContent>
                              </v:textbox>
                            </v:roundrect>
                            <v:shape id="AutoShape 10" o:spid="_x0000_s1034" type="#_x0000_t32" style="position:absolute;left:11430;top:11423;width:2286;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w10:anchorlock/>
                          </v:group>
                        </w:pict>
                      </mc:Fallback>
                    </mc:AlternateContent>
                  </w:r>
                </w:p>
              </w:tc>
            </w:tr>
          </w:tbl>
          <w:p w14:paraId="5798BEB5" w14:textId="77777777" w:rsidR="009719EC" w:rsidRDefault="009719EC" w:rsidP="00AA69CF">
            <w:pPr>
              <w:pStyle w:val="Figure"/>
            </w:pPr>
          </w:p>
        </w:tc>
      </w:tr>
      <w:tr w:rsidR="009719EC" w:rsidRPr="00176D3F" w14:paraId="2EEEBD9B" w14:textId="77777777" w:rsidTr="008F5A63">
        <w:tc>
          <w:tcPr>
            <w:tcW w:w="8789" w:type="dxa"/>
            <w:tcBorders>
              <w:top w:val="nil"/>
              <w:left w:val="nil"/>
              <w:bottom w:val="nil"/>
              <w:right w:val="nil"/>
            </w:tcBorders>
            <w:shd w:val="clear" w:color="auto" w:fill="auto"/>
          </w:tcPr>
          <w:p w14:paraId="38AF0F67" w14:textId="77777777" w:rsidR="009719EC" w:rsidRPr="00176D3F" w:rsidRDefault="009719EC" w:rsidP="00AA69CF">
            <w:pPr>
              <w:pStyle w:val="Note"/>
            </w:pPr>
            <w:r>
              <w:rPr>
                <w:rStyle w:val="NoteLabel"/>
              </w:rPr>
              <w:t>a</w:t>
            </w:r>
            <w:r>
              <w:t xml:space="preserve"> </w:t>
            </w:r>
            <w:r w:rsidRPr="00841D2E">
              <w:t xml:space="preserve">Shaded boxes indicate categories of performance information included in this report. </w:t>
            </w:r>
            <w:r>
              <w:rPr>
                <w:rStyle w:val="NoteLabel"/>
              </w:rPr>
              <w:t>b</w:t>
            </w:r>
            <w:r>
              <w:t xml:space="preserve"> </w:t>
            </w:r>
            <w:r w:rsidRPr="00841D2E">
              <w:t xml:space="preserve">Although the </w:t>
            </w:r>
            <w:proofErr w:type="spellStart"/>
            <w:r w:rsidRPr="00841D2E">
              <w:t>NIRA</w:t>
            </w:r>
            <w:proofErr w:type="spellEnd"/>
            <w:r w:rsidRPr="00841D2E">
              <w:t xml:space="preserve"> has multiple outcomes, performance indicators, and performance targets, only one example of each is included in this figure for illustrative purposes.</w:t>
            </w:r>
          </w:p>
        </w:tc>
      </w:tr>
      <w:tr w:rsidR="009719EC" w14:paraId="707488B9" w14:textId="77777777" w:rsidTr="008F5A63">
        <w:tc>
          <w:tcPr>
            <w:tcW w:w="8789" w:type="dxa"/>
            <w:tcBorders>
              <w:top w:val="nil"/>
              <w:left w:val="nil"/>
              <w:bottom w:val="single" w:sz="6" w:space="0" w:color="78A22F"/>
              <w:right w:val="nil"/>
            </w:tcBorders>
            <w:shd w:val="clear" w:color="auto" w:fill="auto"/>
          </w:tcPr>
          <w:p w14:paraId="17ECBF53" w14:textId="77777777" w:rsidR="009719EC" w:rsidRDefault="009719EC" w:rsidP="00AA69CF">
            <w:pPr>
              <w:pStyle w:val="Figurespace"/>
            </w:pPr>
          </w:p>
        </w:tc>
      </w:tr>
      <w:tr w:rsidR="009719EC" w:rsidRPr="000863A5" w14:paraId="4F89B35F" w14:textId="77777777" w:rsidTr="008F5A63">
        <w:tc>
          <w:tcPr>
            <w:tcW w:w="8789" w:type="dxa"/>
            <w:tcBorders>
              <w:top w:val="single" w:sz="6" w:space="0" w:color="78A22F"/>
              <w:left w:val="nil"/>
              <w:bottom w:val="nil"/>
              <w:right w:val="nil"/>
            </w:tcBorders>
          </w:tcPr>
          <w:p w14:paraId="41AE1C8A" w14:textId="77777777" w:rsidR="009719EC" w:rsidRPr="00626D32" w:rsidRDefault="009719EC" w:rsidP="00AA69CF">
            <w:pPr>
              <w:pStyle w:val="BoxSpaceBelow"/>
            </w:pPr>
          </w:p>
        </w:tc>
      </w:tr>
    </w:tbl>
    <w:p w14:paraId="70B32A29" w14:textId="77777777" w:rsidR="009719EC" w:rsidRDefault="009719EC" w:rsidP="00591511">
      <w:pPr>
        <w:pStyle w:val="BodyText"/>
      </w:pPr>
    </w:p>
    <w:p w14:paraId="24656141" w14:textId="51A1D620" w:rsidR="00591511" w:rsidRPr="00E41AF6" w:rsidRDefault="00591511" w:rsidP="00591511">
      <w:pPr>
        <w:pStyle w:val="Heading2"/>
      </w:pPr>
      <w:r w:rsidRPr="00E41AF6">
        <w:lastRenderedPageBreak/>
        <w:t>COAG reform agenda</w:t>
      </w:r>
      <w:r>
        <w:t xml:space="preserve"> and additional contextual information</w:t>
      </w:r>
      <w:r w:rsidR="00387C4E">
        <w:rPr>
          <w:rStyle w:val="FootnoteReference"/>
        </w:rPr>
        <w:footnoteReference w:id="1"/>
      </w:r>
    </w:p>
    <w:p w14:paraId="6050C5EA" w14:textId="77777777" w:rsidR="00591511" w:rsidRDefault="00591511" w:rsidP="00591511">
      <w:pPr>
        <w:pStyle w:val="BodyText"/>
      </w:pPr>
      <w:r>
        <w:t xml:space="preserve">The overarching objective of the </w:t>
      </w:r>
      <w:proofErr w:type="spellStart"/>
      <w:r>
        <w:t>NIRA</w:t>
      </w:r>
      <w:proofErr w:type="spellEnd"/>
      <w:r>
        <w:t xml:space="preserve"> is to implement intergovernmental reforms to close the gap in </w:t>
      </w:r>
      <w:r w:rsidR="003A624B">
        <w:t xml:space="preserve">Aboriginal and Torres Strait Islander </w:t>
      </w:r>
      <w:r>
        <w:t>disadvantage. In December 2007 (COAG 2007)</w:t>
      </w:r>
      <w:r w:rsidR="00AF3FD1">
        <w:t>,</w:t>
      </w:r>
      <w:r>
        <w:t xml:space="preserve"> March 2008 (COAG 2008)</w:t>
      </w:r>
      <w:r w:rsidR="00BB3342">
        <w:t>,</w:t>
      </w:r>
      <w:r w:rsidR="00AF3FD1">
        <w:t xml:space="preserve"> May 2014 (COAG 2014)</w:t>
      </w:r>
      <w:r w:rsidR="00BB3342">
        <w:t xml:space="preserve"> and</w:t>
      </w:r>
      <w:r w:rsidR="00A708FF">
        <w:t xml:space="preserve"> December 2015 (COAG 2015) </w:t>
      </w:r>
      <w:r>
        <w:t>COAG announced s</w:t>
      </w:r>
      <w:r w:rsidR="00F81C3E">
        <w:t>even</w:t>
      </w:r>
      <w:r>
        <w:t xml:space="preserve"> Closing the Gap targets:</w:t>
      </w:r>
    </w:p>
    <w:p w14:paraId="15C590E8" w14:textId="77777777" w:rsidR="00591511" w:rsidRDefault="00591511" w:rsidP="00591511">
      <w:pPr>
        <w:pStyle w:val="ListNumber2"/>
      </w:pPr>
      <w:r>
        <w:t>closing the life expectancy gap within a generation (by 2031)</w:t>
      </w:r>
    </w:p>
    <w:p w14:paraId="5754C12A" w14:textId="77777777" w:rsidR="00591511" w:rsidRDefault="00591511" w:rsidP="00591511">
      <w:pPr>
        <w:pStyle w:val="ListNumber2"/>
      </w:pPr>
      <w:r>
        <w:t>halving the gap in mortality rates for Indigenous children under five within a decade (by 2018)</w:t>
      </w:r>
    </w:p>
    <w:p w14:paraId="69833A87" w14:textId="77777777" w:rsidR="00591511" w:rsidRDefault="00F42556" w:rsidP="00591511">
      <w:pPr>
        <w:pStyle w:val="ListNumber2"/>
      </w:pPr>
      <w:r>
        <w:t>95 per cent of all Indigenous four-year olds enrolled in early childhood education (by 2025)</w:t>
      </w:r>
    </w:p>
    <w:p w14:paraId="6A6937D0" w14:textId="77777777" w:rsidR="00591511" w:rsidRDefault="00591511" w:rsidP="00591511">
      <w:pPr>
        <w:pStyle w:val="ListNumber2"/>
      </w:pPr>
      <w:r>
        <w:t>halving the gap for Indigenous students in reading, writing and numeracy within a decade (by 2018)</w:t>
      </w:r>
    </w:p>
    <w:p w14:paraId="618F208B" w14:textId="77777777" w:rsidR="00591511" w:rsidRDefault="00591511" w:rsidP="00591511">
      <w:pPr>
        <w:pStyle w:val="ListNumber2"/>
      </w:pPr>
      <w:r>
        <w:t>halving the gap for Indigenous students in year 12 attainment or equivalent attainment rates (by 2020)</w:t>
      </w:r>
    </w:p>
    <w:p w14:paraId="4AE0699C" w14:textId="77777777" w:rsidR="00591511" w:rsidRDefault="00591511" w:rsidP="00591511">
      <w:pPr>
        <w:pStyle w:val="ListNumber2"/>
      </w:pPr>
      <w:r>
        <w:t>halving the gap in employment outcomes between Indigenous and non-Indigenous Australians within a decade (by 2018)</w:t>
      </w:r>
    </w:p>
    <w:p w14:paraId="1E405BD7" w14:textId="77777777" w:rsidR="00F724E7" w:rsidRDefault="00230A24" w:rsidP="00591511">
      <w:pPr>
        <w:pStyle w:val="ListNumber2"/>
      </w:pPr>
      <w:r>
        <w:t>closing</w:t>
      </w:r>
      <w:r w:rsidR="00AF3FD1">
        <w:t xml:space="preserve"> the gap between Indigenous and non-Indigenous school attendance within five years (by 2018)</w:t>
      </w:r>
      <w:r>
        <w:t>.</w:t>
      </w:r>
    </w:p>
    <w:p w14:paraId="26101C9A" w14:textId="77777777" w:rsidR="00591511" w:rsidRDefault="00591511" w:rsidP="00591511">
      <w:pPr>
        <w:pStyle w:val="BodyText"/>
      </w:pPr>
      <w:r w:rsidRPr="00E648E7">
        <w:t>Reporting against COAG targets is provided in this report under the section on ‘Performance targets’.</w:t>
      </w:r>
    </w:p>
    <w:p w14:paraId="5325FD16" w14:textId="77777777" w:rsidR="00591511" w:rsidRDefault="00591511" w:rsidP="00591511">
      <w:pPr>
        <w:pStyle w:val="BodyText"/>
      </w:pPr>
      <w:r>
        <w:t xml:space="preserve">COAG has recognised that overcoming </w:t>
      </w:r>
      <w:r w:rsidR="003A624B">
        <w:t xml:space="preserve">Aboriginal and Torres Strait </w:t>
      </w:r>
      <w:r w:rsidR="00807379">
        <w:t>I</w:t>
      </w:r>
      <w:r w:rsidR="003A624B">
        <w:t xml:space="preserve">slander </w:t>
      </w:r>
      <w:r>
        <w:t>disadvantage will require long-term commitment across a range of strategic ‘Building Blocks’ that support the Closing the Gap targets [</w:t>
      </w:r>
      <w:proofErr w:type="spellStart"/>
      <w:r>
        <w:t>NIRA</w:t>
      </w:r>
      <w:proofErr w:type="spellEnd"/>
      <w:r>
        <w:t xml:space="preserve"> para. 8]. These Building Blocks are:</w:t>
      </w:r>
    </w:p>
    <w:p w14:paraId="736B1738" w14:textId="77777777" w:rsidR="00591511" w:rsidRDefault="00591511" w:rsidP="00B6173B">
      <w:pPr>
        <w:pStyle w:val="ListNumber2"/>
        <w:numPr>
          <w:ilvl w:val="1"/>
          <w:numId w:val="21"/>
        </w:numPr>
      </w:pPr>
      <w:r>
        <w:t>early childhood</w:t>
      </w:r>
    </w:p>
    <w:p w14:paraId="6E66C490" w14:textId="77777777" w:rsidR="00591511" w:rsidRDefault="00591511" w:rsidP="00B6173B">
      <w:pPr>
        <w:pStyle w:val="ListNumber2"/>
        <w:numPr>
          <w:ilvl w:val="1"/>
          <w:numId w:val="21"/>
        </w:numPr>
      </w:pPr>
      <w:r>
        <w:t>schooling</w:t>
      </w:r>
    </w:p>
    <w:p w14:paraId="778FC703" w14:textId="77777777" w:rsidR="00591511" w:rsidRDefault="00591511" w:rsidP="00B6173B">
      <w:pPr>
        <w:pStyle w:val="ListNumber2"/>
        <w:numPr>
          <w:ilvl w:val="1"/>
          <w:numId w:val="21"/>
        </w:numPr>
      </w:pPr>
      <w:r>
        <w:t>health</w:t>
      </w:r>
    </w:p>
    <w:p w14:paraId="61D2C449" w14:textId="77777777" w:rsidR="00591511" w:rsidRDefault="00591511" w:rsidP="00B6173B">
      <w:pPr>
        <w:pStyle w:val="ListNumber2"/>
        <w:numPr>
          <w:ilvl w:val="1"/>
          <w:numId w:val="21"/>
        </w:numPr>
      </w:pPr>
      <w:r>
        <w:t>economic participation</w:t>
      </w:r>
    </w:p>
    <w:p w14:paraId="6DC10AA5" w14:textId="77777777" w:rsidR="00591511" w:rsidRDefault="00591511" w:rsidP="00B6173B">
      <w:pPr>
        <w:pStyle w:val="ListNumber2"/>
        <w:numPr>
          <w:ilvl w:val="1"/>
          <w:numId w:val="21"/>
        </w:numPr>
      </w:pPr>
      <w:r>
        <w:t>healthy homes</w:t>
      </w:r>
    </w:p>
    <w:p w14:paraId="21C24BE3" w14:textId="77777777" w:rsidR="00591511" w:rsidRDefault="00591511" w:rsidP="00B6173B">
      <w:pPr>
        <w:pStyle w:val="ListNumber2"/>
        <w:numPr>
          <w:ilvl w:val="1"/>
          <w:numId w:val="21"/>
        </w:numPr>
      </w:pPr>
      <w:r>
        <w:t>safe communities</w:t>
      </w:r>
    </w:p>
    <w:p w14:paraId="35E60554" w14:textId="77777777" w:rsidR="00591511" w:rsidRDefault="00591511" w:rsidP="00B6173B">
      <w:pPr>
        <w:pStyle w:val="ListNumber2"/>
        <w:numPr>
          <w:ilvl w:val="1"/>
          <w:numId w:val="21"/>
        </w:numPr>
      </w:pPr>
      <w:r>
        <w:t>governance and leadership.</w:t>
      </w:r>
    </w:p>
    <w:p w14:paraId="54673464" w14:textId="24B14635" w:rsidR="00591511" w:rsidRDefault="00591511" w:rsidP="00591511">
      <w:pPr>
        <w:pStyle w:val="BodyText"/>
      </w:pPr>
      <w:r>
        <w:lastRenderedPageBreak/>
        <w:t>Additional contextual factors</w:t>
      </w:r>
      <w:r w:rsidRPr="00DE591F">
        <w:t xml:space="preserve"> that may </w:t>
      </w:r>
      <w:r w:rsidR="00AA69CF">
        <w:t>influence</w:t>
      </w:r>
      <w:r w:rsidRPr="00DE591F">
        <w:t xml:space="preserve"> </w:t>
      </w:r>
      <w:r w:rsidR="003A624B">
        <w:t>Aboriginal and Torres Strait Islander</w:t>
      </w:r>
      <w:r w:rsidRPr="00DE591F">
        <w:t xml:space="preserve"> reform outcomes</w:t>
      </w:r>
      <w:r>
        <w:t xml:space="preserve"> are available in previous </w:t>
      </w:r>
      <w:proofErr w:type="spellStart"/>
      <w:r>
        <w:t>NIRA</w:t>
      </w:r>
      <w:proofErr w:type="spellEnd"/>
      <w:r>
        <w:t xml:space="preserve"> performance reports</w:t>
      </w:r>
      <w:r w:rsidR="00AA69CF">
        <w:t xml:space="preserve"> </w:t>
      </w:r>
      <w:r>
        <w:t>and the Overcoming Indigenous Disadvantage: Key Indicators (</w:t>
      </w:r>
      <w:proofErr w:type="spellStart"/>
      <w:r>
        <w:t>OID</w:t>
      </w:r>
      <w:proofErr w:type="spellEnd"/>
      <w:r>
        <w:t xml:space="preserve">) report, with the most recent </w:t>
      </w:r>
      <w:proofErr w:type="spellStart"/>
      <w:r>
        <w:t>OID</w:t>
      </w:r>
      <w:proofErr w:type="spellEnd"/>
      <w:r>
        <w:t xml:space="preserve"> report released in November 201</w:t>
      </w:r>
      <w:r w:rsidR="00F93786">
        <w:t>6 (</w:t>
      </w:r>
      <w:proofErr w:type="spellStart"/>
      <w:r w:rsidR="00F93786">
        <w:t>SCRGSP</w:t>
      </w:r>
      <w:proofErr w:type="spellEnd"/>
      <w:r w:rsidR="00F93786">
        <w:t xml:space="preserve"> 2016</w:t>
      </w:r>
      <w:r>
        <w:t xml:space="preserve">). The </w:t>
      </w:r>
      <w:proofErr w:type="spellStart"/>
      <w:r>
        <w:t>OID</w:t>
      </w:r>
      <w:proofErr w:type="spellEnd"/>
      <w:r>
        <w:t xml:space="preserve"> report measures the wellbeing of Aboriginal and Torres Strait Islander Australians, and Aboriginal and Torres Strait Islander Australians were actively involved in the development and production of the report. </w:t>
      </w:r>
      <w:r w:rsidR="002216AD" w:rsidRPr="000E1A1E">
        <w:t xml:space="preserve">The </w:t>
      </w:r>
      <w:proofErr w:type="spellStart"/>
      <w:r w:rsidR="00B930B3">
        <w:t>OID</w:t>
      </w:r>
      <w:proofErr w:type="spellEnd"/>
      <w:r w:rsidR="00B930B3">
        <w:t xml:space="preserve"> </w:t>
      </w:r>
      <w:r w:rsidR="002216AD" w:rsidRPr="000E1A1E">
        <w:t>report provides information about outcomes across a range of strategic areas, such as early child development, education and training, healthy lives, economic participation, home environment, and safe and supportive communities.</w:t>
      </w:r>
      <w:r w:rsidR="00FE3DE2">
        <w:t xml:space="preserve"> As part of the terms of reference for the </w:t>
      </w:r>
      <w:proofErr w:type="spellStart"/>
      <w:r w:rsidR="00FE3DE2">
        <w:t>OID</w:t>
      </w:r>
      <w:proofErr w:type="spellEnd"/>
      <w:r w:rsidR="00FE3DE2">
        <w:t xml:space="preserve"> report, it includes indicators aligned with those in this report.</w:t>
      </w:r>
    </w:p>
    <w:p w14:paraId="1651C81B" w14:textId="4E5EBA14" w:rsidR="00591511" w:rsidRDefault="00591511" w:rsidP="00591511">
      <w:pPr>
        <w:pStyle w:val="BodyText"/>
      </w:pPr>
      <w:r w:rsidRPr="00E648E7">
        <w:t xml:space="preserve">In December 2007, COAG committed to reporting transparently on expenditure on services to </w:t>
      </w:r>
      <w:r w:rsidRPr="0047453B">
        <w:t>Aboriginal and Torres Strait Islander Australians</w:t>
      </w:r>
      <w:r w:rsidRPr="00E648E7">
        <w:t xml:space="preserve"> </w:t>
      </w:r>
      <w:r w:rsidR="00F57F7B">
        <w:t>(</w:t>
      </w:r>
      <w:r w:rsidRPr="00E648E7">
        <w:t xml:space="preserve">COAG 2007). The Indigenous Expenditure Reports </w:t>
      </w:r>
      <w:r>
        <w:t>(</w:t>
      </w:r>
      <w:proofErr w:type="spellStart"/>
      <w:r>
        <w:t>IER</w:t>
      </w:r>
      <w:r w:rsidR="00B930B3">
        <w:t>s</w:t>
      </w:r>
      <w:proofErr w:type="spellEnd"/>
      <w:r>
        <w:t xml:space="preserve">) </w:t>
      </w:r>
      <w:r w:rsidRPr="00E648E7">
        <w:t xml:space="preserve">provide estimates of expenditure by the Australian Government and State and Territory governments, mapped to the COAG Building </w:t>
      </w:r>
      <w:r>
        <w:t xml:space="preserve">Blocks (as far as practicable). The most recent </w:t>
      </w:r>
      <w:proofErr w:type="spellStart"/>
      <w:r>
        <w:t>IER</w:t>
      </w:r>
      <w:proofErr w:type="spellEnd"/>
      <w:r>
        <w:t xml:space="preserve"> was released in </w:t>
      </w:r>
      <w:r w:rsidR="0026135D">
        <w:t xml:space="preserve">October 2017 </w:t>
      </w:r>
      <w:r w:rsidR="00094D38">
        <w:t>(</w:t>
      </w:r>
      <w:proofErr w:type="spellStart"/>
      <w:r w:rsidR="00094D38">
        <w:t>SCRGSP</w:t>
      </w:r>
      <w:proofErr w:type="spellEnd"/>
      <w:r w:rsidR="00094D38">
        <w:t xml:space="preserve"> </w:t>
      </w:r>
      <w:r w:rsidR="0026135D">
        <w:t>2017</w:t>
      </w:r>
      <w:r>
        <w:t>).</w:t>
      </w:r>
    </w:p>
    <w:p w14:paraId="0EAF674D" w14:textId="0C608E0C" w:rsidR="00EC7709" w:rsidRDefault="009F75FF" w:rsidP="00EC7709">
      <w:pPr>
        <w:pStyle w:val="BodyText"/>
      </w:pPr>
      <w:r>
        <w:t>T</w:t>
      </w:r>
      <w:r w:rsidR="00EC7709">
        <w:t>echnical data quality information is included in this report against the ‘Comments on data quality’ boxes under each indicator</w:t>
      </w:r>
      <w:r w:rsidR="005779AF">
        <w:t>,</w:t>
      </w:r>
      <w:r w:rsidR="00EC7709">
        <w:t xml:space="preserve"> detailing key information relevant for interpreting the performance data. </w:t>
      </w:r>
      <w:r>
        <w:t xml:space="preserve">More detailed </w:t>
      </w:r>
      <w:r w:rsidR="00EC7709">
        <w:t>Data Quality Statements (</w:t>
      </w:r>
      <w:proofErr w:type="spellStart"/>
      <w:r w:rsidR="00EC7709">
        <w:t>DQSs</w:t>
      </w:r>
      <w:proofErr w:type="spellEnd"/>
      <w:r w:rsidR="00EC7709">
        <w:t xml:space="preserve">) </w:t>
      </w:r>
      <w:r>
        <w:t xml:space="preserve">are available from the </w:t>
      </w:r>
      <w:r w:rsidR="00EC7709">
        <w:t>Metadata Online Registry (</w:t>
      </w:r>
      <w:proofErr w:type="spellStart"/>
      <w:r w:rsidR="00EC7709">
        <w:t>METeOR</w:t>
      </w:r>
      <w:proofErr w:type="spellEnd"/>
      <w:r w:rsidR="00EC7709">
        <w:t xml:space="preserve">) which is publically accessible via the </w:t>
      </w:r>
      <w:proofErr w:type="spellStart"/>
      <w:r w:rsidR="00EC7709">
        <w:t>AIHW</w:t>
      </w:r>
      <w:proofErr w:type="spellEnd"/>
      <w:r w:rsidR="00EC7709">
        <w:t xml:space="preserve"> website.</w:t>
      </w:r>
    </w:p>
    <w:p w14:paraId="7A1ABC27" w14:textId="77777777" w:rsidR="004F00F4" w:rsidRDefault="004F00F4">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1A437F7D" w14:textId="77777777" w:rsidTr="008F5A63">
        <w:tc>
          <w:tcPr>
            <w:tcW w:w="8789" w:type="dxa"/>
            <w:tcBorders>
              <w:top w:val="single" w:sz="6" w:space="0" w:color="78A22F"/>
              <w:left w:val="nil"/>
              <w:bottom w:val="nil"/>
              <w:right w:val="nil"/>
            </w:tcBorders>
            <w:shd w:val="clear" w:color="auto" w:fill="F2F2F2"/>
          </w:tcPr>
          <w:p w14:paraId="6EB1136F" w14:textId="77777777" w:rsidR="004F00F4" w:rsidRDefault="004F00F4" w:rsidP="0073114E">
            <w:pPr>
              <w:pStyle w:val="BoxTitle"/>
            </w:pPr>
            <w:r>
              <w:rPr>
                <w:b w:val="0"/>
              </w:rPr>
              <w:t xml:space="preserve">Box </w:t>
            </w:r>
            <w:r w:rsidR="009508CD">
              <w:rPr>
                <w:b w:val="0"/>
                <w:noProof/>
              </w:rPr>
              <w:t>1</w:t>
            </w:r>
            <w:r>
              <w:tab/>
              <w:t xml:space="preserve">Key issues in reporting against the </w:t>
            </w:r>
            <w:proofErr w:type="spellStart"/>
            <w:r>
              <w:t>NIRA</w:t>
            </w:r>
            <w:proofErr w:type="spellEnd"/>
          </w:p>
        </w:tc>
      </w:tr>
      <w:tr w:rsidR="004F00F4" w14:paraId="48D82EB8" w14:textId="77777777" w:rsidTr="008F5A63">
        <w:trPr>
          <w:cantSplit/>
        </w:trPr>
        <w:tc>
          <w:tcPr>
            <w:tcW w:w="8789" w:type="dxa"/>
            <w:tcBorders>
              <w:top w:val="nil"/>
              <w:left w:val="nil"/>
              <w:bottom w:val="nil"/>
              <w:right w:val="nil"/>
            </w:tcBorders>
            <w:shd w:val="clear" w:color="auto" w:fill="F2F2F2"/>
          </w:tcPr>
          <w:p w14:paraId="2A7EA31F" w14:textId="625325A5" w:rsidR="004F00F4" w:rsidRPr="00B74752" w:rsidRDefault="004F00F4" w:rsidP="00680847">
            <w:pPr>
              <w:pStyle w:val="Box"/>
            </w:pPr>
            <w:r w:rsidRPr="004F00F4">
              <w:rPr>
                <w:b/>
              </w:rPr>
              <w:t>General comments</w:t>
            </w:r>
          </w:p>
          <w:p w14:paraId="198E1194" w14:textId="77777777" w:rsidR="00715F6E" w:rsidRDefault="004F00F4" w:rsidP="004F00F4">
            <w:pPr>
              <w:pStyle w:val="BoxListBullet"/>
            </w:pPr>
            <w:r w:rsidRPr="00E007DE">
              <w:t xml:space="preserve">Measures for some of the indicators are not reliable for jurisdictions with small </w:t>
            </w:r>
            <w:r w:rsidR="003A624B">
              <w:t xml:space="preserve">Aboriginal and Torres Strait Islander </w:t>
            </w:r>
            <w:r w:rsidRPr="00E007DE">
              <w:t xml:space="preserve">populations and/or changing levels of </w:t>
            </w:r>
            <w:r w:rsidR="006C47FE">
              <w:t>Aboriginal and Torres Strait Islander</w:t>
            </w:r>
            <w:r w:rsidRPr="00E007DE">
              <w:t xml:space="preserve"> identification. I</w:t>
            </w:r>
            <w:r w:rsidR="002216AD">
              <w:t>n particular</w:t>
            </w:r>
            <w:r w:rsidR="00715F6E">
              <w:t>:</w:t>
            </w:r>
          </w:p>
          <w:p w14:paraId="60A30F1E" w14:textId="12FF9874" w:rsidR="00715F6E" w:rsidRDefault="00715F6E" w:rsidP="00C530B4">
            <w:pPr>
              <w:pStyle w:val="BoxListBullet2"/>
            </w:pPr>
            <w:r>
              <w:t>Aboriginal and Torres Strait Islander life tables are not reported for Victoria, SA, Tasmania and the ACT, which affects p</w:t>
            </w:r>
            <w:r w:rsidR="00B47864">
              <w:t>erformance target a and indicator 1 (estimated life expectancies at birth)</w:t>
            </w:r>
          </w:p>
          <w:p w14:paraId="466D9427" w14:textId="72884F69" w:rsidR="00B47864" w:rsidRDefault="00715F6E" w:rsidP="00C530B4">
            <w:pPr>
              <w:pStyle w:val="BoxListBullet2"/>
            </w:pPr>
            <w:r>
              <w:t>Aboriginal and Torres Strait Islander</w:t>
            </w:r>
            <w:r w:rsidRPr="00E007DE">
              <w:t xml:space="preserve"> mortality </w:t>
            </w:r>
            <w:r>
              <w:t>are not</w:t>
            </w:r>
            <w:r w:rsidRPr="00E007DE">
              <w:t xml:space="preserve"> reported for Victoria, Tasmania and the ACT</w:t>
            </w:r>
            <w:r>
              <w:t xml:space="preserve">, which affects performance target b (halve the gap in under five mortality rates) and </w:t>
            </w:r>
            <w:r w:rsidRPr="00E007DE">
              <w:t>performance indicators 2</w:t>
            </w:r>
            <w:r>
              <w:t xml:space="preserve"> (mortality rate) </w:t>
            </w:r>
            <w:r w:rsidRPr="00E007DE">
              <w:t>and 6</w:t>
            </w:r>
            <w:r>
              <w:t xml:space="preserve"> (under 5 mortality rate</w:t>
            </w:r>
            <w:r w:rsidRPr="00E007DE">
              <w:t>).</w:t>
            </w:r>
          </w:p>
          <w:p w14:paraId="28BD3D0B" w14:textId="77777777" w:rsidR="004F00F4" w:rsidRDefault="006D2892" w:rsidP="009F75FF">
            <w:pPr>
              <w:pStyle w:val="BoxListBullet"/>
            </w:pPr>
            <w:r>
              <w:t>The</w:t>
            </w:r>
            <w:r w:rsidR="004F00F4" w:rsidRPr="00E007DE">
              <w:t xml:space="preserve"> accuracy of </w:t>
            </w:r>
            <w:r w:rsidR="003A624B">
              <w:t xml:space="preserve">Aboriginal and Torres Strait Islander </w:t>
            </w:r>
            <w:r w:rsidR="004F00F4" w:rsidRPr="00E007DE">
              <w:t>counts in administrative data is affected by the relatively large proportion of people for whom Indigenous status is recorded as not stated or, in some cases, recorded incorrectly as non-Indigenous.</w:t>
            </w:r>
          </w:p>
          <w:p w14:paraId="2AADF4E2" w14:textId="77777777" w:rsidR="00C40710" w:rsidRDefault="00B007AA" w:rsidP="00C40710">
            <w:pPr>
              <w:pStyle w:val="BoxListBullet"/>
            </w:pPr>
            <w:r w:rsidRPr="00410D62">
              <w:t>For</w:t>
            </w:r>
            <w:r w:rsidRPr="003F77CB">
              <w:t xml:space="preserve"> this report, where </w:t>
            </w:r>
            <w:r w:rsidR="00166183" w:rsidRPr="003F77CB">
              <w:t xml:space="preserve">Aboriginal and Torres Strait Islander </w:t>
            </w:r>
            <w:r w:rsidRPr="003F77CB">
              <w:t xml:space="preserve">population projections are required to calculate rates these data are based on the 2011 Census, as </w:t>
            </w:r>
            <w:r w:rsidR="00166183" w:rsidRPr="003F77CB">
              <w:t>Aboriginal and Torres Strait Islander</w:t>
            </w:r>
            <w:r w:rsidRPr="003F77CB">
              <w:t xml:space="preserve"> population projections based on the 2016 Census will not be available until </w:t>
            </w:r>
            <w:r w:rsidR="004306F6" w:rsidRPr="003F77CB">
              <w:t>2019</w:t>
            </w:r>
            <w:r w:rsidR="00831041" w:rsidRPr="003F77CB">
              <w:t>.</w:t>
            </w:r>
            <w:r w:rsidR="0040006D" w:rsidRPr="00024BF6">
              <w:t xml:space="preserve"> </w:t>
            </w:r>
            <w:r w:rsidR="0040006D" w:rsidRPr="003F77CB">
              <w:t>Non-Indigenous population estimates are available for Census years only. For non-Census years the non</w:t>
            </w:r>
            <w:r w:rsidR="0040006D" w:rsidRPr="003F77CB">
              <w:noBreakHyphen/>
              <w:t>Indigenous population is calculated by subtracting the 2011 Census</w:t>
            </w:r>
            <w:r w:rsidR="0040006D" w:rsidRPr="003F77CB">
              <w:noBreakHyphen/>
              <w:t>based Aboriginal and Torres Strait Islander Projections from 2011 Census-based Estimated Resident Population. Such figures have a degree of uncertainty and should be used with caution, particularly as time from the base year of the projection series increases. This affects</w:t>
            </w:r>
            <w:r w:rsidR="0040006D" w:rsidRPr="00410D62">
              <w:t>:</w:t>
            </w:r>
          </w:p>
          <w:p w14:paraId="16FDB32F" w14:textId="6E9856EB" w:rsidR="0040006D" w:rsidRPr="00A63DD7" w:rsidRDefault="0040006D" w:rsidP="00C40710">
            <w:pPr>
              <w:pStyle w:val="BoxListBullet2"/>
            </w:pPr>
            <w:r w:rsidRPr="00A63DD7">
              <w:t>performance targets b (halve the gap in under five mortality rates) and c (children enrolled in early childhood education)</w:t>
            </w:r>
          </w:p>
          <w:p w14:paraId="5D06C8EB" w14:textId="77777777" w:rsidR="00A63DD7" w:rsidRPr="00A63DD7" w:rsidRDefault="0040006D" w:rsidP="00C40710">
            <w:pPr>
              <w:pStyle w:val="BoxListBullet2"/>
            </w:pPr>
            <w:r w:rsidRPr="00A63DD7">
              <w:t>performance indicators 2 (mortality rate), 6 (under 5 mortality rate) and 10 (children enroll</w:t>
            </w:r>
            <w:r w:rsidR="00A63DD7" w:rsidRPr="00A63DD7">
              <w:t>ed in and attending preschool).</w:t>
            </w:r>
          </w:p>
          <w:p w14:paraId="470B61B2" w14:textId="6856C772" w:rsidR="0040006D" w:rsidRPr="00A63DD7" w:rsidRDefault="0040006D" w:rsidP="009A665E">
            <w:pPr>
              <w:pStyle w:val="BoxListBullet"/>
              <w:rPr>
                <w:rStyle w:val="BoxChar"/>
              </w:rPr>
            </w:pPr>
            <w:r w:rsidRPr="00A63DD7">
              <w:t xml:space="preserve">Multiple data sources have been used to construct measures for some indicators. </w:t>
            </w:r>
            <w:r w:rsidRPr="00A63DD7">
              <w:rPr>
                <w:rStyle w:val="BoxChar"/>
              </w:rPr>
              <w:t xml:space="preserve">Comments on </w:t>
            </w:r>
            <w:r w:rsidRPr="003F77CB">
              <w:rPr>
                <w:rStyle w:val="BoxChar"/>
              </w:rPr>
              <w:t>the</w:t>
            </w:r>
            <w:r w:rsidRPr="00A63DD7">
              <w:rPr>
                <w:rStyle w:val="BoxChar"/>
              </w:rPr>
              <w:t xml:space="preserve"> comparability of different data sources within a measure have been provided where applicable.</w:t>
            </w:r>
          </w:p>
          <w:p w14:paraId="7EDB9460" w14:textId="310B3224" w:rsidR="004F00F4" w:rsidRDefault="00737739" w:rsidP="00FF5B2D">
            <w:pPr>
              <w:pStyle w:val="Continued"/>
            </w:pPr>
            <w:r>
              <w:t>(c</w:t>
            </w:r>
            <w:r w:rsidR="004F00F4" w:rsidRPr="00E007DE">
              <w:t>ontinued next page)</w:t>
            </w:r>
          </w:p>
        </w:tc>
      </w:tr>
      <w:tr w:rsidR="004F00F4" w14:paraId="1862104C" w14:textId="77777777" w:rsidTr="008F5A63">
        <w:trPr>
          <w:cantSplit/>
        </w:trPr>
        <w:tc>
          <w:tcPr>
            <w:tcW w:w="8789" w:type="dxa"/>
            <w:tcBorders>
              <w:top w:val="nil"/>
              <w:left w:val="nil"/>
              <w:bottom w:val="single" w:sz="6" w:space="0" w:color="78A22F"/>
              <w:right w:val="nil"/>
            </w:tcBorders>
            <w:shd w:val="clear" w:color="auto" w:fill="F2F2F2"/>
          </w:tcPr>
          <w:p w14:paraId="28852ED3" w14:textId="77777777" w:rsidR="004F00F4" w:rsidRDefault="004F00F4">
            <w:pPr>
              <w:pStyle w:val="Box"/>
              <w:spacing w:before="0" w:line="120" w:lineRule="exact"/>
            </w:pPr>
          </w:p>
        </w:tc>
      </w:tr>
      <w:tr w:rsidR="004F00F4" w:rsidRPr="000863A5" w14:paraId="046761DF" w14:textId="77777777" w:rsidTr="008F5A63">
        <w:tc>
          <w:tcPr>
            <w:tcW w:w="8789" w:type="dxa"/>
            <w:tcBorders>
              <w:top w:val="single" w:sz="6" w:space="0" w:color="78A22F"/>
              <w:left w:val="nil"/>
              <w:bottom w:val="nil"/>
              <w:right w:val="nil"/>
            </w:tcBorders>
          </w:tcPr>
          <w:p w14:paraId="0517FD91" w14:textId="77777777" w:rsidR="004F00F4" w:rsidRPr="00626D32" w:rsidRDefault="004F00F4" w:rsidP="00680847">
            <w:pPr>
              <w:pStyle w:val="BoxSpaceBelow"/>
            </w:pPr>
          </w:p>
        </w:tc>
      </w:tr>
      <w:tr w:rsidR="004F00F4" w14:paraId="290E345C" w14:textId="77777777" w:rsidTr="008F5A63">
        <w:tc>
          <w:tcPr>
            <w:tcW w:w="8789" w:type="dxa"/>
            <w:tcBorders>
              <w:top w:val="single" w:sz="6" w:space="0" w:color="78A22F"/>
              <w:left w:val="nil"/>
              <w:bottom w:val="nil"/>
              <w:right w:val="nil"/>
            </w:tcBorders>
            <w:shd w:val="clear" w:color="auto" w:fill="F2F2F2"/>
          </w:tcPr>
          <w:p w14:paraId="78BDEBDB" w14:textId="07F1A50F" w:rsidR="004F00F4" w:rsidRDefault="00920EDE" w:rsidP="00AA1858">
            <w:pPr>
              <w:pStyle w:val="BoxTitle"/>
            </w:pPr>
            <w:r>
              <w:rPr>
                <w:b w:val="0"/>
              </w:rPr>
              <w:lastRenderedPageBreak/>
              <w:t>B</w:t>
            </w:r>
            <w:r w:rsidR="004F00F4">
              <w:rPr>
                <w:b w:val="0"/>
              </w:rPr>
              <w:t xml:space="preserve">ox </w:t>
            </w:r>
            <w:r w:rsidR="00EE742C">
              <w:rPr>
                <w:b w:val="0"/>
              </w:rPr>
              <w:t>1</w:t>
            </w:r>
            <w:r w:rsidR="004F00F4">
              <w:tab/>
            </w:r>
            <w:r w:rsidR="004F00F4" w:rsidRPr="00784D6B">
              <w:rPr>
                <w:b w:val="0"/>
                <w:sz w:val="18"/>
                <w:szCs w:val="18"/>
              </w:rPr>
              <w:t>(continued)</w:t>
            </w:r>
          </w:p>
        </w:tc>
      </w:tr>
      <w:tr w:rsidR="004F00F4" w14:paraId="6936A337" w14:textId="77777777" w:rsidTr="008F5A63">
        <w:trPr>
          <w:cantSplit/>
        </w:trPr>
        <w:tc>
          <w:tcPr>
            <w:tcW w:w="8789" w:type="dxa"/>
            <w:tcBorders>
              <w:top w:val="nil"/>
              <w:left w:val="nil"/>
              <w:bottom w:val="nil"/>
              <w:right w:val="nil"/>
            </w:tcBorders>
            <w:shd w:val="clear" w:color="auto" w:fill="F2F2F2"/>
          </w:tcPr>
          <w:p w14:paraId="0CA5B06A" w14:textId="77777777" w:rsidR="00520B45" w:rsidRPr="00E007DE" w:rsidRDefault="00520B45" w:rsidP="00520B45">
            <w:pPr>
              <w:pStyle w:val="BoxHeading1"/>
            </w:pPr>
            <w:r w:rsidRPr="00E007DE">
              <w:t>Performance targets</w:t>
            </w:r>
          </w:p>
          <w:p w14:paraId="4B6D859C" w14:textId="77777777" w:rsidR="00520B45" w:rsidRDefault="00520B45" w:rsidP="00D2594A">
            <w:pPr>
              <w:pStyle w:val="BoxListBullet"/>
            </w:pPr>
            <w:r w:rsidRPr="00E007DE">
              <w:t xml:space="preserve">Data for all performance targets are sourced from related performance indicators. </w:t>
            </w:r>
          </w:p>
          <w:p w14:paraId="01DB0DFE" w14:textId="6242AA38" w:rsidR="00DE0A19" w:rsidRDefault="007114A8" w:rsidP="00E518BF">
            <w:pPr>
              <w:pStyle w:val="BoxListBullet"/>
            </w:pPr>
            <w:r>
              <w:t xml:space="preserve">This report includes updated </w:t>
            </w:r>
            <w:r w:rsidR="00A3699E">
              <w:t>headline</w:t>
            </w:r>
            <w:r w:rsidR="00920EDE">
              <w:t xml:space="preserve"> </w:t>
            </w:r>
            <w:r>
              <w:t xml:space="preserve">data for </w:t>
            </w:r>
            <w:r w:rsidR="00674E2A">
              <w:t xml:space="preserve">all </w:t>
            </w:r>
            <w:r>
              <w:t>performance targets</w:t>
            </w:r>
            <w:r w:rsidR="008E081B">
              <w:t xml:space="preserve"> except</w:t>
            </w:r>
            <w:r w:rsidR="00DE0A19">
              <w:t>:</w:t>
            </w:r>
          </w:p>
          <w:p w14:paraId="49A2B63F" w14:textId="673E6EDF" w:rsidR="00DE0A19" w:rsidRDefault="00E518BF" w:rsidP="00CD1910">
            <w:pPr>
              <w:pStyle w:val="BoxListBullet2"/>
            </w:pPr>
            <w:r>
              <w:t>target d</w:t>
            </w:r>
            <w:r w:rsidR="00DE0A19">
              <w:t xml:space="preserve"> (</w:t>
            </w:r>
            <w:r w:rsidRPr="00E518BF">
              <w:t>halve the gap in reading, writing and numeracy achievement</w:t>
            </w:r>
            <w:r w:rsidR="00DE0A19">
              <w:t>) — 2018 NAPLAN data were not available in time for inclusion in this report</w:t>
            </w:r>
          </w:p>
          <w:p w14:paraId="0202E097" w14:textId="05D69F2B" w:rsidR="00520B45" w:rsidRPr="00E007DE" w:rsidRDefault="008E081B" w:rsidP="00CD1910">
            <w:pPr>
              <w:pStyle w:val="BoxListBullet2"/>
            </w:pPr>
            <w:r>
              <w:t>target</w:t>
            </w:r>
            <w:r w:rsidR="00920EDE">
              <w:t>s</w:t>
            </w:r>
            <w:r>
              <w:t xml:space="preserve"> e (halve the gap in year 12 or equivalent attainment rates) and f (halve the gap in employment outcomes)</w:t>
            </w:r>
            <w:r w:rsidR="00DE0A19">
              <w:t xml:space="preserve"> —</w:t>
            </w:r>
            <w:r>
              <w:t xml:space="preserve"> </w:t>
            </w:r>
            <w:r w:rsidR="00920EDE">
              <w:t xml:space="preserve">the </w:t>
            </w:r>
            <w:r>
              <w:t xml:space="preserve">next available </w:t>
            </w:r>
            <w:r w:rsidR="00715F6E">
              <w:t xml:space="preserve">headline </w:t>
            </w:r>
            <w:r>
              <w:t xml:space="preserve">data </w:t>
            </w:r>
            <w:r w:rsidR="00E518BF">
              <w:t xml:space="preserve">for </w:t>
            </w:r>
            <w:r w:rsidR="00DE0A19">
              <w:t xml:space="preserve">these </w:t>
            </w:r>
            <w:r w:rsidR="00E518BF">
              <w:t xml:space="preserve">targets </w:t>
            </w:r>
            <w:r w:rsidR="00DE0A19">
              <w:t>a</w:t>
            </w:r>
            <w:r>
              <w:t>re anticipated to be from the 2018</w:t>
            </w:r>
            <w:r w:rsidR="00235014">
              <w:noBreakHyphen/>
            </w:r>
            <w:r>
              <w:t>19 National Aboriginal and Torres Strait Islander Health Survey</w:t>
            </w:r>
            <w:r w:rsidR="00715F6E">
              <w:t xml:space="preserve"> (</w:t>
            </w:r>
            <w:proofErr w:type="spellStart"/>
            <w:r w:rsidR="00715F6E">
              <w:t>NATSIHS</w:t>
            </w:r>
            <w:proofErr w:type="spellEnd"/>
            <w:r w:rsidR="00715F6E">
              <w:t>)</w:t>
            </w:r>
            <w:r>
              <w:t xml:space="preserve"> in late 2019.</w:t>
            </w:r>
          </w:p>
          <w:p w14:paraId="436EC0C5" w14:textId="77777777" w:rsidR="004F00F4" w:rsidRPr="00E007DE" w:rsidRDefault="004F00F4" w:rsidP="004F00F4">
            <w:pPr>
              <w:pStyle w:val="BoxHeading1"/>
            </w:pPr>
            <w:r w:rsidRPr="00E007DE">
              <w:t>Performance indicators</w:t>
            </w:r>
          </w:p>
          <w:p w14:paraId="10A34CB1" w14:textId="15A4DC30" w:rsidR="00AF228F" w:rsidRDefault="00674E2A" w:rsidP="002F4271">
            <w:pPr>
              <w:pStyle w:val="BoxListBullet"/>
            </w:pPr>
            <w:r>
              <w:t xml:space="preserve">This report includes updated data for </w:t>
            </w:r>
            <w:r w:rsidR="00E518BF">
              <w:t xml:space="preserve">11 </w:t>
            </w:r>
            <w:r>
              <w:t xml:space="preserve">of the 15 performance indicators, with those not able to be updated </w:t>
            </w:r>
            <w:r w:rsidR="00A3699E">
              <w:t>being</w:t>
            </w:r>
            <w:r w:rsidR="00AF228F">
              <w:t>:</w:t>
            </w:r>
            <w:r>
              <w:t xml:space="preserve"> </w:t>
            </w:r>
          </w:p>
          <w:p w14:paraId="22907E7B" w14:textId="4F8C06EE" w:rsidR="00AF228F" w:rsidRDefault="0026135D">
            <w:pPr>
              <w:pStyle w:val="BoxListBullet2"/>
            </w:pPr>
            <w:r>
              <w:t>indicator 3 (</w:t>
            </w:r>
            <w:r w:rsidR="007E16CD">
              <w:t xml:space="preserve">rates of current daily smokers — new data will be </w:t>
            </w:r>
            <w:r w:rsidR="001F1CD0">
              <w:t xml:space="preserve">available from the </w:t>
            </w:r>
            <w:proofErr w:type="spellStart"/>
            <w:r w:rsidR="00715F6E">
              <w:t>NATSIHS</w:t>
            </w:r>
            <w:proofErr w:type="spellEnd"/>
            <w:r w:rsidR="00715F6E">
              <w:t>, with first results anticipated in late 2019</w:t>
            </w:r>
            <w:r w:rsidR="00A3699E">
              <w:t>)</w:t>
            </w:r>
          </w:p>
          <w:p w14:paraId="5788BB6C" w14:textId="4CD75E88" w:rsidR="00AF228F" w:rsidRDefault="00674E2A">
            <w:pPr>
              <w:pStyle w:val="BoxListBullet2"/>
            </w:pPr>
            <w:r>
              <w:t xml:space="preserve">indicator 4 (alcohol consumption — </w:t>
            </w:r>
            <w:r w:rsidR="00A3699E">
              <w:t>new data as above</w:t>
            </w:r>
            <w:r>
              <w:t>)</w:t>
            </w:r>
          </w:p>
          <w:p w14:paraId="592B5020" w14:textId="77777777" w:rsidR="00E518BF" w:rsidRDefault="00674E2A">
            <w:pPr>
              <w:pStyle w:val="BoxListBullet2"/>
            </w:pPr>
            <w:r>
              <w:t xml:space="preserve">indicator 5 (overweight/obesity — </w:t>
            </w:r>
            <w:r w:rsidR="00A3699E">
              <w:t>new data as above</w:t>
            </w:r>
            <w:r>
              <w:t>)</w:t>
            </w:r>
          </w:p>
          <w:p w14:paraId="0AE61D17" w14:textId="372A0E2F" w:rsidR="004F00F4" w:rsidRPr="006F7E4A" w:rsidRDefault="00E518BF" w:rsidP="00E518BF">
            <w:pPr>
              <w:pStyle w:val="BoxListBullet2"/>
            </w:pPr>
            <w:r>
              <w:t>indicator 11 (</w:t>
            </w:r>
            <w:r w:rsidRPr="00E518BF">
              <w:t>halve the gap in reading, writing and numeracy achievement</w:t>
            </w:r>
            <w:r>
              <w:t xml:space="preserve"> — </w:t>
            </w:r>
            <w:r w:rsidR="00DE0A19">
              <w:t xml:space="preserve">2018 NAPLAN </w:t>
            </w:r>
            <w:r>
              <w:t>data were not available in time for</w:t>
            </w:r>
            <w:r w:rsidR="00DE0A19">
              <w:t xml:space="preserve"> inclusion in</w:t>
            </w:r>
            <w:r>
              <w:t xml:space="preserve"> this report)</w:t>
            </w:r>
            <w:r w:rsidR="00674E2A">
              <w:t xml:space="preserve">. </w:t>
            </w:r>
          </w:p>
          <w:p w14:paraId="57E85201" w14:textId="069ECAA8" w:rsidR="00920EDE" w:rsidRDefault="00920EDE" w:rsidP="002F4271">
            <w:pPr>
              <w:pStyle w:val="BoxListBullet"/>
            </w:pPr>
            <w:r>
              <w:t>For three indicators, updated data are included for remoteness disaggregation only (performance indicators 12 (</w:t>
            </w:r>
            <w:r w:rsidRPr="00CA00CE">
              <w:t>Attainment of year 12 or equivalent</w:t>
            </w:r>
            <w:r>
              <w:t>), 14 (level of workforce participation) and 15 (</w:t>
            </w:r>
            <w:r w:rsidRPr="00CA00CE">
              <w:t xml:space="preserve">Proportion of Indigenous 20 to 64 year olds with or working towards post school qualifications in </w:t>
            </w:r>
            <w:proofErr w:type="spellStart"/>
            <w:r w:rsidRPr="00CA00CE">
              <w:t>AQF</w:t>
            </w:r>
            <w:proofErr w:type="spellEnd"/>
            <w:r w:rsidRPr="00CA00CE">
              <w:t xml:space="preserve"> Certificate III or above</w:t>
            </w:r>
            <w:r>
              <w:t>)), based on 2016 census data.</w:t>
            </w:r>
          </w:p>
          <w:p w14:paraId="38F6A577" w14:textId="2CB14D5D" w:rsidR="00257F8D" w:rsidRDefault="00D60781">
            <w:pPr>
              <w:pStyle w:val="BoxListBullet"/>
            </w:pPr>
            <w:r w:rsidRPr="006F7E4A">
              <w:t>F</w:t>
            </w:r>
            <w:r w:rsidR="004F00F4" w:rsidRPr="006F7E4A">
              <w:t>or three indicators</w:t>
            </w:r>
            <w:r w:rsidRPr="006F7E4A">
              <w:t xml:space="preserve">, </w:t>
            </w:r>
            <w:r w:rsidR="004F00F4" w:rsidRPr="006F7E4A">
              <w:t>both multiple</w:t>
            </w:r>
            <w:r w:rsidR="004F00F4" w:rsidRPr="00E007DE">
              <w:t xml:space="preserve"> year aggregate data and single year data </w:t>
            </w:r>
            <w:r>
              <w:t xml:space="preserve">are reported </w:t>
            </w:r>
            <w:r w:rsidR="004F00F4" w:rsidRPr="00E007DE">
              <w:t>(performance indicators 2</w:t>
            </w:r>
            <w:r w:rsidR="00270AEC">
              <w:t xml:space="preserve"> (mortality rate)</w:t>
            </w:r>
            <w:r w:rsidR="004F00F4" w:rsidRPr="00E007DE">
              <w:t>, 6</w:t>
            </w:r>
            <w:r w:rsidR="00270AEC">
              <w:t xml:space="preserve"> (</w:t>
            </w:r>
            <w:r w:rsidR="002C08C0">
              <w:t>under 5 mortality rate)</w:t>
            </w:r>
            <w:r w:rsidR="004F00F4" w:rsidRPr="00E007DE">
              <w:t xml:space="preserve"> and 7</w:t>
            </w:r>
            <w:r w:rsidR="005779AF">
              <w:t xml:space="preserve"> </w:t>
            </w:r>
            <w:r w:rsidR="002C08C0">
              <w:t xml:space="preserve">(babies born of low </w:t>
            </w:r>
            <w:r w:rsidR="00293E8B">
              <w:t>birth weight</w:t>
            </w:r>
            <w:r w:rsidR="004F00F4" w:rsidRPr="00E007DE">
              <w:t>). Multiple year aggregates are provided to enable disaggregation by State and Territory — the most recent aggregate years’ data should be used for current period analysis. However, multiple year aggregates make it difficult to determine trends over time, as each reporting year incorporates the previous years. Following an assessment of the reliability of the data, single year data are prov</w:t>
            </w:r>
            <w:r w:rsidR="00A2690D">
              <w:t xml:space="preserve">ided for time series analysis. </w:t>
            </w:r>
          </w:p>
        </w:tc>
      </w:tr>
      <w:tr w:rsidR="004F00F4" w14:paraId="24E0E46B" w14:textId="77777777" w:rsidTr="008F5A63">
        <w:trPr>
          <w:cantSplit/>
        </w:trPr>
        <w:tc>
          <w:tcPr>
            <w:tcW w:w="8789" w:type="dxa"/>
            <w:tcBorders>
              <w:top w:val="nil"/>
              <w:left w:val="nil"/>
              <w:bottom w:val="single" w:sz="6" w:space="0" w:color="78A22F"/>
              <w:right w:val="nil"/>
            </w:tcBorders>
            <w:shd w:val="clear" w:color="auto" w:fill="F2F2F2"/>
          </w:tcPr>
          <w:p w14:paraId="70205EC7" w14:textId="77777777" w:rsidR="004F00F4" w:rsidRDefault="004F00F4">
            <w:pPr>
              <w:pStyle w:val="Box"/>
              <w:spacing w:before="0" w:line="120" w:lineRule="exact"/>
            </w:pPr>
          </w:p>
        </w:tc>
      </w:tr>
      <w:tr w:rsidR="004F00F4" w:rsidRPr="000863A5" w14:paraId="51FA70C3" w14:textId="77777777" w:rsidTr="008F5A63">
        <w:tc>
          <w:tcPr>
            <w:tcW w:w="8789" w:type="dxa"/>
            <w:tcBorders>
              <w:top w:val="single" w:sz="6" w:space="0" w:color="78A22F"/>
              <w:left w:val="nil"/>
              <w:bottom w:val="nil"/>
              <w:right w:val="nil"/>
            </w:tcBorders>
          </w:tcPr>
          <w:p w14:paraId="62A7948B" w14:textId="77777777" w:rsidR="004F00F4" w:rsidRPr="00626D32" w:rsidRDefault="004F00F4" w:rsidP="00680847">
            <w:pPr>
              <w:pStyle w:val="BoxSpaceBelow"/>
            </w:pPr>
          </w:p>
        </w:tc>
      </w:tr>
    </w:tbl>
    <w:p w14:paraId="12EE98F0" w14:textId="77777777" w:rsidR="00024BF6" w:rsidRDefault="00024BF6" w:rsidP="004F00F4">
      <w:pPr>
        <w:pStyle w:val="Heading2"/>
      </w:pPr>
    </w:p>
    <w:p w14:paraId="22C54C9A" w14:textId="77777777" w:rsidR="00024BF6" w:rsidRDefault="00024BF6">
      <w:pPr>
        <w:rPr>
          <w:rFonts w:ascii="Arial" w:hAnsi="Arial"/>
          <w:b/>
          <w:sz w:val="32"/>
          <w:szCs w:val="20"/>
        </w:rPr>
      </w:pPr>
      <w:r>
        <w:br w:type="page"/>
      </w:r>
    </w:p>
    <w:p w14:paraId="0A4520B2" w14:textId="666DF10C" w:rsidR="004F00F4" w:rsidRPr="00306077" w:rsidRDefault="004F00F4" w:rsidP="004F00F4">
      <w:pPr>
        <w:pStyle w:val="Heading2"/>
      </w:pPr>
      <w:r w:rsidRPr="00306077">
        <w:lastRenderedPageBreak/>
        <w:t>Changes from the previous National Indigenous Reform Agreement performance report</w:t>
      </w:r>
    </w:p>
    <w:p w14:paraId="19041306" w14:textId="77777777" w:rsidR="004F00F4" w:rsidRDefault="004F00F4" w:rsidP="004F00F4">
      <w:pPr>
        <w:pStyle w:val="BodyText"/>
      </w:pPr>
      <w:r w:rsidRPr="005803F4">
        <w:t xml:space="preserve">Table 1 details changes to indicator specifications, measures </w:t>
      </w:r>
      <w:r>
        <w:t>and</w:t>
      </w:r>
      <w:r w:rsidRPr="005803F4">
        <w:t xml:space="preserve"> data from the previous </w:t>
      </w:r>
      <w:proofErr w:type="spellStart"/>
      <w:r>
        <w:t>NIRA</w:t>
      </w:r>
      <w:proofErr w:type="spellEnd"/>
      <w:r>
        <w:t xml:space="preserve"> </w:t>
      </w:r>
      <w:r w:rsidRPr="005803F4">
        <w:t>performance report.</w:t>
      </w:r>
    </w:p>
    <w:p w14:paraId="50397AD0" w14:textId="12A19447" w:rsidR="00595E18" w:rsidRDefault="00595E18" w:rsidP="00EE332B">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89"/>
      </w:tblGrid>
      <w:tr w:rsidR="00595E18" w14:paraId="6F548479" w14:textId="77777777" w:rsidTr="00EE332B">
        <w:trPr>
          <w:tblHeader/>
        </w:trPr>
        <w:tc>
          <w:tcPr>
            <w:tcW w:w="5000" w:type="pct"/>
            <w:tcBorders>
              <w:top w:val="single" w:sz="6" w:space="0" w:color="78A22F"/>
              <w:left w:val="nil"/>
              <w:bottom w:val="nil"/>
              <w:right w:val="nil"/>
            </w:tcBorders>
            <w:shd w:val="clear" w:color="auto" w:fill="auto"/>
          </w:tcPr>
          <w:p w14:paraId="7840F719" w14:textId="6ADBAA5C" w:rsidR="00595E18" w:rsidRPr="00784A05" w:rsidRDefault="00595E18" w:rsidP="00595E18">
            <w:pPr>
              <w:pStyle w:val="TableTitle"/>
            </w:pPr>
            <w:r>
              <w:rPr>
                <w:b w:val="0"/>
              </w:rPr>
              <w:t xml:space="preserve">Table </w:t>
            </w:r>
            <w:r w:rsidR="002E28E5">
              <w:rPr>
                <w:b w:val="0"/>
                <w:noProof/>
              </w:rPr>
              <w:t>1</w:t>
            </w:r>
            <w:r>
              <w:tab/>
            </w:r>
            <w:r w:rsidRPr="00D87AA9">
              <w:t xml:space="preserve">Changes from the previous </w:t>
            </w:r>
            <w:proofErr w:type="spellStart"/>
            <w:r w:rsidRPr="00D87AA9">
              <w:t>NIRA</w:t>
            </w:r>
            <w:proofErr w:type="spellEnd"/>
            <w:r w:rsidRPr="00D87AA9">
              <w:t xml:space="preserve"> performance report</w:t>
            </w:r>
          </w:p>
        </w:tc>
      </w:tr>
      <w:tr w:rsidR="00595E18" w14:paraId="0453E9AC" w14:textId="77777777" w:rsidTr="00EE332B">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4254"/>
              <w:gridCol w:w="4251"/>
            </w:tblGrid>
            <w:tr w:rsidR="00595E18" w14:paraId="1F3D7970" w14:textId="77777777" w:rsidTr="00C530B4">
              <w:trPr>
                <w:tblHeader/>
              </w:trPr>
              <w:tc>
                <w:tcPr>
                  <w:tcW w:w="2501" w:type="pct"/>
                  <w:tcBorders>
                    <w:top w:val="single" w:sz="6" w:space="0" w:color="BFBFBF"/>
                    <w:bottom w:val="single" w:sz="6" w:space="0" w:color="BFBFBF"/>
                  </w:tcBorders>
                  <w:shd w:val="clear" w:color="auto" w:fill="auto"/>
                  <w:tcMar>
                    <w:top w:w="28" w:type="dxa"/>
                  </w:tcMar>
                </w:tcPr>
                <w:p w14:paraId="5C529644" w14:textId="067B5163" w:rsidR="00595E18" w:rsidRDefault="00595E18" w:rsidP="00595E18">
                  <w:pPr>
                    <w:pStyle w:val="TableColumnHeading"/>
                    <w:jc w:val="left"/>
                  </w:pPr>
                  <w:r>
                    <w:t>Change</w:t>
                  </w:r>
                </w:p>
              </w:tc>
              <w:tc>
                <w:tcPr>
                  <w:tcW w:w="2499" w:type="pct"/>
                  <w:tcBorders>
                    <w:top w:val="single" w:sz="6" w:space="0" w:color="BFBFBF"/>
                    <w:bottom w:val="single" w:sz="6" w:space="0" w:color="BFBFBF"/>
                  </w:tcBorders>
                  <w:shd w:val="clear" w:color="auto" w:fill="auto"/>
                  <w:tcMar>
                    <w:top w:w="28" w:type="dxa"/>
                  </w:tcMar>
                </w:tcPr>
                <w:p w14:paraId="3E24A793" w14:textId="2396694F" w:rsidR="00595E18" w:rsidRDefault="00595E18" w:rsidP="00595E18">
                  <w:pPr>
                    <w:pStyle w:val="TableColumnHeading"/>
                    <w:ind w:right="28"/>
                    <w:jc w:val="left"/>
                  </w:pPr>
                  <w:r>
                    <w:t>Performance information category</w:t>
                  </w:r>
                </w:p>
              </w:tc>
            </w:tr>
            <w:tr w:rsidR="00595E18" w14:paraId="1034B8E4" w14:textId="77777777" w:rsidTr="00C530B4">
              <w:tc>
                <w:tcPr>
                  <w:tcW w:w="2501" w:type="pct"/>
                  <w:tcBorders>
                    <w:top w:val="single" w:sz="6" w:space="0" w:color="BFBFBF"/>
                    <w:bottom w:val="single" w:sz="6" w:space="0" w:color="BFBFBF"/>
                  </w:tcBorders>
                </w:tcPr>
                <w:p w14:paraId="06E99D00" w14:textId="285B305A" w:rsidR="00595E18" w:rsidRDefault="00595E18" w:rsidP="00595E18">
                  <w:pPr>
                    <w:pStyle w:val="TableUnitsRow"/>
                    <w:jc w:val="left"/>
                  </w:pPr>
                  <w:r>
                    <w:t>Historical data have been revised to incorporate revised cause of death data</w:t>
                  </w:r>
                  <w:r w:rsidR="0093760D">
                    <w:t>.</w:t>
                  </w:r>
                </w:p>
              </w:tc>
              <w:tc>
                <w:tcPr>
                  <w:tcW w:w="2499" w:type="pct"/>
                  <w:tcBorders>
                    <w:top w:val="single" w:sz="6" w:space="0" w:color="BFBFBF"/>
                    <w:bottom w:val="single" w:sz="6" w:space="0" w:color="BFBFBF"/>
                  </w:tcBorders>
                </w:tcPr>
                <w:p w14:paraId="64CE1D7F" w14:textId="77777777" w:rsidR="00595E18" w:rsidRDefault="00595E18" w:rsidP="00595E18">
                  <w:pPr>
                    <w:pStyle w:val="TableBodyText"/>
                    <w:jc w:val="left"/>
                  </w:pPr>
                  <w:proofErr w:type="spellStart"/>
                  <w:r>
                    <w:t>NIRA</w:t>
                  </w:r>
                  <w:proofErr w:type="spellEnd"/>
                  <w:r>
                    <w:t xml:space="preserve"> performance indicator 2</w:t>
                  </w:r>
                </w:p>
                <w:p w14:paraId="5C0D95B2" w14:textId="524E70BF" w:rsidR="00595E18" w:rsidRDefault="00595E18" w:rsidP="00595E18">
                  <w:pPr>
                    <w:pStyle w:val="TableUnitsRow"/>
                    <w:ind w:right="28"/>
                    <w:jc w:val="left"/>
                  </w:pPr>
                  <w:proofErr w:type="spellStart"/>
                  <w:r>
                    <w:t>NIRA</w:t>
                  </w:r>
                  <w:proofErr w:type="spellEnd"/>
                  <w:r>
                    <w:t xml:space="preserve"> performance indicator 6</w:t>
                  </w:r>
                </w:p>
              </w:tc>
            </w:tr>
            <w:tr w:rsidR="006B5489" w14:paraId="32608AED" w14:textId="77777777" w:rsidTr="00C530B4">
              <w:tc>
                <w:tcPr>
                  <w:tcW w:w="2501" w:type="pct"/>
                  <w:tcBorders>
                    <w:top w:val="single" w:sz="6" w:space="0" w:color="BFBFBF"/>
                    <w:bottom w:val="single" w:sz="6" w:space="0" w:color="BFBFBF"/>
                  </w:tcBorders>
                </w:tcPr>
                <w:p w14:paraId="65F7FB2A" w14:textId="176DA65D" w:rsidR="006B5489" w:rsidRDefault="006B5489" w:rsidP="008B06BD">
                  <w:pPr>
                    <w:pStyle w:val="TableUnitsRow"/>
                    <w:jc w:val="left"/>
                  </w:pPr>
                  <w:r w:rsidRPr="006B5489">
                    <w:t xml:space="preserve">Data </w:t>
                  </w:r>
                  <w:r w:rsidR="0093760D">
                    <w:t xml:space="preserve">are available for the first time for Victoria </w:t>
                  </w:r>
                  <w:r w:rsidR="008B06BD">
                    <w:t>on</w:t>
                  </w:r>
                  <w:r w:rsidRPr="006B5489">
                    <w:t xml:space="preserve"> the measure for antenatal visits for women who gave birth at 32 weeks or</w:t>
                  </w:r>
                  <w:r w:rsidR="0093760D">
                    <w:t xml:space="preserve"> more</w:t>
                  </w:r>
                  <w:r w:rsidRPr="006B5489">
                    <w:t xml:space="preserve">. </w:t>
                  </w:r>
                </w:p>
              </w:tc>
              <w:tc>
                <w:tcPr>
                  <w:tcW w:w="2499" w:type="pct"/>
                  <w:tcBorders>
                    <w:top w:val="single" w:sz="6" w:space="0" w:color="BFBFBF"/>
                    <w:bottom w:val="single" w:sz="6" w:space="0" w:color="BFBFBF"/>
                  </w:tcBorders>
                </w:tcPr>
                <w:p w14:paraId="756B59CA" w14:textId="1E131372" w:rsidR="006B5489" w:rsidRDefault="006B5489" w:rsidP="00C530B4">
                  <w:pPr>
                    <w:pStyle w:val="TableUnitsRow"/>
                    <w:jc w:val="left"/>
                  </w:pPr>
                  <w:proofErr w:type="spellStart"/>
                  <w:r>
                    <w:t>NIRA</w:t>
                  </w:r>
                  <w:proofErr w:type="spellEnd"/>
                  <w:r>
                    <w:t xml:space="preserve"> performance indicator 9</w:t>
                  </w:r>
                </w:p>
              </w:tc>
            </w:tr>
            <w:tr w:rsidR="004A3833" w14:paraId="52BC3502" w14:textId="77777777" w:rsidTr="00C530B4">
              <w:tc>
                <w:tcPr>
                  <w:tcW w:w="2501" w:type="pct"/>
                  <w:tcBorders>
                    <w:top w:val="single" w:sz="6" w:space="0" w:color="BFBFBF"/>
                    <w:bottom w:val="single" w:sz="6" w:space="0" w:color="BFBFBF"/>
                  </w:tcBorders>
                </w:tcPr>
                <w:p w14:paraId="1CC615F5" w14:textId="6EF9C6B9" w:rsidR="004A3833" w:rsidRPr="006B5489" w:rsidRDefault="004A3833" w:rsidP="00387C4E">
                  <w:pPr>
                    <w:pStyle w:val="TableUnitsRow"/>
                    <w:jc w:val="left"/>
                  </w:pPr>
                  <w:r>
                    <w:t xml:space="preserve">Data </w:t>
                  </w:r>
                  <w:r w:rsidR="00387C4E">
                    <w:t xml:space="preserve">are available for the first time </w:t>
                  </w:r>
                  <w:r>
                    <w:t>for NSW government schools on a comparable basis</w:t>
                  </w:r>
                  <w:r w:rsidR="00387C4E">
                    <w:t xml:space="preserve"> to the national standard</w:t>
                  </w:r>
                  <w:r>
                    <w:t>.</w:t>
                  </w:r>
                </w:p>
              </w:tc>
              <w:tc>
                <w:tcPr>
                  <w:tcW w:w="2499" w:type="pct"/>
                  <w:tcBorders>
                    <w:top w:val="single" w:sz="6" w:space="0" w:color="BFBFBF"/>
                    <w:bottom w:val="single" w:sz="6" w:space="0" w:color="BFBFBF"/>
                  </w:tcBorders>
                </w:tcPr>
                <w:p w14:paraId="76451179" w14:textId="75B2658A" w:rsidR="004A3833" w:rsidRDefault="004A3833" w:rsidP="00DF15B2">
                  <w:pPr>
                    <w:pStyle w:val="TableUnitsRow"/>
                    <w:jc w:val="left"/>
                  </w:pPr>
                  <w:proofErr w:type="spellStart"/>
                  <w:r>
                    <w:t>NIRA</w:t>
                  </w:r>
                  <w:proofErr w:type="spellEnd"/>
                  <w:r>
                    <w:t xml:space="preserve"> performance indicator 1</w:t>
                  </w:r>
                  <w:r w:rsidR="00DF15B2">
                    <w:t>3</w:t>
                  </w:r>
                </w:p>
              </w:tc>
            </w:tr>
            <w:tr w:rsidR="00595E18" w14:paraId="2F5C1B53" w14:textId="77777777" w:rsidTr="00C530B4">
              <w:tc>
                <w:tcPr>
                  <w:tcW w:w="2501" w:type="pct"/>
                  <w:tcBorders>
                    <w:top w:val="single" w:sz="6" w:space="0" w:color="BFBFBF"/>
                    <w:bottom w:val="single" w:sz="6" w:space="0" w:color="BFBFBF"/>
                  </w:tcBorders>
                  <w:shd w:val="clear" w:color="auto" w:fill="auto"/>
                </w:tcPr>
                <w:p w14:paraId="5DA77025" w14:textId="19C35AD9" w:rsidR="00595E18" w:rsidRDefault="00595E18" w:rsidP="00E3796E">
                  <w:pPr>
                    <w:pStyle w:val="TableBodyText"/>
                    <w:jc w:val="left"/>
                  </w:pPr>
                  <w:r>
                    <w:t xml:space="preserve">Revised </w:t>
                  </w:r>
                  <w:r w:rsidR="008B06BD">
                    <w:t xml:space="preserve">2011 </w:t>
                  </w:r>
                  <w:r>
                    <w:t xml:space="preserve">Census data </w:t>
                  </w:r>
                  <w:r w:rsidR="008B06BD">
                    <w:t>by remoteness area (</w:t>
                  </w:r>
                  <w:r>
                    <w:t>for survey comparisons</w:t>
                  </w:r>
                  <w:r w:rsidR="00894BB2">
                    <w:t xml:space="preserve"> only</w:t>
                  </w:r>
                  <w:r w:rsidR="008B06BD">
                    <w:t>)</w:t>
                  </w:r>
                  <w:r>
                    <w:t xml:space="preserve"> have been provided to address an error in earlier data provision. </w:t>
                  </w:r>
                </w:p>
              </w:tc>
              <w:tc>
                <w:tcPr>
                  <w:tcW w:w="2499" w:type="pct"/>
                  <w:tcBorders>
                    <w:top w:val="single" w:sz="6" w:space="0" w:color="BFBFBF"/>
                    <w:bottom w:val="single" w:sz="6" w:space="0" w:color="BFBFBF"/>
                  </w:tcBorders>
                  <w:shd w:val="clear" w:color="auto" w:fill="auto"/>
                </w:tcPr>
                <w:p w14:paraId="66C504F5" w14:textId="11BB2EDF" w:rsidR="00595E18" w:rsidRDefault="00595E18" w:rsidP="00595E18">
                  <w:pPr>
                    <w:pStyle w:val="TableBodyText"/>
                    <w:ind w:right="28"/>
                    <w:jc w:val="left"/>
                  </w:pPr>
                  <w:proofErr w:type="spellStart"/>
                  <w:r>
                    <w:t>NIRA</w:t>
                  </w:r>
                  <w:proofErr w:type="spellEnd"/>
                  <w:r>
                    <w:t xml:space="preserve"> performance indicator 14</w:t>
                  </w:r>
                </w:p>
              </w:tc>
            </w:tr>
          </w:tbl>
          <w:p w14:paraId="7B90FD57" w14:textId="77777777" w:rsidR="00595E18" w:rsidRDefault="00595E18" w:rsidP="00EE332B">
            <w:pPr>
              <w:pStyle w:val="Box"/>
            </w:pPr>
          </w:p>
        </w:tc>
      </w:tr>
      <w:tr w:rsidR="00595E18" w14:paraId="075B9E9A" w14:textId="77777777" w:rsidTr="00EE332B">
        <w:tc>
          <w:tcPr>
            <w:tcW w:w="5000" w:type="pct"/>
            <w:tcBorders>
              <w:top w:val="nil"/>
              <w:left w:val="nil"/>
              <w:bottom w:val="single" w:sz="6" w:space="0" w:color="78A22F"/>
              <w:right w:val="nil"/>
            </w:tcBorders>
            <w:shd w:val="clear" w:color="auto" w:fill="auto"/>
          </w:tcPr>
          <w:p w14:paraId="22FAB76D" w14:textId="77777777" w:rsidR="00595E18" w:rsidRDefault="00595E18" w:rsidP="00EE332B">
            <w:pPr>
              <w:pStyle w:val="Box"/>
              <w:spacing w:before="0" w:line="120" w:lineRule="exact"/>
            </w:pPr>
          </w:p>
        </w:tc>
      </w:tr>
      <w:tr w:rsidR="00595E18" w:rsidRPr="000863A5" w14:paraId="13BCB417" w14:textId="77777777" w:rsidTr="00EE332B">
        <w:tc>
          <w:tcPr>
            <w:tcW w:w="5000" w:type="pct"/>
            <w:tcBorders>
              <w:top w:val="single" w:sz="6" w:space="0" w:color="78A22F"/>
              <w:left w:val="nil"/>
              <w:bottom w:val="nil"/>
              <w:right w:val="nil"/>
            </w:tcBorders>
          </w:tcPr>
          <w:p w14:paraId="60E030CB" w14:textId="5BC22682" w:rsidR="00595E18" w:rsidRPr="00626D32" w:rsidRDefault="00595E18" w:rsidP="00EE332B">
            <w:pPr>
              <w:pStyle w:val="BoxSpaceBelow"/>
            </w:pPr>
          </w:p>
        </w:tc>
      </w:tr>
    </w:tbl>
    <w:p w14:paraId="772942F6" w14:textId="77777777" w:rsidR="00595E18" w:rsidRDefault="00595E18" w:rsidP="004F00F4">
      <w:pPr>
        <w:pStyle w:val="BodyText"/>
      </w:pPr>
    </w:p>
    <w:p w14:paraId="18017DC2" w14:textId="77777777" w:rsidR="002848C7" w:rsidRPr="00D77AB0" w:rsidRDefault="002848C7" w:rsidP="005D07B6">
      <w:pPr>
        <w:pStyle w:val="BodyText"/>
      </w:pPr>
    </w:p>
    <w:p w14:paraId="0C4235D9" w14:textId="77777777" w:rsidR="004F00F4" w:rsidRPr="00D77AB0" w:rsidRDefault="004F00F4" w:rsidP="005D07B6">
      <w:pPr>
        <w:pStyle w:val="ListBullet"/>
      </w:pPr>
      <w:r w:rsidRPr="003E4220">
        <w:rPr>
          <w:b/>
        </w:rPr>
        <w:br w:type="page"/>
      </w:r>
    </w:p>
    <w:p w14:paraId="63188C6A" w14:textId="77777777" w:rsidR="00804F78" w:rsidRDefault="00804F78" w:rsidP="0079305E">
      <w:pPr>
        <w:pStyle w:val="Heading2"/>
      </w:pPr>
      <w:r>
        <w:lastRenderedPageBreak/>
        <w:t>Performance targets</w:t>
      </w:r>
    </w:p>
    <w:p w14:paraId="3FCF9C65" w14:textId="77777777" w:rsidR="00804F78" w:rsidRDefault="00804F78" w:rsidP="00804F78">
      <w:pPr>
        <w:pStyle w:val="BodyText"/>
      </w:pPr>
      <w:r>
        <w:t xml:space="preserve">COAG has agreed to the following </w:t>
      </w:r>
      <w:proofErr w:type="spellStart"/>
      <w:r>
        <w:t>NIRA</w:t>
      </w:r>
      <w:proofErr w:type="spellEnd"/>
      <w:r>
        <w:t xml:space="preserve"> targets:</w:t>
      </w:r>
    </w:p>
    <w:p w14:paraId="1AAF9906" w14:textId="77777777" w:rsidR="00804F78" w:rsidRDefault="00804F78" w:rsidP="00B6173B">
      <w:pPr>
        <w:pStyle w:val="ListNumber2"/>
        <w:numPr>
          <w:ilvl w:val="1"/>
          <w:numId w:val="22"/>
        </w:numPr>
      </w:pPr>
      <w:r>
        <w:t>close the gap in life expectancy between Indigenous and non-Indigenous Australians by 2031</w:t>
      </w:r>
    </w:p>
    <w:p w14:paraId="5D8E35D9" w14:textId="77777777" w:rsidR="00804F78" w:rsidRDefault="00804F78" w:rsidP="00B6173B">
      <w:pPr>
        <w:pStyle w:val="ListNumber2"/>
        <w:numPr>
          <w:ilvl w:val="1"/>
          <w:numId w:val="22"/>
        </w:numPr>
      </w:pPr>
      <w:r>
        <w:t>halve the gap in mortality rates for Indigenous children under five by 2018</w:t>
      </w:r>
    </w:p>
    <w:p w14:paraId="33B4A84A" w14:textId="77777777" w:rsidR="00B52185" w:rsidRDefault="00B52185" w:rsidP="00B6173B">
      <w:pPr>
        <w:pStyle w:val="ListNumber2"/>
        <w:numPr>
          <w:ilvl w:val="1"/>
          <w:numId w:val="22"/>
        </w:numPr>
      </w:pPr>
      <w:r>
        <w:t>95 per cent of all Indigenous four-year olds enrolled in early childhood education (by 2025)</w:t>
      </w:r>
    </w:p>
    <w:p w14:paraId="34A8EC49" w14:textId="77777777" w:rsidR="00804F78" w:rsidRDefault="00804F78" w:rsidP="00B6173B">
      <w:pPr>
        <w:pStyle w:val="ListNumber2"/>
        <w:numPr>
          <w:ilvl w:val="1"/>
          <w:numId w:val="22"/>
        </w:numPr>
      </w:pPr>
      <w:r>
        <w:t>halve the gap in reading, writing and numeracy achievement for Indigenous children by 2018</w:t>
      </w:r>
    </w:p>
    <w:p w14:paraId="4F7D7859" w14:textId="77777777" w:rsidR="00804F78" w:rsidRDefault="00804F78" w:rsidP="00B6173B">
      <w:pPr>
        <w:pStyle w:val="ListNumber2"/>
        <w:numPr>
          <w:ilvl w:val="1"/>
          <w:numId w:val="22"/>
        </w:numPr>
      </w:pPr>
      <w:r>
        <w:t>halve the gap in year 12 or equivalent attainment rates for Indigenous young people by 2020</w:t>
      </w:r>
    </w:p>
    <w:p w14:paraId="1B7EC148" w14:textId="77777777" w:rsidR="00AA4682" w:rsidRDefault="00804F78" w:rsidP="00B6173B">
      <w:pPr>
        <w:pStyle w:val="ListNumber2"/>
        <w:numPr>
          <w:ilvl w:val="1"/>
          <w:numId w:val="22"/>
        </w:numPr>
        <w:tabs>
          <w:tab w:val="left" w:pos="7088"/>
        </w:tabs>
      </w:pPr>
      <w:r>
        <w:t xml:space="preserve">halve the gap in employment outcomes between Indigenous and non-Indigenous Australians by 2018 </w:t>
      </w:r>
    </w:p>
    <w:p w14:paraId="68C99D8D" w14:textId="77777777" w:rsidR="00804F78" w:rsidRDefault="00AA4682" w:rsidP="00B6173B">
      <w:pPr>
        <w:pStyle w:val="ListNumber2"/>
        <w:numPr>
          <w:ilvl w:val="1"/>
          <w:numId w:val="22"/>
        </w:numPr>
        <w:tabs>
          <w:tab w:val="left" w:pos="7088"/>
        </w:tabs>
      </w:pPr>
      <w:r>
        <w:t>close the gap between Indigenous and non-Indigenous school attendance within five years (by 2018).</w:t>
      </w:r>
    </w:p>
    <w:p w14:paraId="19AE257B" w14:textId="77777777" w:rsidR="008925F7" w:rsidRDefault="00804F78" w:rsidP="00D91A80">
      <w:pPr>
        <w:pStyle w:val="BodyText"/>
      </w:pPr>
      <w:r w:rsidRPr="00A30918">
        <w:t xml:space="preserve">Schedule G of the </w:t>
      </w:r>
      <w:proofErr w:type="spellStart"/>
      <w:r w:rsidRPr="00A30918">
        <w:t>NIRA</w:t>
      </w:r>
      <w:proofErr w:type="spellEnd"/>
      <w:r w:rsidRPr="00A30918">
        <w:t xml:space="preserve"> discusses the magnitude of the improvement necessary to meet each of the Closing the Gap targets and provides national level trajectories. State and Territory trajectories were developed by the National Indigenous Reform Agreement Performance Information Management Group (</w:t>
      </w:r>
      <w:proofErr w:type="spellStart"/>
      <w:r w:rsidRPr="00A30918">
        <w:t>NIRA</w:t>
      </w:r>
      <w:proofErr w:type="spellEnd"/>
      <w:r w:rsidR="00D60781" w:rsidRPr="00A30918">
        <w:t xml:space="preserve"> </w:t>
      </w:r>
      <w:proofErr w:type="spellStart"/>
      <w:r w:rsidRPr="00A30918">
        <w:t>PIMG</w:t>
      </w:r>
      <w:proofErr w:type="spellEnd"/>
      <w:r w:rsidRPr="00A30918">
        <w:t xml:space="preserve">), a sub-committee of the [then] COAG Working Group on Indigenous Reform. The State and Territory trajectories </w:t>
      </w:r>
      <w:r w:rsidR="00E0136A">
        <w:t xml:space="preserve">are used for </w:t>
      </w:r>
      <w:r w:rsidR="00283B68">
        <w:t>assessing</w:t>
      </w:r>
      <w:r w:rsidR="008925F7">
        <w:t xml:space="preserve"> </w:t>
      </w:r>
      <w:r w:rsidR="00E0136A">
        <w:t>progress against the targets</w:t>
      </w:r>
      <w:r w:rsidR="008925F7">
        <w:t>.</w:t>
      </w:r>
    </w:p>
    <w:p w14:paraId="48E0B1CE" w14:textId="77777777" w:rsidR="00804F78" w:rsidRDefault="008925F7" w:rsidP="00D91A80">
      <w:pPr>
        <w:pStyle w:val="BodyText"/>
      </w:pPr>
      <w:r>
        <w:t xml:space="preserve">Amendments to the trajectories are managed through the </w:t>
      </w:r>
      <w:proofErr w:type="spellStart"/>
      <w:r>
        <w:t>NIRA</w:t>
      </w:r>
      <w:proofErr w:type="spellEnd"/>
      <w:r>
        <w:t xml:space="preserve"> </w:t>
      </w:r>
      <w:proofErr w:type="spellStart"/>
      <w:r>
        <w:t>PIMG</w:t>
      </w:r>
      <w:proofErr w:type="spellEnd"/>
      <w:r>
        <w:t xml:space="preserve"> </w:t>
      </w:r>
      <w:r w:rsidR="00CF30E9">
        <w:t xml:space="preserve">and </w:t>
      </w:r>
      <w:r w:rsidR="00744688">
        <w:t xml:space="preserve">have been </w:t>
      </w:r>
      <w:r>
        <w:t xml:space="preserve">endorsed through the </w:t>
      </w:r>
      <w:r w:rsidR="00CF30E9">
        <w:t xml:space="preserve">relevant </w:t>
      </w:r>
      <w:r>
        <w:t>governance body</w:t>
      </w:r>
      <w:r w:rsidR="00D07B19">
        <w:t xml:space="preserve"> (previously the COAG Working Group on Indigenous Reform, </w:t>
      </w:r>
      <w:r w:rsidR="00283B68">
        <w:t xml:space="preserve">now </w:t>
      </w:r>
      <w:r w:rsidR="00D07B19">
        <w:t>COAG Senior Officials)</w:t>
      </w:r>
      <w:r w:rsidR="00804F78" w:rsidRPr="00A30918">
        <w:t>. Following revisions by the ABS to the 2005</w:t>
      </w:r>
      <w:r w:rsidR="000F1314">
        <w:t>–</w:t>
      </w:r>
      <w:r w:rsidR="00804F78" w:rsidRPr="00A30918">
        <w:t xml:space="preserve">2007 </w:t>
      </w:r>
      <w:r w:rsidR="006C47FE">
        <w:t>Aboriginal and Torres Strait Islander</w:t>
      </w:r>
      <w:r w:rsidR="00804F78" w:rsidRPr="00A30918">
        <w:t xml:space="preserve"> life expectancy estimates (baseline for </w:t>
      </w:r>
      <w:proofErr w:type="spellStart"/>
      <w:r w:rsidR="00804F78" w:rsidRPr="00A30918">
        <w:t>NIRA</w:t>
      </w:r>
      <w:proofErr w:type="spellEnd"/>
      <w:r w:rsidR="00804F78" w:rsidRPr="00A30918">
        <w:t xml:space="preserve"> target (a)) in 2013, the trajectory for the life expectancy target was amended. </w:t>
      </w:r>
      <w:r w:rsidR="00231E86">
        <w:t>In 2014</w:t>
      </w:r>
      <w:r w:rsidR="008F028B">
        <w:t>,</w:t>
      </w:r>
      <w:r w:rsidR="00231E86">
        <w:t xml:space="preserve"> t</w:t>
      </w:r>
      <w:r w:rsidR="00D91A80" w:rsidRPr="001A6127">
        <w:t>he</w:t>
      </w:r>
      <w:r w:rsidR="00426E46">
        <w:t xml:space="preserve"> </w:t>
      </w:r>
      <w:r w:rsidR="00D91A80" w:rsidRPr="001A6127">
        <w:t xml:space="preserve">mortality trajectories </w:t>
      </w:r>
      <w:r w:rsidR="00E0136A">
        <w:t xml:space="preserve">were updated </w:t>
      </w:r>
      <w:r w:rsidR="00D91A80" w:rsidRPr="001A6127">
        <w:t xml:space="preserve">to reflect the change to the 2011 Census base </w:t>
      </w:r>
      <w:r w:rsidR="003A624B">
        <w:t xml:space="preserve">Aboriginal and Torres Strait Islander </w:t>
      </w:r>
      <w:r w:rsidR="00D91A80" w:rsidRPr="001A6127">
        <w:t>population estimates and projections and non-</w:t>
      </w:r>
      <w:r w:rsidR="009431D9">
        <w:t>Aboriginal and Torres Strait Islander</w:t>
      </w:r>
      <w:r w:rsidR="00D91A80" w:rsidRPr="001A6127">
        <w:t xml:space="preserve"> rates since baseline. </w:t>
      </w:r>
      <w:r w:rsidR="00426E46">
        <w:t>In 2015</w:t>
      </w:r>
      <w:r w:rsidR="008F028B">
        <w:t>,</w:t>
      </w:r>
      <w:r w:rsidR="00426E46">
        <w:t xml:space="preserve"> trajectories for the </w:t>
      </w:r>
      <w:r>
        <w:t xml:space="preserve">new </w:t>
      </w:r>
      <w:r w:rsidR="00426E46">
        <w:t>school attendance target</w:t>
      </w:r>
      <w:r w:rsidR="00987431">
        <w:t xml:space="preserve"> </w:t>
      </w:r>
      <w:r w:rsidR="00E91680">
        <w:t>were developed</w:t>
      </w:r>
      <w:r w:rsidR="00426E46">
        <w:t>.</w:t>
      </w:r>
    </w:p>
    <w:p w14:paraId="6F1208AB" w14:textId="77777777" w:rsidR="00804F78" w:rsidRDefault="00804F78" w:rsidP="0079305E">
      <w:pPr>
        <w:pStyle w:val="BodyText"/>
      </w:pPr>
      <w:r>
        <w:t>This report includes the most recent available data for each target. However, any assessment of performance relative to the trajectories is outside the scope of this report.</w:t>
      </w:r>
      <w:r w:rsidR="00AF4DBA">
        <w:t xml:space="preserve"> </w:t>
      </w:r>
    </w:p>
    <w:p w14:paraId="21E38A59" w14:textId="77777777" w:rsidR="00804F78" w:rsidRDefault="008657ED" w:rsidP="0079305E">
      <w:pPr>
        <w:pStyle w:val="BodyText"/>
        <w:rPr>
          <w:rFonts w:ascii="Arial" w:hAnsi="Arial"/>
          <w:sz w:val="26"/>
        </w:rPr>
      </w:pPr>
      <w:r w:rsidRPr="008657ED">
        <w:t xml:space="preserve">Data for the performance </w:t>
      </w:r>
      <w:r>
        <w:t>targets</w:t>
      </w:r>
      <w:r w:rsidRPr="008657ED">
        <w:t xml:space="preserve"> in this report are presented in attachments identified in references throughout this report by a ‘</w:t>
      </w:r>
      <w:proofErr w:type="spellStart"/>
      <w:r w:rsidRPr="008657ED">
        <w:t>NIRA</w:t>
      </w:r>
      <w:proofErr w:type="spellEnd"/>
      <w:r w:rsidRPr="008657ED">
        <w:t>’ prefix.</w:t>
      </w:r>
      <w:r w:rsidR="00804F78">
        <w:br w:type="page"/>
      </w:r>
    </w:p>
    <w:p w14:paraId="313F467C" w14:textId="77777777" w:rsidR="004F00F4" w:rsidRDefault="004F00F4" w:rsidP="004F00F4">
      <w:pPr>
        <w:pStyle w:val="Heading3"/>
      </w:pPr>
      <w:r w:rsidRPr="00C67FAA">
        <w:lastRenderedPageBreak/>
        <w:t>Performance target (a) — close the gap in life expectancy between Indigenous and non-Indigenous Australians by 2031</w:t>
      </w:r>
    </w:p>
    <w:p w14:paraId="637FC7D4" w14:textId="77777777" w:rsidR="004F00F4" w:rsidRPr="00941378" w:rsidRDefault="004F00F4" w:rsidP="008F5A63">
      <w:pPr>
        <w:pStyle w:val="BoxSpaceAbove"/>
        <w:spacing w:before="120"/>
      </w:pPr>
    </w:p>
    <w:tbl>
      <w:tblPr>
        <w:tblW w:w="0" w:type="auto"/>
        <w:tblCellMar>
          <w:left w:w="0" w:type="dxa"/>
          <w:right w:w="0" w:type="dxa"/>
        </w:tblCellMar>
        <w:tblLook w:val="0000" w:firstRow="0" w:lastRow="0" w:firstColumn="0" w:lastColumn="0" w:noHBand="0" w:noVBand="0"/>
      </w:tblPr>
      <w:tblGrid>
        <w:gridCol w:w="1985"/>
        <w:gridCol w:w="6804"/>
      </w:tblGrid>
      <w:tr w:rsidR="004F00F4" w:rsidRPr="00A273D1" w14:paraId="5CEA9255" w14:textId="77777777" w:rsidTr="00E1133A">
        <w:tc>
          <w:tcPr>
            <w:tcW w:w="1985" w:type="dxa"/>
          </w:tcPr>
          <w:p w14:paraId="0C5F56D5" w14:textId="4570AFC0" w:rsidR="004F00F4" w:rsidRPr="00A273D1" w:rsidRDefault="004F00F4" w:rsidP="00680847">
            <w:pPr>
              <w:pStyle w:val="TableBodyText"/>
              <w:jc w:val="left"/>
            </w:pPr>
            <w:r w:rsidRPr="00B82DC5">
              <w:t>Key amendments fro</w:t>
            </w:r>
            <w:r w:rsidR="004F74A0">
              <w:t>m previous cycle of reporting:</w:t>
            </w:r>
          </w:p>
        </w:tc>
        <w:tc>
          <w:tcPr>
            <w:tcW w:w="6804" w:type="dxa"/>
          </w:tcPr>
          <w:p w14:paraId="4092DB0F" w14:textId="751FB4F2" w:rsidR="004F00F4" w:rsidRPr="00A273D1" w:rsidRDefault="004F00F4" w:rsidP="00510C07">
            <w:pPr>
              <w:pStyle w:val="TableBodyText"/>
              <w:jc w:val="left"/>
            </w:pPr>
            <w:r w:rsidRPr="005332B8">
              <w:t xml:space="preserve">This target is unchanged from </w:t>
            </w:r>
            <w:r w:rsidR="002C180B">
              <w:t xml:space="preserve">the </w:t>
            </w:r>
            <w:r w:rsidRPr="005332B8">
              <w:t xml:space="preserve">previous </w:t>
            </w:r>
            <w:proofErr w:type="spellStart"/>
            <w:r w:rsidR="00F555B6">
              <w:t>NIRA</w:t>
            </w:r>
            <w:proofErr w:type="spellEnd"/>
            <w:r w:rsidR="00F555B6">
              <w:t xml:space="preserve"> performance report</w:t>
            </w:r>
            <w:r w:rsidRPr="005332B8">
              <w:t>.</w:t>
            </w:r>
          </w:p>
        </w:tc>
      </w:tr>
      <w:tr w:rsidR="004F00F4" w:rsidRPr="00D87AA9" w14:paraId="6DC6F9FE" w14:textId="77777777" w:rsidTr="00E1133A">
        <w:tc>
          <w:tcPr>
            <w:tcW w:w="1985" w:type="dxa"/>
          </w:tcPr>
          <w:p w14:paraId="2DFCB673" w14:textId="77777777" w:rsidR="004F00F4" w:rsidRPr="00D87AA9" w:rsidRDefault="004F00F4" w:rsidP="00C625E8">
            <w:pPr>
              <w:pStyle w:val="TableBodyText"/>
              <w:spacing w:before="80"/>
              <w:jc w:val="left"/>
            </w:pPr>
            <w:r w:rsidRPr="00D87AA9">
              <w:t>Outcome:</w:t>
            </w:r>
          </w:p>
        </w:tc>
        <w:tc>
          <w:tcPr>
            <w:tcW w:w="6804" w:type="dxa"/>
          </w:tcPr>
          <w:p w14:paraId="60E289A2" w14:textId="0F134506" w:rsidR="004F00F4" w:rsidRPr="00D87AA9" w:rsidRDefault="004F00F4" w:rsidP="00C625E8">
            <w:pPr>
              <w:pStyle w:val="TableBodyText"/>
              <w:spacing w:before="80"/>
              <w:jc w:val="left"/>
            </w:pPr>
            <w:r w:rsidRPr="00BF614C">
              <w:t>The aim of the target is to close the life expectancy gap within a generation (by 2031)</w:t>
            </w:r>
          </w:p>
        </w:tc>
      </w:tr>
      <w:tr w:rsidR="004F00F4" w:rsidRPr="00D87AA9" w14:paraId="5C2FE44F" w14:textId="77777777" w:rsidTr="00E1133A">
        <w:tc>
          <w:tcPr>
            <w:tcW w:w="1985" w:type="dxa"/>
          </w:tcPr>
          <w:p w14:paraId="057185EE" w14:textId="77777777" w:rsidR="004F00F4" w:rsidRPr="00D87AA9" w:rsidRDefault="004F00F4" w:rsidP="00C625E8">
            <w:pPr>
              <w:pStyle w:val="TableBodyText"/>
              <w:spacing w:before="80"/>
              <w:jc w:val="left"/>
            </w:pPr>
            <w:r w:rsidRPr="00D87AA9">
              <w:t xml:space="preserve">Measure: </w:t>
            </w:r>
          </w:p>
          <w:p w14:paraId="6F2BAA4A" w14:textId="77777777" w:rsidR="004F00F4" w:rsidRPr="00D87AA9" w:rsidRDefault="004F00F4" w:rsidP="00680847">
            <w:pPr>
              <w:pStyle w:val="TableBodyText"/>
              <w:jc w:val="left"/>
            </w:pPr>
          </w:p>
        </w:tc>
        <w:tc>
          <w:tcPr>
            <w:tcW w:w="6804" w:type="dxa"/>
          </w:tcPr>
          <w:p w14:paraId="7930C6E0" w14:textId="77777777" w:rsidR="004F00F4" w:rsidRDefault="004F00F4" w:rsidP="00C625E8">
            <w:pPr>
              <w:pStyle w:val="TableBodyText"/>
              <w:spacing w:before="80"/>
              <w:jc w:val="left"/>
            </w:pPr>
            <w:r>
              <w:t>The average number of years new born babies could expect to live, if they experienced the age/sex specific death rates that applied at their birth throughout their lifetimes by Indigenous status.</w:t>
            </w:r>
          </w:p>
          <w:p w14:paraId="4607B9CA" w14:textId="77777777" w:rsidR="004F00F4" w:rsidRDefault="00C8545E" w:rsidP="004F74A0">
            <w:pPr>
              <w:pStyle w:val="TableBodyText"/>
              <w:spacing w:before="80"/>
              <w:jc w:val="left"/>
            </w:pPr>
            <w:r>
              <w:t>The measure is defined as:</w:t>
            </w:r>
          </w:p>
          <w:p w14:paraId="19E75EE3" w14:textId="2536DB61" w:rsidR="004F00F4" w:rsidRPr="00D87AA9" w:rsidRDefault="004F00F4" w:rsidP="00680847">
            <w:pPr>
              <w:pStyle w:val="TableBodyText"/>
              <w:jc w:val="left"/>
            </w:pPr>
            <w:r>
              <w:t>Direct estimation of the life expectancy gap</w:t>
            </w:r>
            <w:r w:rsidR="00DB3DFF">
              <w:t xml:space="preserve"> at birth</w:t>
            </w:r>
            <w:r>
              <w:t xml:space="preserve"> between </w:t>
            </w:r>
            <w:r w:rsidR="003A624B">
              <w:t xml:space="preserve">Aboriginal and Torres Strait Islander </w:t>
            </w:r>
            <w:r>
              <w:t>and non</w:t>
            </w:r>
            <w:r>
              <w:noBreakHyphen/>
              <w:t>Indigenous Australians using the average number of deaths in the relevant three–year period and the estimated resident population at the mid-point of that three-year period, with adjustments for incomplete identification by I</w:t>
            </w:r>
            <w:r w:rsidR="004F74A0">
              <w:t>ndigenous status</w:t>
            </w:r>
          </w:p>
        </w:tc>
      </w:tr>
      <w:tr w:rsidR="004F00F4" w:rsidRPr="00D87AA9" w14:paraId="27BBF9E5" w14:textId="77777777" w:rsidTr="00E1133A">
        <w:tc>
          <w:tcPr>
            <w:tcW w:w="1985" w:type="dxa"/>
            <w:shd w:val="clear" w:color="auto" w:fill="auto"/>
          </w:tcPr>
          <w:p w14:paraId="7774E4CD" w14:textId="448ADD66" w:rsidR="004F00F4" w:rsidRPr="00D87AA9" w:rsidRDefault="004F74A0" w:rsidP="00C625E8">
            <w:pPr>
              <w:pStyle w:val="TableBodyText"/>
              <w:spacing w:before="80"/>
              <w:jc w:val="left"/>
            </w:pPr>
            <w:r>
              <w:t>Related performance indicators:</w:t>
            </w:r>
          </w:p>
        </w:tc>
        <w:tc>
          <w:tcPr>
            <w:tcW w:w="6804" w:type="dxa"/>
            <w:shd w:val="clear" w:color="auto" w:fill="auto"/>
          </w:tcPr>
          <w:p w14:paraId="5A7A7A8B" w14:textId="77777777" w:rsidR="004F00F4" w:rsidRPr="00D87AA9" w:rsidRDefault="004F00F4" w:rsidP="00C625E8">
            <w:pPr>
              <w:pStyle w:val="TableBodyText"/>
              <w:spacing w:before="80"/>
              <w:jc w:val="left"/>
            </w:pPr>
            <w:r w:rsidRPr="00BF614C">
              <w:t>Performance indicator 1: Estimated life expectancy at birth</w:t>
            </w:r>
          </w:p>
        </w:tc>
      </w:tr>
      <w:tr w:rsidR="004F00F4" w:rsidRPr="00D87AA9" w14:paraId="63075C8F" w14:textId="77777777" w:rsidTr="00E1133A">
        <w:tc>
          <w:tcPr>
            <w:tcW w:w="1985" w:type="dxa"/>
            <w:shd w:val="clear" w:color="auto" w:fill="auto"/>
          </w:tcPr>
          <w:p w14:paraId="716E8009" w14:textId="77777777" w:rsidR="004F00F4" w:rsidRPr="00D87AA9" w:rsidRDefault="004F00F4" w:rsidP="00C625E8">
            <w:pPr>
              <w:pStyle w:val="TableBodyText"/>
              <w:spacing w:before="80"/>
              <w:jc w:val="left"/>
            </w:pPr>
            <w:r w:rsidRPr="00D87AA9">
              <w:t>Data source:</w:t>
            </w:r>
          </w:p>
          <w:p w14:paraId="3732BBCD" w14:textId="77777777" w:rsidR="004F00F4" w:rsidRPr="00D87AA9" w:rsidRDefault="004F00F4" w:rsidP="00680847">
            <w:pPr>
              <w:pStyle w:val="TableBodyText"/>
              <w:jc w:val="left"/>
            </w:pPr>
          </w:p>
        </w:tc>
        <w:tc>
          <w:tcPr>
            <w:tcW w:w="6804" w:type="dxa"/>
            <w:shd w:val="clear" w:color="auto" w:fill="auto"/>
          </w:tcPr>
          <w:p w14:paraId="40ADB50C" w14:textId="43EC19FF" w:rsidR="004F00F4" w:rsidRPr="00D87AA9" w:rsidRDefault="004F00F4" w:rsidP="0065425D">
            <w:pPr>
              <w:pStyle w:val="TableBodyText"/>
              <w:spacing w:before="80"/>
              <w:jc w:val="left"/>
            </w:pPr>
            <w:r w:rsidRPr="004177E0">
              <w:rPr>
                <w:i/>
              </w:rPr>
              <w:t>Numerator and denominator</w:t>
            </w:r>
            <w:r w:rsidRPr="00BF614C">
              <w:t xml:space="preserve"> — ABS </w:t>
            </w:r>
            <w:r w:rsidR="003A624B">
              <w:rPr>
                <w:u w:val="single"/>
              </w:rPr>
              <w:t xml:space="preserve">Aboriginal and Torres Strait Islander </w:t>
            </w:r>
            <w:r w:rsidRPr="004177E0">
              <w:rPr>
                <w:u w:val="single"/>
              </w:rPr>
              <w:t>and non</w:t>
            </w:r>
            <w:r>
              <w:rPr>
                <w:u w:val="single"/>
              </w:rPr>
              <w:noBreakHyphen/>
            </w:r>
            <w:r w:rsidRPr="004177E0">
              <w:rPr>
                <w:u w:val="single"/>
              </w:rPr>
              <w:t>Indigenous life tables</w:t>
            </w:r>
            <w:r w:rsidRPr="00BF614C">
              <w:t xml:space="preserve"> (Life tables). Data are calculated for three year periods and reported every five years</w:t>
            </w:r>
          </w:p>
        </w:tc>
      </w:tr>
      <w:tr w:rsidR="004F00F4" w:rsidRPr="00D87AA9" w14:paraId="0E8D9DF1" w14:textId="77777777" w:rsidTr="00E1133A">
        <w:tc>
          <w:tcPr>
            <w:tcW w:w="1985" w:type="dxa"/>
            <w:shd w:val="clear" w:color="auto" w:fill="auto"/>
          </w:tcPr>
          <w:p w14:paraId="60D37E71" w14:textId="4419C192" w:rsidR="004F00F4" w:rsidRPr="00D87AA9" w:rsidRDefault="004F00F4" w:rsidP="00C625E8">
            <w:pPr>
              <w:pStyle w:val="TableBodyText"/>
              <w:spacing w:before="80"/>
              <w:jc w:val="left"/>
            </w:pPr>
            <w:r w:rsidRPr="00D87AA9">
              <w:t>Data provider:</w:t>
            </w:r>
          </w:p>
        </w:tc>
        <w:tc>
          <w:tcPr>
            <w:tcW w:w="6804" w:type="dxa"/>
            <w:shd w:val="clear" w:color="auto" w:fill="auto"/>
          </w:tcPr>
          <w:p w14:paraId="2CA69ACE" w14:textId="77777777" w:rsidR="004F00F4" w:rsidRPr="00D87AA9" w:rsidRDefault="004F00F4" w:rsidP="00C625E8">
            <w:pPr>
              <w:pStyle w:val="TableBodyText"/>
              <w:spacing w:before="80"/>
              <w:jc w:val="left"/>
            </w:pPr>
            <w:r w:rsidRPr="00BF614C">
              <w:t>ABS</w:t>
            </w:r>
          </w:p>
        </w:tc>
      </w:tr>
      <w:tr w:rsidR="004F00F4" w:rsidRPr="00D87AA9" w14:paraId="7EF93C34" w14:textId="77777777" w:rsidTr="00E1133A">
        <w:trPr>
          <w:trHeight w:val="600"/>
        </w:trPr>
        <w:tc>
          <w:tcPr>
            <w:tcW w:w="1985" w:type="dxa"/>
            <w:shd w:val="clear" w:color="auto" w:fill="auto"/>
          </w:tcPr>
          <w:p w14:paraId="5761F64B" w14:textId="3A0E380C" w:rsidR="004F00F4" w:rsidRPr="00D87AA9" w:rsidRDefault="004F00F4" w:rsidP="00C625E8">
            <w:pPr>
              <w:pStyle w:val="TableBodyText"/>
              <w:spacing w:before="80"/>
              <w:jc w:val="left"/>
            </w:pPr>
            <w:r w:rsidRPr="00D87AA9">
              <w:t>D</w:t>
            </w:r>
            <w:r w:rsidR="004F74A0">
              <w:t>ata availability:</w:t>
            </w:r>
          </w:p>
        </w:tc>
        <w:tc>
          <w:tcPr>
            <w:tcW w:w="6804" w:type="dxa"/>
            <w:shd w:val="clear" w:color="auto" w:fill="auto"/>
          </w:tcPr>
          <w:p w14:paraId="64327682" w14:textId="70E9CCA6" w:rsidR="004F00F4" w:rsidRPr="004177E0" w:rsidRDefault="006D1807" w:rsidP="006D1807">
            <w:pPr>
              <w:pStyle w:val="TableBodyText"/>
              <w:spacing w:before="80"/>
              <w:jc w:val="left"/>
              <w:rPr>
                <w:i/>
              </w:rPr>
            </w:pPr>
            <w:r>
              <w:t>N</w:t>
            </w:r>
            <w:r w:rsidR="004F00F4">
              <w:t xml:space="preserve">ew data </w:t>
            </w:r>
            <w:r>
              <w:t>for 2015–2017 are provided f</w:t>
            </w:r>
            <w:r w:rsidR="004F00F4">
              <w:t>or this report</w:t>
            </w:r>
            <w:r w:rsidR="00680E00">
              <w:t xml:space="preserve">. </w:t>
            </w:r>
          </w:p>
        </w:tc>
      </w:tr>
      <w:tr w:rsidR="004F00F4" w:rsidRPr="00D87AA9" w14:paraId="72E05A24" w14:textId="77777777" w:rsidTr="00E1133A">
        <w:tc>
          <w:tcPr>
            <w:tcW w:w="1985" w:type="dxa"/>
            <w:shd w:val="clear" w:color="auto" w:fill="auto"/>
          </w:tcPr>
          <w:p w14:paraId="7E6EA8E1" w14:textId="54DC5F1E" w:rsidR="004F00F4" w:rsidRPr="00D87AA9" w:rsidRDefault="004F00F4" w:rsidP="00C625E8">
            <w:pPr>
              <w:pStyle w:val="TableBodyText"/>
              <w:spacing w:before="80"/>
              <w:jc w:val="left"/>
            </w:pPr>
            <w:r w:rsidRPr="00D87AA9">
              <w:t>Baseline:</w:t>
            </w:r>
          </w:p>
        </w:tc>
        <w:tc>
          <w:tcPr>
            <w:tcW w:w="6804" w:type="dxa"/>
            <w:shd w:val="clear" w:color="auto" w:fill="auto"/>
          </w:tcPr>
          <w:p w14:paraId="389979BF" w14:textId="167D02AD" w:rsidR="004F00F4" w:rsidRPr="00D87AA9" w:rsidRDefault="004F00F4" w:rsidP="00C625E8">
            <w:pPr>
              <w:pStyle w:val="TableBodyText"/>
              <w:spacing w:before="80"/>
              <w:jc w:val="left"/>
            </w:pPr>
            <w:r>
              <w:t xml:space="preserve">The baseline for the target is 2006 using the </w:t>
            </w:r>
            <w:r w:rsidR="004F74A0">
              <w:t>three-year average of 2005–2007</w:t>
            </w:r>
          </w:p>
        </w:tc>
      </w:tr>
      <w:tr w:rsidR="004F00F4" w:rsidRPr="00D87AA9" w14:paraId="089C7C23" w14:textId="77777777" w:rsidTr="00E1133A">
        <w:tc>
          <w:tcPr>
            <w:tcW w:w="1985" w:type="dxa"/>
            <w:shd w:val="clear" w:color="auto" w:fill="auto"/>
          </w:tcPr>
          <w:p w14:paraId="688EA5DA" w14:textId="77777777" w:rsidR="004F00F4" w:rsidRDefault="004F00F4" w:rsidP="00C625E8">
            <w:pPr>
              <w:pStyle w:val="TableBodyText"/>
              <w:spacing w:before="80"/>
              <w:jc w:val="left"/>
            </w:pPr>
            <w:r w:rsidRPr="00D87AA9">
              <w:t>Cross tabulations provided:</w:t>
            </w:r>
          </w:p>
          <w:p w14:paraId="23EF1B67" w14:textId="77777777" w:rsidR="00E1133A" w:rsidRPr="00D87AA9" w:rsidRDefault="00E1133A" w:rsidP="00C530B4">
            <w:pPr>
              <w:pStyle w:val="BoxSpaceAbove"/>
            </w:pPr>
          </w:p>
        </w:tc>
        <w:tc>
          <w:tcPr>
            <w:tcW w:w="6804" w:type="dxa"/>
            <w:shd w:val="clear" w:color="auto" w:fill="auto"/>
          </w:tcPr>
          <w:p w14:paraId="26FB0FDE" w14:textId="77777777" w:rsidR="004F00F4" w:rsidRPr="00D87AA9" w:rsidRDefault="004F00F4" w:rsidP="00C625E8">
            <w:pPr>
              <w:pStyle w:val="TableBodyText"/>
              <w:spacing w:before="80"/>
              <w:jc w:val="left"/>
            </w:pPr>
            <w:r>
              <w:t>Nil</w:t>
            </w:r>
          </w:p>
        </w:tc>
      </w:tr>
      <w:tr w:rsidR="00304577" w14:paraId="00592ED1" w14:textId="77777777" w:rsidTr="00E1133A">
        <w:tblPrEx>
          <w:tblBorders>
            <w:top w:val="single" w:sz="6" w:space="0" w:color="78A22F"/>
            <w:left w:val="single" w:sz="6" w:space="0" w:color="78A22F"/>
            <w:bottom w:val="single" w:sz="6" w:space="0" w:color="78A22F"/>
            <w:right w:val="single" w:sz="6" w:space="0" w:color="78A22F"/>
          </w:tblBorders>
          <w:tblCellMar>
            <w:left w:w="142" w:type="dxa"/>
            <w:right w:w="142" w:type="dxa"/>
          </w:tblCellMar>
        </w:tblPrEx>
        <w:tc>
          <w:tcPr>
            <w:tcW w:w="8789" w:type="dxa"/>
            <w:gridSpan w:val="2"/>
            <w:tcBorders>
              <w:top w:val="single" w:sz="6" w:space="0" w:color="78A22F"/>
              <w:left w:val="nil"/>
              <w:bottom w:val="nil"/>
              <w:right w:val="nil"/>
            </w:tcBorders>
            <w:shd w:val="clear" w:color="auto" w:fill="F2F2F2"/>
          </w:tcPr>
          <w:p w14:paraId="51FA09DC" w14:textId="04D3A64C" w:rsidR="00304577" w:rsidRDefault="00304577" w:rsidP="00304577">
            <w:pPr>
              <w:pStyle w:val="BoxTitle"/>
            </w:pPr>
            <w:r>
              <w:rPr>
                <w:b w:val="0"/>
              </w:rPr>
              <w:t>Box 2</w:t>
            </w:r>
            <w:r>
              <w:tab/>
              <w:t>Results</w:t>
            </w:r>
          </w:p>
        </w:tc>
      </w:tr>
      <w:tr w:rsidR="00304577" w:rsidRPr="00DE42B9" w14:paraId="15236B75" w14:textId="77777777" w:rsidTr="00E1133A">
        <w:tblPrEx>
          <w:tblBorders>
            <w:top w:val="single" w:sz="6" w:space="0" w:color="78A22F"/>
            <w:left w:val="single" w:sz="6" w:space="0" w:color="78A22F"/>
            <w:bottom w:val="single" w:sz="6" w:space="0" w:color="78A22F"/>
            <w:right w:val="single" w:sz="6" w:space="0" w:color="78A22F"/>
          </w:tblBorders>
          <w:tblCellMar>
            <w:left w:w="142" w:type="dxa"/>
            <w:right w:w="142" w:type="dxa"/>
          </w:tblCellMar>
        </w:tblPrEx>
        <w:trPr>
          <w:cantSplit/>
        </w:trPr>
        <w:tc>
          <w:tcPr>
            <w:tcW w:w="8789" w:type="dxa"/>
            <w:gridSpan w:val="2"/>
            <w:tcBorders>
              <w:top w:val="nil"/>
              <w:left w:val="nil"/>
              <w:bottom w:val="nil"/>
              <w:right w:val="nil"/>
            </w:tcBorders>
            <w:shd w:val="clear" w:color="auto" w:fill="F2F2F2"/>
          </w:tcPr>
          <w:p w14:paraId="437D9A00" w14:textId="70780072" w:rsidR="00E1133A" w:rsidRPr="00DE42B9" w:rsidRDefault="00304577" w:rsidP="00BD06AC">
            <w:pPr>
              <w:pStyle w:val="Box"/>
            </w:pPr>
            <w:r w:rsidRPr="00DE42B9">
              <w:t xml:space="preserve">For this report, new data </w:t>
            </w:r>
            <w:r>
              <w:t xml:space="preserve">for this target are </w:t>
            </w:r>
            <w:r w:rsidRPr="00DE42B9">
              <w:t>available for 201</w:t>
            </w:r>
            <w:r>
              <w:t>5–2017.</w:t>
            </w:r>
            <w:r w:rsidR="00235014">
              <w:t xml:space="preserve"> </w:t>
            </w:r>
            <w:r w:rsidR="00E1133A">
              <w:t xml:space="preserve">Data by Indigenous status by State and Territory, by sex are presented in table </w:t>
            </w:r>
            <w:proofErr w:type="spellStart"/>
            <w:r w:rsidR="00E1133A">
              <w:t>NIRA.1.1</w:t>
            </w:r>
            <w:proofErr w:type="spellEnd"/>
            <w:r w:rsidR="00E1133A">
              <w:t>.</w:t>
            </w:r>
          </w:p>
          <w:p w14:paraId="4953931A" w14:textId="4D022907" w:rsidR="00304577" w:rsidRDefault="00304577" w:rsidP="00304577">
            <w:pPr>
              <w:pStyle w:val="Box"/>
            </w:pPr>
            <w:r>
              <w:t>Data from the 2011 Census and revised data from the 2006 Census were included in the</w:t>
            </w:r>
            <w:r w:rsidR="00BD06AC">
              <w:t> </w:t>
            </w:r>
            <w:r>
              <w:t>2012</w:t>
            </w:r>
            <w:r w:rsidR="00BD06AC">
              <w:rPr>
                <w:vertAlign w:val="superscript"/>
              </w:rPr>
              <w:noBreakHyphen/>
            </w:r>
            <w:r>
              <w:t xml:space="preserve">13 </w:t>
            </w:r>
            <w:proofErr w:type="spellStart"/>
            <w:r>
              <w:t>NIRA</w:t>
            </w:r>
            <w:proofErr w:type="spellEnd"/>
            <w:r>
              <w:t xml:space="preserve"> performance report. </w:t>
            </w:r>
          </w:p>
          <w:p w14:paraId="14EE4D98" w14:textId="66D69B51" w:rsidR="00304577" w:rsidRPr="00DE42B9" w:rsidRDefault="00304577" w:rsidP="00304577">
            <w:pPr>
              <w:pStyle w:val="Box"/>
            </w:pPr>
            <w:r w:rsidRPr="00DE42B9">
              <w:t>Additional data are available</w:t>
            </w:r>
            <w:r>
              <w:t xml:space="preserve"> under performance indicator 1</w:t>
            </w:r>
            <w:r w:rsidR="00E1133A">
              <w:t>.</w:t>
            </w:r>
          </w:p>
        </w:tc>
      </w:tr>
      <w:tr w:rsidR="00E1133A" w14:paraId="616705A4" w14:textId="77777777" w:rsidTr="00E1133A">
        <w:tblPrEx>
          <w:tblBorders>
            <w:top w:val="single" w:sz="6" w:space="0" w:color="78A22F"/>
            <w:left w:val="single" w:sz="6" w:space="0" w:color="78A22F"/>
            <w:bottom w:val="single" w:sz="6" w:space="0" w:color="78A22F"/>
            <w:right w:val="single" w:sz="6" w:space="0" w:color="78A22F"/>
          </w:tblBorders>
          <w:tblCellMar>
            <w:left w:w="142" w:type="dxa"/>
            <w:right w:w="142" w:type="dxa"/>
          </w:tblCellMar>
        </w:tblPrEx>
        <w:trPr>
          <w:cantSplit/>
        </w:trPr>
        <w:tc>
          <w:tcPr>
            <w:tcW w:w="8789" w:type="dxa"/>
            <w:gridSpan w:val="2"/>
            <w:tcBorders>
              <w:top w:val="nil"/>
              <w:left w:val="nil"/>
              <w:bottom w:val="single" w:sz="6" w:space="0" w:color="78A22F"/>
              <w:right w:val="nil"/>
            </w:tcBorders>
            <w:shd w:val="clear" w:color="auto" w:fill="F2F2F2"/>
          </w:tcPr>
          <w:p w14:paraId="4230B39A" w14:textId="77777777" w:rsidR="00E1133A" w:rsidRDefault="00E1133A" w:rsidP="00C530B4">
            <w:pPr>
              <w:pStyle w:val="Box"/>
              <w:spacing w:before="0" w:line="120" w:lineRule="exact"/>
            </w:pPr>
          </w:p>
        </w:tc>
      </w:tr>
    </w:tbl>
    <w:p w14:paraId="7652FEF0" w14:textId="77777777" w:rsidR="006A77A1" w:rsidRDefault="006A77A1">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A77A1" w14:paraId="6CF77140" w14:textId="77777777" w:rsidTr="008F5A63">
        <w:tc>
          <w:tcPr>
            <w:tcW w:w="8789" w:type="dxa"/>
            <w:tcBorders>
              <w:top w:val="single" w:sz="6" w:space="0" w:color="78A22F"/>
              <w:left w:val="nil"/>
              <w:bottom w:val="nil"/>
              <w:right w:val="nil"/>
            </w:tcBorders>
            <w:shd w:val="clear" w:color="auto" w:fill="F2F2F2"/>
          </w:tcPr>
          <w:p w14:paraId="690B2E2D" w14:textId="5141BC14" w:rsidR="006A77A1" w:rsidRDefault="006A77A1" w:rsidP="00304577">
            <w:pPr>
              <w:pStyle w:val="BoxTitle"/>
              <w:rPr>
                <w:i/>
              </w:rPr>
            </w:pPr>
            <w:r>
              <w:rPr>
                <w:b w:val="0"/>
              </w:rPr>
              <w:t xml:space="preserve">Box </w:t>
            </w:r>
            <w:r w:rsidR="00304577">
              <w:rPr>
                <w:b w:val="0"/>
              </w:rPr>
              <w:t>3</w:t>
            </w:r>
            <w:r w:rsidR="004D5060">
              <w:tab/>
              <w:t xml:space="preserve">Comment on data </w:t>
            </w:r>
            <w:r w:rsidR="00B4024D">
              <w:t>quality</w:t>
            </w:r>
          </w:p>
        </w:tc>
      </w:tr>
      <w:tr w:rsidR="006A77A1" w14:paraId="652FA13F" w14:textId="77777777" w:rsidTr="008F5A63">
        <w:trPr>
          <w:cantSplit/>
        </w:trPr>
        <w:tc>
          <w:tcPr>
            <w:tcW w:w="8789" w:type="dxa"/>
            <w:tcBorders>
              <w:top w:val="nil"/>
              <w:left w:val="nil"/>
              <w:bottom w:val="nil"/>
              <w:right w:val="nil"/>
            </w:tcBorders>
            <w:shd w:val="clear" w:color="auto" w:fill="F2F2F2"/>
          </w:tcPr>
          <w:p w14:paraId="5743F58A" w14:textId="1DECC8AC" w:rsidR="00304577" w:rsidRDefault="00304577" w:rsidP="00304577">
            <w:pPr>
              <w:pStyle w:val="Box"/>
            </w:pPr>
            <w:r w:rsidRPr="001B1BB8">
              <w:t xml:space="preserve">Details are included in the comment on data quality for performance indicator </w:t>
            </w:r>
            <w:r>
              <w:t>1</w:t>
            </w:r>
            <w:r w:rsidRPr="001B1BB8">
              <w:t>.</w:t>
            </w:r>
          </w:p>
        </w:tc>
      </w:tr>
      <w:tr w:rsidR="006A77A1" w14:paraId="002BF1F5" w14:textId="77777777" w:rsidTr="008F5A63">
        <w:trPr>
          <w:cantSplit/>
        </w:trPr>
        <w:tc>
          <w:tcPr>
            <w:tcW w:w="8789" w:type="dxa"/>
            <w:tcBorders>
              <w:top w:val="nil"/>
              <w:left w:val="nil"/>
              <w:bottom w:val="single" w:sz="6" w:space="0" w:color="78A22F"/>
              <w:right w:val="nil"/>
            </w:tcBorders>
            <w:shd w:val="clear" w:color="auto" w:fill="F2F2F2"/>
          </w:tcPr>
          <w:p w14:paraId="6F49E03A" w14:textId="77777777" w:rsidR="006A77A1" w:rsidRDefault="006A77A1">
            <w:pPr>
              <w:pStyle w:val="Box"/>
              <w:spacing w:before="0" w:line="120" w:lineRule="exact"/>
            </w:pPr>
          </w:p>
        </w:tc>
      </w:tr>
      <w:tr w:rsidR="006A77A1" w:rsidRPr="000863A5" w14:paraId="3372C469" w14:textId="77777777" w:rsidTr="008F5A63">
        <w:tc>
          <w:tcPr>
            <w:tcW w:w="8789" w:type="dxa"/>
            <w:tcBorders>
              <w:top w:val="single" w:sz="6" w:space="0" w:color="78A22F"/>
              <w:left w:val="nil"/>
              <w:bottom w:val="nil"/>
              <w:right w:val="nil"/>
            </w:tcBorders>
          </w:tcPr>
          <w:p w14:paraId="30EDF23C" w14:textId="77777777" w:rsidR="006A77A1" w:rsidRPr="00626D32" w:rsidRDefault="006A77A1" w:rsidP="00937DB6">
            <w:pPr>
              <w:pStyle w:val="BoxSpaceBelow"/>
            </w:pPr>
          </w:p>
        </w:tc>
      </w:tr>
    </w:tbl>
    <w:p w14:paraId="54E5C57D" w14:textId="77777777" w:rsidR="002B469C" w:rsidRDefault="002B469C" w:rsidP="002B469C">
      <w:pPr>
        <w:pStyle w:val="BodyText"/>
        <w:rPr>
          <w:rFonts w:ascii="Arial" w:hAnsi="Arial"/>
          <w:sz w:val="26"/>
        </w:rPr>
      </w:pPr>
      <w:r>
        <w:br w:type="page"/>
      </w:r>
    </w:p>
    <w:p w14:paraId="0DD621FB" w14:textId="77777777" w:rsidR="004F00F4" w:rsidRPr="002B469C" w:rsidRDefault="004F00F4" w:rsidP="002B469C">
      <w:pPr>
        <w:pStyle w:val="Heading3"/>
      </w:pPr>
      <w:r w:rsidRPr="002B469C">
        <w:lastRenderedPageBreak/>
        <w:t>Performance target (b) — halve the gap in mortality rates for Indigenous children under five by 2018</w:t>
      </w:r>
    </w:p>
    <w:p w14:paraId="6AE25E4B" w14:textId="77777777" w:rsidR="004F00F4" w:rsidRPr="00941378" w:rsidRDefault="004F00F4" w:rsidP="00411F19">
      <w:pPr>
        <w:pStyle w:val="BoxSpaceAbove"/>
        <w:spacing w:before="120"/>
      </w:pP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14:paraId="116F7897" w14:textId="77777777" w:rsidTr="00680847">
        <w:tc>
          <w:tcPr>
            <w:tcW w:w="1985" w:type="dxa"/>
          </w:tcPr>
          <w:p w14:paraId="34001F4B" w14:textId="73D08D67" w:rsidR="004F00F4" w:rsidRPr="00C625E8" w:rsidRDefault="004F00F4" w:rsidP="00680847">
            <w:pPr>
              <w:pStyle w:val="TableBodyText"/>
              <w:jc w:val="left"/>
            </w:pPr>
            <w:r w:rsidRPr="00B82DC5">
              <w:t>Key amendments fr</w:t>
            </w:r>
            <w:r w:rsidR="00C625E8">
              <w:t>om previous cycle of reporting:</w:t>
            </w:r>
          </w:p>
        </w:tc>
        <w:tc>
          <w:tcPr>
            <w:tcW w:w="6804" w:type="dxa"/>
          </w:tcPr>
          <w:p w14:paraId="03BD54EB" w14:textId="6DFBAF0E" w:rsidR="004F00F4" w:rsidRPr="00D87AA9" w:rsidRDefault="00AA4682" w:rsidP="00680847">
            <w:pPr>
              <w:pStyle w:val="TableBodyText"/>
              <w:jc w:val="left"/>
            </w:pPr>
            <w:r w:rsidRPr="00994C99">
              <w:t xml:space="preserve">This target is unchanged from the previous </w:t>
            </w:r>
            <w:proofErr w:type="spellStart"/>
            <w:r w:rsidR="00F555B6">
              <w:t>NIRA</w:t>
            </w:r>
            <w:proofErr w:type="spellEnd"/>
            <w:r w:rsidR="00F555B6">
              <w:t xml:space="preserve"> performance report</w:t>
            </w:r>
            <w:r w:rsidRPr="00994C99">
              <w:t>.</w:t>
            </w:r>
          </w:p>
        </w:tc>
      </w:tr>
      <w:tr w:rsidR="004F00F4" w:rsidRPr="00D87AA9" w14:paraId="2F375AB3" w14:textId="77777777" w:rsidTr="00680847">
        <w:tc>
          <w:tcPr>
            <w:tcW w:w="1985" w:type="dxa"/>
          </w:tcPr>
          <w:p w14:paraId="7C71FBB0" w14:textId="77777777" w:rsidR="004F00F4" w:rsidRPr="00D87AA9" w:rsidRDefault="004F00F4" w:rsidP="00C625E8">
            <w:pPr>
              <w:pStyle w:val="TableBodyText"/>
              <w:spacing w:before="80"/>
              <w:jc w:val="left"/>
            </w:pPr>
            <w:r w:rsidRPr="00D87AA9">
              <w:t>Outcome:</w:t>
            </w:r>
          </w:p>
        </w:tc>
        <w:tc>
          <w:tcPr>
            <w:tcW w:w="6804" w:type="dxa"/>
          </w:tcPr>
          <w:p w14:paraId="718FA845" w14:textId="1D514A3B" w:rsidR="004F00F4" w:rsidRPr="00D87AA9" w:rsidRDefault="004F00F4" w:rsidP="00C625E8">
            <w:pPr>
              <w:pStyle w:val="TableBodyText"/>
              <w:spacing w:before="80"/>
              <w:jc w:val="left"/>
            </w:pPr>
            <w:r w:rsidRPr="00BF614C">
              <w:t xml:space="preserve">The aim of the target is to halve the gap in mortality rates for </w:t>
            </w:r>
            <w:r w:rsidR="009431D9">
              <w:t>Aboriginal and Torres Strait Islander</w:t>
            </w:r>
            <w:r w:rsidRPr="00BF614C">
              <w:t xml:space="preserve"> children under five within a decade (by 2018) (10 years from 2008 — the baseline period)</w:t>
            </w:r>
          </w:p>
        </w:tc>
      </w:tr>
      <w:tr w:rsidR="004F00F4" w:rsidRPr="00D87AA9" w14:paraId="2F6F5AB7" w14:textId="77777777" w:rsidTr="00680847">
        <w:tc>
          <w:tcPr>
            <w:tcW w:w="1985" w:type="dxa"/>
          </w:tcPr>
          <w:p w14:paraId="799F53C6" w14:textId="77777777" w:rsidR="004F00F4" w:rsidRPr="00D87AA9" w:rsidRDefault="004F00F4" w:rsidP="00C625E8">
            <w:pPr>
              <w:pStyle w:val="TableBodyText"/>
              <w:spacing w:before="80"/>
              <w:jc w:val="left"/>
            </w:pPr>
            <w:r w:rsidRPr="00D87AA9">
              <w:t xml:space="preserve">Measure: </w:t>
            </w:r>
          </w:p>
          <w:p w14:paraId="705DCF75" w14:textId="77777777" w:rsidR="004F00F4" w:rsidRPr="00D87AA9" w:rsidRDefault="004F00F4" w:rsidP="00680847">
            <w:pPr>
              <w:pStyle w:val="TableBodyText"/>
              <w:jc w:val="left"/>
            </w:pPr>
          </w:p>
        </w:tc>
        <w:tc>
          <w:tcPr>
            <w:tcW w:w="6804" w:type="dxa"/>
          </w:tcPr>
          <w:p w14:paraId="59ECB782" w14:textId="77777777" w:rsidR="004F00F4" w:rsidRPr="00BF614C" w:rsidRDefault="004F00F4" w:rsidP="00C625E8">
            <w:pPr>
              <w:pStyle w:val="TableBodyText"/>
              <w:spacing w:before="80"/>
              <w:jc w:val="left"/>
            </w:pPr>
            <w:r w:rsidRPr="00BF614C">
              <w:t>Mortality rates for children aged less than five years, by Indigenous status.</w:t>
            </w:r>
          </w:p>
          <w:p w14:paraId="2CEF44FB" w14:textId="77777777" w:rsidR="004F00F4" w:rsidRPr="00BF614C" w:rsidRDefault="004F00F4" w:rsidP="00C625E8">
            <w:pPr>
              <w:pStyle w:val="TableBodyText"/>
              <w:spacing w:before="80"/>
              <w:jc w:val="left"/>
            </w:pPr>
            <w:r w:rsidRPr="00BF614C">
              <w:t>The measure is defined as:</w:t>
            </w:r>
          </w:p>
          <w:p w14:paraId="72362CAB" w14:textId="77777777" w:rsidR="004F00F4" w:rsidRPr="00BF614C" w:rsidRDefault="004F00F4" w:rsidP="00680847">
            <w:pPr>
              <w:pStyle w:val="TableBullet"/>
              <w:rPr>
                <w:szCs w:val="24"/>
              </w:rPr>
            </w:pPr>
            <w:r w:rsidRPr="0078783D">
              <w:rPr>
                <w:i/>
              </w:rPr>
              <w:t>Numerator</w:t>
            </w:r>
            <w:r w:rsidRPr="00BF614C">
              <w:t xml:space="preserve"> – number of deaths among children aged 0–4 years </w:t>
            </w:r>
          </w:p>
          <w:p w14:paraId="235C9402" w14:textId="77777777" w:rsidR="004F00F4" w:rsidRPr="00BF614C" w:rsidRDefault="004F00F4" w:rsidP="00680847">
            <w:pPr>
              <w:pStyle w:val="TableBullet"/>
              <w:rPr>
                <w:szCs w:val="24"/>
              </w:rPr>
            </w:pPr>
            <w:r w:rsidRPr="0078783D">
              <w:rPr>
                <w:i/>
              </w:rPr>
              <w:t>Denominator</w:t>
            </w:r>
            <w:r w:rsidRPr="00BF614C">
              <w:t xml:space="preserve"> – total population of children aged 0–4 years</w:t>
            </w:r>
          </w:p>
          <w:p w14:paraId="6959A72D" w14:textId="351044F6" w:rsidR="004F00F4" w:rsidRPr="00BF614C" w:rsidRDefault="004F00F4" w:rsidP="00680847">
            <w:pPr>
              <w:pStyle w:val="TableBodyText"/>
              <w:jc w:val="left"/>
            </w:pPr>
            <w:r w:rsidRPr="00BF614C">
              <w:t xml:space="preserve">presented as a </w:t>
            </w:r>
            <w:r w:rsidRPr="004177E0">
              <w:rPr>
                <w:i/>
              </w:rPr>
              <w:t>rate per 100 000 population</w:t>
            </w:r>
          </w:p>
        </w:tc>
      </w:tr>
      <w:tr w:rsidR="004F00F4" w:rsidRPr="00D87AA9" w14:paraId="3D7AA2C0" w14:textId="77777777" w:rsidTr="00680847">
        <w:tc>
          <w:tcPr>
            <w:tcW w:w="1985" w:type="dxa"/>
            <w:shd w:val="clear" w:color="auto" w:fill="auto"/>
          </w:tcPr>
          <w:p w14:paraId="0BF89F3C" w14:textId="4C324F08" w:rsidR="004F00F4" w:rsidRPr="00190845" w:rsidRDefault="00C625E8" w:rsidP="00C625E8">
            <w:pPr>
              <w:pStyle w:val="TableBodyText"/>
              <w:spacing w:before="80"/>
              <w:jc w:val="left"/>
            </w:pPr>
            <w:r>
              <w:t>Related performance indicators:</w:t>
            </w:r>
          </w:p>
        </w:tc>
        <w:tc>
          <w:tcPr>
            <w:tcW w:w="6804" w:type="dxa"/>
            <w:shd w:val="clear" w:color="auto" w:fill="auto"/>
          </w:tcPr>
          <w:p w14:paraId="5C016B34" w14:textId="77777777" w:rsidR="004F00F4" w:rsidRPr="00BF614C" w:rsidRDefault="004F00F4" w:rsidP="00C625E8">
            <w:pPr>
              <w:pStyle w:val="TableBodyText"/>
              <w:spacing w:before="80"/>
              <w:jc w:val="left"/>
            </w:pPr>
            <w:r w:rsidRPr="00BF614C">
              <w:t>Performance indicator 6: Child under five mortality rate by leading cause</w:t>
            </w:r>
          </w:p>
        </w:tc>
      </w:tr>
      <w:tr w:rsidR="004F00F4" w:rsidRPr="00D87AA9" w14:paraId="55C3C0CD" w14:textId="77777777" w:rsidTr="00680847">
        <w:tc>
          <w:tcPr>
            <w:tcW w:w="1985" w:type="dxa"/>
            <w:shd w:val="clear" w:color="auto" w:fill="auto"/>
          </w:tcPr>
          <w:p w14:paraId="24C27911" w14:textId="77777777" w:rsidR="004F00F4" w:rsidRPr="00D87AA9" w:rsidRDefault="004F00F4" w:rsidP="00C625E8">
            <w:pPr>
              <w:pStyle w:val="TableBodyText"/>
              <w:spacing w:before="80"/>
              <w:jc w:val="left"/>
            </w:pPr>
            <w:r w:rsidRPr="00D87AA9">
              <w:t>Data source:</w:t>
            </w:r>
          </w:p>
          <w:p w14:paraId="53AB486F" w14:textId="77777777" w:rsidR="004F00F4" w:rsidRPr="00D87AA9" w:rsidRDefault="004F00F4" w:rsidP="00680847">
            <w:pPr>
              <w:pStyle w:val="TableBodyText"/>
              <w:jc w:val="left"/>
            </w:pPr>
          </w:p>
        </w:tc>
        <w:tc>
          <w:tcPr>
            <w:tcW w:w="6804" w:type="dxa"/>
            <w:shd w:val="clear" w:color="auto" w:fill="auto"/>
          </w:tcPr>
          <w:p w14:paraId="6D069A32" w14:textId="77777777" w:rsidR="004F00F4" w:rsidRDefault="004F00F4" w:rsidP="00C625E8">
            <w:pPr>
              <w:pStyle w:val="TableBodyText"/>
              <w:spacing w:before="80"/>
              <w:jc w:val="left"/>
            </w:pPr>
            <w:r w:rsidRPr="004177E0">
              <w:rPr>
                <w:i/>
              </w:rPr>
              <w:t>Numerator</w:t>
            </w:r>
            <w:r>
              <w:t xml:space="preserve"> — ABS </w:t>
            </w:r>
            <w:r w:rsidRPr="004177E0">
              <w:rPr>
                <w:u w:val="single"/>
              </w:rPr>
              <w:t>Death Registrations Collection</w:t>
            </w:r>
            <w:r>
              <w:t xml:space="preserve">. </w:t>
            </w:r>
          </w:p>
          <w:p w14:paraId="378A7553" w14:textId="410ED28D" w:rsidR="004F00F4" w:rsidRPr="00D87AA9" w:rsidRDefault="004F00F4" w:rsidP="00680847">
            <w:pPr>
              <w:pStyle w:val="TableBodyText"/>
              <w:jc w:val="left"/>
            </w:pPr>
            <w:r w:rsidRPr="004177E0">
              <w:rPr>
                <w:i/>
              </w:rPr>
              <w:t>Denominator</w:t>
            </w:r>
            <w:r>
              <w:t xml:space="preserve"> — ABS </w:t>
            </w:r>
            <w:r w:rsidRPr="004177E0">
              <w:rPr>
                <w:u w:val="single"/>
              </w:rPr>
              <w:t>Estimated Resident Population</w:t>
            </w:r>
            <w:r>
              <w:t xml:space="preserve"> (ERP) for total population. </w:t>
            </w:r>
            <w:r w:rsidR="00AD222D">
              <w:t xml:space="preserve">ABS </w:t>
            </w:r>
            <w:r w:rsidRPr="004177E0">
              <w:rPr>
                <w:u w:val="single"/>
              </w:rPr>
              <w:t>Estimates and Projections</w:t>
            </w:r>
            <w:r>
              <w:t xml:space="preserve"> for </w:t>
            </w:r>
            <w:r w:rsidR="003A624B">
              <w:t>Aboriginal and Torres Strait Islander</w:t>
            </w:r>
            <w:r>
              <w:t xml:space="preserve"> population. Non-Indigenous population estimates are calculated by subtracting </w:t>
            </w:r>
            <w:r w:rsidR="00D12D13">
              <w:t xml:space="preserve">Aboriginal and Torres Strait Islander </w:t>
            </w:r>
            <w:r>
              <w:t xml:space="preserve">population projections from the total population estimates. </w:t>
            </w:r>
            <w:r w:rsidRPr="002F0DB5">
              <w:t xml:space="preserve">For comparisons of </w:t>
            </w:r>
            <w:r w:rsidR="003A624B">
              <w:t xml:space="preserve">Aboriginal and Torres Strait Islander </w:t>
            </w:r>
            <w:r w:rsidRPr="002F0DB5">
              <w:t>and non-Indigenous populations, all data will be 20</w:t>
            </w:r>
            <w:r>
              <w:t>11</w:t>
            </w:r>
            <w:r w:rsidRPr="002F0DB5">
              <w:t xml:space="preserve"> Census based.</w:t>
            </w:r>
          </w:p>
        </w:tc>
      </w:tr>
      <w:tr w:rsidR="004F00F4" w:rsidRPr="00D87AA9" w14:paraId="1526CFE2" w14:textId="77777777" w:rsidTr="00680847">
        <w:tc>
          <w:tcPr>
            <w:tcW w:w="1985" w:type="dxa"/>
            <w:shd w:val="clear" w:color="auto" w:fill="auto"/>
          </w:tcPr>
          <w:p w14:paraId="0D86332D" w14:textId="3783EF65" w:rsidR="004F00F4" w:rsidRPr="00D87AA9" w:rsidRDefault="004F00F4" w:rsidP="00C625E8">
            <w:pPr>
              <w:pStyle w:val="TableBodyText"/>
              <w:spacing w:before="80"/>
              <w:jc w:val="left"/>
            </w:pPr>
            <w:r w:rsidRPr="00D87AA9">
              <w:t xml:space="preserve">Data </w:t>
            </w:r>
            <w:r w:rsidR="00C625E8">
              <w:t>provider:</w:t>
            </w:r>
          </w:p>
        </w:tc>
        <w:tc>
          <w:tcPr>
            <w:tcW w:w="6804" w:type="dxa"/>
            <w:shd w:val="clear" w:color="auto" w:fill="auto"/>
          </w:tcPr>
          <w:p w14:paraId="706606FB" w14:textId="77777777" w:rsidR="004F00F4" w:rsidRPr="00D87AA9" w:rsidRDefault="004F00F4" w:rsidP="00C625E8">
            <w:pPr>
              <w:pStyle w:val="TableBodyText"/>
              <w:spacing w:before="80"/>
              <w:jc w:val="left"/>
            </w:pPr>
            <w:r w:rsidRPr="00BF614C">
              <w:t>ABS</w:t>
            </w:r>
          </w:p>
        </w:tc>
      </w:tr>
      <w:tr w:rsidR="004F00F4" w:rsidRPr="00D87AA9" w14:paraId="718FA129" w14:textId="77777777" w:rsidTr="00680847">
        <w:tc>
          <w:tcPr>
            <w:tcW w:w="1985" w:type="dxa"/>
            <w:shd w:val="clear" w:color="auto" w:fill="auto"/>
          </w:tcPr>
          <w:p w14:paraId="0D01DEF5" w14:textId="77777777" w:rsidR="004F00F4" w:rsidRPr="00D87AA9" w:rsidRDefault="004F00F4" w:rsidP="00C625E8">
            <w:pPr>
              <w:pStyle w:val="TableBodyText"/>
              <w:spacing w:before="80"/>
              <w:jc w:val="left"/>
            </w:pPr>
            <w:r w:rsidRPr="00D87AA9">
              <w:t>Data availability:</w:t>
            </w:r>
          </w:p>
          <w:p w14:paraId="1BD305EB" w14:textId="77777777" w:rsidR="004F00F4" w:rsidRPr="00D87AA9" w:rsidRDefault="004F00F4" w:rsidP="00680847">
            <w:pPr>
              <w:pStyle w:val="TableBodyText"/>
              <w:jc w:val="left"/>
            </w:pPr>
          </w:p>
        </w:tc>
        <w:tc>
          <w:tcPr>
            <w:tcW w:w="6804" w:type="dxa"/>
            <w:shd w:val="clear" w:color="auto" w:fill="auto"/>
          </w:tcPr>
          <w:p w14:paraId="0996C298" w14:textId="3A34FC3A" w:rsidR="00AA4682" w:rsidRDefault="00AA4682" w:rsidP="00C625E8">
            <w:pPr>
              <w:pStyle w:val="TableBodyText"/>
              <w:spacing w:before="80"/>
              <w:jc w:val="left"/>
            </w:pPr>
            <w:r>
              <w:t>201</w:t>
            </w:r>
            <w:r w:rsidR="00E3796E">
              <w:t>7</w:t>
            </w:r>
            <w:r>
              <w:t xml:space="preserve"> — Death registrations</w:t>
            </w:r>
          </w:p>
          <w:p w14:paraId="4E857969" w14:textId="4FAAB8C8" w:rsidR="004F00F4" w:rsidRPr="00D87AA9" w:rsidRDefault="00AA4682" w:rsidP="00487656">
            <w:pPr>
              <w:pStyle w:val="TableBodyText"/>
              <w:jc w:val="left"/>
            </w:pPr>
            <w:r>
              <w:t xml:space="preserve">30 June </w:t>
            </w:r>
            <w:r w:rsidR="00487656">
              <w:t xml:space="preserve">2017 </w:t>
            </w:r>
            <w:r>
              <w:t>(based on 2011 Census) — Population data</w:t>
            </w:r>
          </w:p>
        </w:tc>
      </w:tr>
      <w:tr w:rsidR="004F00F4" w:rsidRPr="00D87AA9" w14:paraId="1B760370" w14:textId="77777777" w:rsidTr="00680847">
        <w:tc>
          <w:tcPr>
            <w:tcW w:w="1985" w:type="dxa"/>
            <w:shd w:val="clear" w:color="auto" w:fill="auto"/>
          </w:tcPr>
          <w:p w14:paraId="18932886" w14:textId="6B97DC3F" w:rsidR="004F00F4" w:rsidRPr="00D87AA9" w:rsidRDefault="004F00F4" w:rsidP="00C625E8">
            <w:pPr>
              <w:pStyle w:val="TableBodyText"/>
              <w:spacing w:before="80"/>
              <w:jc w:val="left"/>
            </w:pPr>
            <w:r w:rsidRPr="00D87AA9">
              <w:t>Baseline:</w:t>
            </w:r>
          </w:p>
        </w:tc>
        <w:tc>
          <w:tcPr>
            <w:tcW w:w="6804" w:type="dxa"/>
            <w:shd w:val="clear" w:color="auto" w:fill="auto"/>
          </w:tcPr>
          <w:p w14:paraId="60864E48" w14:textId="77777777" w:rsidR="004F00F4" w:rsidRPr="00D87AA9" w:rsidRDefault="004F00F4" w:rsidP="00C625E8">
            <w:pPr>
              <w:pStyle w:val="TableBodyText"/>
              <w:spacing w:before="80"/>
              <w:jc w:val="left"/>
            </w:pPr>
            <w:r w:rsidRPr="00BF614C">
              <w:t>The baseline for the target is 2008</w:t>
            </w:r>
          </w:p>
        </w:tc>
      </w:tr>
      <w:tr w:rsidR="004F00F4" w:rsidRPr="00D87AA9" w14:paraId="39D2984B" w14:textId="77777777" w:rsidTr="00680847">
        <w:tc>
          <w:tcPr>
            <w:tcW w:w="1985" w:type="dxa"/>
            <w:shd w:val="clear" w:color="auto" w:fill="auto"/>
          </w:tcPr>
          <w:p w14:paraId="196EAD04" w14:textId="77777777" w:rsidR="004F00F4" w:rsidRPr="00D87AA9" w:rsidRDefault="004F00F4" w:rsidP="00C625E8">
            <w:pPr>
              <w:pStyle w:val="TableBodyText"/>
              <w:spacing w:before="80"/>
              <w:jc w:val="left"/>
            </w:pPr>
            <w:r w:rsidRPr="00D87AA9">
              <w:t>Cross tabulations provided:</w:t>
            </w:r>
          </w:p>
        </w:tc>
        <w:tc>
          <w:tcPr>
            <w:tcW w:w="6804" w:type="dxa"/>
            <w:shd w:val="clear" w:color="auto" w:fill="auto"/>
          </w:tcPr>
          <w:p w14:paraId="45F03750" w14:textId="77777777" w:rsidR="004F00F4" w:rsidRDefault="004F00F4" w:rsidP="00C625E8">
            <w:pPr>
              <w:pStyle w:val="TableBodyText"/>
              <w:spacing w:before="80"/>
              <w:jc w:val="left"/>
            </w:pPr>
            <w:r>
              <w:t>(Single year) National</w:t>
            </w:r>
            <w:r w:rsidR="00A26485">
              <w:t xml:space="preserve"> (NSW, Queensland, WA, SA and the NT combined)</w:t>
            </w:r>
            <w:r>
              <w:t xml:space="preserve">, by: </w:t>
            </w:r>
          </w:p>
          <w:p w14:paraId="6DC5015F" w14:textId="051444D2" w:rsidR="004F00F4" w:rsidRPr="00D87AA9" w:rsidRDefault="004F00F4" w:rsidP="00411F19">
            <w:pPr>
              <w:pStyle w:val="TableBodyText"/>
              <w:jc w:val="left"/>
            </w:pPr>
            <w:r>
              <w:t>Indigenous status</w:t>
            </w:r>
          </w:p>
        </w:tc>
      </w:tr>
    </w:tbl>
    <w:p w14:paraId="5F29359C" w14:textId="77777777" w:rsidR="004F00F4" w:rsidRDefault="004F00F4" w:rsidP="00411F19">
      <w:pPr>
        <w:pStyle w:val="BoxSpaceAbove"/>
        <w:spacing w:before="120"/>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068C4053" w14:textId="77777777" w:rsidTr="008F5A63">
        <w:tc>
          <w:tcPr>
            <w:tcW w:w="8789" w:type="dxa"/>
            <w:tcBorders>
              <w:top w:val="single" w:sz="6" w:space="0" w:color="78A22F"/>
              <w:left w:val="nil"/>
              <w:bottom w:val="nil"/>
              <w:right w:val="nil"/>
            </w:tcBorders>
            <w:shd w:val="clear" w:color="auto" w:fill="F2F2F2"/>
          </w:tcPr>
          <w:p w14:paraId="4AFA7CA2" w14:textId="6FD4EBBD" w:rsidR="004F00F4" w:rsidRDefault="004F00F4" w:rsidP="004C71ED">
            <w:pPr>
              <w:pStyle w:val="BoxTitle"/>
            </w:pPr>
            <w:r>
              <w:rPr>
                <w:b w:val="0"/>
              </w:rPr>
              <w:t xml:space="preserve">Box </w:t>
            </w:r>
            <w:r w:rsidR="004C71ED">
              <w:rPr>
                <w:b w:val="0"/>
              </w:rPr>
              <w:t>4</w:t>
            </w:r>
            <w:r>
              <w:tab/>
              <w:t>Results</w:t>
            </w:r>
          </w:p>
        </w:tc>
      </w:tr>
      <w:tr w:rsidR="004F00F4" w:rsidRPr="00DE42B9" w14:paraId="47E9CA6E" w14:textId="77777777" w:rsidTr="008F5A63">
        <w:trPr>
          <w:cantSplit/>
        </w:trPr>
        <w:tc>
          <w:tcPr>
            <w:tcW w:w="8789" w:type="dxa"/>
            <w:tcBorders>
              <w:top w:val="nil"/>
              <w:left w:val="nil"/>
              <w:bottom w:val="nil"/>
              <w:right w:val="nil"/>
            </w:tcBorders>
            <w:shd w:val="clear" w:color="auto" w:fill="F2F2F2"/>
          </w:tcPr>
          <w:p w14:paraId="4D8C7217" w14:textId="6E956DCA" w:rsidR="004F00F4" w:rsidRPr="00DE42B9" w:rsidRDefault="004F00F4" w:rsidP="004F00F4">
            <w:pPr>
              <w:pStyle w:val="Box"/>
            </w:pPr>
            <w:r w:rsidRPr="00DE42B9">
              <w:t xml:space="preserve">For this report, new data </w:t>
            </w:r>
            <w:r w:rsidR="005134CB">
              <w:t xml:space="preserve">for this target are </w:t>
            </w:r>
            <w:r w:rsidRPr="00DE42B9">
              <w:t xml:space="preserve">available for </w:t>
            </w:r>
            <w:r w:rsidR="00487656" w:rsidRPr="00DE42B9">
              <w:t>201</w:t>
            </w:r>
            <w:r w:rsidR="00487656">
              <w:t>7</w:t>
            </w:r>
            <w:r w:rsidR="00B4024D">
              <w:t>.</w:t>
            </w:r>
          </w:p>
          <w:p w14:paraId="2001B034" w14:textId="77777777" w:rsidR="004F00F4" w:rsidRPr="002518B5" w:rsidRDefault="004F00F4" w:rsidP="00973286">
            <w:pPr>
              <w:pStyle w:val="BoxListBullet"/>
            </w:pPr>
            <w:r w:rsidRPr="00DE42B9">
              <w:t xml:space="preserve">Data for single year mortality rates are presented in table </w:t>
            </w:r>
            <w:proofErr w:type="spellStart"/>
            <w:r w:rsidRPr="00DE42B9">
              <w:t>NIRA.6.</w:t>
            </w:r>
            <w:r w:rsidRPr="002518B5">
              <w:t>1</w:t>
            </w:r>
            <w:proofErr w:type="spellEnd"/>
            <w:r w:rsidRPr="002518B5">
              <w:t>.</w:t>
            </w:r>
          </w:p>
          <w:p w14:paraId="12EB86C2" w14:textId="615E6F64" w:rsidR="00411F19" w:rsidRDefault="002E49DE" w:rsidP="00411F19">
            <w:pPr>
              <w:pStyle w:val="Box"/>
            </w:pPr>
            <w:r>
              <w:t xml:space="preserve">Data for 2016 are available in the 2016-17 </w:t>
            </w:r>
            <w:proofErr w:type="spellStart"/>
            <w:r>
              <w:t>NIRA</w:t>
            </w:r>
            <w:proofErr w:type="spellEnd"/>
            <w:r>
              <w:t xml:space="preserve"> performance report. </w:t>
            </w:r>
            <w:r w:rsidR="009F2BBC">
              <w:t xml:space="preserve">Data for </w:t>
            </w:r>
            <w:r w:rsidR="00D80B68">
              <w:t xml:space="preserve">2015 are available in the 2015-16 </w:t>
            </w:r>
            <w:proofErr w:type="spellStart"/>
            <w:r w:rsidR="00F555B6">
              <w:t>NIRA</w:t>
            </w:r>
            <w:proofErr w:type="spellEnd"/>
            <w:r w:rsidR="00F555B6">
              <w:t xml:space="preserve"> performance report</w:t>
            </w:r>
            <w:r w:rsidR="00D80B68">
              <w:t xml:space="preserve"> Data for </w:t>
            </w:r>
            <w:r w:rsidR="00F531B9">
              <w:t xml:space="preserve">2014, 2013 and </w:t>
            </w:r>
            <w:r w:rsidR="000B640B">
              <w:t>2012</w:t>
            </w:r>
            <w:r w:rsidR="009F2BBC">
              <w:t xml:space="preserve"> are available in the 2014-15 </w:t>
            </w:r>
            <w:proofErr w:type="spellStart"/>
            <w:r w:rsidR="00F555B6">
              <w:t>NIRA</w:t>
            </w:r>
            <w:proofErr w:type="spellEnd"/>
            <w:r w:rsidR="00F555B6">
              <w:t xml:space="preserve"> performance report</w:t>
            </w:r>
            <w:r w:rsidR="000B640B">
              <w:t>. Data for 2011, 2010, 2009, 2008, 2007 and 2006 are availa</w:t>
            </w:r>
            <w:r w:rsidR="00411F19">
              <w:t xml:space="preserve">ble in the 2013-14 </w:t>
            </w:r>
            <w:proofErr w:type="spellStart"/>
            <w:r w:rsidR="00F555B6">
              <w:t>NIRA</w:t>
            </w:r>
            <w:proofErr w:type="spellEnd"/>
            <w:r w:rsidR="00F555B6">
              <w:t xml:space="preserve"> performance report</w:t>
            </w:r>
            <w:r w:rsidR="00411F19">
              <w:t xml:space="preserve">. </w:t>
            </w:r>
          </w:p>
          <w:p w14:paraId="2DFC6CE1" w14:textId="709D7D17" w:rsidR="004F00F4" w:rsidRPr="00DE42B9" w:rsidRDefault="004F00F4" w:rsidP="00411F19">
            <w:pPr>
              <w:pStyle w:val="Box"/>
            </w:pPr>
            <w:r w:rsidRPr="00DE42B9">
              <w:t>Additional data are available</w:t>
            </w:r>
            <w:r w:rsidR="00973286">
              <w:t xml:space="preserve"> under performance indicator 6.</w:t>
            </w:r>
          </w:p>
        </w:tc>
      </w:tr>
      <w:tr w:rsidR="004F00F4" w14:paraId="170BDAAC" w14:textId="77777777" w:rsidTr="008F5A63">
        <w:trPr>
          <w:cantSplit/>
        </w:trPr>
        <w:tc>
          <w:tcPr>
            <w:tcW w:w="8789" w:type="dxa"/>
            <w:tcBorders>
              <w:top w:val="nil"/>
              <w:left w:val="nil"/>
              <w:bottom w:val="single" w:sz="6" w:space="0" w:color="78A22F"/>
              <w:right w:val="nil"/>
            </w:tcBorders>
            <w:shd w:val="clear" w:color="auto" w:fill="F2F2F2"/>
          </w:tcPr>
          <w:p w14:paraId="6F07BDDE" w14:textId="77777777" w:rsidR="004F00F4" w:rsidRDefault="004F00F4">
            <w:pPr>
              <w:pStyle w:val="Box"/>
              <w:spacing w:before="0" w:line="120" w:lineRule="exact"/>
            </w:pPr>
          </w:p>
        </w:tc>
      </w:tr>
      <w:tr w:rsidR="004F00F4" w:rsidRPr="000863A5" w14:paraId="2E0B3AE6" w14:textId="77777777" w:rsidTr="008F5A63">
        <w:tc>
          <w:tcPr>
            <w:tcW w:w="8789" w:type="dxa"/>
            <w:tcBorders>
              <w:top w:val="single" w:sz="6" w:space="0" w:color="78A22F"/>
              <w:left w:val="nil"/>
              <w:bottom w:val="nil"/>
              <w:right w:val="nil"/>
            </w:tcBorders>
          </w:tcPr>
          <w:p w14:paraId="3CD0B70D" w14:textId="77777777" w:rsidR="004F00F4" w:rsidRPr="00626D32" w:rsidRDefault="004F00F4" w:rsidP="00680847">
            <w:pPr>
              <w:pStyle w:val="BoxSpaceBelow"/>
            </w:pPr>
          </w:p>
        </w:tc>
      </w:tr>
    </w:tbl>
    <w:p w14:paraId="7FDF66D6" w14:textId="77777777" w:rsidR="004F00F4" w:rsidRDefault="004F00F4" w:rsidP="00411F19">
      <w:pPr>
        <w:pStyle w:val="BoxSpaceAbove"/>
        <w:spacing w:before="240"/>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1A9D2F26" w14:textId="77777777" w:rsidTr="008F5A63">
        <w:tc>
          <w:tcPr>
            <w:tcW w:w="8789" w:type="dxa"/>
            <w:tcBorders>
              <w:top w:val="single" w:sz="6" w:space="0" w:color="78A22F"/>
              <w:left w:val="nil"/>
              <w:bottom w:val="nil"/>
              <w:right w:val="nil"/>
            </w:tcBorders>
            <w:shd w:val="clear" w:color="auto" w:fill="F2F2F2"/>
          </w:tcPr>
          <w:p w14:paraId="3879256A" w14:textId="75A1C03C" w:rsidR="004F00F4" w:rsidRDefault="004F00F4" w:rsidP="004C71ED">
            <w:pPr>
              <w:pStyle w:val="BoxTitle"/>
            </w:pPr>
            <w:r>
              <w:rPr>
                <w:b w:val="0"/>
              </w:rPr>
              <w:t xml:space="preserve">Box </w:t>
            </w:r>
            <w:r w:rsidR="004C71ED">
              <w:rPr>
                <w:b w:val="0"/>
              </w:rPr>
              <w:t>5</w:t>
            </w:r>
            <w:r>
              <w:tab/>
              <w:t>Comment on data quality</w:t>
            </w:r>
          </w:p>
        </w:tc>
      </w:tr>
      <w:tr w:rsidR="004F00F4" w14:paraId="2EB8CA21" w14:textId="77777777" w:rsidTr="008F5A63">
        <w:trPr>
          <w:cantSplit/>
        </w:trPr>
        <w:tc>
          <w:tcPr>
            <w:tcW w:w="8789" w:type="dxa"/>
            <w:tcBorders>
              <w:top w:val="nil"/>
              <w:left w:val="nil"/>
              <w:bottom w:val="nil"/>
              <w:right w:val="nil"/>
            </w:tcBorders>
            <w:shd w:val="clear" w:color="auto" w:fill="F2F2F2"/>
          </w:tcPr>
          <w:p w14:paraId="1B267DE7" w14:textId="77777777" w:rsidR="004F00F4" w:rsidRDefault="004F00F4" w:rsidP="00680847">
            <w:pPr>
              <w:pStyle w:val="Box"/>
            </w:pPr>
            <w:r w:rsidRPr="001B1BB8">
              <w:t>Details are included in the comment on data quality for performance indicator 6.</w:t>
            </w:r>
          </w:p>
        </w:tc>
      </w:tr>
      <w:tr w:rsidR="004F00F4" w14:paraId="66995436" w14:textId="77777777" w:rsidTr="008F5A63">
        <w:trPr>
          <w:cantSplit/>
        </w:trPr>
        <w:tc>
          <w:tcPr>
            <w:tcW w:w="8789" w:type="dxa"/>
            <w:tcBorders>
              <w:top w:val="nil"/>
              <w:left w:val="nil"/>
              <w:bottom w:val="single" w:sz="6" w:space="0" w:color="78A22F"/>
              <w:right w:val="nil"/>
            </w:tcBorders>
            <w:shd w:val="clear" w:color="auto" w:fill="F2F2F2"/>
          </w:tcPr>
          <w:p w14:paraId="022F2B35" w14:textId="77777777" w:rsidR="004F00F4" w:rsidRDefault="004F00F4">
            <w:pPr>
              <w:pStyle w:val="Box"/>
              <w:spacing w:before="0" w:line="120" w:lineRule="exact"/>
            </w:pPr>
          </w:p>
        </w:tc>
      </w:tr>
      <w:tr w:rsidR="004F00F4" w:rsidRPr="000863A5" w14:paraId="7F33E0A5" w14:textId="77777777" w:rsidTr="008F5A63">
        <w:tc>
          <w:tcPr>
            <w:tcW w:w="8789" w:type="dxa"/>
            <w:tcBorders>
              <w:top w:val="single" w:sz="6" w:space="0" w:color="78A22F"/>
              <w:left w:val="nil"/>
              <w:bottom w:val="nil"/>
              <w:right w:val="nil"/>
            </w:tcBorders>
          </w:tcPr>
          <w:p w14:paraId="23409228" w14:textId="77777777" w:rsidR="004F00F4" w:rsidRPr="00626D32" w:rsidRDefault="004F00F4" w:rsidP="00680847">
            <w:pPr>
              <w:pStyle w:val="BoxSpaceBelow"/>
            </w:pPr>
          </w:p>
        </w:tc>
      </w:tr>
    </w:tbl>
    <w:p w14:paraId="5B3EE90D" w14:textId="0E44AA82" w:rsidR="00701439" w:rsidRDefault="004F00F4" w:rsidP="008F5A63">
      <w:pPr>
        <w:pStyle w:val="Heading3"/>
        <w:spacing w:after="120"/>
        <w:rPr>
          <w:b w:val="0"/>
          <w:sz w:val="18"/>
          <w:szCs w:val="18"/>
        </w:rPr>
      </w:pPr>
      <w:r w:rsidRPr="00D87AA9">
        <w:lastRenderedPageBreak/>
        <w:t xml:space="preserve">Performance target (c) — </w:t>
      </w:r>
      <w:r w:rsidR="00EC4922">
        <w:t>95 per cent of all Indigenous four-year olds enrolled in early c</w:t>
      </w:r>
      <w:r w:rsidR="00EC4922" w:rsidRPr="00C454A6">
        <w:t>hildhood education (by 2025)</w:t>
      </w:r>
      <w:r w:rsidR="00673682" w:rsidRPr="00C454A6">
        <w:rPr>
          <w:b w:val="0"/>
          <w:sz w:val="18"/>
          <w:szCs w:val="18"/>
        </w:rPr>
        <w:t xml:space="preserve"> </w:t>
      </w:r>
    </w:p>
    <w:tbl>
      <w:tblPr>
        <w:tblW w:w="0" w:type="auto"/>
        <w:tblCellMar>
          <w:left w:w="0" w:type="dxa"/>
          <w:right w:w="0" w:type="dxa"/>
        </w:tblCellMar>
        <w:tblLook w:val="0000" w:firstRow="0" w:lastRow="0" w:firstColumn="0" w:lastColumn="0" w:noHBand="0" w:noVBand="0"/>
      </w:tblPr>
      <w:tblGrid>
        <w:gridCol w:w="1985"/>
        <w:gridCol w:w="6804"/>
      </w:tblGrid>
      <w:tr w:rsidR="0077722E" w:rsidRPr="00C454A6" w14:paraId="639BC4DE" w14:textId="77777777" w:rsidTr="007F3549">
        <w:tc>
          <w:tcPr>
            <w:tcW w:w="1985" w:type="dxa"/>
          </w:tcPr>
          <w:p w14:paraId="3704577A" w14:textId="31B27370" w:rsidR="0077722E" w:rsidRPr="00C454A6" w:rsidRDefault="0077722E" w:rsidP="007F3549">
            <w:pPr>
              <w:pStyle w:val="TableBodyText"/>
              <w:jc w:val="left"/>
            </w:pPr>
            <w:r w:rsidRPr="00C454A6">
              <w:t>Key amendments from previous cycle of reporting:</w:t>
            </w:r>
          </w:p>
        </w:tc>
        <w:tc>
          <w:tcPr>
            <w:tcW w:w="6804" w:type="dxa"/>
          </w:tcPr>
          <w:p w14:paraId="3C9CBA16" w14:textId="635329D7" w:rsidR="0077722E" w:rsidRPr="00C454A6" w:rsidRDefault="00D80B68" w:rsidP="008D6A10">
            <w:pPr>
              <w:pStyle w:val="TableBodyText"/>
              <w:jc w:val="left"/>
            </w:pPr>
            <w:r w:rsidRPr="00994C99">
              <w:t xml:space="preserve">This target is unchanged from the previous </w:t>
            </w:r>
            <w:proofErr w:type="spellStart"/>
            <w:r w:rsidR="00F555B6">
              <w:t>NIRA</w:t>
            </w:r>
            <w:proofErr w:type="spellEnd"/>
            <w:r w:rsidR="00F555B6">
              <w:t xml:space="preserve"> performance report</w:t>
            </w:r>
            <w:r w:rsidRPr="00994C99">
              <w:t>.</w:t>
            </w:r>
          </w:p>
        </w:tc>
      </w:tr>
      <w:tr w:rsidR="0077722E" w:rsidRPr="00C454A6" w14:paraId="77DE78CB" w14:textId="77777777" w:rsidTr="007F3549">
        <w:tc>
          <w:tcPr>
            <w:tcW w:w="1985" w:type="dxa"/>
          </w:tcPr>
          <w:p w14:paraId="69DC618C" w14:textId="77777777" w:rsidR="0077722E" w:rsidRPr="00C454A6" w:rsidRDefault="0077722E" w:rsidP="00C625E8">
            <w:pPr>
              <w:pStyle w:val="TableBodyText"/>
              <w:spacing w:before="80"/>
              <w:jc w:val="left"/>
            </w:pPr>
            <w:r w:rsidRPr="00C454A6">
              <w:t>Outcome:</w:t>
            </w:r>
          </w:p>
        </w:tc>
        <w:tc>
          <w:tcPr>
            <w:tcW w:w="6804" w:type="dxa"/>
            <w:shd w:val="clear" w:color="auto" w:fill="auto"/>
          </w:tcPr>
          <w:p w14:paraId="2E43BE0B" w14:textId="65CB254C" w:rsidR="0077722E" w:rsidRPr="00C454A6" w:rsidRDefault="0077722E" w:rsidP="00C625E8">
            <w:pPr>
              <w:pStyle w:val="TableBodyText"/>
              <w:spacing w:before="80"/>
              <w:jc w:val="left"/>
            </w:pPr>
            <w:r w:rsidRPr="00C454A6">
              <w:t>The aim of this target is that 95 per cent of all Indigenous four-year-olds are enrolled in earl</w:t>
            </w:r>
            <w:r w:rsidR="00C625E8">
              <w:t>y childhood education (by 2025)</w:t>
            </w:r>
          </w:p>
        </w:tc>
      </w:tr>
      <w:tr w:rsidR="0077722E" w:rsidRPr="00C454A6" w14:paraId="63842517" w14:textId="77777777" w:rsidTr="007F3549">
        <w:tc>
          <w:tcPr>
            <w:tcW w:w="1985" w:type="dxa"/>
          </w:tcPr>
          <w:p w14:paraId="2CCD0AEB" w14:textId="77777777" w:rsidR="0077722E" w:rsidRPr="00C454A6" w:rsidRDefault="0077722E" w:rsidP="00C625E8">
            <w:pPr>
              <w:pStyle w:val="TableBodyText"/>
              <w:spacing w:before="80"/>
              <w:jc w:val="left"/>
            </w:pPr>
            <w:r w:rsidRPr="00C454A6">
              <w:t xml:space="preserve">Measures: </w:t>
            </w:r>
          </w:p>
          <w:p w14:paraId="5128A6EC" w14:textId="77777777" w:rsidR="0077722E" w:rsidRPr="00C454A6" w:rsidRDefault="0077722E" w:rsidP="007F3549">
            <w:pPr>
              <w:keepNext/>
              <w:keepLines/>
              <w:spacing w:after="40" w:line="220" w:lineRule="atLeast"/>
              <w:ind w:left="6" w:right="113"/>
              <w:rPr>
                <w:rFonts w:ascii="Arial" w:hAnsi="Arial"/>
                <w:sz w:val="18"/>
                <w:szCs w:val="18"/>
              </w:rPr>
            </w:pPr>
          </w:p>
        </w:tc>
        <w:tc>
          <w:tcPr>
            <w:tcW w:w="6804" w:type="dxa"/>
          </w:tcPr>
          <w:p w14:paraId="1F988580" w14:textId="77777777" w:rsidR="0077722E" w:rsidRPr="00C454A6" w:rsidRDefault="0077722E" w:rsidP="00C625E8">
            <w:pPr>
              <w:pStyle w:val="TableBodyText"/>
              <w:spacing w:before="80"/>
              <w:jc w:val="left"/>
            </w:pPr>
            <w:r w:rsidRPr="00C454A6">
              <w:t>There are two measures for this target:</w:t>
            </w:r>
          </w:p>
          <w:p w14:paraId="58998A66" w14:textId="77777777" w:rsidR="0077722E" w:rsidRPr="00C454A6" w:rsidRDefault="0077722E" w:rsidP="00C625E8">
            <w:pPr>
              <w:pStyle w:val="TableBodyText"/>
              <w:spacing w:before="80"/>
              <w:jc w:val="left"/>
            </w:pPr>
            <w:r w:rsidRPr="00C454A6">
              <w:rPr>
                <w:u w:val="single"/>
              </w:rPr>
              <w:t>Main measure</w:t>
            </w:r>
            <w:r w:rsidRPr="00C454A6">
              <w:t>:</w:t>
            </w:r>
          </w:p>
          <w:p w14:paraId="155F5F45" w14:textId="77777777" w:rsidR="0077722E" w:rsidRPr="00C454A6" w:rsidRDefault="0077722E" w:rsidP="007F3549">
            <w:pPr>
              <w:pStyle w:val="TableBodyText"/>
              <w:jc w:val="left"/>
            </w:pPr>
            <w:r w:rsidRPr="00C454A6">
              <w:t xml:space="preserve">Measure (a): the proportion of children enrolled in a preschool program in the year before full time schooling. </w:t>
            </w:r>
          </w:p>
          <w:p w14:paraId="742B4F2F" w14:textId="77777777" w:rsidR="0077722E" w:rsidRPr="00C454A6" w:rsidRDefault="0077722E" w:rsidP="00C625E8">
            <w:pPr>
              <w:pStyle w:val="TableBodyText"/>
              <w:spacing w:before="80"/>
              <w:jc w:val="left"/>
            </w:pPr>
            <w:r w:rsidRPr="00C454A6">
              <w:t>The measure is defined as</w:t>
            </w:r>
          </w:p>
          <w:p w14:paraId="3C89C372" w14:textId="77777777" w:rsidR="0077722E" w:rsidRPr="00C454A6" w:rsidRDefault="0077722E" w:rsidP="007F3549">
            <w:pPr>
              <w:pStyle w:val="TableBullet"/>
              <w:spacing w:line="220" w:lineRule="atLeast"/>
              <w:rPr>
                <w:szCs w:val="18"/>
              </w:rPr>
            </w:pPr>
            <w:r w:rsidRPr="00C454A6">
              <w:rPr>
                <w:i/>
                <w:szCs w:val="18"/>
              </w:rPr>
              <w:t>Numerator</w:t>
            </w:r>
            <w:r w:rsidRPr="00C454A6">
              <w:rPr>
                <w:szCs w:val="18"/>
              </w:rPr>
              <w:t xml:space="preserve"> – Estimated number of children enrolled in a preschool program in the year before full time schooling</w:t>
            </w:r>
          </w:p>
          <w:p w14:paraId="0C1BD28B" w14:textId="77777777" w:rsidR="0077722E" w:rsidRPr="00C454A6" w:rsidRDefault="0077722E" w:rsidP="007F3549">
            <w:pPr>
              <w:pStyle w:val="TableBullet"/>
              <w:spacing w:line="220" w:lineRule="atLeast"/>
              <w:rPr>
                <w:szCs w:val="18"/>
              </w:rPr>
            </w:pPr>
            <w:r w:rsidRPr="00C454A6">
              <w:rPr>
                <w:i/>
                <w:szCs w:val="18"/>
              </w:rPr>
              <w:t>Denominator</w:t>
            </w:r>
            <w:r w:rsidRPr="00C454A6">
              <w:rPr>
                <w:szCs w:val="18"/>
              </w:rPr>
              <w:t xml:space="preserve"> – Estimated number of children in the year before full time school (based on adjusted potential population* age in months relating to school starting provisions in each state/territory).</w:t>
            </w:r>
          </w:p>
          <w:p w14:paraId="2268E814" w14:textId="77777777" w:rsidR="0077722E" w:rsidRPr="00C454A6" w:rsidRDefault="0077722E" w:rsidP="007F3549">
            <w:pPr>
              <w:pStyle w:val="TableBullet"/>
              <w:numPr>
                <w:ilvl w:val="0"/>
                <w:numId w:val="0"/>
              </w:numPr>
              <w:ind w:left="6"/>
              <w:rPr>
                <w:szCs w:val="18"/>
              </w:rPr>
            </w:pPr>
            <w:r w:rsidRPr="00C454A6">
              <w:rPr>
                <w:szCs w:val="18"/>
              </w:rPr>
              <w:t>presented as a percentage.</w:t>
            </w:r>
          </w:p>
          <w:p w14:paraId="7212E88F" w14:textId="77777777" w:rsidR="0077722E" w:rsidRDefault="0077722E" w:rsidP="007F3549">
            <w:pPr>
              <w:pStyle w:val="TableBodyText"/>
              <w:jc w:val="left"/>
            </w:pPr>
            <w:r w:rsidRPr="00C454A6">
              <w:t>*Potential population: see specifications for performance indicator 10 measure (a) for information on the calculation of the potential population, and additional counting rules for</w:t>
            </w:r>
            <w:r w:rsidR="00C625E8">
              <w:t xml:space="preserve"> the numerator and denominator.</w:t>
            </w:r>
          </w:p>
          <w:p w14:paraId="66BFE25E" w14:textId="77777777" w:rsidR="00C625E8" w:rsidRPr="005A3036" w:rsidRDefault="00C625E8" w:rsidP="00C625E8">
            <w:pPr>
              <w:pStyle w:val="TableBodyText"/>
              <w:jc w:val="left"/>
              <w:rPr>
                <w:u w:val="single"/>
              </w:rPr>
            </w:pPr>
            <w:r w:rsidRPr="005A3036">
              <w:rPr>
                <w:u w:val="single"/>
              </w:rPr>
              <w:t xml:space="preserve">Supplementary measure: </w:t>
            </w:r>
          </w:p>
          <w:p w14:paraId="6A5C276F" w14:textId="77777777" w:rsidR="00C625E8" w:rsidRPr="00C625E8" w:rsidRDefault="00C625E8" w:rsidP="00C625E8">
            <w:pPr>
              <w:pStyle w:val="TableBodyText"/>
              <w:jc w:val="left"/>
            </w:pPr>
            <w:r w:rsidRPr="00C454A6">
              <w:t>Measure (b): the proportion of children attending a preschool program in the ye</w:t>
            </w:r>
            <w:r>
              <w:t xml:space="preserve">ar before full time schooling. </w:t>
            </w:r>
          </w:p>
          <w:p w14:paraId="6C61ADC1" w14:textId="77777777" w:rsidR="00C625E8" w:rsidRPr="00C454A6" w:rsidRDefault="00C625E8" w:rsidP="00C625E8">
            <w:pPr>
              <w:pStyle w:val="TableBodyText"/>
              <w:spacing w:before="80"/>
              <w:jc w:val="left"/>
            </w:pPr>
            <w:r w:rsidRPr="00C454A6">
              <w:t>The measure is defined as:</w:t>
            </w:r>
          </w:p>
          <w:p w14:paraId="7A53BC8C" w14:textId="77777777" w:rsidR="00C625E8" w:rsidRPr="00C454A6" w:rsidRDefault="00C625E8" w:rsidP="00C625E8">
            <w:pPr>
              <w:pStyle w:val="TableBullet"/>
            </w:pPr>
            <w:r w:rsidRPr="00C454A6">
              <w:rPr>
                <w:i/>
              </w:rPr>
              <w:t>Numerator</w:t>
            </w:r>
            <w:r w:rsidRPr="00C454A6">
              <w:t xml:space="preserve"> — the number children attending a preschool program </w:t>
            </w:r>
            <w:r>
              <w:t>(</w:t>
            </w:r>
            <w:r w:rsidRPr="00C454A6">
              <w:t>for at least one hour in the reference week</w:t>
            </w:r>
            <w:r>
              <w:t>) in the year before full time schooling</w:t>
            </w:r>
          </w:p>
          <w:p w14:paraId="79753560" w14:textId="77777777" w:rsidR="00C625E8" w:rsidRPr="00C454A6" w:rsidRDefault="00C625E8" w:rsidP="00C625E8">
            <w:pPr>
              <w:pStyle w:val="TableBullet"/>
            </w:pPr>
            <w:r w:rsidRPr="00C454A6">
              <w:rPr>
                <w:i/>
              </w:rPr>
              <w:t>Denominator</w:t>
            </w:r>
            <w:r w:rsidRPr="00C454A6">
              <w:t xml:space="preserve"> —estimated number of children enrolled in a preschool program in the year before full time schooling.</w:t>
            </w:r>
          </w:p>
          <w:p w14:paraId="6B8B8BEE" w14:textId="208DA115" w:rsidR="00C625E8" w:rsidRPr="00C625E8" w:rsidRDefault="00C625E8" w:rsidP="00C625E8">
            <w:pPr>
              <w:pStyle w:val="TableBodyText"/>
              <w:jc w:val="left"/>
            </w:pPr>
            <w:r w:rsidRPr="00C454A6">
              <w:t>presented as a percentage.</w:t>
            </w:r>
          </w:p>
        </w:tc>
      </w:tr>
      <w:tr w:rsidR="0077722E" w:rsidRPr="00C454A6" w14:paraId="487D6E18" w14:textId="77777777" w:rsidTr="007F3549">
        <w:tc>
          <w:tcPr>
            <w:tcW w:w="1985" w:type="dxa"/>
            <w:shd w:val="clear" w:color="auto" w:fill="auto"/>
          </w:tcPr>
          <w:p w14:paraId="5F8FD851" w14:textId="77777777" w:rsidR="0077722E" w:rsidRPr="00C454A6" w:rsidRDefault="0077722E" w:rsidP="00C625E8">
            <w:pPr>
              <w:pStyle w:val="TableBodyText"/>
              <w:spacing w:before="80"/>
              <w:jc w:val="left"/>
            </w:pPr>
            <w:r w:rsidRPr="00C454A6">
              <w:t>Related performance indicators:</w:t>
            </w:r>
          </w:p>
          <w:p w14:paraId="2C6A8A05" w14:textId="77777777" w:rsidR="0077722E" w:rsidRPr="00C454A6" w:rsidRDefault="0077722E" w:rsidP="007F3549">
            <w:pPr>
              <w:pStyle w:val="TableBodyText"/>
              <w:jc w:val="left"/>
            </w:pPr>
          </w:p>
        </w:tc>
        <w:tc>
          <w:tcPr>
            <w:tcW w:w="6804" w:type="dxa"/>
            <w:shd w:val="clear" w:color="auto" w:fill="auto"/>
          </w:tcPr>
          <w:p w14:paraId="71EA66FA" w14:textId="0B1B78D3" w:rsidR="0077722E" w:rsidRPr="00C454A6" w:rsidRDefault="0077722E" w:rsidP="00C625E8">
            <w:pPr>
              <w:pStyle w:val="TableBodyText"/>
              <w:spacing w:before="80"/>
              <w:jc w:val="left"/>
            </w:pPr>
            <w:r w:rsidRPr="00C454A6">
              <w:t>Performance indicator 10: The proportion of Indigenous children, who are enrolled in (and attending, where possible to measure) a preschool program in the</w:t>
            </w:r>
            <w:r w:rsidR="00C625E8">
              <w:t xml:space="preserve"> year before formal schooling. </w:t>
            </w:r>
          </w:p>
        </w:tc>
      </w:tr>
      <w:tr w:rsidR="00C625E8" w:rsidRPr="00C454A6" w14:paraId="40191606" w14:textId="77777777" w:rsidTr="007F3549">
        <w:tc>
          <w:tcPr>
            <w:tcW w:w="1985" w:type="dxa"/>
            <w:shd w:val="clear" w:color="auto" w:fill="auto"/>
          </w:tcPr>
          <w:p w14:paraId="30BDC588" w14:textId="1C698F28" w:rsidR="00C625E8" w:rsidRPr="00C454A6" w:rsidRDefault="00C625E8" w:rsidP="00C625E8">
            <w:pPr>
              <w:pStyle w:val="TableBodyText"/>
              <w:spacing w:before="80"/>
              <w:jc w:val="left"/>
            </w:pPr>
            <w:r w:rsidRPr="00C454A6">
              <w:t>Data source</w:t>
            </w:r>
            <w:r>
              <w:t>:</w:t>
            </w:r>
          </w:p>
        </w:tc>
        <w:tc>
          <w:tcPr>
            <w:tcW w:w="6804" w:type="dxa"/>
            <w:shd w:val="clear" w:color="auto" w:fill="auto"/>
          </w:tcPr>
          <w:p w14:paraId="50558C65" w14:textId="77777777" w:rsidR="00C625E8" w:rsidRPr="00CC1F44" w:rsidRDefault="00C625E8" w:rsidP="00C625E8">
            <w:pPr>
              <w:pStyle w:val="TableBodyText"/>
              <w:spacing w:before="80"/>
              <w:jc w:val="left"/>
            </w:pPr>
            <w:r w:rsidRPr="00CC1F44">
              <w:t>Main measure:</w:t>
            </w:r>
          </w:p>
          <w:p w14:paraId="7CF7F111" w14:textId="77777777" w:rsidR="00C625E8" w:rsidRPr="00C454A6" w:rsidRDefault="00C625E8" w:rsidP="00C625E8">
            <w:pPr>
              <w:pStyle w:val="TableBodyText"/>
              <w:jc w:val="left"/>
              <w:rPr>
                <w:i/>
              </w:rPr>
            </w:pPr>
            <w:r w:rsidRPr="00C454A6">
              <w:rPr>
                <w:i/>
              </w:rPr>
              <w:t xml:space="preserve">Numerator </w:t>
            </w:r>
            <w:r w:rsidRPr="00C454A6">
              <w:t>— ABS National Early Childhood Education and Care Collection (</w:t>
            </w:r>
            <w:proofErr w:type="spellStart"/>
            <w:r w:rsidRPr="00C454A6">
              <w:t>NECECC</w:t>
            </w:r>
            <w:proofErr w:type="spellEnd"/>
            <w:r w:rsidRPr="00C454A6">
              <w:t>)</w:t>
            </w:r>
          </w:p>
          <w:p w14:paraId="4EE810C3" w14:textId="77777777" w:rsidR="00C625E8" w:rsidRDefault="00C625E8" w:rsidP="00C625E8">
            <w:pPr>
              <w:pStyle w:val="TableBodyText"/>
              <w:jc w:val="left"/>
            </w:pPr>
            <w:r w:rsidRPr="00C454A6">
              <w:rPr>
                <w:i/>
              </w:rPr>
              <w:t>Denominator</w:t>
            </w:r>
            <w:r w:rsidRPr="00C454A6">
              <w:t xml:space="preserve"> — ABS Estimates and Projections for the Indigenous population. Non-Indigenous population estimates are calculated by subtracting Indigenous population projections from total population estimates (ERP). </w:t>
            </w:r>
            <w:r>
              <w:t xml:space="preserve">Denominator includes deductions for children in the target age ranges who are enrolled in school from ABS Schools Australia; ABS Births Australia. </w:t>
            </w:r>
          </w:p>
          <w:p w14:paraId="37D7DEC9" w14:textId="77777777" w:rsidR="00C625E8" w:rsidRDefault="00C625E8" w:rsidP="00C625E8">
            <w:pPr>
              <w:pStyle w:val="TableBodyText"/>
              <w:spacing w:before="80"/>
              <w:jc w:val="left"/>
            </w:pPr>
            <w:r>
              <w:t>Supplementary measure</w:t>
            </w:r>
          </w:p>
          <w:p w14:paraId="7B4FD130" w14:textId="6F8A859B" w:rsidR="00C625E8" w:rsidRPr="00C454A6" w:rsidRDefault="00C625E8" w:rsidP="00C625E8">
            <w:pPr>
              <w:pStyle w:val="TableBodyText"/>
              <w:jc w:val="left"/>
            </w:pPr>
            <w:r w:rsidRPr="00C454A6">
              <w:rPr>
                <w:i/>
              </w:rPr>
              <w:t>Numerator</w:t>
            </w:r>
            <w:r>
              <w:rPr>
                <w:i/>
              </w:rPr>
              <w:t xml:space="preserve"> and denominator</w:t>
            </w:r>
            <w:r w:rsidRPr="00C454A6">
              <w:rPr>
                <w:i/>
              </w:rPr>
              <w:t xml:space="preserve"> </w:t>
            </w:r>
            <w:r w:rsidRPr="00C454A6">
              <w:t>— ABS National Early Childhood Education and Care Collection (</w:t>
            </w:r>
            <w:proofErr w:type="spellStart"/>
            <w:r w:rsidRPr="00C454A6">
              <w:t>NECECC</w:t>
            </w:r>
            <w:proofErr w:type="spellEnd"/>
            <w:r w:rsidRPr="00C454A6">
              <w:t>).</w:t>
            </w:r>
          </w:p>
        </w:tc>
      </w:tr>
      <w:tr w:rsidR="00C625E8" w:rsidRPr="00C454A6" w14:paraId="7790D368" w14:textId="77777777" w:rsidTr="007F3549">
        <w:tc>
          <w:tcPr>
            <w:tcW w:w="1985" w:type="dxa"/>
            <w:shd w:val="clear" w:color="auto" w:fill="auto"/>
          </w:tcPr>
          <w:p w14:paraId="37DF8170" w14:textId="518B6AF1" w:rsidR="00C625E8" w:rsidRPr="00C454A6" w:rsidRDefault="00C625E8" w:rsidP="00C625E8">
            <w:pPr>
              <w:pStyle w:val="TableBodyText"/>
              <w:spacing w:before="80"/>
              <w:jc w:val="left"/>
            </w:pPr>
            <w:r>
              <w:t>Data provider</w:t>
            </w:r>
          </w:p>
        </w:tc>
        <w:tc>
          <w:tcPr>
            <w:tcW w:w="6804" w:type="dxa"/>
            <w:shd w:val="clear" w:color="auto" w:fill="auto"/>
          </w:tcPr>
          <w:p w14:paraId="14756AD9" w14:textId="4628B539" w:rsidR="00C625E8" w:rsidRPr="00CC1F44" w:rsidRDefault="00C625E8" w:rsidP="00C625E8">
            <w:pPr>
              <w:pStyle w:val="TableBodyText"/>
              <w:spacing w:before="80"/>
              <w:jc w:val="left"/>
            </w:pPr>
            <w:r>
              <w:t>ABS</w:t>
            </w:r>
          </w:p>
        </w:tc>
      </w:tr>
      <w:tr w:rsidR="00C625E8" w:rsidRPr="00C454A6" w14:paraId="391C2958" w14:textId="77777777" w:rsidTr="007F3549">
        <w:tc>
          <w:tcPr>
            <w:tcW w:w="1985" w:type="dxa"/>
            <w:shd w:val="clear" w:color="auto" w:fill="auto"/>
          </w:tcPr>
          <w:p w14:paraId="105615D8" w14:textId="5AEC4AF3" w:rsidR="00C625E8" w:rsidRDefault="00C625E8" w:rsidP="00C625E8">
            <w:pPr>
              <w:pStyle w:val="TableBodyText"/>
              <w:spacing w:before="80"/>
              <w:jc w:val="left"/>
            </w:pPr>
            <w:r>
              <w:t>Data availability:</w:t>
            </w:r>
          </w:p>
        </w:tc>
        <w:tc>
          <w:tcPr>
            <w:tcW w:w="6804" w:type="dxa"/>
            <w:shd w:val="clear" w:color="auto" w:fill="auto"/>
          </w:tcPr>
          <w:p w14:paraId="52316704" w14:textId="3AB29610" w:rsidR="00C625E8" w:rsidRPr="00C454A6" w:rsidRDefault="002E49DE" w:rsidP="00C625E8">
            <w:pPr>
              <w:pStyle w:val="TableBodyText"/>
              <w:spacing w:before="80"/>
              <w:jc w:val="left"/>
            </w:pPr>
            <w:r w:rsidRPr="00C454A6">
              <w:t>201</w:t>
            </w:r>
            <w:r>
              <w:t>7</w:t>
            </w:r>
            <w:r w:rsidRPr="00C454A6">
              <w:t xml:space="preserve"> </w:t>
            </w:r>
            <w:proofErr w:type="spellStart"/>
            <w:r w:rsidR="00C625E8" w:rsidRPr="00C454A6">
              <w:t>NECECC</w:t>
            </w:r>
            <w:proofErr w:type="spellEnd"/>
          </w:p>
          <w:p w14:paraId="5190BFD5" w14:textId="67848223" w:rsidR="00C625E8" w:rsidRDefault="00E3796E" w:rsidP="00F069CB">
            <w:pPr>
              <w:pStyle w:val="TableBodyText"/>
              <w:jc w:val="left"/>
            </w:pPr>
            <w:r w:rsidRPr="000F33B4">
              <w:t>2017</w:t>
            </w:r>
            <w:r w:rsidR="00974FB4" w:rsidRPr="000F33B4">
              <w:t xml:space="preserve"> </w:t>
            </w:r>
            <w:r w:rsidR="00C625E8" w:rsidRPr="000F33B4">
              <w:t>population projections (based on 2011 Census) for Indigenous population</w:t>
            </w:r>
            <w:r w:rsidR="00387C4E" w:rsidRPr="00F069CB">
              <w:t xml:space="preserve"> </w:t>
            </w:r>
            <w:r w:rsidR="002E49DE" w:rsidRPr="00C454A6">
              <w:t>201</w:t>
            </w:r>
            <w:r w:rsidR="002E49DE">
              <w:t>7</w:t>
            </w:r>
            <w:r w:rsidR="002E49DE" w:rsidRPr="00C454A6">
              <w:t xml:space="preserve"> </w:t>
            </w:r>
            <w:r w:rsidR="00C625E8" w:rsidRPr="00C454A6">
              <w:t>estimated resident population (based on 2011 Census</w:t>
            </w:r>
            <w:r w:rsidR="00C625E8">
              <w:t>)</w:t>
            </w:r>
            <w:r w:rsidR="00C625E8" w:rsidRPr="00C454A6">
              <w:t xml:space="preserve"> for calculating non-Indigenous</w:t>
            </w:r>
            <w:r w:rsidR="00C625E8">
              <w:t xml:space="preserve"> population</w:t>
            </w:r>
          </w:p>
        </w:tc>
      </w:tr>
    </w:tbl>
    <w:p w14:paraId="6E63D251" w14:textId="77777777" w:rsidR="00B44A37" w:rsidRDefault="00B44A37"/>
    <w:tbl>
      <w:tblPr>
        <w:tblW w:w="0" w:type="auto"/>
        <w:tblCellMar>
          <w:left w:w="0" w:type="dxa"/>
          <w:right w:w="0" w:type="dxa"/>
        </w:tblCellMar>
        <w:tblLook w:val="0000" w:firstRow="0" w:lastRow="0" w:firstColumn="0" w:lastColumn="0" w:noHBand="0" w:noVBand="0"/>
      </w:tblPr>
      <w:tblGrid>
        <w:gridCol w:w="1985"/>
        <w:gridCol w:w="6804"/>
      </w:tblGrid>
      <w:tr w:rsidR="00C625E8" w:rsidRPr="00C454A6" w14:paraId="7881B4FB" w14:textId="77777777" w:rsidTr="007F3549">
        <w:tc>
          <w:tcPr>
            <w:tcW w:w="1985" w:type="dxa"/>
            <w:shd w:val="clear" w:color="auto" w:fill="auto"/>
          </w:tcPr>
          <w:p w14:paraId="561B58A4" w14:textId="29AC12FD" w:rsidR="00C625E8" w:rsidRDefault="00C625E8" w:rsidP="00C625E8">
            <w:pPr>
              <w:pStyle w:val="TableBodyText"/>
              <w:spacing w:before="80"/>
              <w:jc w:val="left"/>
            </w:pPr>
            <w:r>
              <w:lastRenderedPageBreak/>
              <w:t>Baseline:</w:t>
            </w:r>
          </w:p>
        </w:tc>
        <w:tc>
          <w:tcPr>
            <w:tcW w:w="6804" w:type="dxa"/>
            <w:shd w:val="clear" w:color="auto" w:fill="auto"/>
          </w:tcPr>
          <w:p w14:paraId="72245FF2" w14:textId="32474F13" w:rsidR="00C625E8" w:rsidRPr="00C454A6" w:rsidRDefault="00C625E8" w:rsidP="00C625E8">
            <w:pPr>
              <w:pStyle w:val="TableBodyText"/>
              <w:spacing w:before="80"/>
              <w:jc w:val="left"/>
            </w:pPr>
            <w:r w:rsidRPr="00C454A6">
              <w:t>The baseline for the target is 2015</w:t>
            </w:r>
          </w:p>
        </w:tc>
      </w:tr>
      <w:tr w:rsidR="00C625E8" w:rsidRPr="00C454A6" w14:paraId="46502548" w14:textId="77777777" w:rsidTr="007F3549">
        <w:tc>
          <w:tcPr>
            <w:tcW w:w="1985" w:type="dxa"/>
            <w:shd w:val="clear" w:color="auto" w:fill="auto"/>
          </w:tcPr>
          <w:p w14:paraId="2425A613" w14:textId="45F541A9" w:rsidR="00C625E8" w:rsidRDefault="00C625E8" w:rsidP="00C625E8">
            <w:pPr>
              <w:pStyle w:val="TableBodyText"/>
              <w:spacing w:before="80"/>
              <w:jc w:val="left"/>
            </w:pPr>
            <w:r w:rsidRPr="00C454A6">
              <w:t>Cross tabulations provided:</w:t>
            </w:r>
          </w:p>
        </w:tc>
        <w:tc>
          <w:tcPr>
            <w:tcW w:w="6804" w:type="dxa"/>
            <w:shd w:val="clear" w:color="auto" w:fill="auto"/>
          </w:tcPr>
          <w:p w14:paraId="76EFB4C1" w14:textId="77777777" w:rsidR="00C625E8" w:rsidRDefault="00C625E8" w:rsidP="00C625E8">
            <w:pPr>
              <w:pStyle w:val="TableBodyText"/>
              <w:spacing w:before="80"/>
              <w:jc w:val="left"/>
            </w:pPr>
            <w:r w:rsidRPr="00C454A6">
              <w:t>State and Territory by Indigenous status.</w:t>
            </w:r>
          </w:p>
          <w:p w14:paraId="5360DECC" w14:textId="77777777" w:rsidR="00C625E8" w:rsidRPr="00C454A6" w:rsidRDefault="00C625E8" w:rsidP="00C625E8">
            <w:pPr>
              <w:pStyle w:val="TableBodyText"/>
              <w:jc w:val="left"/>
            </w:pPr>
          </w:p>
        </w:tc>
      </w:tr>
    </w:tbl>
    <w:p w14:paraId="177F8AAA" w14:textId="19B41535" w:rsidR="004F00F4" w:rsidRDefault="004F00F4" w:rsidP="00C625E8"/>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3850984F" w14:textId="77777777" w:rsidTr="008F5A63">
        <w:tc>
          <w:tcPr>
            <w:tcW w:w="8789" w:type="dxa"/>
            <w:tcBorders>
              <w:top w:val="single" w:sz="6" w:space="0" w:color="78A22F"/>
              <w:left w:val="nil"/>
              <w:bottom w:val="nil"/>
              <w:right w:val="nil"/>
            </w:tcBorders>
            <w:shd w:val="clear" w:color="auto" w:fill="F2F2F2"/>
          </w:tcPr>
          <w:p w14:paraId="12F767AA" w14:textId="26205962" w:rsidR="004F00F4" w:rsidRDefault="004F00F4" w:rsidP="004C71ED">
            <w:pPr>
              <w:pStyle w:val="BoxTitle"/>
            </w:pPr>
            <w:r>
              <w:rPr>
                <w:b w:val="0"/>
              </w:rPr>
              <w:t xml:space="preserve">Box </w:t>
            </w:r>
            <w:r w:rsidR="004C71ED">
              <w:rPr>
                <w:b w:val="0"/>
              </w:rPr>
              <w:t>6</w:t>
            </w:r>
            <w:r>
              <w:tab/>
              <w:t>Results</w:t>
            </w:r>
          </w:p>
        </w:tc>
      </w:tr>
      <w:tr w:rsidR="004F00F4" w:rsidRPr="004F00F4" w14:paraId="3C8AC9E0" w14:textId="77777777" w:rsidTr="008F5A63">
        <w:trPr>
          <w:cantSplit/>
        </w:trPr>
        <w:tc>
          <w:tcPr>
            <w:tcW w:w="8789" w:type="dxa"/>
            <w:tcBorders>
              <w:top w:val="nil"/>
              <w:left w:val="nil"/>
              <w:bottom w:val="nil"/>
              <w:right w:val="nil"/>
            </w:tcBorders>
            <w:shd w:val="clear" w:color="auto" w:fill="F2F2F2"/>
          </w:tcPr>
          <w:p w14:paraId="7ACB8272" w14:textId="41B7D06C" w:rsidR="00973286" w:rsidRPr="00C454A6" w:rsidRDefault="00C454A6" w:rsidP="00AD2E5A">
            <w:pPr>
              <w:pStyle w:val="Box"/>
            </w:pPr>
            <w:r w:rsidRPr="00C454A6">
              <w:t xml:space="preserve">For this report, new data are available for this target for </w:t>
            </w:r>
            <w:r w:rsidR="002E49DE" w:rsidRPr="00C454A6">
              <w:t>201</w:t>
            </w:r>
            <w:r w:rsidR="002E49DE">
              <w:t>7</w:t>
            </w:r>
            <w:r w:rsidRPr="00C454A6">
              <w:t xml:space="preserve">. </w:t>
            </w:r>
          </w:p>
          <w:p w14:paraId="609A6FBD" w14:textId="77777777" w:rsidR="00C454A6" w:rsidRPr="00C454A6" w:rsidRDefault="00C454A6" w:rsidP="00AD2E5A">
            <w:pPr>
              <w:pStyle w:val="BoxListBullet"/>
            </w:pPr>
            <w:r w:rsidRPr="00C454A6">
              <w:t xml:space="preserve">Data for children enrolled in a preschool program in the year before full time schooling, by Indigenous status are presented in table </w:t>
            </w:r>
            <w:proofErr w:type="spellStart"/>
            <w:r w:rsidRPr="00C454A6">
              <w:t>NIRA.10.1</w:t>
            </w:r>
            <w:proofErr w:type="spellEnd"/>
            <w:r w:rsidRPr="00C454A6">
              <w:t>.</w:t>
            </w:r>
          </w:p>
          <w:p w14:paraId="134A0F14" w14:textId="2745537D" w:rsidR="00C454A6" w:rsidRPr="00C454A6" w:rsidRDefault="00C454A6" w:rsidP="00AD2E5A">
            <w:pPr>
              <w:pStyle w:val="BoxListBullet"/>
            </w:pPr>
            <w:r w:rsidRPr="00C454A6">
              <w:t xml:space="preserve">Data for children attending a preschool program in the year before full time schooling, by Indigenous status are presented in table </w:t>
            </w:r>
            <w:proofErr w:type="spellStart"/>
            <w:r w:rsidRPr="00C454A6">
              <w:t>NIRA.10.2</w:t>
            </w:r>
            <w:proofErr w:type="spellEnd"/>
            <w:r w:rsidRPr="00C454A6">
              <w:t>.</w:t>
            </w:r>
          </w:p>
          <w:p w14:paraId="06EFE758" w14:textId="50B430D0" w:rsidR="00C454A6" w:rsidRPr="00EF3A24" w:rsidRDefault="002E49DE" w:rsidP="00AD2E5A">
            <w:pPr>
              <w:pStyle w:val="Box"/>
              <w:rPr>
                <w:highlight w:val="yellow"/>
              </w:rPr>
            </w:pPr>
            <w:r>
              <w:t xml:space="preserve">Data for 2016 are available in the 2016-17 </w:t>
            </w:r>
            <w:proofErr w:type="spellStart"/>
            <w:r>
              <w:t>NIRA</w:t>
            </w:r>
            <w:proofErr w:type="spellEnd"/>
            <w:r>
              <w:t xml:space="preserve"> Performance report. </w:t>
            </w:r>
            <w:r w:rsidR="00235014">
              <w:t xml:space="preserve">No data are available for 2015 (baseline year). </w:t>
            </w:r>
            <w:r w:rsidR="00C454A6" w:rsidRPr="00C454A6">
              <w:t xml:space="preserve">Additional data are available under performance indicator 10. </w:t>
            </w:r>
          </w:p>
        </w:tc>
      </w:tr>
      <w:tr w:rsidR="004F00F4" w14:paraId="5381930D" w14:textId="77777777" w:rsidTr="008F5A63">
        <w:trPr>
          <w:cantSplit/>
        </w:trPr>
        <w:tc>
          <w:tcPr>
            <w:tcW w:w="8789" w:type="dxa"/>
            <w:tcBorders>
              <w:top w:val="nil"/>
              <w:left w:val="nil"/>
              <w:bottom w:val="single" w:sz="6" w:space="0" w:color="78A22F"/>
              <w:right w:val="nil"/>
            </w:tcBorders>
            <w:shd w:val="clear" w:color="auto" w:fill="F2F2F2"/>
          </w:tcPr>
          <w:p w14:paraId="336F64FA" w14:textId="77777777" w:rsidR="004F00F4" w:rsidRDefault="004F00F4" w:rsidP="00C454A6">
            <w:pPr>
              <w:pStyle w:val="Box"/>
              <w:pBdr>
                <w:right w:val="single" w:sz="6" w:space="4" w:color="auto"/>
              </w:pBdr>
              <w:spacing w:before="0" w:line="120" w:lineRule="exact"/>
            </w:pPr>
          </w:p>
        </w:tc>
      </w:tr>
      <w:tr w:rsidR="004F00F4" w:rsidRPr="000863A5" w14:paraId="09A36643" w14:textId="77777777" w:rsidTr="008F5A63">
        <w:tc>
          <w:tcPr>
            <w:tcW w:w="8789" w:type="dxa"/>
            <w:tcBorders>
              <w:top w:val="single" w:sz="6" w:space="0" w:color="78A22F"/>
              <w:left w:val="nil"/>
              <w:bottom w:val="nil"/>
              <w:right w:val="nil"/>
            </w:tcBorders>
          </w:tcPr>
          <w:p w14:paraId="2CF33776" w14:textId="77777777" w:rsidR="004F00F4" w:rsidRPr="00626D32" w:rsidRDefault="004F00F4" w:rsidP="00680847">
            <w:pPr>
              <w:pStyle w:val="BoxSpaceBelow"/>
            </w:pPr>
          </w:p>
        </w:tc>
      </w:tr>
    </w:tbl>
    <w:p w14:paraId="5C96DB40" w14:textId="77777777" w:rsidR="004F00F4" w:rsidRDefault="004F00F4">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3F4C1673" w14:textId="77777777" w:rsidTr="008F5A63">
        <w:tc>
          <w:tcPr>
            <w:tcW w:w="8789" w:type="dxa"/>
            <w:tcBorders>
              <w:top w:val="single" w:sz="6" w:space="0" w:color="78A22F"/>
              <w:left w:val="nil"/>
              <w:bottom w:val="nil"/>
              <w:right w:val="nil"/>
            </w:tcBorders>
            <w:shd w:val="clear" w:color="auto" w:fill="F2F2F2"/>
          </w:tcPr>
          <w:p w14:paraId="226607F5" w14:textId="3412352E" w:rsidR="004F00F4" w:rsidRDefault="004F00F4" w:rsidP="004C71ED">
            <w:pPr>
              <w:pStyle w:val="BoxTitle"/>
            </w:pPr>
            <w:r>
              <w:rPr>
                <w:b w:val="0"/>
              </w:rPr>
              <w:t xml:space="preserve">Box </w:t>
            </w:r>
            <w:r w:rsidR="004C71ED">
              <w:rPr>
                <w:b w:val="0"/>
              </w:rPr>
              <w:t>7</w:t>
            </w:r>
            <w:r>
              <w:tab/>
              <w:t>Comment on data quality</w:t>
            </w:r>
          </w:p>
        </w:tc>
      </w:tr>
      <w:tr w:rsidR="004F00F4" w14:paraId="337F1957" w14:textId="77777777" w:rsidTr="008F5A63">
        <w:trPr>
          <w:cantSplit/>
        </w:trPr>
        <w:tc>
          <w:tcPr>
            <w:tcW w:w="8789" w:type="dxa"/>
            <w:tcBorders>
              <w:top w:val="nil"/>
              <w:left w:val="nil"/>
              <w:bottom w:val="nil"/>
              <w:right w:val="nil"/>
            </w:tcBorders>
            <w:shd w:val="clear" w:color="auto" w:fill="F2F2F2"/>
          </w:tcPr>
          <w:p w14:paraId="65060873" w14:textId="77777777" w:rsidR="004F00F4" w:rsidRDefault="004F00F4" w:rsidP="00680847">
            <w:pPr>
              <w:pStyle w:val="Box"/>
            </w:pPr>
            <w:r>
              <w:t>Details are included in the comment on data quality for performance indicator 10.</w:t>
            </w:r>
          </w:p>
        </w:tc>
      </w:tr>
      <w:tr w:rsidR="004F00F4" w14:paraId="366E5F7A" w14:textId="77777777" w:rsidTr="008F5A63">
        <w:trPr>
          <w:cantSplit/>
        </w:trPr>
        <w:tc>
          <w:tcPr>
            <w:tcW w:w="8789" w:type="dxa"/>
            <w:tcBorders>
              <w:top w:val="nil"/>
              <w:left w:val="nil"/>
              <w:bottom w:val="single" w:sz="6" w:space="0" w:color="78A22F"/>
              <w:right w:val="nil"/>
            </w:tcBorders>
            <w:shd w:val="clear" w:color="auto" w:fill="F2F2F2"/>
          </w:tcPr>
          <w:p w14:paraId="2DFBF839" w14:textId="77777777" w:rsidR="004F00F4" w:rsidRDefault="004F00F4">
            <w:pPr>
              <w:pStyle w:val="Box"/>
              <w:spacing w:before="0" w:line="120" w:lineRule="exact"/>
            </w:pPr>
          </w:p>
        </w:tc>
      </w:tr>
      <w:tr w:rsidR="004F00F4" w:rsidRPr="000863A5" w14:paraId="2A433538" w14:textId="77777777" w:rsidTr="008F5A63">
        <w:tc>
          <w:tcPr>
            <w:tcW w:w="8789" w:type="dxa"/>
            <w:tcBorders>
              <w:top w:val="single" w:sz="6" w:space="0" w:color="78A22F"/>
              <w:left w:val="nil"/>
              <w:bottom w:val="nil"/>
              <w:right w:val="nil"/>
            </w:tcBorders>
          </w:tcPr>
          <w:p w14:paraId="43518AB6" w14:textId="77777777" w:rsidR="004F00F4" w:rsidRPr="00626D32" w:rsidRDefault="004F00F4" w:rsidP="00680847">
            <w:pPr>
              <w:pStyle w:val="BoxSpaceBelow"/>
            </w:pPr>
          </w:p>
        </w:tc>
      </w:tr>
    </w:tbl>
    <w:p w14:paraId="6F5D7BA9" w14:textId="77777777" w:rsidR="004F00F4" w:rsidRDefault="004F00F4" w:rsidP="004F00F4">
      <w:pPr>
        <w:pStyle w:val="BodyText"/>
        <w:rPr>
          <w:rFonts w:ascii="Arial" w:hAnsi="Arial"/>
          <w:sz w:val="20"/>
        </w:rPr>
      </w:pPr>
      <w:r>
        <w:br w:type="page"/>
      </w:r>
    </w:p>
    <w:p w14:paraId="705DE5D2" w14:textId="77777777" w:rsidR="004F00F4" w:rsidRDefault="004F00F4" w:rsidP="008F5A63">
      <w:pPr>
        <w:pStyle w:val="Heading3"/>
        <w:spacing w:after="120"/>
      </w:pPr>
      <w:r w:rsidRPr="00D87AA9">
        <w:lastRenderedPageBreak/>
        <w:t xml:space="preserve">Performance target (d) — halve the gap </w:t>
      </w:r>
      <w:r>
        <w:t>in reading, writing and numeracy achievement for Indigenous children by 2018</w:t>
      </w: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14:paraId="280FA929" w14:textId="77777777" w:rsidTr="00680847">
        <w:tc>
          <w:tcPr>
            <w:tcW w:w="1985" w:type="dxa"/>
          </w:tcPr>
          <w:p w14:paraId="7B1A95EE" w14:textId="51DCC676" w:rsidR="004F00F4" w:rsidRPr="00D87AA9" w:rsidRDefault="004F00F4" w:rsidP="00680847">
            <w:pPr>
              <w:pStyle w:val="TableBodyText"/>
              <w:jc w:val="left"/>
            </w:pPr>
            <w:r w:rsidRPr="00B82DC5">
              <w:t xml:space="preserve">Key amendments from previous cycle </w:t>
            </w:r>
            <w:r w:rsidR="00C625E8">
              <w:t>of reporting:</w:t>
            </w:r>
          </w:p>
        </w:tc>
        <w:tc>
          <w:tcPr>
            <w:tcW w:w="6804" w:type="dxa"/>
          </w:tcPr>
          <w:p w14:paraId="45F6CC7D" w14:textId="672BFE1C" w:rsidR="004F00F4" w:rsidRPr="00D87AA9" w:rsidRDefault="004F00F4" w:rsidP="00510C07">
            <w:pPr>
              <w:pStyle w:val="TableBodyText"/>
              <w:jc w:val="left"/>
            </w:pPr>
            <w:r w:rsidRPr="00994C99">
              <w:t xml:space="preserve">This target is unchanged from the previous </w:t>
            </w:r>
            <w:proofErr w:type="spellStart"/>
            <w:r w:rsidR="00F555B6">
              <w:t>NIRA</w:t>
            </w:r>
            <w:proofErr w:type="spellEnd"/>
            <w:r w:rsidR="00F555B6">
              <w:t xml:space="preserve"> performance report</w:t>
            </w:r>
            <w:r w:rsidRPr="00994C99">
              <w:t>.</w:t>
            </w:r>
          </w:p>
        </w:tc>
      </w:tr>
      <w:tr w:rsidR="00C625E8" w:rsidRPr="00D87AA9" w14:paraId="3CEEF1A5" w14:textId="77777777" w:rsidTr="00680847">
        <w:tc>
          <w:tcPr>
            <w:tcW w:w="1985" w:type="dxa"/>
          </w:tcPr>
          <w:p w14:paraId="0161587D" w14:textId="35B91DF9" w:rsidR="00C625E8" w:rsidRPr="00B82DC5" w:rsidRDefault="00C625E8" w:rsidP="00C625E8">
            <w:pPr>
              <w:pStyle w:val="TableBodyText"/>
              <w:spacing w:before="80"/>
              <w:jc w:val="left"/>
            </w:pPr>
            <w:r>
              <w:t>Outcome:</w:t>
            </w:r>
          </w:p>
        </w:tc>
        <w:tc>
          <w:tcPr>
            <w:tcW w:w="6804" w:type="dxa"/>
          </w:tcPr>
          <w:p w14:paraId="0E8C719B" w14:textId="674D1745" w:rsidR="00C625E8" w:rsidRPr="00994C99" w:rsidRDefault="00C625E8" w:rsidP="00C625E8">
            <w:pPr>
              <w:pStyle w:val="TableBodyText"/>
              <w:spacing w:before="80"/>
              <w:jc w:val="left"/>
            </w:pPr>
            <w:r w:rsidRPr="00994C99">
              <w:t>The aim of this target is to halve the gap for Indigenous students in reading, writing and nu</w:t>
            </w:r>
            <w:r>
              <w:t>meracy within a decade (by 2018)</w:t>
            </w:r>
          </w:p>
        </w:tc>
      </w:tr>
      <w:tr w:rsidR="004F00F4" w:rsidRPr="00D87AA9" w14:paraId="1F532C69" w14:textId="77777777" w:rsidTr="00680847">
        <w:tc>
          <w:tcPr>
            <w:tcW w:w="1985" w:type="dxa"/>
          </w:tcPr>
          <w:p w14:paraId="022A9705" w14:textId="77777777" w:rsidR="004F00F4" w:rsidRPr="00D87AA9" w:rsidRDefault="004F00F4" w:rsidP="00C625E8">
            <w:pPr>
              <w:pStyle w:val="TableBodyText"/>
              <w:spacing w:before="80"/>
              <w:jc w:val="left"/>
            </w:pPr>
            <w:r w:rsidRPr="00D87AA9">
              <w:t xml:space="preserve">Measure: </w:t>
            </w:r>
          </w:p>
          <w:p w14:paraId="36F05B55" w14:textId="77777777" w:rsidR="004F00F4" w:rsidRPr="00D87AA9" w:rsidRDefault="004F00F4" w:rsidP="00680847">
            <w:pPr>
              <w:pStyle w:val="TableBodyText"/>
              <w:jc w:val="left"/>
            </w:pPr>
          </w:p>
        </w:tc>
        <w:tc>
          <w:tcPr>
            <w:tcW w:w="6804" w:type="dxa"/>
          </w:tcPr>
          <w:p w14:paraId="3DEC8E6B" w14:textId="77777777" w:rsidR="004F00F4" w:rsidRDefault="004F00F4" w:rsidP="00C625E8">
            <w:pPr>
              <w:pStyle w:val="TableBodyText"/>
              <w:spacing w:before="80"/>
              <w:jc w:val="left"/>
            </w:pPr>
            <w:r>
              <w:t>The measure is defined as the proportion of students at or above the national minimum standard for reading, writing and numeracy, in years 3, 5, 7 and 9, by Indigenous status</w:t>
            </w:r>
          </w:p>
          <w:p w14:paraId="60A7C591" w14:textId="25610C77" w:rsidR="004F00F4" w:rsidRPr="00CF6A16" w:rsidRDefault="004F00F4" w:rsidP="00C625E8">
            <w:pPr>
              <w:pStyle w:val="TableBodyText"/>
              <w:spacing w:before="80"/>
              <w:jc w:val="left"/>
            </w:pPr>
            <w:r>
              <w:t xml:space="preserve">[Note: National Assessment Program – Literacy and Numeracy (NAPLAN) reports the percentage of students who achieved at or above the national minimum standard. The complex process by which student scores are arrived at and distributed across the national achievement bands (using the </w:t>
            </w:r>
            <w:proofErr w:type="spellStart"/>
            <w:r>
              <w:t>Rasch</w:t>
            </w:r>
            <w:proofErr w:type="spellEnd"/>
            <w:r>
              <w:t xml:space="preserve"> model, a recognised analysis model for educational measurement) </w:t>
            </w:r>
            <w:r w:rsidR="00807379">
              <w:t xml:space="preserve">was </w:t>
            </w:r>
            <w:r>
              <w:t>agreed by states, territories and the Australian Government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tc>
      </w:tr>
      <w:tr w:rsidR="004F00F4" w:rsidRPr="00D87AA9" w14:paraId="5B9B7169" w14:textId="77777777" w:rsidTr="00680847">
        <w:tc>
          <w:tcPr>
            <w:tcW w:w="1985" w:type="dxa"/>
            <w:shd w:val="clear" w:color="auto" w:fill="auto"/>
          </w:tcPr>
          <w:p w14:paraId="03998376" w14:textId="172805FA" w:rsidR="004F00F4" w:rsidRPr="008C3B68" w:rsidRDefault="00C625E8" w:rsidP="00C625E8">
            <w:pPr>
              <w:pStyle w:val="TableBodyText"/>
              <w:spacing w:before="80"/>
              <w:jc w:val="left"/>
            </w:pPr>
            <w:r>
              <w:t>Related performance indicators:</w:t>
            </w:r>
          </w:p>
        </w:tc>
        <w:tc>
          <w:tcPr>
            <w:tcW w:w="6804" w:type="dxa"/>
            <w:shd w:val="clear" w:color="auto" w:fill="auto"/>
          </w:tcPr>
          <w:p w14:paraId="3354E9D5" w14:textId="77777777" w:rsidR="004F00F4" w:rsidRPr="00D87AA9" w:rsidRDefault="004F00F4" w:rsidP="00C625E8">
            <w:pPr>
              <w:pStyle w:val="TableBodyText"/>
              <w:spacing w:before="80"/>
              <w:jc w:val="left"/>
            </w:pPr>
            <w:r w:rsidRPr="00994C99">
              <w:t>Performance indicator 11: Percentage of students at or above the national minimum standard in reading, writing and numeracy for years 3, 5, 7 and 9</w:t>
            </w:r>
          </w:p>
        </w:tc>
      </w:tr>
      <w:tr w:rsidR="004F00F4" w:rsidRPr="00D87AA9" w14:paraId="4CEDEBC2" w14:textId="77777777" w:rsidTr="00680847">
        <w:tc>
          <w:tcPr>
            <w:tcW w:w="1985" w:type="dxa"/>
            <w:shd w:val="clear" w:color="auto" w:fill="auto"/>
          </w:tcPr>
          <w:p w14:paraId="32760059" w14:textId="757A0C01" w:rsidR="004F00F4" w:rsidRPr="00D87AA9" w:rsidRDefault="00C625E8" w:rsidP="00C625E8">
            <w:pPr>
              <w:pStyle w:val="TableBodyText"/>
              <w:spacing w:before="80"/>
              <w:jc w:val="left"/>
            </w:pPr>
            <w:r>
              <w:t>Data source:</w:t>
            </w:r>
          </w:p>
        </w:tc>
        <w:tc>
          <w:tcPr>
            <w:tcW w:w="6804" w:type="dxa"/>
            <w:shd w:val="clear" w:color="auto" w:fill="auto"/>
          </w:tcPr>
          <w:p w14:paraId="114631B7" w14:textId="662B6771" w:rsidR="004F00F4" w:rsidRPr="00183B59" w:rsidRDefault="004F00F4" w:rsidP="00C625E8">
            <w:pPr>
              <w:pStyle w:val="TableBodyText"/>
              <w:spacing w:before="80"/>
              <w:jc w:val="left"/>
            </w:pPr>
            <w:r w:rsidRPr="00994C99">
              <w:t xml:space="preserve">ACARA </w:t>
            </w:r>
            <w:r w:rsidRPr="00784D6B">
              <w:rPr>
                <w:u w:val="single"/>
              </w:rPr>
              <w:t>National Assessment Program — Literacy and Numeracy</w:t>
            </w:r>
            <w:r w:rsidRPr="00994C99">
              <w:t xml:space="preserve"> (NAPLAN). Data are collected annually</w:t>
            </w:r>
          </w:p>
        </w:tc>
      </w:tr>
      <w:tr w:rsidR="004F00F4" w:rsidRPr="00D87AA9" w14:paraId="4FFBDFD0" w14:textId="77777777" w:rsidTr="00680847">
        <w:tc>
          <w:tcPr>
            <w:tcW w:w="1985" w:type="dxa"/>
            <w:shd w:val="clear" w:color="auto" w:fill="auto"/>
          </w:tcPr>
          <w:p w14:paraId="13F8DBFD" w14:textId="2A2C353D" w:rsidR="004F00F4" w:rsidRPr="00D87AA9" w:rsidRDefault="00C625E8" w:rsidP="00C625E8">
            <w:pPr>
              <w:pStyle w:val="TableBodyText"/>
              <w:spacing w:before="80"/>
              <w:jc w:val="left"/>
            </w:pPr>
            <w:r>
              <w:t>Data provider:</w:t>
            </w:r>
          </w:p>
        </w:tc>
        <w:tc>
          <w:tcPr>
            <w:tcW w:w="6804" w:type="dxa"/>
            <w:shd w:val="clear" w:color="auto" w:fill="auto"/>
          </w:tcPr>
          <w:p w14:paraId="4D1C4124" w14:textId="77777777" w:rsidR="004F00F4" w:rsidRPr="00D87AA9" w:rsidRDefault="004F00F4" w:rsidP="00C625E8">
            <w:pPr>
              <w:pStyle w:val="TableBodyText"/>
              <w:spacing w:before="80"/>
              <w:jc w:val="left"/>
            </w:pPr>
            <w:r w:rsidRPr="00994C99">
              <w:t>ACARA</w:t>
            </w:r>
          </w:p>
        </w:tc>
      </w:tr>
      <w:tr w:rsidR="004F00F4" w:rsidRPr="00D87AA9" w14:paraId="15FA25BE" w14:textId="77777777" w:rsidTr="00680847">
        <w:tc>
          <w:tcPr>
            <w:tcW w:w="1985" w:type="dxa"/>
            <w:shd w:val="clear" w:color="auto" w:fill="auto"/>
          </w:tcPr>
          <w:p w14:paraId="259339B4" w14:textId="7D03412B" w:rsidR="004F00F4" w:rsidRPr="00D87AA9" w:rsidRDefault="00C625E8" w:rsidP="00C625E8">
            <w:pPr>
              <w:pStyle w:val="TableBodyText"/>
              <w:spacing w:before="80"/>
              <w:jc w:val="left"/>
            </w:pPr>
            <w:r>
              <w:t>Data availability:</w:t>
            </w:r>
          </w:p>
        </w:tc>
        <w:tc>
          <w:tcPr>
            <w:tcW w:w="6804" w:type="dxa"/>
            <w:shd w:val="clear" w:color="auto" w:fill="auto"/>
          </w:tcPr>
          <w:p w14:paraId="1C1969BD" w14:textId="4CBCB7CB" w:rsidR="004F00F4" w:rsidRPr="00D87AA9" w:rsidRDefault="00620913">
            <w:pPr>
              <w:pStyle w:val="TableBodyText"/>
              <w:spacing w:before="80"/>
              <w:jc w:val="left"/>
            </w:pPr>
            <w:r>
              <w:t>No new data available</w:t>
            </w:r>
            <w:r w:rsidR="00DD4235">
              <w:t xml:space="preserve"> for this report</w:t>
            </w:r>
          </w:p>
        </w:tc>
      </w:tr>
      <w:tr w:rsidR="004F00F4" w:rsidRPr="00D87AA9" w14:paraId="199008B5" w14:textId="77777777" w:rsidTr="00680847">
        <w:tc>
          <w:tcPr>
            <w:tcW w:w="1985" w:type="dxa"/>
            <w:shd w:val="clear" w:color="auto" w:fill="auto"/>
          </w:tcPr>
          <w:p w14:paraId="23687A3B" w14:textId="00E810ED" w:rsidR="004F00F4" w:rsidRPr="00D87AA9" w:rsidRDefault="00C625E8" w:rsidP="00C625E8">
            <w:pPr>
              <w:pStyle w:val="TableBodyText"/>
              <w:spacing w:before="80"/>
              <w:jc w:val="left"/>
            </w:pPr>
            <w:r>
              <w:t>Baseline:</w:t>
            </w:r>
          </w:p>
        </w:tc>
        <w:tc>
          <w:tcPr>
            <w:tcW w:w="6804" w:type="dxa"/>
            <w:shd w:val="clear" w:color="auto" w:fill="auto"/>
          </w:tcPr>
          <w:p w14:paraId="7A25DCAE" w14:textId="77777777" w:rsidR="004F00F4" w:rsidRPr="00D87AA9" w:rsidRDefault="004F00F4" w:rsidP="00C625E8">
            <w:pPr>
              <w:pStyle w:val="TableBodyText"/>
              <w:spacing w:before="80"/>
              <w:jc w:val="left"/>
            </w:pPr>
            <w:r w:rsidRPr="00994C99">
              <w:t>The baseline for the target is 2008</w:t>
            </w:r>
          </w:p>
        </w:tc>
      </w:tr>
      <w:tr w:rsidR="004F00F4" w:rsidRPr="00D87AA9" w14:paraId="683E59B8" w14:textId="77777777" w:rsidTr="0079305E">
        <w:trPr>
          <w:trHeight w:val="1093"/>
        </w:trPr>
        <w:tc>
          <w:tcPr>
            <w:tcW w:w="1985" w:type="dxa"/>
            <w:shd w:val="clear" w:color="auto" w:fill="auto"/>
          </w:tcPr>
          <w:p w14:paraId="45AAC738" w14:textId="77777777" w:rsidR="004F00F4" w:rsidRPr="00D87AA9" w:rsidRDefault="004F00F4" w:rsidP="00C625E8">
            <w:pPr>
              <w:pStyle w:val="TableBodyText"/>
              <w:spacing w:before="80"/>
              <w:jc w:val="left"/>
            </w:pPr>
            <w:r w:rsidRPr="00D87AA9">
              <w:t>Cross tabulations provided:</w:t>
            </w:r>
          </w:p>
          <w:p w14:paraId="43A9836A" w14:textId="77777777" w:rsidR="004F00F4" w:rsidRPr="00D87AA9" w:rsidRDefault="004F00F4" w:rsidP="00680847">
            <w:pPr>
              <w:pStyle w:val="TableBodyText"/>
              <w:jc w:val="left"/>
            </w:pPr>
          </w:p>
        </w:tc>
        <w:tc>
          <w:tcPr>
            <w:tcW w:w="6804" w:type="dxa"/>
            <w:shd w:val="clear" w:color="auto" w:fill="auto"/>
          </w:tcPr>
          <w:p w14:paraId="3AEE6FA8" w14:textId="7247077A" w:rsidR="004F00F4" w:rsidRPr="00D87AA9" w:rsidRDefault="00DD4235" w:rsidP="00CD1910">
            <w:pPr>
              <w:pStyle w:val="TableBodyText"/>
              <w:spacing w:before="80"/>
              <w:jc w:val="left"/>
            </w:pPr>
            <w:r>
              <w:t>Nil</w:t>
            </w:r>
          </w:p>
        </w:tc>
      </w:tr>
    </w:tbl>
    <w:p w14:paraId="3B04D1F1" w14:textId="77777777" w:rsidR="004F00F4" w:rsidRDefault="004F00F4" w:rsidP="004F00F4">
      <w:pPr>
        <w:pStyle w:val="BodyText"/>
      </w:pPr>
      <w:r>
        <w:br w:type="page"/>
      </w:r>
    </w:p>
    <w:p w14:paraId="51C80894" w14:textId="77777777" w:rsidR="004F00F4" w:rsidRDefault="004F00F4">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0764CD65" w14:textId="77777777" w:rsidTr="008F5A63">
        <w:tc>
          <w:tcPr>
            <w:tcW w:w="8789" w:type="dxa"/>
            <w:tcBorders>
              <w:top w:val="single" w:sz="6" w:space="0" w:color="78A22F"/>
              <w:left w:val="nil"/>
              <w:bottom w:val="nil"/>
              <w:right w:val="nil"/>
            </w:tcBorders>
            <w:shd w:val="clear" w:color="auto" w:fill="F2F2F2"/>
          </w:tcPr>
          <w:p w14:paraId="01FDF9CD" w14:textId="64A54F49" w:rsidR="004F00F4" w:rsidRDefault="004F00F4" w:rsidP="00291F8D">
            <w:pPr>
              <w:pStyle w:val="BoxTitle"/>
            </w:pPr>
            <w:r>
              <w:rPr>
                <w:b w:val="0"/>
              </w:rPr>
              <w:t xml:space="preserve">Box </w:t>
            </w:r>
            <w:r w:rsidR="00291F8D">
              <w:rPr>
                <w:b w:val="0"/>
              </w:rPr>
              <w:t>8</w:t>
            </w:r>
            <w:r>
              <w:tab/>
              <w:t xml:space="preserve">Comment on data </w:t>
            </w:r>
            <w:r w:rsidR="00920EDE">
              <w:t>availability</w:t>
            </w:r>
          </w:p>
        </w:tc>
      </w:tr>
      <w:tr w:rsidR="004F00F4" w14:paraId="449FB433" w14:textId="77777777" w:rsidTr="008F5A63">
        <w:trPr>
          <w:cantSplit/>
        </w:trPr>
        <w:tc>
          <w:tcPr>
            <w:tcW w:w="8789" w:type="dxa"/>
            <w:tcBorders>
              <w:top w:val="nil"/>
              <w:left w:val="nil"/>
              <w:bottom w:val="nil"/>
              <w:right w:val="nil"/>
            </w:tcBorders>
            <w:shd w:val="clear" w:color="auto" w:fill="F2F2F2"/>
          </w:tcPr>
          <w:p w14:paraId="454082BA" w14:textId="694FB723" w:rsidR="009467A7" w:rsidRPr="004F00F4" w:rsidRDefault="009467A7" w:rsidP="009467A7">
            <w:pPr>
              <w:pStyle w:val="Box"/>
            </w:pPr>
            <w:r>
              <w:t>No</w:t>
            </w:r>
            <w:r w:rsidRPr="004F00F4">
              <w:t xml:space="preserve"> new data </w:t>
            </w:r>
            <w:r>
              <w:t>were available for this report. The 2018 NAPLAN data were not available in time for inclusion.</w:t>
            </w:r>
          </w:p>
          <w:p w14:paraId="41285DB5" w14:textId="31123723" w:rsidR="004F00F4" w:rsidRDefault="009467A7" w:rsidP="00DD4235">
            <w:pPr>
              <w:pStyle w:val="Box"/>
            </w:pPr>
            <w:r>
              <w:t xml:space="preserve">Data for 2017 are available in the 2016-17 </w:t>
            </w:r>
            <w:proofErr w:type="spellStart"/>
            <w:r>
              <w:t>NIRA</w:t>
            </w:r>
            <w:proofErr w:type="spellEnd"/>
            <w:r>
              <w:t xml:space="preserve"> performance report, for 2016 in the 2015-16 </w:t>
            </w:r>
            <w:proofErr w:type="spellStart"/>
            <w:r>
              <w:t>NIRA</w:t>
            </w:r>
            <w:proofErr w:type="spellEnd"/>
            <w:r>
              <w:t xml:space="preserve"> performance report, for 2015 in the 2014-15 </w:t>
            </w:r>
            <w:proofErr w:type="spellStart"/>
            <w:r>
              <w:t>NIRA</w:t>
            </w:r>
            <w:proofErr w:type="spellEnd"/>
            <w:r>
              <w:t xml:space="preserve"> performance report, for 2014 in the 2013-14 </w:t>
            </w:r>
            <w:proofErr w:type="spellStart"/>
            <w:r>
              <w:t>NIRA</w:t>
            </w:r>
            <w:proofErr w:type="spellEnd"/>
            <w:r>
              <w:t xml:space="preserve"> performance report, for 2013 in the 2012-13 </w:t>
            </w:r>
            <w:proofErr w:type="spellStart"/>
            <w:r>
              <w:t>NIRA</w:t>
            </w:r>
            <w:proofErr w:type="spellEnd"/>
            <w:r>
              <w:t xml:space="preserve"> performance report, for 2012 in the 2011</w:t>
            </w:r>
            <w:r>
              <w:noBreakHyphen/>
              <w:t xml:space="preserve">12 </w:t>
            </w:r>
            <w:proofErr w:type="spellStart"/>
            <w:r>
              <w:t>NIRA</w:t>
            </w:r>
            <w:proofErr w:type="spellEnd"/>
            <w:r>
              <w:t xml:space="preserve"> performance report, for 2011 and 2010 in the 2010-11 </w:t>
            </w:r>
            <w:proofErr w:type="spellStart"/>
            <w:r>
              <w:t>NIRA</w:t>
            </w:r>
            <w:proofErr w:type="spellEnd"/>
            <w:r>
              <w:t xml:space="preserve"> performance report and for 2009 and 2008 in the 2009-10 </w:t>
            </w:r>
            <w:proofErr w:type="spellStart"/>
            <w:r>
              <w:t>NIRA</w:t>
            </w:r>
            <w:proofErr w:type="spellEnd"/>
            <w:r>
              <w:t xml:space="preserve"> performance report.</w:t>
            </w:r>
          </w:p>
        </w:tc>
      </w:tr>
      <w:tr w:rsidR="004F00F4" w14:paraId="0EBD4207" w14:textId="77777777" w:rsidTr="008F5A63">
        <w:trPr>
          <w:cantSplit/>
        </w:trPr>
        <w:tc>
          <w:tcPr>
            <w:tcW w:w="8789" w:type="dxa"/>
            <w:tcBorders>
              <w:top w:val="nil"/>
              <w:left w:val="nil"/>
              <w:bottom w:val="single" w:sz="6" w:space="0" w:color="78A22F"/>
              <w:right w:val="nil"/>
            </w:tcBorders>
            <w:shd w:val="clear" w:color="auto" w:fill="F2F2F2"/>
          </w:tcPr>
          <w:p w14:paraId="3DD0CFB6" w14:textId="77777777" w:rsidR="004F00F4" w:rsidRDefault="004F00F4">
            <w:pPr>
              <w:pStyle w:val="Box"/>
              <w:spacing w:before="0" w:line="120" w:lineRule="exact"/>
            </w:pPr>
          </w:p>
        </w:tc>
      </w:tr>
      <w:tr w:rsidR="004F00F4" w:rsidRPr="000863A5" w14:paraId="025B14F4" w14:textId="77777777" w:rsidTr="008F5A63">
        <w:tc>
          <w:tcPr>
            <w:tcW w:w="8789" w:type="dxa"/>
            <w:tcBorders>
              <w:top w:val="single" w:sz="6" w:space="0" w:color="78A22F"/>
              <w:left w:val="nil"/>
              <w:bottom w:val="nil"/>
              <w:right w:val="nil"/>
            </w:tcBorders>
          </w:tcPr>
          <w:p w14:paraId="0D9AAFE8" w14:textId="77777777" w:rsidR="004F00F4" w:rsidRPr="00626D32" w:rsidRDefault="004F00F4" w:rsidP="00680847">
            <w:pPr>
              <w:pStyle w:val="BoxSpaceBelow"/>
            </w:pPr>
          </w:p>
        </w:tc>
      </w:tr>
    </w:tbl>
    <w:p w14:paraId="7B3F748F" w14:textId="77777777" w:rsidR="004F00F4" w:rsidRDefault="004F00F4" w:rsidP="004F00F4">
      <w:pPr>
        <w:pStyle w:val="BodyText"/>
        <w:rPr>
          <w:rFonts w:ascii="Arial" w:hAnsi="Arial"/>
          <w:sz w:val="20"/>
        </w:rPr>
      </w:pPr>
      <w:r>
        <w:br w:type="page"/>
      </w:r>
    </w:p>
    <w:p w14:paraId="4C677A54" w14:textId="77777777" w:rsidR="004F00F4" w:rsidRDefault="004F00F4" w:rsidP="008F5A63">
      <w:pPr>
        <w:pStyle w:val="Heading3"/>
        <w:spacing w:after="120"/>
      </w:pPr>
      <w:r w:rsidRPr="00D87AA9">
        <w:lastRenderedPageBreak/>
        <w:t xml:space="preserve">Performance target (e) — </w:t>
      </w:r>
      <w:r>
        <w:t>halve the gap in year 12 or equivalent attainment rates for Indigenous young people by 2020</w:t>
      </w:r>
    </w:p>
    <w:tbl>
      <w:tblPr>
        <w:tblW w:w="8793" w:type="dxa"/>
        <w:tblCellMar>
          <w:left w:w="0" w:type="dxa"/>
          <w:right w:w="0" w:type="dxa"/>
        </w:tblCellMar>
        <w:tblLook w:val="0000" w:firstRow="0" w:lastRow="0" w:firstColumn="0" w:lastColumn="0" w:noHBand="0" w:noVBand="0"/>
      </w:tblPr>
      <w:tblGrid>
        <w:gridCol w:w="1985"/>
        <w:gridCol w:w="6808"/>
      </w:tblGrid>
      <w:tr w:rsidR="004F00F4" w:rsidRPr="00D87AA9" w14:paraId="2E2BEA51" w14:textId="77777777" w:rsidTr="002B7EFC">
        <w:tc>
          <w:tcPr>
            <w:tcW w:w="1985" w:type="dxa"/>
          </w:tcPr>
          <w:p w14:paraId="38CCB3F8" w14:textId="77777777" w:rsidR="004F00F4" w:rsidRPr="00D87AA9" w:rsidRDefault="004F00F4" w:rsidP="00680847">
            <w:pPr>
              <w:pStyle w:val="TableBodyText"/>
              <w:jc w:val="left"/>
              <w:rPr>
                <w:i/>
              </w:rPr>
            </w:pPr>
            <w:r w:rsidRPr="00B82DC5">
              <w:t>Key amendments from previous cycle of reporting:</w:t>
            </w:r>
          </w:p>
        </w:tc>
        <w:tc>
          <w:tcPr>
            <w:tcW w:w="6808" w:type="dxa"/>
          </w:tcPr>
          <w:p w14:paraId="20210790" w14:textId="04D2E4F6" w:rsidR="004F00F4" w:rsidRPr="00D87AA9" w:rsidRDefault="002E49DE" w:rsidP="001A6127">
            <w:pPr>
              <w:pStyle w:val="TableBodyText"/>
              <w:jc w:val="both"/>
              <w:rPr>
                <w:szCs w:val="24"/>
              </w:rPr>
            </w:pPr>
            <w:r w:rsidRPr="00994C99">
              <w:t xml:space="preserve">This target is unchanged from the previous </w:t>
            </w:r>
            <w:proofErr w:type="spellStart"/>
            <w:r>
              <w:t>NIRA</w:t>
            </w:r>
            <w:proofErr w:type="spellEnd"/>
            <w:r>
              <w:t xml:space="preserve"> performance report</w:t>
            </w:r>
            <w:r w:rsidRPr="00994C99">
              <w:t>.</w:t>
            </w:r>
          </w:p>
        </w:tc>
      </w:tr>
      <w:tr w:rsidR="004F00F4" w:rsidRPr="00D87AA9" w14:paraId="4372D57A" w14:textId="77777777" w:rsidTr="002B7EFC">
        <w:tc>
          <w:tcPr>
            <w:tcW w:w="1985" w:type="dxa"/>
          </w:tcPr>
          <w:p w14:paraId="65C8F872" w14:textId="77777777" w:rsidR="004F00F4" w:rsidRPr="00D87AA9" w:rsidRDefault="004F00F4" w:rsidP="00177B9D">
            <w:pPr>
              <w:pStyle w:val="TableBodyText"/>
              <w:spacing w:before="80"/>
              <w:jc w:val="left"/>
            </w:pPr>
            <w:r w:rsidRPr="00D87AA9">
              <w:t>Outcome:</w:t>
            </w:r>
          </w:p>
        </w:tc>
        <w:tc>
          <w:tcPr>
            <w:tcW w:w="6808" w:type="dxa"/>
          </w:tcPr>
          <w:p w14:paraId="39CE8937" w14:textId="77C70064" w:rsidR="004F00F4" w:rsidRPr="00D87AA9" w:rsidRDefault="004F00F4" w:rsidP="00177B9D">
            <w:pPr>
              <w:pStyle w:val="TableBodyText"/>
              <w:spacing w:before="80"/>
              <w:jc w:val="left"/>
            </w:pPr>
            <w:r w:rsidRPr="00994C99">
              <w:t>Halve the gap for Indigenous people aged 20–24 in Year 12 attainment or equivalent attainment rates (by 2020) (14 years from 2006 – the baseline period)</w:t>
            </w:r>
          </w:p>
        </w:tc>
      </w:tr>
      <w:tr w:rsidR="004F00F4" w:rsidRPr="00D87AA9" w14:paraId="53D0771D" w14:textId="77777777" w:rsidTr="002B7EFC">
        <w:tc>
          <w:tcPr>
            <w:tcW w:w="1985" w:type="dxa"/>
          </w:tcPr>
          <w:p w14:paraId="277482A3" w14:textId="77777777" w:rsidR="004F00F4" w:rsidRPr="00D87AA9" w:rsidRDefault="004F00F4" w:rsidP="00177B9D">
            <w:pPr>
              <w:pStyle w:val="TableBodyText"/>
              <w:spacing w:before="80"/>
              <w:jc w:val="left"/>
            </w:pPr>
            <w:r w:rsidRPr="00D87AA9">
              <w:t>Measure:</w:t>
            </w:r>
          </w:p>
          <w:p w14:paraId="3BC46E79" w14:textId="77777777" w:rsidR="004F00F4" w:rsidRPr="00D87AA9" w:rsidRDefault="004F00F4" w:rsidP="00680847">
            <w:pPr>
              <w:pStyle w:val="TableBodyText"/>
              <w:jc w:val="left"/>
            </w:pPr>
          </w:p>
        </w:tc>
        <w:tc>
          <w:tcPr>
            <w:tcW w:w="6808" w:type="dxa"/>
          </w:tcPr>
          <w:p w14:paraId="79CEE7D4" w14:textId="77777777" w:rsidR="004F00F4" w:rsidRDefault="004F00F4" w:rsidP="00177B9D">
            <w:pPr>
              <w:pStyle w:val="TableBodyText"/>
              <w:spacing w:before="80"/>
              <w:jc w:val="left"/>
            </w:pPr>
            <w:r>
              <w:t>Proportion of the 20−24 year old population having attained at least a Year 12 or equivalent or Australian Qualifications Framework (</w:t>
            </w:r>
            <w:proofErr w:type="spellStart"/>
            <w:r>
              <w:t>AQF</w:t>
            </w:r>
            <w:proofErr w:type="spellEnd"/>
            <w:r>
              <w:t>) Certificate level II or above, by Indigenous status</w:t>
            </w:r>
          </w:p>
          <w:p w14:paraId="5A72FEA9" w14:textId="77777777" w:rsidR="004F00F4" w:rsidRDefault="004F00F4" w:rsidP="00177B9D">
            <w:pPr>
              <w:pStyle w:val="TableBodyText"/>
              <w:spacing w:before="80"/>
              <w:jc w:val="left"/>
            </w:pPr>
            <w:r>
              <w:t>The measure is defined as:</w:t>
            </w:r>
          </w:p>
          <w:p w14:paraId="08A0897E" w14:textId="77777777" w:rsidR="004F00F4" w:rsidRDefault="004F00F4" w:rsidP="00680847">
            <w:pPr>
              <w:pStyle w:val="TableBullet"/>
              <w:rPr>
                <w:szCs w:val="24"/>
              </w:rPr>
            </w:pPr>
            <w:r w:rsidRPr="00C47FBF">
              <w:rPr>
                <w:i/>
              </w:rPr>
              <w:t>Numerator</w:t>
            </w:r>
            <w:r>
              <w:t xml:space="preserve"> — people aged 20–24 years who have completed year 12 or equivalent or whose level of highest non-school qualification is at </w:t>
            </w:r>
            <w:proofErr w:type="spellStart"/>
            <w:r>
              <w:t>AQF</w:t>
            </w:r>
            <w:proofErr w:type="spellEnd"/>
            <w:r>
              <w:t xml:space="preserve"> Certificate II or equivalent or above </w:t>
            </w:r>
          </w:p>
          <w:p w14:paraId="11C75010" w14:textId="77777777" w:rsidR="004F00F4" w:rsidRDefault="004F00F4" w:rsidP="00680847">
            <w:pPr>
              <w:pStyle w:val="TableBullet"/>
              <w:rPr>
                <w:szCs w:val="24"/>
              </w:rPr>
            </w:pPr>
            <w:r w:rsidRPr="00C47FBF">
              <w:rPr>
                <w:i/>
              </w:rPr>
              <w:t xml:space="preserve">Denominator </w:t>
            </w:r>
            <w:r>
              <w:t xml:space="preserve">— total population of people aged 20–24 years </w:t>
            </w:r>
          </w:p>
          <w:p w14:paraId="26572C83" w14:textId="77777777" w:rsidR="004F00F4" w:rsidRDefault="004F00F4" w:rsidP="00680847">
            <w:pPr>
              <w:pStyle w:val="TableBodyText"/>
              <w:jc w:val="left"/>
            </w:pPr>
            <w:r>
              <w:t xml:space="preserve">and is presented as a </w:t>
            </w:r>
            <w:r w:rsidRPr="00C47FBF">
              <w:rPr>
                <w:i/>
              </w:rPr>
              <w:t>rate per 100 population</w:t>
            </w:r>
          </w:p>
          <w:p w14:paraId="3BF252C4" w14:textId="4DFE0D6A" w:rsidR="004F00F4" w:rsidRDefault="004F00F4" w:rsidP="00177B9D">
            <w:pPr>
              <w:pStyle w:val="TableBodyText"/>
              <w:spacing w:before="80"/>
              <w:jc w:val="left"/>
            </w:pPr>
            <w:r>
              <w:t>People whose level of education was inadequately described are excluded from the calculatio</w:t>
            </w:r>
            <w:r w:rsidR="00177B9D">
              <w:t xml:space="preserve">n (numerator and denominator). </w:t>
            </w:r>
          </w:p>
          <w:p w14:paraId="61D8C37D" w14:textId="7E724E57" w:rsidR="004F00F4" w:rsidRPr="00D87AA9" w:rsidRDefault="004F00F4" w:rsidP="00680847">
            <w:pPr>
              <w:pStyle w:val="TableBodyText"/>
              <w:jc w:val="left"/>
            </w:pPr>
            <w:r>
              <w:t>[Specific inclusions are subject to the use of Census or survey data — see in</w:t>
            </w:r>
            <w:r w:rsidR="00177B9D">
              <w:t>dicator 12 for further details]</w:t>
            </w:r>
          </w:p>
        </w:tc>
      </w:tr>
      <w:tr w:rsidR="004F00F4" w:rsidRPr="00D87AA9" w14:paraId="522A2B45" w14:textId="77777777" w:rsidTr="002B7EFC">
        <w:tc>
          <w:tcPr>
            <w:tcW w:w="1985" w:type="dxa"/>
            <w:shd w:val="clear" w:color="auto" w:fill="auto"/>
          </w:tcPr>
          <w:p w14:paraId="7E06C544" w14:textId="7FE88CB5" w:rsidR="004F00F4" w:rsidRPr="00D87AA9" w:rsidRDefault="004F00F4" w:rsidP="00177B9D">
            <w:pPr>
              <w:pStyle w:val="TableBodyText"/>
              <w:spacing w:before="80"/>
              <w:jc w:val="left"/>
            </w:pPr>
            <w:r w:rsidRPr="00D87AA9">
              <w:t>Related performance indicator</w:t>
            </w:r>
            <w:r w:rsidR="00CE0B96">
              <w:t>/s</w:t>
            </w:r>
            <w:r w:rsidRPr="00D87AA9">
              <w:t>:</w:t>
            </w:r>
          </w:p>
        </w:tc>
        <w:tc>
          <w:tcPr>
            <w:tcW w:w="6808" w:type="dxa"/>
            <w:shd w:val="clear" w:color="auto" w:fill="auto"/>
          </w:tcPr>
          <w:p w14:paraId="64CAC666" w14:textId="77777777" w:rsidR="004F00F4" w:rsidRPr="00D87AA9" w:rsidRDefault="004F00F4" w:rsidP="00177B9D">
            <w:pPr>
              <w:pStyle w:val="TableBodyText"/>
              <w:spacing w:before="80"/>
              <w:jc w:val="left"/>
            </w:pPr>
            <w:r w:rsidRPr="00994C99">
              <w:t>Performance indicator 12: Attainment of Year 12 or equivalent</w:t>
            </w:r>
          </w:p>
        </w:tc>
      </w:tr>
      <w:tr w:rsidR="004F00F4" w:rsidRPr="00D87AA9" w14:paraId="13FA3206" w14:textId="77777777" w:rsidTr="002B7EFC">
        <w:tc>
          <w:tcPr>
            <w:tcW w:w="1985" w:type="dxa"/>
            <w:shd w:val="clear" w:color="auto" w:fill="auto"/>
          </w:tcPr>
          <w:p w14:paraId="36CAC557" w14:textId="77777777" w:rsidR="004F00F4" w:rsidRPr="00D87AA9" w:rsidRDefault="004F00F4" w:rsidP="00177B9D">
            <w:pPr>
              <w:pStyle w:val="TableBodyText"/>
              <w:spacing w:before="80"/>
              <w:jc w:val="left"/>
            </w:pPr>
            <w:r w:rsidRPr="00D87AA9">
              <w:t>Data source:</w:t>
            </w:r>
          </w:p>
          <w:p w14:paraId="1C017B31" w14:textId="77777777" w:rsidR="004F00F4" w:rsidRPr="00D87AA9" w:rsidRDefault="004F00F4" w:rsidP="00680847">
            <w:pPr>
              <w:pStyle w:val="TableBodyText"/>
              <w:jc w:val="left"/>
            </w:pPr>
          </w:p>
        </w:tc>
        <w:tc>
          <w:tcPr>
            <w:tcW w:w="6808" w:type="dxa"/>
            <w:shd w:val="clear" w:color="auto" w:fill="auto"/>
          </w:tcPr>
          <w:p w14:paraId="7FDFBF71" w14:textId="77777777" w:rsidR="004F00F4" w:rsidRPr="00C47FBF" w:rsidRDefault="004F00F4" w:rsidP="00177B9D">
            <w:pPr>
              <w:pStyle w:val="TableBodyText"/>
              <w:spacing w:before="80"/>
              <w:jc w:val="left"/>
              <w:rPr>
                <w:u w:val="single"/>
              </w:rPr>
            </w:pPr>
            <w:r w:rsidRPr="00C47FBF">
              <w:rPr>
                <w:u w:val="single"/>
              </w:rPr>
              <w:t>Main data collection</w:t>
            </w:r>
          </w:p>
          <w:p w14:paraId="45C05E8B" w14:textId="77777777" w:rsidR="004F00F4" w:rsidRDefault="004F00F4" w:rsidP="00680847">
            <w:pPr>
              <w:pStyle w:val="TableBodyText"/>
              <w:jc w:val="left"/>
            </w:pPr>
            <w:r w:rsidRPr="0078783D">
              <w:rPr>
                <w:i/>
              </w:rPr>
              <w:t>Numerator and denominator</w:t>
            </w:r>
            <w:r>
              <w:t xml:space="preserve"> — (Indigenous status)</w:t>
            </w:r>
            <w:r w:rsidR="00775A12">
              <w:t xml:space="preserve"> </w:t>
            </w:r>
            <w:r w:rsidR="00775A12" w:rsidRPr="00775A12">
              <w:t>ABS</w:t>
            </w:r>
            <w:r>
              <w:t xml:space="preserve"> </w:t>
            </w:r>
            <w:r w:rsidRPr="00DD75F8">
              <w:rPr>
                <w:u w:val="single"/>
              </w:rPr>
              <w:t xml:space="preserve">Census of Population and Housing </w:t>
            </w:r>
            <w:r>
              <w:t>(Census count of population). Data are available every 5 years.</w:t>
            </w:r>
          </w:p>
          <w:p w14:paraId="5F2CD4D9" w14:textId="77777777" w:rsidR="004F00F4" w:rsidRPr="00DD75F8" w:rsidRDefault="004F00F4" w:rsidP="00177B9D">
            <w:pPr>
              <w:pStyle w:val="TableBodyText"/>
              <w:spacing w:before="80"/>
              <w:jc w:val="left"/>
              <w:rPr>
                <w:u w:val="single"/>
              </w:rPr>
            </w:pPr>
            <w:r w:rsidRPr="00DD75F8">
              <w:rPr>
                <w:u w:val="single"/>
              </w:rPr>
              <w:t>Supplementary data collection</w:t>
            </w:r>
          </w:p>
          <w:p w14:paraId="55EE6A2A" w14:textId="77777777" w:rsidR="004F00F4" w:rsidRDefault="004F00F4" w:rsidP="00680847">
            <w:pPr>
              <w:pStyle w:val="TableBodyText"/>
              <w:jc w:val="left"/>
            </w:pPr>
            <w:r w:rsidRPr="00DD75F8">
              <w:rPr>
                <w:i/>
              </w:rPr>
              <w:t>Numerator and denominator</w:t>
            </w:r>
            <w:r>
              <w:t xml:space="preserve"> — </w:t>
            </w:r>
          </w:p>
          <w:p w14:paraId="366BA539" w14:textId="77777777" w:rsidR="004F00F4" w:rsidRDefault="004F00F4" w:rsidP="00680847">
            <w:pPr>
              <w:pStyle w:val="TableBodyText"/>
              <w:jc w:val="left"/>
            </w:pPr>
            <w:r>
              <w:t>(</w:t>
            </w:r>
            <w:r w:rsidR="009431D9">
              <w:t>Aboriginal and Torres Strait Islander</w:t>
            </w:r>
            <w:r>
              <w:t xml:space="preserve">) ABS </w:t>
            </w:r>
            <w:r w:rsidRPr="00DD75F8">
              <w:rPr>
                <w:u w:val="single"/>
              </w:rPr>
              <w:t>National Aboriginal and Torres Strait Islander Social Survey</w:t>
            </w:r>
            <w:r>
              <w:t xml:space="preserve"> (</w:t>
            </w:r>
            <w:proofErr w:type="spellStart"/>
            <w:r>
              <w:t>NATSISS</w:t>
            </w:r>
            <w:proofErr w:type="spellEnd"/>
            <w:r>
              <w:t xml:space="preserve">) and core </w:t>
            </w:r>
            <w:r w:rsidR="00973286">
              <w:t xml:space="preserve">component </w:t>
            </w:r>
            <w:r>
              <w:t>(</w:t>
            </w:r>
            <w:proofErr w:type="spellStart"/>
            <w:r>
              <w:t>NATSIHS</w:t>
            </w:r>
            <w:proofErr w:type="spellEnd"/>
            <w:r>
              <w:t xml:space="preserve"> plus </w:t>
            </w:r>
            <w:proofErr w:type="spellStart"/>
            <w:r>
              <w:t>NATSINPAS</w:t>
            </w:r>
            <w:proofErr w:type="spellEnd"/>
            <w:r>
              <w:t xml:space="preserve">) of the </w:t>
            </w:r>
            <w:r w:rsidRPr="00DD75F8">
              <w:rPr>
                <w:u w:val="single"/>
              </w:rPr>
              <w:t>Australian Aboriginal and Torres Strait Islander Health Survey</w:t>
            </w:r>
            <w:r>
              <w:t xml:space="preserve"> (</w:t>
            </w:r>
            <w:proofErr w:type="spellStart"/>
            <w:r>
              <w:t>AATSIHS</w:t>
            </w:r>
            <w:proofErr w:type="spellEnd"/>
            <w:r>
              <w:t xml:space="preserve">) — Data are available on a rotating 3-yearly cycle. </w:t>
            </w:r>
          </w:p>
          <w:p w14:paraId="6E7EDD3C" w14:textId="23DC8401" w:rsidR="004F00F4" w:rsidRPr="00D87AA9" w:rsidRDefault="004F00F4" w:rsidP="00680847">
            <w:pPr>
              <w:pStyle w:val="TableBodyText"/>
              <w:jc w:val="left"/>
            </w:pPr>
            <w:r>
              <w:t xml:space="preserve">(Non-Indigenous) ABS </w:t>
            </w:r>
            <w:r w:rsidRPr="00DD75F8">
              <w:rPr>
                <w:u w:val="single"/>
              </w:rPr>
              <w:t>Survey of Education and Work</w:t>
            </w:r>
            <w:r>
              <w:t xml:space="preserve"> (SEW)</w:t>
            </w:r>
            <w:r w:rsidR="002B469C">
              <w:t xml:space="preserve"> – Data are available annually.</w:t>
            </w:r>
          </w:p>
        </w:tc>
      </w:tr>
      <w:tr w:rsidR="004F00F4" w:rsidRPr="00D87AA9" w14:paraId="459A14F8" w14:textId="77777777" w:rsidTr="002B7EFC">
        <w:tc>
          <w:tcPr>
            <w:tcW w:w="1985" w:type="dxa"/>
            <w:shd w:val="clear" w:color="auto" w:fill="auto"/>
          </w:tcPr>
          <w:p w14:paraId="27C05A5C" w14:textId="5DC0DC73" w:rsidR="004F00F4" w:rsidRPr="00D87AA9" w:rsidRDefault="00177B9D" w:rsidP="00177B9D">
            <w:pPr>
              <w:pStyle w:val="TableBodyText"/>
              <w:spacing w:before="80"/>
              <w:jc w:val="left"/>
            </w:pPr>
            <w:r>
              <w:t>Data provider:</w:t>
            </w:r>
          </w:p>
        </w:tc>
        <w:tc>
          <w:tcPr>
            <w:tcW w:w="6808" w:type="dxa"/>
            <w:shd w:val="clear" w:color="auto" w:fill="auto"/>
          </w:tcPr>
          <w:p w14:paraId="19574FB8" w14:textId="77777777" w:rsidR="004F00F4" w:rsidRPr="00D87AA9" w:rsidRDefault="004F00F4" w:rsidP="00177B9D">
            <w:pPr>
              <w:pStyle w:val="TableBodyText"/>
              <w:spacing w:before="80"/>
              <w:jc w:val="left"/>
            </w:pPr>
            <w:r w:rsidRPr="00AB4013">
              <w:t>ABS</w:t>
            </w:r>
          </w:p>
        </w:tc>
      </w:tr>
      <w:tr w:rsidR="00177B9D" w:rsidRPr="00D87AA9" w14:paraId="58644DBA" w14:textId="77777777" w:rsidTr="002B7EFC">
        <w:tc>
          <w:tcPr>
            <w:tcW w:w="1985" w:type="dxa"/>
            <w:shd w:val="clear" w:color="auto" w:fill="auto"/>
          </w:tcPr>
          <w:p w14:paraId="11B7210D" w14:textId="20A9F0CE" w:rsidR="00177B9D" w:rsidRDefault="00177B9D" w:rsidP="00177B9D">
            <w:pPr>
              <w:pStyle w:val="TableBodyText"/>
              <w:spacing w:before="80"/>
              <w:jc w:val="left"/>
            </w:pPr>
            <w:r>
              <w:t>Data availability:</w:t>
            </w:r>
          </w:p>
        </w:tc>
        <w:tc>
          <w:tcPr>
            <w:tcW w:w="6808" w:type="dxa"/>
            <w:shd w:val="clear" w:color="auto" w:fill="auto"/>
          </w:tcPr>
          <w:p w14:paraId="4CEBAF6B" w14:textId="77777777" w:rsidR="00177B9D" w:rsidRPr="00DD75F8" w:rsidRDefault="00177B9D" w:rsidP="00177B9D">
            <w:pPr>
              <w:pStyle w:val="TableBodyText"/>
              <w:spacing w:before="80"/>
              <w:jc w:val="left"/>
              <w:rPr>
                <w:u w:val="single"/>
              </w:rPr>
            </w:pPr>
            <w:r w:rsidRPr="00DD75F8">
              <w:rPr>
                <w:u w:val="single"/>
              </w:rPr>
              <w:t>Main data collection</w:t>
            </w:r>
          </w:p>
          <w:p w14:paraId="08B5763D" w14:textId="1138706A" w:rsidR="00177B9D" w:rsidRDefault="008D4253" w:rsidP="00177B9D">
            <w:pPr>
              <w:pStyle w:val="TableBodyText"/>
              <w:jc w:val="left"/>
            </w:pPr>
            <w:r>
              <w:t>No new data available</w:t>
            </w:r>
          </w:p>
          <w:p w14:paraId="3485B7E3" w14:textId="77777777" w:rsidR="00177B9D" w:rsidRPr="00DD75F8" w:rsidRDefault="00177B9D" w:rsidP="00177B9D">
            <w:pPr>
              <w:pStyle w:val="TableBodyText"/>
              <w:spacing w:before="80"/>
              <w:jc w:val="left"/>
              <w:rPr>
                <w:u w:val="single"/>
              </w:rPr>
            </w:pPr>
            <w:r w:rsidRPr="00DD75F8">
              <w:rPr>
                <w:u w:val="single"/>
              </w:rPr>
              <w:t>Supplementary data collection</w:t>
            </w:r>
          </w:p>
          <w:p w14:paraId="397BAB38" w14:textId="08EC3C03" w:rsidR="00177B9D" w:rsidRPr="00AB4013" w:rsidRDefault="00177B9D" w:rsidP="00177B9D">
            <w:pPr>
              <w:pStyle w:val="TableBodyText"/>
              <w:jc w:val="left"/>
            </w:pPr>
            <w:r>
              <w:t>No new data available</w:t>
            </w:r>
          </w:p>
        </w:tc>
      </w:tr>
      <w:tr w:rsidR="004F00F4" w:rsidRPr="00D87AA9" w14:paraId="59C7226E" w14:textId="77777777" w:rsidTr="002B7EFC">
        <w:tc>
          <w:tcPr>
            <w:tcW w:w="1985" w:type="dxa"/>
            <w:shd w:val="clear" w:color="auto" w:fill="auto"/>
          </w:tcPr>
          <w:p w14:paraId="5EC78BE1" w14:textId="69C6E992" w:rsidR="004F00F4" w:rsidRPr="00D87AA9" w:rsidRDefault="00177B9D" w:rsidP="00177B9D">
            <w:pPr>
              <w:pStyle w:val="TableBodyText"/>
              <w:spacing w:before="80"/>
              <w:jc w:val="left"/>
            </w:pPr>
            <w:r>
              <w:t>Baseline:</w:t>
            </w:r>
          </w:p>
        </w:tc>
        <w:tc>
          <w:tcPr>
            <w:tcW w:w="6808" w:type="dxa"/>
            <w:shd w:val="clear" w:color="auto" w:fill="auto"/>
          </w:tcPr>
          <w:p w14:paraId="284E2AA7" w14:textId="77777777" w:rsidR="004F00F4" w:rsidRPr="00D87AA9" w:rsidRDefault="004F00F4" w:rsidP="00177B9D">
            <w:pPr>
              <w:pStyle w:val="TableBodyText"/>
              <w:spacing w:before="80"/>
              <w:jc w:val="left"/>
            </w:pPr>
            <w:r w:rsidRPr="00010BAE">
              <w:t>The baseline for the target is 2006</w:t>
            </w:r>
          </w:p>
        </w:tc>
      </w:tr>
      <w:tr w:rsidR="004F00F4" w:rsidRPr="00D87AA9" w14:paraId="4568F176" w14:textId="77777777" w:rsidTr="002B7EFC">
        <w:tc>
          <w:tcPr>
            <w:tcW w:w="1985" w:type="dxa"/>
            <w:shd w:val="clear" w:color="auto" w:fill="auto"/>
          </w:tcPr>
          <w:p w14:paraId="4780C707" w14:textId="77777777" w:rsidR="004F00F4" w:rsidRPr="00D87AA9" w:rsidRDefault="004F00F4" w:rsidP="00177B9D">
            <w:pPr>
              <w:pStyle w:val="TableBodyText"/>
              <w:spacing w:before="80"/>
              <w:jc w:val="left"/>
            </w:pPr>
            <w:r w:rsidRPr="00D87AA9">
              <w:t>Cross tabulations provided:</w:t>
            </w:r>
          </w:p>
        </w:tc>
        <w:tc>
          <w:tcPr>
            <w:tcW w:w="6808" w:type="dxa"/>
            <w:shd w:val="clear" w:color="auto" w:fill="auto"/>
          </w:tcPr>
          <w:p w14:paraId="2FE027F0" w14:textId="7502CB93" w:rsidR="004F00F4" w:rsidRPr="00D87AA9" w:rsidRDefault="008D4253" w:rsidP="00C530B4">
            <w:pPr>
              <w:pStyle w:val="TableBodyText"/>
              <w:jc w:val="left"/>
              <w:rPr>
                <w:szCs w:val="24"/>
              </w:rPr>
            </w:pPr>
            <w:r>
              <w:t>Nil</w:t>
            </w:r>
          </w:p>
        </w:tc>
      </w:tr>
    </w:tbl>
    <w:p w14:paraId="66041C73" w14:textId="77777777" w:rsidR="002B7EFC" w:rsidRDefault="002B7EFC">
      <w:pPr>
        <w:pStyle w:val="BoxSpaceAbove"/>
      </w:pPr>
    </w:p>
    <w:p w14:paraId="53A1C2F6" w14:textId="77777777" w:rsidR="00857438" w:rsidRDefault="00857438">
      <w:pPr>
        <w:pStyle w:val="BoxSpaceAbove"/>
      </w:pPr>
    </w:p>
    <w:tbl>
      <w:tblPr>
        <w:tblW w:w="0" w:type="auto"/>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F00F4" w14:paraId="35AB6056" w14:textId="77777777" w:rsidTr="008F5A63">
        <w:tc>
          <w:tcPr>
            <w:tcW w:w="8789" w:type="dxa"/>
            <w:tcBorders>
              <w:top w:val="single" w:sz="6" w:space="0" w:color="78A22F"/>
              <w:left w:val="nil"/>
              <w:bottom w:val="nil"/>
              <w:right w:val="nil"/>
            </w:tcBorders>
            <w:shd w:val="clear" w:color="auto" w:fill="F2F2F2"/>
          </w:tcPr>
          <w:p w14:paraId="7FC14CC7" w14:textId="7D435F4E" w:rsidR="004F00F4" w:rsidRDefault="004F00F4" w:rsidP="00291F8D">
            <w:pPr>
              <w:pStyle w:val="BoxTitle"/>
            </w:pPr>
            <w:r>
              <w:rPr>
                <w:b w:val="0"/>
              </w:rPr>
              <w:lastRenderedPageBreak/>
              <w:t xml:space="preserve">Box </w:t>
            </w:r>
            <w:r w:rsidR="00291F8D">
              <w:rPr>
                <w:b w:val="0"/>
              </w:rPr>
              <w:t>9</w:t>
            </w:r>
            <w:r>
              <w:tab/>
            </w:r>
            <w:r w:rsidR="003F3554">
              <w:t xml:space="preserve">Comment on data availability </w:t>
            </w:r>
          </w:p>
        </w:tc>
      </w:tr>
      <w:tr w:rsidR="004F00F4" w:rsidRPr="004F00F4" w14:paraId="0BCCA400" w14:textId="77777777" w:rsidTr="008F5A63">
        <w:trPr>
          <w:cantSplit/>
        </w:trPr>
        <w:tc>
          <w:tcPr>
            <w:tcW w:w="8789" w:type="dxa"/>
            <w:tcBorders>
              <w:top w:val="nil"/>
              <w:left w:val="nil"/>
              <w:bottom w:val="nil"/>
              <w:right w:val="nil"/>
            </w:tcBorders>
            <w:shd w:val="clear" w:color="auto" w:fill="F2F2F2"/>
          </w:tcPr>
          <w:p w14:paraId="152FA421" w14:textId="77777777" w:rsidR="009467A7" w:rsidRDefault="009467A7" w:rsidP="009467A7">
            <w:pPr>
              <w:pStyle w:val="Box"/>
            </w:pPr>
            <w:r w:rsidRPr="00E33868">
              <w:t xml:space="preserve">For this report, </w:t>
            </w:r>
            <w:r>
              <w:t xml:space="preserve">no </w:t>
            </w:r>
            <w:r w:rsidRPr="00E33868">
              <w:t xml:space="preserve">new </w:t>
            </w:r>
            <w:r>
              <w:t xml:space="preserve">headline </w:t>
            </w:r>
            <w:r w:rsidRPr="00E33868">
              <w:t>data are available</w:t>
            </w:r>
            <w:r>
              <w:t>. (An additional disaggregation of 2016 Census data by remoteness is available for performance indicator 12.)</w:t>
            </w:r>
          </w:p>
          <w:p w14:paraId="5FB8459A" w14:textId="77777777" w:rsidR="009467A7" w:rsidRDefault="009467A7" w:rsidP="009467A7">
            <w:pPr>
              <w:pStyle w:val="Box"/>
            </w:pPr>
            <w:r>
              <w:t xml:space="preserve">Census data by state and territory were reported in the 2016-17 </w:t>
            </w:r>
            <w:proofErr w:type="spellStart"/>
            <w:r>
              <w:t>NIRA</w:t>
            </w:r>
            <w:proofErr w:type="spellEnd"/>
            <w:r>
              <w:t xml:space="preserve"> performance report (2016 Census), in the 2011-12 </w:t>
            </w:r>
            <w:proofErr w:type="spellStart"/>
            <w:r>
              <w:t>NIRA</w:t>
            </w:r>
            <w:proofErr w:type="spellEnd"/>
            <w:r>
              <w:t xml:space="preserve"> performance report (2011 Census) and the baseline 2008-09 </w:t>
            </w:r>
            <w:proofErr w:type="spellStart"/>
            <w:r>
              <w:t>NIRA</w:t>
            </w:r>
            <w:proofErr w:type="spellEnd"/>
            <w:r>
              <w:t xml:space="preserve"> performance report (2006 Census). </w:t>
            </w:r>
          </w:p>
          <w:p w14:paraId="0A9B8868" w14:textId="2407766E" w:rsidR="006877A8" w:rsidRPr="004F00F4" w:rsidRDefault="009467A7" w:rsidP="009467A7">
            <w:pPr>
              <w:pStyle w:val="Box"/>
            </w:pPr>
            <w:r>
              <w:t>Historical data from the s</w:t>
            </w:r>
            <w:r w:rsidRPr="004F00F4">
              <w:t>upplementary</w:t>
            </w:r>
            <w:r>
              <w:t xml:space="preserve"> data</w:t>
            </w:r>
            <w:r w:rsidRPr="004F00F4">
              <w:t xml:space="preserve"> </w:t>
            </w:r>
            <w:r>
              <w:t xml:space="preserve">source (sample surveys) </w:t>
            </w:r>
            <w:r w:rsidRPr="004F00F4">
              <w:t xml:space="preserve">for </w:t>
            </w:r>
            <w:r>
              <w:t xml:space="preserve">2014-15 were reported in the 2015-16 </w:t>
            </w:r>
            <w:proofErr w:type="spellStart"/>
            <w:r>
              <w:t>NIRA</w:t>
            </w:r>
            <w:proofErr w:type="spellEnd"/>
            <w:r>
              <w:t xml:space="preserve"> performance report, for </w:t>
            </w:r>
            <w:r w:rsidRPr="004F00F4">
              <w:t xml:space="preserve">2012-13 </w:t>
            </w:r>
            <w:r>
              <w:t xml:space="preserve">in the 2013-14 </w:t>
            </w:r>
            <w:proofErr w:type="spellStart"/>
            <w:r>
              <w:t>NIRA</w:t>
            </w:r>
            <w:proofErr w:type="spellEnd"/>
            <w:r>
              <w:t xml:space="preserve"> performance report and for 2008 were reported in the baseline 2008-09 </w:t>
            </w:r>
            <w:proofErr w:type="spellStart"/>
            <w:r>
              <w:t>NIRA</w:t>
            </w:r>
            <w:proofErr w:type="spellEnd"/>
            <w:r>
              <w:t xml:space="preserve"> performance report.</w:t>
            </w:r>
          </w:p>
        </w:tc>
      </w:tr>
      <w:tr w:rsidR="004F00F4" w14:paraId="03F83D0D" w14:textId="77777777" w:rsidTr="008F5A63">
        <w:trPr>
          <w:cantSplit/>
        </w:trPr>
        <w:tc>
          <w:tcPr>
            <w:tcW w:w="8789" w:type="dxa"/>
            <w:tcBorders>
              <w:top w:val="nil"/>
              <w:left w:val="nil"/>
              <w:bottom w:val="single" w:sz="6" w:space="0" w:color="78A22F"/>
              <w:right w:val="nil"/>
            </w:tcBorders>
            <w:shd w:val="clear" w:color="auto" w:fill="F2F2F2"/>
          </w:tcPr>
          <w:p w14:paraId="44BC398A" w14:textId="77777777" w:rsidR="004F00F4" w:rsidRDefault="004F00F4">
            <w:pPr>
              <w:pStyle w:val="Box"/>
              <w:spacing w:before="0" w:line="120" w:lineRule="exact"/>
            </w:pPr>
          </w:p>
        </w:tc>
      </w:tr>
      <w:tr w:rsidR="004F00F4" w:rsidRPr="000863A5" w14:paraId="01CDAB46" w14:textId="77777777" w:rsidTr="008F5A63">
        <w:tc>
          <w:tcPr>
            <w:tcW w:w="8789" w:type="dxa"/>
            <w:tcBorders>
              <w:top w:val="single" w:sz="6" w:space="0" w:color="78A22F"/>
              <w:left w:val="nil"/>
              <w:bottom w:val="nil"/>
              <w:right w:val="nil"/>
            </w:tcBorders>
          </w:tcPr>
          <w:p w14:paraId="654ACDFF" w14:textId="77777777" w:rsidR="004F00F4" w:rsidRPr="00626D32" w:rsidRDefault="004F00F4" w:rsidP="00680847">
            <w:pPr>
              <w:pStyle w:val="BoxSpaceBelow"/>
            </w:pPr>
          </w:p>
        </w:tc>
      </w:tr>
    </w:tbl>
    <w:p w14:paraId="4A3044AA" w14:textId="77777777" w:rsidR="004F00F4" w:rsidRDefault="004F00F4" w:rsidP="004F00F4">
      <w:pPr>
        <w:pStyle w:val="BodyText"/>
        <w:rPr>
          <w:rFonts w:ascii="Arial" w:hAnsi="Arial"/>
          <w:sz w:val="20"/>
        </w:rPr>
      </w:pPr>
      <w:r>
        <w:br w:type="page"/>
      </w:r>
    </w:p>
    <w:p w14:paraId="38C71C5B" w14:textId="77777777" w:rsidR="004F00F4" w:rsidRDefault="004F00F4" w:rsidP="008F5A63">
      <w:pPr>
        <w:pStyle w:val="Heading3"/>
        <w:spacing w:after="120"/>
      </w:pPr>
      <w:r w:rsidRPr="00D87AA9">
        <w:lastRenderedPageBreak/>
        <w:t xml:space="preserve">Performance target (f) — halve the gap in employment outcomes between Indigenous and non-Indigenous Australians </w:t>
      </w:r>
      <w:r>
        <w:t>by 2018</w:t>
      </w: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14:paraId="470D4912" w14:textId="77777777" w:rsidTr="00680847">
        <w:tc>
          <w:tcPr>
            <w:tcW w:w="1985" w:type="dxa"/>
          </w:tcPr>
          <w:p w14:paraId="587F8503" w14:textId="04F18CE1" w:rsidR="004F00F4" w:rsidRPr="00D87AA9" w:rsidRDefault="004F00F4" w:rsidP="00680847">
            <w:pPr>
              <w:pStyle w:val="TableBodyText"/>
              <w:jc w:val="left"/>
            </w:pPr>
            <w:r w:rsidRPr="00B82DC5">
              <w:t>Key amendments fr</w:t>
            </w:r>
            <w:r w:rsidR="00177B9D">
              <w:t>om previous cycle of reporting:</w:t>
            </w:r>
          </w:p>
        </w:tc>
        <w:tc>
          <w:tcPr>
            <w:tcW w:w="6804" w:type="dxa"/>
          </w:tcPr>
          <w:p w14:paraId="2F1EAE31" w14:textId="39B65EE6" w:rsidR="004F00F4" w:rsidRPr="00D87AA9" w:rsidRDefault="008D4253" w:rsidP="00CC359E">
            <w:pPr>
              <w:pStyle w:val="TableBodyText"/>
              <w:jc w:val="left"/>
            </w:pPr>
            <w:r w:rsidRPr="00994C99">
              <w:t xml:space="preserve">This target is unchanged from the previous </w:t>
            </w:r>
            <w:proofErr w:type="spellStart"/>
            <w:r>
              <w:t>NIRA</w:t>
            </w:r>
            <w:proofErr w:type="spellEnd"/>
            <w:r>
              <w:t xml:space="preserve"> performance report</w:t>
            </w:r>
            <w:r w:rsidRPr="00994C99">
              <w:t>.</w:t>
            </w:r>
          </w:p>
        </w:tc>
      </w:tr>
      <w:tr w:rsidR="004F00F4" w:rsidRPr="00D87AA9" w14:paraId="1D21A90A" w14:textId="77777777" w:rsidTr="00680847">
        <w:tc>
          <w:tcPr>
            <w:tcW w:w="1985" w:type="dxa"/>
          </w:tcPr>
          <w:p w14:paraId="63B90503" w14:textId="77777777" w:rsidR="004F00F4" w:rsidRPr="00D87AA9" w:rsidRDefault="004F00F4" w:rsidP="00177B9D">
            <w:pPr>
              <w:pStyle w:val="TableBodyText"/>
              <w:spacing w:before="80"/>
              <w:jc w:val="left"/>
            </w:pPr>
            <w:r w:rsidRPr="00D87AA9">
              <w:t>Outcome:</w:t>
            </w:r>
          </w:p>
        </w:tc>
        <w:tc>
          <w:tcPr>
            <w:tcW w:w="6804" w:type="dxa"/>
          </w:tcPr>
          <w:p w14:paraId="0CF48F14" w14:textId="41B63BD3" w:rsidR="004F00F4" w:rsidRPr="00D87AA9" w:rsidRDefault="004F00F4" w:rsidP="00177B9D">
            <w:pPr>
              <w:pStyle w:val="TableBodyText"/>
              <w:spacing w:before="80"/>
              <w:jc w:val="left"/>
            </w:pPr>
            <w:r w:rsidRPr="00010BAE">
              <w:t>The aim of the target is to halve the gap in employment outcomes between Indigenous and non-Indigenous Australians within a decade (by 2018) (10 years from 2008 — the baseline period)</w:t>
            </w:r>
          </w:p>
        </w:tc>
      </w:tr>
      <w:tr w:rsidR="004F00F4" w:rsidRPr="00D87AA9" w14:paraId="12E6214D" w14:textId="77777777" w:rsidTr="00680847">
        <w:tc>
          <w:tcPr>
            <w:tcW w:w="1985" w:type="dxa"/>
          </w:tcPr>
          <w:p w14:paraId="2F5EB602" w14:textId="77777777" w:rsidR="004F00F4" w:rsidRPr="00D87AA9" w:rsidRDefault="004F00F4" w:rsidP="00177B9D">
            <w:pPr>
              <w:pStyle w:val="TableBodyText"/>
              <w:spacing w:before="80"/>
              <w:jc w:val="left"/>
            </w:pPr>
            <w:r w:rsidRPr="00D87AA9">
              <w:t xml:space="preserve">Measure: </w:t>
            </w:r>
          </w:p>
          <w:p w14:paraId="5F79283E" w14:textId="77777777" w:rsidR="004F00F4" w:rsidRPr="00D87AA9" w:rsidRDefault="004F00F4" w:rsidP="00680847">
            <w:pPr>
              <w:pStyle w:val="TableBodyText"/>
              <w:jc w:val="left"/>
            </w:pPr>
          </w:p>
        </w:tc>
        <w:tc>
          <w:tcPr>
            <w:tcW w:w="6804" w:type="dxa"/>
          </w:tcPr>
          <w:p w14:paraId="4609B13C" w14:textId="77777777" w:rsidR="004F00F4" w:rsidRDefault="004F00F4" w:rsidP="00177B9D">
            <w:pPr>
              <w:pStyle w:val="TableBodyText"/>
              <w:spacing w:before="80"/>
              <w:jc w:val="left"/>
            </w:pPr>
            <w:r>
              <w:t>Employment to population ratio for the working age population, by Indigenous status</w:t>
            </w:r>
          </w:p>
          <w:p w14:paraId="61F16DC9" w14:textId="77777777" w:rsidR="004F00F4" w:rsidRDefault="004F00F4" w:rsidP="00177B9D">
            <w:pPr>
              <w:pStyle w:val="TableBodyText"/>
              <w:spacing w:before="80"/>
              <w:jc w:val="left"/>
            </w:pPr>
            <w:r>
              <w:t>The measure is defined as:</w:t>
            </w:r>
          </w:p>
          <w:p w14:paraId="060D9EC0" w14:textId="77777777" w:rsidR="004F00F4" w:rsidRDefault="004F00F4" w:rsidP="00680847">
            <w:pPr>
              <w:pStyle w:val="TableBullet"/>
              <w:rPr>
                <w:szCs w:val="24"/>
              </w:rPr>
            </w:pPr>
            <w:r w:rsidRPr="00861865">
              <w:rPr>
                <w:i/>
              </w:rPr>
              <w:t>Numerator</w:t>
            </w:r>
            <w:r>
              <w:t xml:space="preserve"> — number of people aged 15–64 years employed </w:t>
            </w:r>
          </w:p>
          <w:p w14:paraId="538FE059" w14:textId="77777777" w:rsidR="004F00F4" w:rsidRDefault="004F00F4" w:rsidP="00680847">
            <w:pPr>
              <w:pStyle w:val="TableBullet"/>
              <w:rPr>
                <w:szCs w:val="24"/>
              </w:rPr>
            </w:pPr>
            <w:r w:rsidRPr="00861865">
              <w:rPr>
                <w:i/>
              </w:rPr>
              <w:t>Denominator</w:t>
            </w:r>
            <w:r>
              <w:t xml:space="preserve"> — total population of people aged 15–64 years </w:t>
            </w:r>
          </w:p>
          <w:p w14:paraId="519EA3CD" w14:textId="77777777" w:rsidR="004F00F4" w:rsidRDefault="004F00F4" w:rsidP="00680847">
            <w:pPr>
              <w:pStyle w:val="TableBodyText"/>
              <w:jc w:val="left"/>
            </w:pPr>
            <w:r>
              <w:t xml:space="preserve">presented as a </w:t>
            </w:r>
            <w:r w:rsidRPr="00861865">
              <w:rPr>
                <w:i/>
              </w:rPr>
              <w:t>rate per 100 population</w:t>
            </w:r>
          </w:p>
          <w:p w14:paraId="13468196" w14:textId="59CCA407" w:rsidR="004F00F4" w:rsidRPr="00D87AA9" w:rsidRDefault="004F00F4" w:rsidP="00177B9D">
            <w:pPr>
              <w:pStyle w:val="TableBodyText"/>
              <w:spacing w:before="80"/>
              <w:jc w:val="left"/>
            </w:pPr>
            <w:r>
              <w:t>[Specific inclusions are subject to the use of Census or survey data — see indicator 14 for further details]</w:t>
            </w:r>
          </w:p>
        </w:tc>
      </w:tr>
      <w:tr w:rsidR="004F00F4" w:rsidRPr="00D87AA9" w14:paraId="6EC7BF20" w14:textId="77777777" w:rsidTr="00680847">
        <w:tc>
          <w:tcPr>
            <w:tcW w:w="1985" w:type="dxa"/>
            <w:shd w:val="clear" w:color="auto" w:fill="auto"/>
          </w:tcPr>
          <w:p w14:paraId="678B8502" w14:textId="7645B9A6" w:rsidR="004F00F4" w:rsidRPr="00D87AA9" w:rsidRDefault="004F00F4" w:rsidP="00177B9D">
            <w:pPr>
              <w:pStyle w:val="TableBodyText"/>
              <w:spacing w:before="80"/>
              <w:jc w:val="left"/>
            </w:pPr>
            <w:r w:rsidRPr="00D87AA9">
              <w:t>R</w:t>
            </w:r>
            <w:r w:rsidR="00177B9D">
              <w:t>elated performance indicator/s:</w:t>
            </w:r>
          </w:p>
        </w:tc>
        <w:tc>
          <w:tcPr>
            <w:tcW w:w="6804" w:type="dxa"/>
            <w:shd w:val="clear" w:color="auto" w:fill="auto"/>
          </w:tcPr>
          <w:p w14:paraId="6E7A8EDE" w14:textId="77777777" w:rsidR="004F00F4" w:rsidRPr="00D87AA9" w:rsidRDefault="004F00F4" w:rsidP="00177B9D">
            <w:pPr>
              <w:pStyle w:val="TableBodyText"/>
              <w:spacing w:before="80"/>
              <w:jc w:val="left"/>
            </w:pPr>
            <w:r w:rsidRPr="00010BAE">
              <w:t>Performance indicator 14, measure (a): Employment to population ratio, for the working age population (15–64 years)</w:t>
            </w:r>
          </w:p>
        </w:tc>
      </w:tr>
      <w:tr w:rsidR="004F00F4" w:rsidRPr="00D87AA9" w14:paraId="0CB206C1" w14:textId="77777777" w:rsidTr="00680847">
        <w:tc>
          <w:tcPr>
            <w:tcW w:w="1985" w:type="dxa"/>
            <w:shd w:val="clear" w:color="auto" w:fill="auto"/>
          </w:tcPr>
          <w:p w14:paraId="7FFC1ECA" w14:textId="77777777" w:rsidR="004F00F4" w:rsidRPr="00D87AA9" w:rsidRDefault="004F00F4" w:rsidP="00177B9D">
            <w:pPr>
              <w:pStyle w:val="TableBodyText"/>
              <w:spacing w:before="80"/>
              <w:jc w:val="left"/>
            </w:pPr>
            <w:r w:rsidRPr="00D87AA9">
              <w:t>Data source/s:</w:t>
            </w:r>
          </w:p>
          <w:p w14:paraId="06362871" w14:textId="77777777" w:rsidR="004F00F4" w:rsidRPr="00D87AA9" w:rsidRDefault="004F00F4" w:rsidP="00680847">
            <w:pPr>
              <w:pStyle w:val="TableBodyText"/>
              <w:jc w:val="left"/>
            </w:pPr>
          </w:p>
        </w:tc>
        <w:tc>
          <w:tcPr>
            <w:tcW w:w="6804" w:type="dxa"/>
            <w:shd w:val="clear" w:color="auto" w:fill="auto"/>
          </w:tcPr>
          <w:p w14:paraId="66BA30AB" w14:textId="77777777" w:rsidR="004F00F4" w:rsidRDefault="004F00F4" w:rsidP="00177B9D">
            <w:pPr>
              <w:pStyle w:val="TableBodyText"/>
              <w:spacing w:before="80"/>
              <w:jc w:val="left"/>
              <w:rPr>
                <w:u w:val="single"/>
              </w:rPr>
            </w:pPr>
            <w:r w:rsidRPr="00861865">
              <w:rPr>
                <w:u w:val="single"/>
              </w:rPr>
              <w:t>Main data source</w:t>
            </w:r>
          </w:p>
          <w:p w14:paraId="0FEA041D" w14:textId="77777777" w:rsidR="004F00F4" w:rsidRPr="00861865" w:rsidRDefault="004F00F4" w:rsidP="00680847">
            <w:pPr>
              <w:pStyle w:val="TableBodyText"/>
              <w:jc w:val="left"/>
              <w:rPr>
                <w:u w:val="single"/>
              </w:rPr>
            </w:pPr>
            <w:r w:rsidRPr="00861865">
              <w:rPr>
                <w:i/>
              </w:rPr>
              <w:t>Numerator and denominator</w:t>
            </w:r>
            <w:r>
              <w:rPr>
                <w:i/>
              </w:rPr>
              <w:t xml:space="preserve"> </w:t>
            </w:r>
            <w:r>
              <w:t>—</w:t>
            </w:r>
          </w:p>
          <w:p w14:paraId="1FAC86E8" w14:textId="77777777" w:rsidR="004F00F4" w:rsidRDefault="004F00F4" w:rsidP="00680847">
            <w:pPr>
              <w:pStyle w:val="TableBodyText"/>
              <w:jc w:val="left"/>
            </w:pPr>
            <w:r w:rsidRPr="0078783D">
              <w:t>(</w:t>
            </w:r>
            <w:r w:rsidR="003A624B">
              <w:t>Aboriginal and Torres Strait Islander</w:t>
            </w:r>
            <w:r w:rsidRPr="0078783D">
              <w:t>)</w:t>
            </w:r>
            <w:r w:rsidR="00775A12">
              <w:t xml:space="preserve"> ABS</w:t>
            </w:r>
            <w:r>
              <w:t xml:space="preserve"> </w:t>
            </w:r>
            <w:r w:rsidRPr="00861865">
              <w:rPr>
                <w:u w:val="single"/>
              </w:rPr>
              <w:t>National Aboriginal and Torres Strait Islander Social Survey</w:t>
            </w:r>
            <w:r>
              <w:t xml:space="preserve"> (</w:t>
            </w:r>
            <w:proofErr w:type="spellStart"/>
            <w:r>
              <w:t>NATSISS</w:t>
            </w:r>
            <w:proofErr w:type="spellEnd"/>
            <w:r>
              <w:t xml:space="preserve">) and the core </w:t>
            </w:r>
            <w:r w:rsidR="00573011">
              <w:t>component</w:t>
            </w:r>
            <w:r>
              <w:t xml:space="preserve"> (</w:t>
            </w:r>
            <w:proofErr w:type="spellStart"/>
            <w:r>
              <w:t>NATSIHS</w:t>
            </w:r>
            <w:proofErr w:type="spellEnd"/>
            <w:r>
              <w:t xml:space="preserve"> plus </w:t>
            </w:r>
            <w:proofErr w:type="spellStart"/>
            <w:r>
              <w:t>NATSINPAS</w:t>
            </w:r>
            <w:proofErr w:type="spellEnd"/>
            <w:r>
              <w:t xml:space="preserve">) of the </w:t>
            </w:r>
            <w:proofErr w:type="spellStart"/>
            <w:r>
              <w:t>AATSIHS</w:t>
            </w:r>
            <w:proofErr w:type="spellEnd"/>
            <w:r>
              <w:t xml:space="preserve">. Data are collected on an alternating three-yearly cycle </w:t>
            </w:r>
          </w:p>
          <w:p w14:paraId="38C038DD" w14:textId="77777777" w:rsidR="004F00F4" w:rsidRDefault="004F00F4" w:rsidP="00680847">
            <w:pPr>
              <w:pStyle w:val="TableBodyText"/>
              <w:jc w:val="left"/>
            </w:pPr>
            <w:r w:rsidRPr="0078783D">
              <w:t>(Non-Indigenous)</w:t>
            </w:r>
            <w:r w:rsidR="00775A12">
              <w:t xml:space="preserve"> ABS</w:t>
            </w:r>
            <w:r>
              <w:t xml:space="preserve"> </w:t>
            </w:r>
            <w:r w:rsidRPr="00861865">
              <w:rPr>
                <w:u w:val="single"/>
              </w:rPr>
              <w:t>Survey of Education and Work</w:t>
            </w:r>
            <w:r>
              <w:t xml:space="preserve"> (SEW). Data are available annually.</w:t>
            </w:r>
          </w:p>
          <w:p w14:paraId="0E73E651" w14:textId="77777777" w:rsidR="004F00F4" w:rsidRPr="00861865" w:rsidRDefault="004F00F4" w:rsidP="00177B9D">
            <w:pPr>
              <w:pStyle w:val="TableBodyText"/>
              <w:spacing w:before="80"/>
              <w:jc w:val="left"/>
              <w:rPr>
                <w:u w:val="single"/>
              </w:rPr>
            </w:pPr>
            <w:r w:rsidRPr="00861865">
              <w:rPr>
                <w:u w:val="single"/>
              </w:rPr>
              <w:t>Supplementary data source</w:t>
            </w:r>
          </w:p>
          <w:p w14:paraId="27DAB72D" w14:textId="31BA9A0B" w:rsidR="004F00F4" w:rsidRPr="00D87AA9" w:rsidRDefault="004F00F4" w:rsidP="00680847">
            <w:pPr>
              <w:pStyle w:val="TableBodyText"/>
              <w:jc w:val="left"/>
            </w:pPr>
            <w:r w:rsidRPr="00861865">
              <w:rPr>
                <w:i/>
              </w:rPr>
              <w:t>Numerator and denominator</w:t>
            </w:r>
            <w:r>
              <w:t xml:space="preserve"> (</w:t>
            </w:r>
            <w:r w:rsidR="003A624B">
              <w:t xml:space="preserve">Aboriginal and Torres Strait Islander </w:t>
            </w:r>
            <w:r>
              <w:t>and non-Indigenous) —</w:t>
            </w:r>
            <w:r w:rsidR="00775A12">
              <w:t xml:space="preserve"> ABS</w:t>
            </w:r>
            <w:r>
              <w:t xml:space="preserve"> </w:t>
            </w:r>
            <w:r w:rsidRPr="00861865">
              <w:rPr>
                <w:u w:val="single"/>
              </w:rPr>
              <w:t>Census of Population and Housing</w:t>
            </w:r>
            <w:r>
              <w:t xml:space="preserve"> (Census). Data are collected every five year</w:t>
            </w:r>
            <w:r w:rsidRPr="00965632">
              <w:t>s</w:t>
            </w:r>
            <w:r w:rsidR="00177B9D">
              <w:t>.</w:t>
            </w:r>
          </w:p>
        </w:tc>
      </w:tr>
      <w:tr w:rsidR="004F00F4" w:rsidRPr="00D87AA9" w14:paraId="5522A1A2" w14:textId="77777777" w:rsidTr="00680847">
        <w:tc>
          <w:tcPr>
            <w:tcW w:w="1985" w:type="dxa"/>
            <w:shd w:val="clear" w:color="auto" w:fill="auto"/>
          </w:tcPr>
          <w:p w14:paraId="04F763B7" w14:textId="5EB47714" w:rsidR="004F00F4" w:rsidRPr="00D87AA9" w:rsidRDefault="00177B9D" w:rsidP="00177B9D">
            <w:pPr>
              <w:pStyle w:val="TableBodyText"/>
              <w:spacing w:before="80"/>
              <w:jc w:val="left"/>
            </w:pPr>
            <w:r>
              <w:t>Data provider:</w:t>
            </w:r>
          </w:p>
        </w:tc>
        <w:tc>
          <w:tcPr>
            <w:tcW w:w="6804" w:type="dxa"/>
            <w:shd w:val="clear" w:color="auto" w:fill="auto"/>
          </w:tcPr>
          <w:p w14:paraId="21B919E1" w14:textId="77777777" w:rsidR="004F00F4" w:rsidRPr="00D87AA9" w:rsidRDefault="004F00F4" w:rsidP="00177B9D">
            <w:pPr>
              <w:pStyle w:val="TableBodyText"/>
              <w:spacing w:before="80"/>
              <w:jc w:val="left"/>
            </w:pPr>
            <w:r w:rsidRPr="00010BAE">
              <w:t>ABS</w:t>
            </w:r>
          </w:p>
        </w:tc>
      </w:tr>
      <w:tr w:rsidR="004F00F4" w:rsidRPr="00D87AA9" w14:paraId="1A85A9A3" w14:textId="77777777" w:rsidTr="00680847">
        <w:trPr>
          <w:trHeight w:val="97"/>
        </w:trPr>
        <w:tc>
          <w:tcPr>
            <w:tcW w:w="1985" w:type="dxa"/>
            <w:shd w:val="clear" w:color="auto" w:fill="auto"/>
          </w:tcPr>
          <w:p w14:paraId="2C9F95F9" w14:textId="77777777" w:rsidR="004F00F4" w:rsidRPr="00D87AA9" w:rsidRDefault="004F00F4" w:rsidP="00177B9D">
            <w:pPr>
              <w:pStyle w:val="TableBodyText"/>
              <w:spacing w:before="80"/>
              <w:jc w:val="left"/>
            </w:pPr>
            <w:r w:rsidRPr="00D87AA9">
              <w:t>Data availability:</w:t>
            </w:r>
          </w:p>
          <w:p w14:paraId="01494E4C" w14:textId="77777777" w:rsidR="004F00F4" w:rsidRPr="00D87AA9" w:rsidRDefault="004F00F4" w:rsidP="00680847">
            <w:pPr>
              <w:pStyle w:val="TableBodyText"/>
              <w:jc w:val="left"/>
            </w:pPr>
          </w:p>
        </w:tc>
        <w:tc>
          <w:tcPr>
            <w:tcW w:w="6804" w:type="dxa"/>
            <w:shd w:val="clear" w:color="auto" w:fill="auto"/>
          </w:tcPr>
          <w:p w14:paraId="744D6F1B" w14:textId="77777777" w:rsidR="00E33868" w:rsidRPr="00861865" w:rsidRDefault="00E33868" w:rsidP="00177B9D">
            <w:pPr>
              <w:pStyle w:val="TableBodyText"/>
              <w:spacing w:before="80"/>
              <w:jc w:val="left"/>
              <w:rPr>
                <w:u w:val="single"/>
              </w:rPr>
            </w:pPr>
            <w:r w:rsidRPr="00861865">
              <w:rPr>
                <w:u w:val="single"/>
              </w:rPr>
              <w:t>Main data source</w:t>
            </w:r>
          </w:p>
          <w:p w14:paraId="42FFA7CF" w14:textId="05B6A081" w:rsidR="00E33868" w:rsidRDefault="00DB31C5" w:rsidP="002440B4">
            <w:pPr>
              <w:pStyle w:val="TableBodyText"/>
              <w:jc w:val="left"/>
            </w:pPr>
            <w:r>
              <w:t xml:space="preserve">No new data available </w:t>
            </w:r>
          </w:p>
          <w:p w14:paraId="6FC70BAC" w14:textId="77777777" w:rsidR="00E33868" w:rsidRPr="00861865" w:rsidRDefault="00E33868" w:rsidP="00177B9D">
            <w:pPr>
              <w:pStyle w:val="TableBodyText"/>
              <w:spacing w:before="80"/>
              <w:jc w:val="left"/>
              <w:rPr>
                <w:u w:val="single"/>
              </w:rPr>
            </w:pPr>
            <w:r w:rsidRPr="00861865">
              <w:rPr>
                <w:u w:val="single"/>
              </w:rPr>
              <w:t>Supplementary data source</w:t>
            </w:r>
          </w:p>
          <w:p w14:paraId="230539C3" w14:textId="13281A90" w:rsidR="00440C3F" w:rsidRPr="00D87AA9" w:rsidRDefault="008D4253" w:rsidP="00E33868">
            <w:pPr>
              <w:pStyle w:val="TableBodyText"/>
              <w:jc w:val="left"/>
            </w:pPr>
            <w:r>
              <w:t>No new data available</w:t>
            </w:r>
          </w:p>
        </w:tc>
      </w:tr>
      <w:tr w:rsidR="004F00F4" w:rsidRPr="00D87AA9" w14:paraId="55B1FAC9" w14:textId="77777777" w:rsidTr="00680847">
        <w:tc>
          <w:tcPr>
            <w:tcW w:w="1985" w:type="dxa"/>
            <w:shd w:val="clear" w:color="auto" w:fill="auto"/>
          </w:tcPr>
          <w:p w14:paraId="11CFEC57" w14:textId="736E4077" w:rsidR="004F00F4" w:rsidRPr="00D87AA9" w:rsidRDefault="00177B9D" w:rsidP="00177B9D">
            <w:pPr>
              <w:pStyle w:val="TableBodyText"/>
              <w:spacing w:before="80"/>
              <w:jc w:val="left"/>
            </w:pPr>
            <w:r>
              <w:t>Baseline:</w:t>
            </w:r>
          </w:p>
        </w:tc>
        <w:tc>
          <w:tcPr>
            <w:tcW w:w="6804" w:type="dxa"/>
            <w:shd w:val="clear" w:color="auto" w:fill="auto"/>
          </w:tcPr>
          <w:p w14:paraId="70AA70B0" w14:textId="77777777" w:rsidR="004F00F4" w:rsidRPr="00D87AA9" w:rsidRDefault="004F00F4" w:rsidP="00177B9D">
            <w:pPr>
              <w:pStyle w:val="TableBodyText"/>
              <w:spacing w:before="80"/>
              <w:jc w:val="left"/>
            </w:pPr>
            <w:r w:rsidRPr="00010BAE">
              <w:t>The baseline for the target is 2008</w:t>
            </w:r>
          </w:p>
        </w:tc>
      </w:tr>
      <w:tr w:rsidR="004F00F4" w:rsidRPr="00D87AA9" w14:paraId="573AD454" w14:textId="77777777" w:rsidTr="00680847">
        <w:tc>
          <w:tcPr>
            <w:tcW w:w="1985" w:type="dxa"/>
            <w:shd w:val="clear" w:color="auto" w:fill="auto"/>
          </w:tcPr>
          <w:p w14:paraId="27EECBC2" w14:textId="77777777" w:rsidR="004F00F4" w:rsidRPr="00D87AA9" w:rsidRDefault="004F00F4" w:rsidP="00177B9D">
            <w:pPr>
              <w:pStyle w:val="TableBodyText"/>
              <w:spacing w:before="80"/>
              <w:jc w:val="left"/>
            </w:pPr>
            <w:r w:rsidRPr="00D87AA9">
              <w:t>Cross tabulations provided:</w:t>
            </w:r>
          </w:p>
        </w:tc>
        <w:tc>
          <w:tcPr>
            <w:tcW w:w="6804" w:type="dxa"/>
            <w:shd w:val="clear" w:color="auto" w:fill="auto"/>
          </w:tcPr>
          <w:p w14:paraId="4D87364C" w14:textId="4BD96DE9" w:rsidR="004F00F4" w:rsidRPr="00D87AA9" w:rsidRDefault="008D4253" w:rsidP="00E24459">
            <w:pPr>
              <w:pStyle w:val="TableBodyText"/>
              <w:spacing w:before="80"/>
              <w:jc w:val="left"/>
              <w:rPr>
                <w:szCs w:val="24"/>
              </w:rPr>
            </w:pPr>
            <w:r>
              <w:t xml:space="preserve">Nil </w:t>
            </w:r>
          </w:p>
        </w:tc>
      </w:tr>
    </w:tbl>
    <w:p w14:paraId="31EBDAE5" w14:textId="77777777" w:rsidR="00E33868" w:rsidRDefault="00E33868">
      <w:pPr>
        <w:pStyle w:val="BoxSpaceAbove"/>
      </w:pPr>
    </w:p>
    <w:tbl>
      <w:tblPr>
        <w:tblW w:w="0" w:type="auto"/>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D337E4" w14:paraId="74BB41AD" w14:textId="77777777" w:rsidTr="008F5A63">
        <w:tc>
          <w:tcPr>
            <w:tcW w:w="8789" w:type="dxa"/>
            <w:tcBorders>
              <w:top w:val="single" w:sz="6" w:space="0" w:color="78A22F"/>
              <w:left w:val="nil"/>
              <w:bottom w:val="nil"/>
              <w:right w:val="nil"/>
            </w:tcBorders>
            <w:shd w:val="clear" w:color="auto" w:fill="F2F2F2"/>
          </w:tcPr>
          <w:p w14:paraId="403963ED" w14:textId="1556260D" w:rsidR="00D337E4" w:rsidRDefault="00D337E4" w:rsidP="00291F8D">
            <w:pPr>
              <w:pStyle w:val="BoxTitle"/>
            </w:pPr>
            <w:r>
              <w:rPr>
                <w:b w:val="0"/>
              </w:rPr>
              <w:lastRenderedPageBreak/>
              <w:t>Box</w:t>
            </w:r>
            <w:r w:rsidR="00F62402">
              <w:rPr>
                <w:b w:val="0"/>
              </w:rPr>
              <w:t xml:space="preserve"> </w:t>
            </w:r>
            <w:r w:rsidR="004C71ED">
              <w:rPr>
                <w:b w:val="0"/>
              </w:rPr>
              <w:t>1</w:t>
            </w:r>
            <w:r w:rsidR="00291F8D">
              <w:rPr>
                <w:b w:val="0"/>
              </w:rPr>
              <w:t>0</w:t>
            </w:r>
            <w:r>
              <w:tab/>
            </w:r>
            <w:r w:rsidR="00096D71">
              <w:t xml:space="preserve">Comment on data </w:t>
            </w:r>
            <w:r w:rsidR="009467A7">
              <w:t>availability</w:t>
            </w:r>
          </w:p>
        </w:tc>
      </w:tr>
      <w:tr w:rsidR="00D337E4" w:rsidRPr="00D337E4" w14:paraId="24FF1F7D" w14:textId="77777777" w:rsidTr="008F5A63">
        <w:trPr>
          <w:cantSplit/>
        </w:trPr>
        <w:tc>
          <w:tcPr>
            <w:tcW w:w="8789" w:type="dxa"/>
            <w:tcBorders>
              <w:top w:val="nil"/>
              <w:left w:val="nil"/>
              <w:bottom w:val="nil"/>
              <w:right w:val="nil"/>
            </w:tcBorders>
            <w:shd w:val="clear" w:color="auto" w:fill="F2F2F2"/>
          </w:tcPr>
          <w:p w14:paraId="4443211A" w14:textId="77777777" w:rsidR="009467A7" w:rsidRDefault="009467A7" w:rsidP="009467A7">
            <w:pPr>
              <w:pStyle w:val="Box"/>
            </w:pPr>
            <w:r w:rsidRPr="00E33868">
              <w:t xml:space="preserve">For this report, </w:t>
            </w:r>
            <w:r>
              <w:t xml:space="preserve">no </w:t>
            </w:r>
            <w:r w:rsidRPr="00E33868">
              <w:t xml:space="preserve">new </w:t>
            </w:r>
            <w:r>
              <w:t xml:space="preserve">headline </w:t>
            </w:r>
            <w:r w:rsidRPr="00E33868">
              <w:t>data are available</w:t>
            </w:r>
            <w:r>
              <w:t>. (An additional disaggregation of 2016 Census data by remoteness is available for performance indicator 14.)</w:t>
            </w:r>
          </w:p>
          <w:p w14:paraId="5E59BEC1" w14:textId="77777777" w:rsidR="009467A7" w:rsidRDefault="009467A7" w:rsidP="009467A7">
            <w:pPr>
              <w:pStyle w:val="Box"/>
            </w:pPr>
            <w:r>
              <w:t xml:space="preserve">Census data by state and territory were reported in the 2016-17 </w:t>
            </w:r>
            <w:proofErr w:type="spellStart"/>
            <w:r>
              <w:t>NIRA</w:t>
            </w:r>
            <w:proofErr w:type="spellEnd"/>
            <w:r>
              <w:t xml:space="preserve"> performance report (2016 Census), in the 2011-12 </w:t>
            </w:r>
            <w:proofErr w:type="spellStart"/>
            <w:r>
              <w:t>NIRA</w:t>
            </w:r>
            <w:proofErr w:type="spellEnd"/>
            <w:r>
              <w:t xml:space="preserve"> performance report (2011 Census) and the baseline 2008-09 </w:t>
            </w:r>
            <w:proofErr w:type="spellStart"/>
            <w:r>
              <w:t>NIRA</w:t>
            </w:r>
            <w:proofErr w:type="spellEnd"/>
            <w:r>
              <w:t xml:space="preserve"> performance report (2006 Census). </w:t>
            </w:r>
          </w:p>
          <w:p w14:paraId="4ED38E18" w14:textId="24685CC9" w:rsidR="00D337E4" w:rsidRPr="00D337E4" w:rsidRDefault="009467A7" w:rsidP="009467A7">
            <w:pPr>
              <w:pStyle w:val="Box"/>
              <w:rPr>
                <w:szCs w:val="24"/>
              </w:rPr>
            </w:pPr>
            <w:r>
              <w:t xml:space="preserve">Historical data from the main data source (sample surveys) for 2014-15 were reported in the 2015-16 </w:t>
            </w:r>
            <w:proofErr w:type="spellStart"/>
            <w:r>
              <w:t>NIRA</w:t>
            </w:r>
            <w:proofErr w:type="spellEnd"/>
            <w:r>
              <w:t xml:space="preserve"> performance report, </w:t>
            </w:r>
            <w:r w:rsidRPr="004F00F4">
              <w:t xml:space="preserve">2012-13 </w:t>
            </w:r>
            <w:r>
              <w:t xml:space="preserve">were reported in the 2013-14 </w:t>
            </w:r>
            <w:proofErr w:type="spellStart"/>
            <w:r>
              <w:t>NIRA</w:t>
            </w:r>
            <w:proofErr w:type="spellEnd"/>
            <w:r>
              <w:t xml:space="preserve"> performance report and for 2008 in the baseline 2008-09 </w:t>
            </w:r>
            <w:proofErr w:type="spellStart"/>
            <w:r>
              <w:t>NIRA</w:t>
            </w:r>
            <w:proofErr w:type="spellEnd"/>
            <w:r>
              <w:t xml:space="preserve"> performance report.</w:t>
            </w:r>
          </w:p>
        </w:tc>
      </w:tr>
      <w:tr w:rsidR="00D337E4" w14:paraId="293F6AB2" w14:textId="77777777" w:rsidTr="008F5A63">
        <w:trPr>
          <w:cantSplit/>
        </w:trPr>
        <w:tc>
          <w:tcPr>
            <w:tcW w:w="8789" w:type="dxa"/>
            <w:tcBorders>
              <w:top w:val="nil"/>
              <w:left w:val="nil"/>
              <w:bottom w:val="single" w:sz="6" w:space="0" w:color="78A22F"/>
              <w:right w:val="nil"/>
            </w:tcBorders>
            <w:shd w:val="clear" w:color="auto" w:fill="F2F2F2"/>
          </w:tcPr>
          <w:p w14:paraId="6A67C00C" w14:textId="77777777" w:rsidR="00D337E4" w:rsidRDefault="00D337E4">
            <w:pPr>
              <w:pStyle w:val="Box"/>
              <w:spacing w:before="0" w:line="120" w:lineRule="exact"/>
            </w:pPr>
          </w:p>
        </w:tc>
      </w:tr>
      <w:tr w:rsidR="00D337E4" w:rsidRPr="000863A5" w14:paraId="1E9D435C" w14:textId="77777777" w:rsidTr="008F5A63">
        <w:tc>
          <w:tcPr>
            <w:tcW w:w="8789" w:type="dxa"/>
            <w:tcBorders>
              <w:top w:val="single" w:sz="6" w:space="0" w:color="78A22F"/>
              <w:left w:val="nil"/>
              <w:bottom w:val="nil"/>
              <w:right w:val="nil"/>
            </w:tcBorders>
          </w:tcPr>
          <w:p w14:paraId="00ECFC72" w14:textId="77777777" w:rsidR="00D337E4" w:rsidRPr="00626D32" w:rsidRDefault="00D337E4" w:rsidP="00680847">
            <w:pPr>
              <w:pStyle w:val="BoxSpaceBelow"/>
            </w:pPr>
          </w:p>
        </w:tc>
      </w:tr>
    </w:tbl>
    <w:p w14:paraId="122DDEC4" w14:textId="1DDBF734" w:rsidR="007D6965" w:rsidRDefault="00D337E4">
      <w:r>
        <w:br w:type="page"/>
      </w:r>
    </w:p>
    <w:p w14:paraId="04C7C8FB" w14:textId="77777777" w:rsidR="007D6965" w:rsidRPr="00446CD4" w:rsidRDefault="007D6965" w:rsidP="008F5A63">
      <w:pPr>
        <w:pStyle w:val="Heading3"/>
        <w:spacing w:after="120"/>
      </w:pPr>
      <w:r w:rsidRPr="00446CD4">
        <w:lastRenderedPageBreak/>
        <w:t>Performance target (g) — close the gap between Indigenous and non</w:t>
      </w:r>
      <w:r w:rsidR="00C754EF">
        <w:noBreakHyphen/>
      </w:r>
      <w:r w:rsidRPr="00446CD4">
        <w:t>Indigenous school attendance within five years (by 2018)</w:t>
      </w:r>
    </w:p>
    <w:p w14:paraId="7F75F0C0" w14:textId="77777777" w:rsidR="007D6965" w:rsidRPr="00941378" w:rsidRDefault="007D6965" w:rsidP="008F5A63">
      <w:pPr>
        <w:pStyle w:val="BoxSpaceAbove"/>
        <w:spacing w:before="120"/>
      </w:pPr>
    </w:p>
    <w:tbl>
      <w:tblPr>
        <w:tblW w:w="0" w:type="auto"/>
        <w:tblCellMar>
          <w:left w:w="0" w:type="dxa"/>
          <w:right w:w="0" w:type="dxa"/>
        </w:tblCellMar>
        <w:tblLook w:val="0000" w:firstRow="0" w:lastRow="0" w:firstColumn="0" w:lastColumn="0" w:noHBand="0" w:noVBand="0"/>
      </w:tblPr>
      <w:tblGrid>
        <w:gridCol w:w="1985"/>
        <w:gridCol w:w="6804"/>
      </w:tblGrid>
      <w:tr w:rsidR="007D6965" w:rsidRPr="00A273D1" w14:paraId="52712D14" w14:textId="77777777" w:rsidTr="00F57F7B">
        <w:tc>
          <w:tcPr>
            <w:tcW w:w="1985" w:type="dxa"/>
          </w:tcPr>
          <w:p w14:paraId="631BEB36" w14:textId="3362BEEF" w:rsidR="007D6965" w:rsidRPr="00A273D1" w:rsidRDefault="007D6965" w:rsidP="00F57F7B">
            <w:pPr>
              <w:pStyle w:val="TableBodyText"/>
              <w:jc w:val="left"/>
            </w:pPr>
            <w:r w:rsidRPr="00B82DC5">
              <w:t>Key amendments fr</w:t>
            </w:r>
            <w:r w:rsidR="00177B9D">
              <w:t>om previous cycle of reporting:</w:t>
            </w:r>
          </w:p>
        </w:tc>
        <w:tc>
          <w:tcPr>
            <w:tcW w:w="6804" w:type="dxa"/>
          </w:tcPr>
          <w:p w14:paraId="411B6151" w14:textId="7476040F" w:rsidR="007D6965" w:rsidRPr="00A273D1" w:rsidRDefault="00480808" w:rsidP="00F57F7B">
            <w:pPr>
              <w:pStyle w:val="TableBodyText"/>
              <w:jc w:val="left"/>
            </w:pPr>
            <w:r w:rsidRPr="00994C99">
              <w:t xml:space="preserve">This target is unchanged from the previous </w:t>
            </w:r>
            <w:proofErr w:type="spellStart"/>
            <w:r w:rsidR="00F555B6">
              <w:t>NIRA</w:t>
            </w:r>
            <w:proofErr w:type="spellEnd"/>
            <w:r w:rsidR="00F555B6">
              <w:t xml:space="preserve"> performance report</w:t>
            </w:r>
            <w:r w:rsidRPr="00994C99">
              <w:t>.</w:t>
            </w:r>
          </w:p>
        </w:tc>
      </w:tr>
      <w:tr w:rsidR="007D6965" w:rsidRPr="00D87AA9" w14:paraId="39222B45" w14:textId="77777777" w:rsidTr="00F57F7B">
        <w:tc>
          <w:tcPr>
            <w:tcW w:w="1985" w:type="dxa"/>
          </w:tcPr>
          <w:p w14:paraId="5ADB2B23" w14:textId="77777777" w:rsidR="007D6965" w:rsidRPr="00D87AA9" w:rsidRDefault="007D6965" w:rsidP="00177B9D">
            <w:pPr>
              <w:pStyle w:val="TableBodyText"/>
              <w:spacing w:before="80"/>
              <w:jc w:val="left"/>
            </w:pPr>
            <w:r w:rsidRPr="00D87AA9">
              <w:t>Outcome:</w:t>
            </w:r>
          </w:p>
        </w:tc>
        <w:tc>
          <w:tcPr>
            <w:tcW w:w="6804" w:type="dxa"/>
            <w:shd w:val="clear" w:color="auto" w:fill="auto"/>
          </w:tcPr>
          <w:p w14:paraId="597D5B3D" w14:textId="6E43B7DB" w:rsidR="007D6965" w:rsidRPr="00D87AA9" w:rsidRDefault="007D6965" w:rsidP="00177B9D">
            <w:pPr>
              <w:pStyle w:val="TableBodyText"/>
              <w:spacing w:before="80"/>
              <w:jc w:val="left"/>
            </w:pPr>
            <w:r w:rsidRPr="00C21B9A">
              <w:t xml:space="preserve">The aim of the target is to close the gap between Indigenous and non-Indigenous school attendance within five years (by </w:t>
            </w:r>
            <w:r>
              <w:t xml:space="preserve">the end of </w:t>
            </w:r>
            <w:r w:rsidRPr="00C21B9A">
              <w:t xml:space="preserve">2018) </w:t>
            </w:r>
          </w:p>
        </w:tc>
      </w:tr>
      <w:tr w:rsidR="007D6965" w:rsidRPr="00D87AA9" w14:paraId="098B9B92" w14:textId="77777777" w:rsidTr="00F57F7B">
        <w:tc>
          <w:tcPr>
            <w:tcW w:w="1985" w:type="dxa"/>
          </w:tcPr>
          <w:p w14:paraId="6EE2D66C" w14:textId="77777777" w:rsidR="007D6965" w:rsidRPr="00D87AA9" w:rsidRDefault="007D6965" w:rsidP="00177B9D">
            <w:pPr>
              <w:pStyle w:val="TableBodyText"/>
              <w:spacing w:before="80"/>
              <w:jc w:val="left"/>
            </w:pPr>
            <w:r w:rsidRPr="00D87AA9">
              <w:t xml:space="preserve">Measure: </w:t>
            </w:r>
          </w:p>
          <w:p w14:paraId="0F48DDB4" w14:textId="77777777" w:rsidR="007D6965" w:rsidRPr="00D87AA9" w:rsidRDefault="007D6965" w:rsidP="00F57F7B">
            <w:pPr>
              <w:pStyle w:val="TableBodyText"/>
              <w:jc w:val="left"/>
            </w:pPr>
          </w:p>
        </w:tc>
        <w:tc>
          <w:tcPr>
            <w:tcW w:w="6804" w:type="dxa"/>
          </w:tcPr>
          <w:p w14:paraId="796E0E97" w14:textId="77777777" w:rsidR="007D6965" w:rsidRDefault="007D6965" w:rsidP="00177B9D">
            <w:pPr>
              <w:pStyle w:val="TableBodyText"/>
              <w:spacing w:before="80"/>
              <w:jc w:val="left"/>
            </w:pPr>
            <w:r>
              <w:t>Overall attendance rates year 1 to year 10 (combined for year levels and sectors).</w:t>
            </w:r>
          </w:p>
          <w:p w14:paraId="4915FE19" w14:textId="0F25BAD5" w:rsidR="007D6965" w:rsidRDefault="007D6965" w:rsidP="00177B9D">
            <w:pPr>
              <w:pStyle w:val="TableBodyText"/>
              <w:spacing w:before="80"/>
              <w:jc w:val="left"/>
            </w:pPr>
            <w:r>
              <w:t>The measure is defined as</w:t>
            </w:r>
            <w:r w:rsidR="00AD2E5A">
              <w:t>:</w:t>
            </w:r>
          </w:p>
          <w:p w14:paraId="6BC1DBD9" w14:textId="77777777" w:rsidR="007D6965" w:rsidRDefault="007D6965" w:rsidP="00F57F7B">
            <w:pPr>
              <w:pStyle w:val="TableBodyText"/>
              <w:jc w:val="left"/>
            </w:pPr>
            <w:r w:rsidRPr="004A5D98">
              <w:t xml:space="preserve">The </w:t>
            </w:r>
            <w:r>
              <w:t>rate of attendance for students in years 1 to 10, by Indigenous status</w:t>
            </w:r>
          </w:p>
          <w:p w14:paraId="576DDABA" w14:textId="77777777" w:rsidR="007D6965" w:rsidRDefault="007D6965" w:rsidP="00177B9D">
            <w:pPr>
              <w:pStyle w:val="TableBodyText"/>
              <w:spacing w:before="80"/>
              <w:jc w:val="left"/>
            </w:pPr>
            <w:r>
              <w:t>The measure is defined as:</w:t>
            </w:r>
          </w:p>
          <w:p w14:paraId="2C6CFDC5" w14:textId="77777777" w:rsidR="007D6965" w:rsidRDefault="007D6965" w:rsidP="00F57F7B">
            <w:pPr>
              <w:pStyle w:val="TableBullet"/>
            </w:pPr>
            <w:r w:rsidRPr="0069483D">
              <w:rPr>
                <w:i/>
              </w:rPr>
              <w:t>Numerator</w:t>
            </w:r>
            <w:r>
              <w:t xml:space="preserve"> — aggregate number of actual days in attendance in the collection period, for children in years 1–10 (children enrolled full time only</w:t>
            </w:r>
            <w:r w:rsidRPr="008D039F">
              <w:rPr>
                <w:rStyle w:val="NoteLabel"/>
                <w:b w:val="0"/>
              </w:rPr>
              <w:footnoteReference w:id="2"/>
            </w:r>
            <w:r w:rsidRPr="0056628E">
              <w:rPr>
                <w:rStyle w:val="NoteChar"/>
              </w:rPr>
              <w:t>)</w:t>
            </w:r>
          </w:p>
          <w:p w14:paraId="6C502D21" w14:textId="15C81EB7" w:rsidR="007D6965" w:rsidRDefault="007D6965" w:rsidP="00F57F7B">
            <w:pPr>
              <w:pStyle w:val="TableBullet"/>
            </w:pPr>
            <w:r w:rsidRPr="0069483D">
              <w:rPr>
                <w:i/>
              </w:rPr>
              <w:t>Denominator</w:t>
            </w:r>
            <w:r>
              <w:t xml:space="preserve"> — aggregate number of possible days for attendance in the collection period, for children in years 1–10 (children enrolled full time only</w:t>
            </w:r>
            <w:r w:rsidR="00166285" w:rsidRPr="00166285">
              <w:rPr>
                <w:rStyle w:val="NoteLabel"/>
                <w:b w:val="0"/>
              </w:rPr>
              <w:t>2</w:t>
            </w:r>
            <w:r w:rsidR="00AD5409">
              <w:t>)</w:t>
            </w:r>
          </w:p>
          <w:p w14:paraId="67CB9E7A" w14:textId="2F6A8F2C" w:rsidR="007D6965" w:rsidRPr="00D87AA9" w:rsidRDefault="007D6965" w:rsidP="00F57F7B">
            <w:pPr>
              <w:pStyle w:val="TableBodyText"/>
              <w:jc w:val="left"/>
            </w:pPr>
            <w:r>
              <w:t xml:space="preserve">presented as </w:t>
            </w:r>
            <w:r>
              <w:rPr>
                <w:i/>
              </w:rPr>
              <w:t>per cent of</w:t>
            </w:r>
            <w:r w:rsidRPr="0012388B">
              <w:rPr>
                <w:i/>
              </w:rPr>
              <w:t xml:space="preserve"> possible days of attendance</w:t>
            </w:r>
          </w:p>
        </w:tc>
      </w:tr>
      <w:tr w:rsidR="007D6965" w:rsidRPr="00D87AA9" w14:paraId="3560DBBE" w14:textId="77777777" w:rsidTr="00F57F7B">
        <w:tc>
          <w:tcPr>
            <w:tcW w:w="1985" w:type="dxa"/>
            <w:shd w:val="clear" w:color="auto" w:fill="auto"/>
          </w:tcPr>
          <w:p w14:paraId="4CBCDBBF" w14:textId="67577154" w:rsidR="007D6965" w:rsidRPr="00D87AA9" w:rsidRDefault="007D6965" w:rsidP="00177B9D">
            <w:pPr>
              <w:pStyle w:val="TableBodyText"/>
              <w:spacing w:before="80"/>
              <w:jc w:val="left"/>
            </w:pPr>
            <w:r w:rsidRPr="00D87AA9">
              <w:t>Re</w:t>
            </w:r>
            <w:r w:rsidR="00177B9D">
              <w:t>lated performance indicators:</w:t>
            </w:r>
          </w:p>
        </w:tc>
        <w:tc>
          <w:tcPr>
            <w:tcW w:w="6804" w:type="dxa"/>
            <w:shd w:val="clear" w:color="auto" w:fill="auto"/>
          </w:tcPr>
          <w:p w14:paraId="044710EC" w14:textId="77777777" w:rsidR="007D6965" w:rsidRPr="00D87AA9" w:rsidRDefault="007D6965" w:rsidP="00177B9D">
            <w:pPr>
              <w:pStyle w:val="TableBodyText"/>
              <w:spacing w:before="80"/>
              <w:jc w:val="left"/>
            </w:pPr>
            <w:r w:rsidRPr="00BF614C">
              <w:t>Performance indicator 1</w:t>
            </w:r>
            <w:r>
              <w:t>3</w:t>
            </w:r>
            <w:r w:rsidRPr="00BF614C">
              <w:t xml:space="preserve">: </w:t>
            </w:r>
            <w:r>
              <w:t>Attendance rates year 1 to year 10</w:t>
            </w:r>
            <w:r w:rsidR="00096D71">
              <w:t xml:space="preserve"> (measure </w:t>
            </w:r>
            <w:proofErr w:type="spellStart"/>
            <w:r w:rsidR="00096D71">
              <w:t>13</w:t>
            </w:r>
            <w:r w:rsidR="00611985">
              <w:t>a</w:t>
            </w:r>
            <w:proofErr w:type="spellEnd"/>
            <w:r w:rsidR="00096D71">
              <w:t>)</w:t>
            </w:r>
          </w:p>
        </w:tc>
      </w:tr>
      <w:tr w:rsidR="007D6965" w:rsidRPr="00D87AA9" w14:paraId="10FB07D4" w14:textId="77777777" w:rsidTr="00F57F7B">
        <w:tc>
          <w:tcPr>
            <w:tcW w:w="1985" w:type="dxa"/>
            <w:shd w:val="clear" w:color="auto" w:fill="auto"/>
          </w:tcPr>
          <w:p w14:paraId="68600C40" w14:textId="20A38B98" w:rsidR="007D6965" w:rsidRPr="00D87AA9" w:rsidRDefault="00177B9D" w:rsidP="00177B9D">
            <w:pPr>
              <w:pStyle w:val="TableBodyText"/>
              <w:spacing w:before="80"/>
              <w:jc w:val="left"/>
            </w:pPr>
            <w:r>
              <w:t>Data source:</w:t>
            </w:r>
          </w:p>
        </w:tc>
        <w:tc>
          <w:tcPr>
            <w:tcW w:w="6804" w:type="dxa"/>
            <w:shd w:val="clear" w:color="auto" w:fill="auto"/>
          </w:tcPr>
          <w:p w14:paraId="1CEB7BD9" w14:textId="3D2F0529" w:rsidR="007D6965" w:rsidRPr="00D87AA9" w:rsidRDefault="007D6965" w:rsidP="00177B9D">
            <w:pPr>
              <w:pStyle w:val="TableBodyText"/>
              <w:spacing w:before="80"/>
              <w:jc w:val="left"/>
            </w:pPr>
            <w:r w:rsidRPr="004177E0">
              <w:rPr>
                <w:i/>
              </w:rPr>
              <w:t>Numerator and denominator</w:t>
            </w:r>
            <w:r w:rsidRPr="00BF614C">
              <w:t xml:space="preserve"> — </w:t>
            </w:r>
            <w:r w:rsidR="00C754EF">
              <w:t xml:space="preserve">ACARA </w:t>
            </w:r>
            <w:r w:rsidRPr="00784D6B">
              <w:rPr>
                <w:u w:val="single"/>
              </w:rPr>
              <w:t>National Student Attendance Collection</w:t>
            </w:r>
            <w:r w:rsidRPr="006F41BD">
              <w:t xml:space="preserve"> </w:t>
            </w:r>
          </w:p>
        </w:tc>
      </w:tr>
      <w:tr w:rsidR="007D6965" w:rsidRPr="00D87AA9" w14:paraId="26490D7D" w14:textId="77777777" w:rsidTr="00F57F7B">
        <w:tc>
          <w:tcPr>
            <w:tcW w:w="1985" w:type="dxa"/>
            <w:shd w:val="clear" w:color="auto" w:fill="auto"/>
          </w:tcPr>
          <w:p w14:paraId="79EA0172" w14:textId="4FE5BF8C" w:rsidR="007D6965" w:rsidRPr="00D87AA9" w:rsidRDefault="00177B9D" w:rsidP="00177B9D">
            <w:pPr>
              <w:pStyle w:val="TableBodyText"/>
              <w:spacing w:before="80"/>
              <w:jc w:val="left"/>
            </w:pPr>
            <w:r>
              <w:t>Data provider:</w:t>
            </w:r>
          </w:p>
        </w:tc>
        <w:tc>
          <w:tcPr>
            <w:tcW w:w="6804" w:type="dxa"/>
            <w:shd w:val="clear" w:color="auto" w:fill="auto"/>
          </w:tcPr>
          <w:p w14:paraId="21467025" w14:textId="77777777" w:rsidR="007D6965" w:rsidRPr="00D87AA9" w:rsidRDefault="007D6965" w:rsidP="00177B9D">
            <w:pPr>
              <w:pStyle w:val="TableBodyText"/>
              <w:spacing w:before="80"/>
              <w:jc w:val="left"/>
            </w:pPr>
            <w:r>
              <w:t>ACARA</w:t>
            </w:r>
          </w:p>
        </w:tc>
      </w:tr>
      <w:tr w:rsidR="00177B9D" w:rsidRPr="00D87AA9" w14:paraId="02D60534" w14:textId="77777777" w:rsidTr="00F57F7B">
        <w:tc>
          <w:tcPr>
            <w:tcW w:w="1985" w:type="dxa"/>
            <w:shd w:val="clear" w:color="auto" w:fill="auto"/>
          </w:tcPr>
          <w:p w14:paraId="1536F03F" w14:textId="6C5E599A" w:rsidR="00177B9D" w:rsidRDefault="00177B9D" w:rsidP="00177B9D">
            <w:pPr>
              <w:pStyle w:val="TableBodyText"/>
              <w:spacing w:before="80"/>
              <w:jc w:val="left"/>
            </w:pPr>
            <w:r>
              <w:t>Data availability:</w:t>
            </w:r>
          </w:p>
        </w:tc>
        <w:tc>
          <w:tcPr>
            <w:tcW w:w="6804" w:type="dxa"/>
            <w:shd w:val="clear" w:color="auto" w:fill="auto"/>
          </w:tcPr>
          <w:p w14:paraId="77AB5482" w14:textId="5A3AFD24" w:rsidR="00177B9D" w:rsidRDefault="004C71ED" w:rsidP="004C71ED">
            <w:pPr>
              <w:pStyle w:val="TableBodyText"/>
              <w:spacing w:before="80"/>
              <w:jc w:val="left"/>
            </w:pPr>
            <w:r>
              <w:t xml:space="preserve">2018 </w:t>
            </w:r>
            <w:r w:rsidR="00177B9D">
              <w:t>(Semester 1)</w:t>
            </w:r>
          </w:p>
        </w:tc>
      </w:tr>
      <w:tr w:rsidR="007D6965" w:rsidRPr="00D87AA9" w14:paraId="1B3D6764" w14:textId="77777777" w:rsidTr="00F57F7B">
        <w:tc>
          <w:tcPr>
            <w:tcW w:w="1985" w:type="dxa"/>
            <w:shd w:val="clear" w:color="auto" w:fill="auto"/>
          </w:tcPr>
          <w:p w14:paraId="383A8C37" w14:textId="1F8CDBA0" w:rsidR="007D6965" w:rsidRPr="00D87AA9" w:rsidRDefault="00177B9D" w:rsidP="00177B9D">
            <w:pPr>
              <w:pStyle w:val="TableBodyText"/>
              <w:spacing w:before="80"/>
              <w:jc w:val="left"/>
            </w:pPr>
            <w:r>
              <w:t>Baseline:</w:t>
            </w:r>
          </w:p>
        </w:tc>
        <w:tc>
          <w:tcPr>
            <w:tcW w:w="6804" w:type="dxa"/>
            <w:shd w:val="clear" w:color="auto" w:fill="auto"/>
          </w:tcPr>
          <w:p w14:paraId="64408BBB" w14:textId="123208B2" w:rsidR="007D6965" w:rsidRPr="00D87AA9" w:rsidRDefault="007D6965" w:rsidP="00177B9D">
            <w:pPr>
              <w:pStyle w:val="TableBodyText"/>
              <w:spacing w:before="80"/>
              <w:jc w:val="left"/>
            </w:pPr>
            <w:r>
              <w:t xml:space="preserve">The baseline for </w:t>
            </w:r>
            <w:r w:rsidR="00177B9D">
              <w:t xml:space="preserve">the target is Semester 1, 2014 </w:t>
            </w:r>
          </w:p>
        </w:tc>
      </w:tr>
      <w:tr w:rsidR="007D6965" w:rsidRPr="00D87AA9" w14:paraId="549117C8" w14:textId="77777777" w:rsidTr="00F57F7B">
        <w:tc>
          <w:tcPr>
            <w:tcW w:w="1985" w:type="dxa"/>
            <w:shd w:val="clear" w:color="auto" w:fill="auto"/>
          </w:tcPr>
          <w:p w14:paraId="1DB434BB" w14:textId="77777777" w:rsidR="007D6965" w:rsidRPr="00D87AA9" w:rsidRDefault="007D6965" w:rsidP="00177B9D">
            <w:pPr>
              <w:pStyle w:val="TableBodyText"/>
              <w:spacing w:before="80"/>
              <w:jc w:val="left"/>
            </w:pPr>
            <w:r w:rsidRPr="00D87AA9">
              <w:t>Cross tabulations provided:</w:t>
            </w:r>
          </w:p>
        </w:tc>
        <w:tc>
          <w:tcPr>
            <w:tcW w:w="6804" w:type="dxa"/>
            <w:shd w:val="clear" w:color="auto" w:fill="auto"/>
          </w:tcPr>
          <w:p w14:paraId="2557B5C3" w14:textId="77777777" w:rsidR="007D6965" w:rsidRDefault="007D6965" w:rsidP="00177B9D">
            <w:pPr>
              <w:pStyle w:val="TableBodyText"/>
              <w:spacing w:before="80"/>
              <w:jc w:val="left"/>
            </w:pPr>
            <w:r>
              <w:t>State and Territory and nationally combined for all year levels and sectors.</w:t>
            </w:r>
          </w:p>
          <w:p w14:paraId="30E4CCC9" w14:textId="77777777" w:rsidR="007D6965" w:rsidRPr="00D87AA9" w:rsidRDefault="007D6965" w:rsidP="00F57F7B">
            <w:pPr>
              <w:pStyle w:val="TableBodyText"/>
              <w:jc w:val="left"/>
            </w:pPr>
          </w:p>
        </w:tc>
      </w:tr>
    </w:tbl>
    <w:p w14:paraId="5D4A288C" w14:textId="77777777" w:rsidR="00A42905" w:rsidRDefault="00A42905" w:rsidP="008F5A63">
      <w:pPr>
        <w:pStyle w:val="BoxSpaceAbove"/>
        <w:spacing w:before="120"/>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A42905" w14:paraId="5742BBCE" w14:textId="77777777" w:rsidTr="008F5A63">
        <w:tc>
          <w:tcPr>
            <w:tcW w:w="8789" w:type="dxa"/>
            <w:tcBorders>
              <w:top w:val="single" w:sz="6" w:space="0" w:color="78A22F"/>
              <w:left w:val="nil"/>
              <w:bottom w:val="nil"/>
              <w:right w:val="nil"/>
            </w:tcBorders>
            <w:shd w:val="clear" w:color="auto" w:fill="F2F2F2"/>
          </w:tcPr>
          <w:p w14:paraId="01027B59" w14:textId="542F127F" w:rsidR="00A42905" w:rsidRDefault="00A42905" w:rsidP="00291F8D">
            <w:pPr>
              <w:pStyle w:val="BoxTitle"/>
            </w:pPr>
            <w:r>
              <w:rPr>
                <w:b w:val="0"/>
              </w:rPr>
              <w:t xml:space="preserve">Box </w:t>
            </w:r>
            <w:r w:rsidR="004C71ED">
              <w:rPr>
                <w:b w:val="0"/>
              </w:rPr>
              <w:t>1</w:t>
            </w:r>
            <w:r w:rsidR="00291F8D">
              <w:rPr>
                <w:b w:val="0"/>
              </w:rPr>
              <w:t>1</w:t>
            </w:r>
            <w:r>
              <w:tab/>
              <w:t>Results</w:t>
            </w:r>
          </w:p>
        </w:tc>
      </w:tr>
      <w:tr w:rsidR="00A42905" w:rsidRPr="00D337E4" w14:paraId="1A2173ED" w14:textId="77777777" w:rsidTr="008F5A63">
        <w:trPr>
          <w:cantSplit/>
        </w:trPr>
        <w:tc>
          <w:tcPr>
            <w:tcW w:w="8789" w:type="dxa"/>
            <w:tcBorders>
              <w:top w:val="nil"/>
              <w:left w:val="nil"/>
              <w:bottom w:val="nil"/>
              <w:right w:val="nil"/>
            </w:tcBorders>
            <w:shd w:val="clear" w:color="auto" w:fill="F2F2F2"/>
          </w:tcPr>
          <w:p w14:paraId="362BA9B3" w14:textId="42162CA1" w:rsidR="00A42905" w:rsidRPr="004F00F4" w:rsidRDefault="00A42905" w:rsidP="00A42905">
            <w:pPr>
              <w:pStyle w:val="Box"/>
            </w:pPr>
            <w:r w:rsidRPr="004F00F4">
              <w:t xml:space="preserve">For this report, new data for this indicator are available for </w:t>
            </w:r>
            <w:r w:rsidR="004C71ED">
              <w:t>2018</w:t>
            </w:r>
            <w:r w:rsidR="00424E10">
              <w:t>.</w:t>
            </w:r>
          </w:p>
          <w:p w14:paraId="441A117E" w14:textId="77777777" w:rsidR="00A42905" w:rsidRPr="004F00F4" w:rsidRDefault="00A42905" w:rsidP="00A42905">
            <w:pPr>
              <w:pStyle w:val="BoxListBullet"/>
            </w:pPr>
            <w:r w:rsidRPr="004F00F4">
              <w:t xml:space="preserve">Data for </w:t>
            </w:r>
            <w:r w:rsidR="006908FD">
              <w:t xml:space="preserve">attendance rates for </w:t>
            </w:r>
            <w:r w:rsidRPr="004F00F4">
              <w:t xml:space="preserve">students </w:t>
            </w:r>
            <w:r w:rsidR="006908FD">
              <w:t>(in years 1</w:t>
            </w:r>
            <w:r w:rsidR="00C754EF">
              <w:t>–</w:t>
            </w:r>
            <w:r w:rsidR="006908FD">
              <w:t>10 combined)</w:t>
            </w:r>
            <w:r w:rsidRPr="004F00F4">
              <w:t>, by Indigenous</w:t>
            </w:r>
            <w:r w:rsidR="006908FD">
              <w:t xml:space="preserve"> status, are presented in table</w:t>
            </w:r>
            <w:r w:rsidRPr="004F00F4">
              <w:t xml:space="preserve"> </w:t>
            </w:r>
            <w:proofErr w:type="spellStart"/>
            <w:r w:rsidRPr="004F00F4">
              <w:t>NIRA.</w:t>
            </w:r>
            <w:r w:rsidR="006908FD">
              <w:t>13.1</w:t>
            </w:r>
            <w:proofErr w:type="spellEnd"/>
            <w:r w:rsidR="006908FD">
              <w:t>.</w:t>
            </w:r>
          </w:p>
          <w:p w14:paraId="371DE3F8" w14:textId="3D16E8C6" w:rsidR="009F75FF" w:rsidRDefault="009F75FF" w:rsidP="00B60F0B">
            <w:pPr>
              <w:pStyle w:val="Box"/>
            </w:pPr>
            <w:r>
              <w:t xml:space="preserve">Historical </w:t>
            </w:r>
            <w:r w:rsidR="004C71ED">
              <w:t xml:space="preserve">data for 2017 are available in the 2016-17 </w:t>
            </w:r>
            <w:proofErr w:type="spellStart"/>
            <w:r w:rsidR="004C71ED">
              <w:t>NIRA</w:t>
            </w:r>
            <w:proofErr w:type="spellEnd"/>
            <w:r w:rsidR="004C71ED">
              <w:t xml:space="preserve"> performance report, </w:t>
            </w:r>
            <w:r>
              <w:t xml:space="preserve">data for </w:t>
            </w:r>
            <w:r w:rsidR="00DB31C5">
              <w:t xml:space="preserve">2016 are available in the 2015-16 </w:t>
            </w:r>
            <w:proofErr w:type="spellStart"/>
            <w:r w:rsidR="00DB31C5">
              <w:t>NIRA</w:t>
            </w:r>
            <w:proofErr w:type="spellEnd"/>
            <w:r w:rsidR="00DB31C5">
              <w:t xml:space="preserve"> performance report, and </w:t>
            </w:r>
            <w:r>
              <w:t xml:space="preserve">2014 and 2015 </w:t>
            </w:r>
            <w:r w:rsidR="00DB31C5">
              <w:t xml:space="preserve">data </w:t>
            </w:r>
            <w:r>
              <w:t xml:space="preserve">are reported in the 2014-15 </w:t>
            </w:r>
            <w:proofErr w:type="spellStart"/>
            <w:r>
              <w:t>NIRA</w:t>
            </w:r>
            <w:proofErr w:type="spellEnd"/>
            <w:r>
              <w:t xml:space="preserve"> performance report.</w:t>
            </w:r>
          </w:p>
          <w:p w14:paraId="10BF68BA" w14:textId="77777777" w:rsidR="00A42905" w:rsidRPr="00A42905" w:rsidRDefault="00A42905" w:rsidP="00B60F0B">
            <w:pPr>
              <w:pStyle w:val="Box"/>
            </w:pPr>
            <w:r w:rsidRPr="00DE42B9">
              <w:t>Additional data are available</w:t>
            </w:r>
            <w:r>
              <w:t xml:space="preserve"> under performance indicator 13.</w:t>
            </w:r>
          </w:p>
        </w:tc>
      </w:tr>
      <w:tr w:rsidR="00A42905" w14:paraId="278238FF" w14:textId="77777777" w:rsidTr="008F5A63">
        <w:trPr>
          <w:cantSplit/>
        </w:trPr>
        <w:tc>
          <w:tcPr>
            <w:tcW w:w="8789" w:type="dxa"/>
            <w:tcBorders>
              <w:top w:val="nil"/>
              <w:left w:val="nil"/>
              <w:bottom w:val="single" w:sz="6" w:space="0" w:color="78A22F"/>
              <w:right w:val="nil"/>
            </w:tcBorders>
            <w:shd w:val="clear" w:color="auto" w:fill="F2F2F2"/>
          </w:tcPr>
          <w:p w14:paraId="10690219" w14:textId="77777777" w:rsidR="00A42905" w:rsidRDefault="00A42905" w:rsidP="00B60F0B">
            <w:pPr>
              <w:pStyle w:val="Box"/>
              <w:spacing w:before="0" w:line="120" w:lineRule="exact"/>
            </w:pPr>
          </w:p>
        </w:tc>
      </w:tr>
    </w:tbl>
    <w:p w14:paraId="5FE0D40D" w14:textId="77777777" w:rsidR="00A42905" w:rsidRDefault="00A42905" w:rsidP="008F5A63">
      <w:pPr>
        <w:pStyle w:val="BoxSpaceAbove"/>
        <w:spacing w:before="120"/>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A42905" w14:paraId="1419A754" w14:textId="77777777" w:rsidTr="008F5A63">
        <w:tc>
          <w:tcPr>
            <w:tcW w:w="8789" w:type="dxa"/>
            <w:tcBorders>
              <w:top w:val="single" w:sz="6" w:space="0" w:color="78A22F"/>
              <w:left w:val="nil"/>
              <w:bottom w:val="nil"/>
              <w:right w:val="nil"/>
            </w:tcBorders>
            <w:shd w:val="clear" w:color="auto" w:fill="F2F2F2"/>
          </w:tcPr>
          <w:p w14:paraId="4F33DFB3" w14:textId="787A86D8" w:rsidR="00A42905" w:rsidRDefault="00A42905" w:rsidP="00291F8D">
            <w:pPr>
              <w:pStyle w:val="BoxTitle"/>
            </w:pPr>
            <w:r>
              <w:rPr>
                <w:b w:val="0"/>
              </w:rPr>
              <w:t xml:space="preserve">Box </w:t>
            </w:r>
            <w:r w:rsidR="004C71ED">
              <w:rPr>
                <w:b w:val="0"/>
              </w:rPr>
              <w:t>1</w:t>
            </w:r>
            <w:r w:rsidR="00291F8D">
              <w:rPr>
                <w:b w:val="0"/>
              </w:rPr>
              <w:t>2</w:t>
            </w:r>
            <w:r>
              <w:tab/>
              <w:t>Comment on data quality</w:t>
            </w:r>
          </w:p>
        </w:tc>
      </w:tr>
      <w:tr w:rsidR="00A42905" w14:paraId="061D60A6" w14:textId="77777777" w:rsidTr="008F5A63">
        <w:trPr>
          <w:cantSplit/>
        </w:trPr>
        <w:tc>
          <w:tcPr>
            <w:tcW w:w="8789" w:type="dxa"/>
            <w:tcBorders>
              <w:top w:val="nil"/>
              <w:left w:val="nil"/>
              <w:bottom w:val="nil"/>
              <w:right w:val="nil"/>
            </w:tcBorders>
            <w:shd w:val="clear" w:color="auto" w:fill="F2F2F2"/>
          </w:tcPr>
          <w:p w14:paraId="3734F810" w14:textId="77777777" w:rsidR="00A42905" w:rsidRDefault="00A42905" w:rsidP="00B60F0B">
            <w:pPr>
              <w:pStyle w:val="Box"/>
            </w:pPr>
            <w:r>
              <w:t>Details are included in the comment on data quality for performa</w:t>
            </w:r>
            <w:r w:rsidR="006908FD">
              <w:t>nce indicator 13</w:t>
            </w:r>
            <w:r>
              <w:t>.</w:t>
            </w:r>
          </w:p>
        </w:tc>
      </w:tr>
      <w:tr w:rsidR="00A42905" w14:paraId="262F4CE0" w14:textId="77777777" w:rsidTr="008F5A63">
        <w:trPr>
          <w:cantSplit/>
        </w:trPr>
        <w:tc>
          <w:tcPr>
            <w:tcW w:w="8789" w:type="dxa"/>
            <w:tcBorders>
              <w:top w:val="nil"/>
              <w:left w:val="nil"/>
              <w:bottom w:val="single" w:sz="6" w:space="0" w:color="78A22F"/>
              <w:right w:val="nil"/>
            </w:tcBorders>
            <w:shd w:val="clear" w:color="auto" w:fill="F2F2F2"/>
          </w:tcPr>
          <w:p w14:paraId="301163D2" w14:textId="77777777" w:rsidR="00A42905" w:rsidRDefault="00A42905" w:rsidP="00B60F0B">
            <w:pPr>
              <w:pStyle w:val="Box"/>
              <w:spacing w:before="0" w:line="120" w:lineRule="exact"/>
            </w:pPr>
          </w:p>
        </w:tc>
      </w:tr>
      <w:tr w:rsidR="00A42905" w:rsidRPr="000863A5" w14:paraId="78520350" w14:textId="77777777" w:rsidTr="008F5A63">
        <w:tc>
          <w:tcPr>
            <w:tcW w:w="8789" w:type="dxa"/>
            <w:tcBorders>
              <w:top w:val="single" w:sz="6" w:space="0" w:color="78A22F"/>
              <w:left w:val="nil"/>
              <w:bottom w:val="nil"/>
              <w:right w:val="nil"/>
            </w:tcBorders>
          </w:tcPr>
          <w:p w14:paraId="7FA50231" w14:textId="77777777" w:rsidR="00A42905" w:rsidRPr="00626D32" w:rsidRDefault="00A42905" w:rsidP="00B60F0B">
            <w:pPr>
              <w:pStyle w:val="BoxSpaceBelow"/>
            </w:pPr>
          </w:p>
        </w:tc>
      </w:tr>
    </w:tbl>
    <w:p w14:paraId="42ACA031" w14:textId="77777777" w:rsidR="006C4F8C" w:rsidRDefault="006C4F8C" w:rsidP="00D337E4">
      <w:pPr>
        <w:pStyle w:val="Heading2"/>
      </w:pPr>
    </w:p>
    <w:p w14:paraId="1CB58EE4" w14:textId="77777777" w:rsidR="006C4F8C" w:rsidRDefault="006C4F8C">
      <w:pPr>
        <w:rPr>
          <w:rFonts w:ascii="Arial" w:hAnsi="Arial"/>
          <w:b/>
          <w:sz w:val="32"/>
          <w:szCs w:val="20"/>
        </w:rPr>
      </w:pPr>
      <w:r>
        <w:br w:type="page"/>
      </w:r>
    </w:p>
    <w:p w14:paraId="6B683A08" w14:textId="738A5396" w:rsidR="00D337E4" w:rsidRPr="006127CB" w:rsidRDefault="00D337E4" w:rsidP="00D337E4">
      <w:pPr>
        <w:pStyle w:val="Heading2"/>
      </w:pPr>
      <w:r>
        <w:lastRenderedPageBreak/>
        <w:t>Performance indicators</w:t>
      </w:r>
    </w:p>
    <w:p w14:paraId="18873FB7" w14:textId="77777777" w:rsidR="00D337E4" w:rsidRPr="00D87AA9" w:rsidRDefault="00D337E4" w:rsidP="00D337E4">
      <w:pPr>
        <w:pStyle w:val="BodyText"/>
        <w:keepNext/>
      </w:pPr>
      <w:r w:rsidRPr="00D87AA9">
        <w:t xml:space="preserve">This report covers all ‘performance indicators’ included in the </w:t>
      </w:r>
      <w:proofErr w:type="spellStart"/>
      <w:r w:rsidRPr="00D87AA9">
        <w:t>NIRA</w:t>
      </w:r>
      <w:proofErr w:type="spellEnd"/>
      <w:r>
        <w:t xml:space="preserve"> performance indicator framework</w:t>
      </w:r>
      <w:r w:rsidRPr="00D87AA9">
        <w:t xml:space="preserve"> (table</w:t>
      </w:r>
      <w:r w:rsidR="00A16B64">
        <w:t xml:space="preserve"> 2</w:t>
      </w:r>
      <w:r>
        <w:t xml:space="preserve">). </w:t>
      </w:r>
      <w:r w:rsidRPr="00D87AA9">
        <w:t>For performance indicators where data quality and/or completeness is an issue, a number of supplementary measures are provided and are identified as such in the text.</w:t>
      </w:r>
    </w:p>
    <w:p w14:paraId="17A41E3C" w14:textId="77777777" w:rsidR="004F00F4" w:rsidRDefault="00D337E4" w:rsidP="00BF4BD7">
      <w:pPr>
        <w:pStyle w:val="BodyText"/>
      </w:pPr>
      <w:r w:rsidRPr="00D87AA9">
        <w:t>Data for the performance indicators in this report are presented in attachments identified in references throughout this report by a ‘</w:t>
      </w:r>
      <w:proofErr w:type="spellStart"/>
      <w:r w:rsidRPr="00D87AA9">
        <w:t>NIRA</w:t>
      </w:r>
      <w:proofErr w:type="spellEnd"/>
      <w:r w:rsidRPr="00D87AA9">
        <w:t xml:space="preserve">’ </w:t>
      </w:r>
      <w:r>
        <w:t>prefix</w:t>
      </w:r>
      <w:r w:rsidR="004261E9">
        <w:t>.</w:t>
      </w:r>
    </w:p>
    <w:p w14:paraId="0E28939B" w14:textId="77777777" w:rsidR="00D337E4" w:rsidRDefault="00D337E4" w:rsidP="00680847">
      <w:pPr>
        <w:pStyle w:val="BoxSpaceAbove"/>
      </w:pPr>
    </w:p>
    <w:tbl>
      <w:tblPr>
        <w:tblW w:w="0" w:type="auto"/>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9"/>
      </w:tblGrid>
      <w:tr w:rsidR="00D337E4" w14:paraId="0B21BC32" w14:textId="77777777" w:rsidTr="008F5A63">
        <w:tc>
          <w:tcPr>
            <w:tcW w:w="8789" w:type="dxa"/>
            <w:tcBorders>
              <w:top w:val="single" w:sz="6" w:space="0" w:color="78A22F"/>
              <w:left w:val="nil"/>
              <w:bottom w:val="nil"/>
              <w:right w:val="nil"/>
            </w:tcBorders>
            <w:shd w:val="clear" w:color="auto" w:fill="auto"/>
          </w:tcPr>
          <w:p w14:paraId="45B35070" w14:textId="77777777" w:rsidR="00D337E4" w:rsidRPr="00D337E4" w:rsidRDefault="00D337E4" w:rsidP="00A16B64">
            <w:pPr>
              <w:pStyle w:val="TableTitle"/>
              <w:rPr>
                <w:vertAlign w:val="superscript"/>
              </w:rPr>
            </w:pPr>
            <w:r>
              <w:rPr>
                <w:b w:val="0"/>
              </w:rPr>
              <w:t xml:space="preserve">Table </w:t>
            </w:r>
            <w:r w:rsidR="00A16B64">
              <w:rPr>
                <w:b w:val="0"/>
              </w:rPr>
              <w:t>2</w:t>
            </w:r>
            <w:r>
              <w:tab/>
              <w:t xml:space="preserve">Performance indicators in the National Indigenous Reform </w:t>
            </w:r>
            <w:proofErr w:type="spellStart"/>
            <w:r>
              <w:t>Agreement</w:t>
            </w:r>
            <w:r>
              <w:rPr>
                <w:vertAlign w:val="superscript"/>
              </w:rPr>
              <w:t>a</w:t>
            </w:r>
            <w:proofErr w:type="spellEnd"/>
          </w:p>
        </w:tc>
      </w:tr>
      <w:tr w:rsidR="00D337E4" w14:paraId="5226B220" w14:textId="77777777" w:rsidTr="008F5A63">
        <w:trPr>
          <w:cantSplit/>
        </w:trPr>
        <w:tc>
          <w:tcPr>
            <w:tcW w:w="8789"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6513"/>
              <w:gridCol w:w="1989"/>
            </w:tblGrid>
            <w:tr w:rsidR="00D337E4" w14:paraId="04089A66" w14:textId="77777777" w:rsidTr="00831041">
              <w:tc>
                <w:tcPr>
                  <w:tcW w:w="3830" w:type="pct"/>
                  <w:tcBorders>
                    <w:top w:val="single" w:sz="6" w:space="0" w:color="BFBFBF"/>
                    <w:bottom w:val="single" w:sz="6" w:space="0" w:color="BFBFBF"/>
                  </w:tcBorders>
                  <w:shd w:val="clear" w:color="auto" w:fill="auto"/>
                  <w:tcMar>
                    <w:top w:w="28" w:type="dxa"/>
                  </w:tcMar>
                </w:tcPr>
                <w:p w14:paraId="283D8609" w14:textId="77777777" w:rsidR="00D337E4" w:rsidRDefault="00D337E4" w:rsidP="00680847">
                  <w:pPr>
                    <w:pStyle w:val="TableColumnHeading"/>
                    <w:jc w:val="left"/>
                  </w:pPr>
                  <w:r>
                    <w:t>Performance indicators</w:t>
                  </w:r>
                </w:p>
              </w:tc>
              <w:tc>
                <w:tcPr>
                  <w:tcW w:w="1170" w:type="pct"/>
                  <w:tcBorders>
                    <w:top w:val="single" w:sz="6" w:space="0" w:color="BFBFBF"/>
                    <w:bottom w:val="single" w:sz="6" w:space="0" w:color="BFBFBF"/>
                  </w:tcBorders>
                  <w:shd w:val="clear" w:color="auto" w:fill="auto"/>
                  <w:tcMar>
                    <w:top w:w="28" w:type="dxa"/>
                  </w:tcMar>
                </w:tcPr>
                <w:p w14:paraId="5B4BBFC4" w14:textId="0EBE413A" w:rsidR="00D337E4" w:rsidRDefault="00D337E4" w:rsidP="00680847">
                  <w:pPr>
                    <w:pStyle w:val="TableColumnHeading"/>
                    <w:ind w:right="28"/>
                  </w:pPr>
                  <w:r w:rsidRPr="00831041">
                    <w:t>Page no</w:t>
                  </w:r>
                  <w:r w:rsidR="008F028B" w:rsidRPr="00831041">
                    <w:t>.</w:t>
                  </w:r>
                  <w:r w:rsidRPr="00831041">
                    <w:t xml:space="preserve"> in this report</w:t>
                  </w:r>
                </w:p>
              </w:tc>
            </w:tr>
            <w:tr w:rsidR="00D337E4" w14:paraId="7CC2FB5A" w14:textId="77777777" w:rsidTr="00831041">
              <w:tc>
                <w:tcPr>
                  <w:tcW w:w="3830" w:type="pct"/>
                  <w:tcBorders>
                    <w:top w:val="single" w:sz="6" w:space="0" w:color="BFBFBF"/>
                  </w:tcBorders>
                </w:tcPr>
                <w:p w14:paraId="5917E683" w14:textId="4FA4FB3E" w:rsidR="00D337E4" w:rsidRPr="003F6D08" w:rsidRDefault="00D337E4" w:rsidP="00B6173B">
                  <w:pPr>
                    <w:pStyle w:val="TableUnitsRow"/>
                    <w:numPr>
                      <w:ilvl w:val="0"/>
                      <w:numId w:val="20"/>
                    </w:numPr>
                    <w:jc w:val="left"/>
                  </w:pPr>
                  <w:bookmarkStart w:id="0" w:name="_Ref405202206"/>
                  <w:r w:rsidRPr="003F6D08">
                    <w:t>Estimated life expectancy at birth</w:t>
                  </w:r>
                  <w:bookmarkEnd w:id="0"/>
                </w:p>
              </w:tc>
              <w:tc>
                <w:tcPr>
                  <w:tcW w:w="1170" w:type="pct"/>
                  <w:tcBorders>
                    <w:top w:val="single" w:sz="6" w:space="0" w:color="BFBFBF"/>
                  </w:tcBorders>
                </w:tcPr>
                <w:p w14:paraId="04F316EB" w14:textId="39A41CCB" w:rsidR="00D337E4" w:rsidRPr="003F6D08" w:rsidRDefault="009A665E" w:rsidP="00831041">
                  <w:pPr>
                    <w:pStyle w:val="TableBodyText"/>
                    <w:ind w:right="28"/>
                  </w:pPr>
                  <w:r>
                    <w:rPr>
                      <w:noProof/>
                    </w:rPr>
                    <w:t>20</w:t>
                  </w:r>
                </w:p>
              </w:tc>
            </w:tr>
            <w:tr w:rsidR="00D337E4" w14:paraId="516491CB" w14:textId="77777777" w:rsidTr="00831041">
              <w:tc>
                <w:tcPr>
                  <w:tcW w:w="3830" w:type="pct"/>
                </w:tcPr>
                <w:p w14:paraId="5F319E8F" w14:textId="682C396E" w:rsidR="00D337E4" w:rsidRPr="003F6D08" w:rsidRDefault="00D337E4" w:rsidP="00B6173B">
                  <w:pPr>
                    <w:pStyle w:val="TableBodyText"/>
                    <w:numPr>
                      <w:ilvl w:val="0"/>
                      <w:numId w:val="20"/>
                    </w:numPr>
                    <w:jc w:val="left"/>
                  </w:pPr>
                  <w:bookmarkStart w:id="1" w:name="_Ref405202227"/>
                  <w:r w:rsidRPr="003F6D08">
                    <w:t>Mortality rate by leading cause</w:t>
                  </w:r>
                  <w:bookmarkEnd w:id="1"/>
                  <w:r w:rsidRPr="003F6D08">
                    <w:t xml:space="preserve"> </w:t>
                  </w:r>
                </w:p>
              </w:tc>
              <w:tc>
                <w:tcPr>
                  <w:tcW w:w="1170" w:type="pct"/>
                </w:tcPr>
                <w:p w14:paraId="0D9CBF53" w14:textId="31694C04" w:rsidR="00D337E4" w:rsidRPr="003F6D08" w:rsidRDefault="00173963" w:rsidP="009A665E">
                  <w:pPr>
                    <w:pStyle w:val="TableBodyText"/>
                    <w:ind w:right="28"/>
                  </w:pPr>
                  <w:r>
                    <w:rPr>
                      <w:noProof/>
                    </w:rPr>
                    <w:t>2</w:t>
                  </w:r>
                  <w:r w:rsidR="009A665E">
                    <w:rPr>
                      <w:noProof/>
                    </w:rPr>
                    <w:t>2</w:t>
                  </w:r>
                </w:p>
              </w:tc>
            </w:tr>
            <w:tr w:rsidR="00D337E4" w14:paraId="646F52F4" w14:textId="77777777" w:rsidTr="00831041">
              <w:tc>
                <w:tcPr>
                  <w:tcW w:w="3830" w:type="pct"/>
                </w:tcPr>
                <w:p w14:paraId="1A39ECE5" w14:textId="70215F47" w:rsidR="00D337E4" w:rsidRPr="003F6D08" w:rsidRDefault="00D337E4" w:rsidP="00B6173B">
                  <w:pPr>
                    <w:pStyle w:val="TableBodyText"/>
                    <w:numPr>
                      <w:ilvl w:val="0"/>
                      <w:numId w:val="20"/>
                    </w:numPr>
                    <w:jc w:val="left"/>
                  </w:pPr>
                  <w:bookmarkStart w:id="2" w:name="_Ref405202242"/>
                  <w:r w:rsidRPr="003F6D08">
                    <w:t>Rates of current daily smokers</w:t>
                  </w:r>
                  <w:bookmarkEnd w:id="2"/>
                </w:p>
              </w:tc>
              <w:tc>
                <w:tcPr>
                  <w:tcW w:w="1170" w:type="pct"/>
                </w:tcPr>
                <w:p w14:paraId="3B41BFFE" w14:textId="26E48F50" w:rsidR="00D337E4" w:rsidRPr="003F6D08" w:rsidRDefault="005B5AE3" w:rsidP="009A665E">
                  <w:pPr>
                    <w:pStyle w:val="TableBodyText"/>
                    <w:ind w:right="28"/>
                  </w:pPr>
                  <w:r>
                    <w:rPr>
                      <w:noProof/>
                    </w:rPr>
                    <w:t>2</w:t>
                  </w:r>
                  <w:r w:rsidR="009A665E">
                    <w:rPr>
                      <w:noProof/>
                    </w:rPr>
                    <w:t>5</w:t>
                  </w:r>
                </w:p>
              </w:tc>
            </w:tr>
            <w:tr w:rsidR="00D337E4" w14:paraId="2CBFD4FC" w14:textId="77777777" w:rsidTr="00831041">
              <w:tc>
                <w:tcPr>
                  <w:tcW w:w="3830" w:type="pct"/>
                </w:tcPr>
                <w:p w14:paraId="1DCE591F" w14:textId="77777777" w:rsidR="00D337E4" w:rsidRPr="003F6D08" w:rsidRDefault="00D337E4" w:rsidP="00B6173B">
                  <w:pPr>
                    <w:pStyle w:val="TableBodyText"/>
                    <w:numPr>
                      <w:ilvl w:val="0"/>
                      <w:numId w:val="20"/>
                    </w:numPr>
                    <w:jc w:val="left"/>
                  </w:pPr>
                  <w:r w:rsidRPr="003F6D08">
                    <w:t>Levels of risky alcohol consumption</w:t>
                  </w:r>
                </w:p>
              </w:tc>
              <w:tc>
                <w:tcPr>
                  <w:tcW w:w="1170" w:type="pct"/>
                </w:tcPr>
                <w:p w14:paraId="103DC51E" w14:textId="193D28E6" w:rsidR="00D337E4" w:rsidRPr="003F6D08" w:rsidRDefault="005B5AE3" w:rsidP="009A665E">
                  <w:pPr>
                    <w:pStyle w:val="TableBodyText"/>
                    <w:ind w:right="28"/>
                  </w:pPr>
                  <w:r>
                    <w:rPr>
                      <w:noProof/>
                    </w:rPr>
                    <w:t>2</w:t>
                  </w:r>
                  <w:r w:rsidR="009A665E">
                    <w:rPr>
                      <w:noProof/>
                    </w:rPr>
                    <w:t>6</w:t>
                  </w:r>
                </w:p>
              </w:tc>
            </w:tr>
            <w:tr w:rsidR="00D337E4" w14:paraId="15BCAC21" w14:textId="77777777" w:rsidTr="00831041">
              <w:tc>
                <w:tcPr>
                  <w:tcW w:w="3830" w:type="pct"/>
                </w:tcPr>
                <w:p w14:paraId="565A8D27" w14:textId="77777777" w:rsidR="00D337E4" w:rsidRPr="003F6D08" w:rsidRDefault="00D337E4" w:rsidP="00B6173B">
                  <w:pPr>
                    <w:pStyle w:val="TableBodyText"/>
                    <w:numPr>
                      <w:ilvl w:val="0"/>
                      <w:numId w:val="20"/>
                    </w:numPr>
                    <w:jc w:val="left"/>
                  </w:pPr>
                  <w:r w:rsidRPr="003F6D08">
                    <w:t>Prevalence of overweight and obesity</w:t>
                  </w:r>
                </w:p>
              </w:tc>
              <w:tc>
                <w:tcPr>
                  <w:tcW w:w="1170" w:type="pct"/>
                </w:tcPr>
                <w:p w14:paraId="6AE6078D" w14:textId="4A477547" w:rsidR="00D337E4" w:rsidRPr="003F6D08" w:rsidRDefault="005B5AE3" w:rsidP="009A665E">
                  <w:pPr>
                    <w:pStyle w:val="TableBodyText"/>
                    <w:ind w:right="28"/>
                  </w:pPr>
                  <w:r>
                    <w:rPr>
                      <w:noProof/>
                    </w:rPr>
                    <w:t>2</w:t>
                  </w:r>
                  <w:r w:rsidR="009A665E">
                    <w:rPr>
                      <w:noProof/>
                    </w:rPr>
                    <w:t>7</w:t>
                  </w:r>
                </w:p>
              </w:tc>
            </w:tr>
            <w:tr w:rsidR="00D337E4" w14:paraId="447DEAD0" w14:textId="77777777" w:rsidTr="00831041">
              <w:tc>
                <w:tcPr>
                  <w:tcW w:w="3830" w:type="pct"/>
                </w:tcPr>
                <w:p w14:paraId="022423DE" w14:textId="77777777" w:rsidR="00D337E4" w:rsidRPr="003F6D08" w:rsidRDefault="00D337E4" w:rsidP="00B6173B">
                  <w:pPr>
                    <w:pStyle w:val="TableBodyText"/>
                    <w:numPr>
                      <w:ilvl w:val="0"/>
                      <w:numId w:val="20"/>
                    </w:numPr>
                    <w:jc w:val="left"/>
                  </w:pPr>
                  <w:r w:rsidRPr="003F6D08">
                    <w:t>Under 5 mortality rate by leading cause</w:t>
                  </w:r>
                </w:p>
              </w:tc>
              <w:tc>
                <w:tcPr>
                  <w:tcW w:w="1170" w:type="pct"/>
                </w:tcPr>
                <w:p w14:paraId="3F809FC4" w14:textId="4DF97B8C" w:rsidR="00D337E4" w:rsidRPr="003F6D08" w:rsidRDefault="00831041" w:rsidP="009A665E">
                  <w:pPr>
                    <w:pStyle w:val="TableBodyText"/>
                    <w:ind w:right="28"/>
                  </w:pPr>
                  <w:r>
                    <w:rPr>
                      <w:noProof/>
                    </w:rPr>
                    <w:t>2</w:t>
                  </w:r>
                  <w:r w:rsidR="009A665E">
                    <w:rPr>
                      <w:noProof/>
                    </w:rPr>
                    <w:t>8</w:t>
                  </w:r>
                </w:p>
              </w:tc>
            </w:tr>
            <w:tr w:rsidR="00D337E4" w14:paraId="227DAD9D" w14:textId="77777777" w:rsidTr="00831041">
              <w:tc>
                <w:tcPr>
                  <w:tcW w:w="3830" w:type="pct"/>
                </w:tcPr>
                <w:p w14:paraId="2DA5F86B" w14:textId="77777777" w:rsidR="00D337E4" w:rsidRPr="003F6D08" w:rsidRDefault="00D337E4" w:rsidP="00B6173B">
                  <w:pPr>
                    <w:pStyle w:val="TableBodyText"/>
                    <w:numPr>
                      <w:ilvl w:val="0"/>
                      <w:numId w:val="20"/>
                    </w:numPr>
                    <w:jc w:val="left"/>
                  </w:pPr>
                  <w:r w:rsidRPr="003F6D08">
                    <w:t>Proportion of bab</w:t>
                  </w:r>
                  <w:r w:rsidR="004261E9" w:rsidRPr="003F6D08">
                    <w:t>i</w:t>
                  </w:r>
                  <w:r w:rsidRPr="003F6D08">
                    <w:t xml:space="preserve">es born of low </w:t>
                  </w:r>
                  <w:r w:rsidR="00293E8B">
                    <w:t>birth weight</w:t>
                  </w:r>
                </w:p>
              </w:tc>
              <w:tc>
                <w:tcPr>
                  <w:tcW w:w="1170" w:type="pct"/>
                </w:tcPr>
                <w:p w14:paraId="5337E5F4" w14:textId="2C93F96E" w:rsidR="00D337E4" w:rsidRPr="003F6D08" w:rsidRDefault="005B5AE3" w:rsidP="009A665E">
                  <w:pPr>
                    <w:pStyle w:val="TableBodyText"/>
                    <w:ind w:right="28"/>
                  </w:pPr>
                  <w:r>
                    <w:rPr>
                      <w:noProof/>
                    </w:rPr>
                    <w:t>3</w:t>
                  </w:r>
                  <w:r w:rsidR="009A665E">
                    <w:rPr>
                      <w:noProof/>
                    </w:rPr>
                    <w:t>2</w:t>
                  </w:r>
                </w:p>
              </w:tc>
            </w:tr>
            <w:tr w:rsidR="00D337E4" w14:paraId="2C9E2E13" w14:textId="77777777" w:rsidTr="00831041">
              <w:tc>
                <w:tcPr>
                  <w:tcW w:w="3830" w:type="pct"/>
                </w:tcPr>
                <w:p w14:paraId="4A7A300F" w14:textId="77777777" w:rsidR="00D337E4" w:rsidRPr="003F6D08" w:rsidRDefault="00D337E4" w:rsidP="00B6173B">
                  <w:pPr>
                    <w:pStyle w:val="TableBodyText"/>
                    <w:numPr>
                      <w:ilvl w:val="0"/>
                      <w:numId w:val="20"/>
                    </w:numPr>
                    <w:jc w:val="left"/>
                  </w:pPr>
                  <w:r w:rsidRPr="003F6D08">
                    <w:t xml:space="preserve">Tobacco </w:t>
                  </w:r>
                  <w:r w:rsidR="004261E9" w:rsidRPr="003F6D08">
                    <w:t>s</w:t>
                  </w:r>
                  <w:r w:rsidRPr="003F6D08">
                    <w:t>moking during pregnancy</w:t>
                  </w:r>
                </w:p>
              </w:tc>
              <w:tc>
                <w:tcPr>
                  <w:tcW w:w="1170" w:type="pct"/>
                </w:tcPr>
                <w:p w14:paraId="4C9288FD" w14:textId="52B78BB3" w:rsidR="00D337E4" w:rsidRPr="003F6D08" w:rsidRDefault="005B5AE3" w:rsidP="009A665E">
                  <w:pPr>
                    <w:pStyle w:val="TableBodyText"/>
                    <w:ind w:right="28"/>
                  </w:pPr>
                  <w:r>
                    <w:rPr>
                      <w:noProof/>
                    </w:rPr>
                    <w:t>3</w:t>
                  </w:r>
                  <w:r w:rsidR="009A665E">
                    <w:rPr>
                      <w:noProof/>
                    </w:rPr>
                    <w:t>5</w:t>
                  </w:r>
                </w:p>
              </w:tc>
            </w:tr>
            <w:tr w:rsidR="00D337E4" w14:paraId="3CEFCCA3" w14:textId="77777777" w:rsidTr="00831041">
              <w:tc>
                <w:tcPr>
                  <w:tcW w:w="3830" w:type="pct"/>
                </w:tcPr>
                <w:p w14:paraId="4B5A526A" w14:textId="77777777" w:rsidR="00D337E4" w:rsidRPr="003F6D08" w:rsidRDefault="00D337E4" w:rsidP="00B6173B">
                  <w:pPr>
                    <w:pStyle w:val="TableBodyText"/>
                    <w:numPr>
                      <w:ilvl w:val="0"/>
                      <w:numId w:val="20"/>
                    </w:numPr>
                    <w:jc w:val="left"/>
                  </w:pPr>
                  <w:r w:rsidRPr="003F6D08">
                    <w:t>Antenatal care</w:t>
                  </w:r>
                </w:p>
              </w:tc>
              <w:tc>
                <w:tcPr>
                  <w:tcW w:w="1170" w:type="pct"/>
                </w:tcPr>
                <w:p w14:paraId="6318793C" w14:textId="05FFE822" w:rsidR="00D337E4" w:rsidRPr="003F6D08" w:rsidRDefault="00831041" w:rsidP="009A665E">
                  <w:pPr>
                    <w:pStyle w:val="TableBodyText"/>
                    <w:ind w:right="28"/>
                  </w:pPr>
                  <w:r>
                    <w:rPr>
                      <w:noProof/>
                    </w:rPr>
                    <w:t>3</w:t>
                  </w:r>
                  <w:r w:rsidR="009A665E">
                    <w:rPr>
                      <w:noProof/>
                    </w:rPr>
                    <w:t>8</w:t>
                  </w:r>
                </w:p>
              </w:tc>
            </w:tr>
            <w:tr w:rsidR="00D337E4" w14:paraId="2D1492C9" w14:textId="77777777" w:rsidTr="00831041">
              <w:tc>
                <w:tcPr>
                  <w:tcW w:w="3830" w:type="pct"/>
                </w:tcPr>
                <w:p w14:paraId="568A5AE3" w14:textId="77777777" w:rsidR="00D337E4" w:rsidRPr="003F6D08" w:rsidRDefault="00D337E4" w:rsidP="00B6173B">
                  <w:pPr>
                    <w:pStyle w:val="TableBodyText"/>
                    <w:numPr>
                      <w:ilvl w:val="0"/>
                      <w:numId w:val="20"/>
                    </w:numPr>
                    <w:jc w:val="left"/>
                  </w:pPr>
                  <w:r w:rsidRPr="003F6D08">
                    <w:t>The proportion of Indigenous children, who are enrolled in (and attending, where possible to measure) a preschool program in the year before formal schooling</w:t>
                  </w:r>
                </w:p>
              </w:tc>
              <w:tc>
                <w:tcPr>
                  <w:tcW w:w="1170" w:type="pct"/>
                </w:tcPr>
                <w:p w14:paraId="14CD8FDB" w14:textId="51287B9E" w:rsidR="00D337E4" w:rsidRPr="003F6D08" w:rsidRDefault="009A665E" w:rsidP="00831041">
                  <w:pPr>
                    <w:pStyle w:val="TableBodyText"/>
                    <w:ind w:right="28"/>
                  </w:pPr>
                  <w:r>
                    <w:rPr>
                      <w:noProof/>
                    </w:rPr>
                    <w:t>41</w:t>
                  </w:r>
                </w:p>
              </w:tc>
            </w:tr>
            <w:tr w:rsidR="00D337E4" w14:paraId="2A31742A" w14:textId="77777777" w:rsidTr="00831041">
              <w:tc>
                <w:tcPr>
                  <w:tcW w:w="3830" w:type="pct"/>
                </w:tcPr>
                <w:p w14:paraId="094FF4C7" w14:textId="77777777" w:rsidR="00D337E4" w:rsidRPr="003F6D08" w:rsidRDefault="00D337E4" w:rsidP="00B6173B">
                  <w:pPr>
                    <w:pStyle w:val="TableBodyText"/>
                    <w:numPr>
                      <w:ilvl w:val="0"/>
                      <w:numId w:val="20"/>
                    </w:numPr>
                    <w:jc w:val="left"/>
                  </w:pPr>
                  <w:r w:rsidRPr="003F6D08">
                    <w:t>Percentage of students at or above the national minimum standard in reading, writing and numeracy for years 3, 5, 7 and 9</w:t>
                  </w:r>
                </w:p>
              </w:tc>
              <w:tc>
                <w:tcPr>
                  <w:tcW w:w="1170" w:type="pct"/>
                </w:tcPr>
                <w:p w14:paraId="5B6E1BE8" w14:textId="458941FC" w:rsidR="00D337E4" w:rsidRPr="003F6D08" w:rsidRDefault="005B5AE3" w:rsidP="009A665E">
                  <w:pPr>
                    <w:pStyle w:val="TableBodyText"/>
                    <w:ind w:right="28"/>
                  </w:pPr>
                  <w:r>
                    <w:rPr>
                      <w:noProof/>
                    </w:rPr>
                    <w:t>4</w:t>
                  </w:r>
                  <w:r w:rsidR="009A665E">
                    <w:rPr>
                      <w:noProof/>
                    </w:rPr>
                    <w:t>4</w:t>
                  </w:r>
                </w:p>
              </w:tc>
            </w:tr>
            <w:tr w:rsidR="00D337E4" w14:paraId="60F70844" w14:textId="77777777" w:rsidTr="00831041">
              <w:tc>
                <w:tcPr>
                  <w:tcW w:w="3830" w:type="pct"/>
                </w:tcPr>
                <w:p w14:paraId="464243C7" w14:textId="77777777" w:rsidR="00D337E4" w:rsidRPr="003F6D08" w:rsidRDefault="00D337E4" w:rsidP="00B6173B">
                  <w:pPr>
                    <w:pStyle w:val="TableBodyText"/>
                    <w:numPr>
                      <w:ilvl w:val="0"/>
                      <w:numId w:val="20"/>
                    </w:numPr>
                    <w:jc w:val="left"/>
                  </w:pPr>
                  <w:r w:rsidRPr="003F6D08">
                    <w:t xml:space="preserve">Attainment of year 12 or equivalent </w:t>
                  </w:r>
                </w:p>
              </w:tc>
              <w:tc>
                <w:tcPr>
                  <w:tcW w:w="1170" w:type="pct"/>
                </w:tcPr>
                <w:p w14:paraId="772EFEEF" w14:textId="6D7F2EC5" w:rsidR="00D337E4" w:rsidRPr="003F6D08" w:rsidRDefault="005B5AE3" w:rsidP="009A665E">
                  <w:pPr>
                    <w:pStyle w:val="TableBodyText"/>
                    <w:ind w:right="28"/>
                  </w:pPr>
                  <w:r>
                    <w:rPr>
                      <w:noProof/>
                    </w:rPr>
                    <w:t>4</w:t>
                  </w:r>
                  <w:r w:rsidR="009A665E">
                    <w:rPr>
                      <w:noProof/>
                    </w:rPr>
                    <w:t>6</w:t>
                  </w:r>
                </w:p>
              </w:tc>
            </w:tr>
            <w:tr w:rsidR="00D337E4" w14:paraId="66964293" w14:textId="77777777" w:rsidTr="00831041">
              <w:tc>
                <w:tcPr>
                  <w:tcW w:w="3830" w:type="pct"/>
                </w:tcPr>
                <w:p w14:paraId="0004F2D9" w14:textId="77777777" w:rsidR="00D337E4" w:rsidRPr="003F6D08" w:rsidRDefault="00D337E4" w:rsidP="00B6173B">
                  <w:pPr>
                    <w:pStyle w:val="TableBodyText"/>
                    <w:numPr>
                      <w:ilvl w:val="0"/>
                      <w:numId w:val="20"/>
                    </w:numPr>
                    <w:jc w:val="left"/>
                  </w:pPr>
                  <w:r w:rsidRPr="003F6D08">
                    <w:t>Attendance rates year 1 to year 10</w:t>
                  </w:r>
                </w:p>
              </w:tc>
              <w:tc>
                <w:tcPr>
                  <w:tcW w:w="1170" w:type="pct"/>
                </w:tcPr>
                <w:p w14:paraId="58E50FA6" w14:textId="78F808A3" w:rsidR="00D337E4" w:rsidRPr="003F6D08" w:rsidRDefault="009A665E" w:rsidP="00431C01">
                  <w:pPr>
                    <w:pStyle w:val="TableBodyText"/>
                    <w:ind w:right="28"/>
                  </w:pPr>
                  <w:r>
                    <w:rPr>
                      <w:noProof/>
                    </w:rPr>
                    <w:t>49</w:t>
                  </w:r>
                </w:p>
              </w:tc>
            </w:tr>
            <w:tr w:rsidR="00D337E4" w14:paraId="7C042515" w14:textId="77777777" w:rsidTr="00831041">
              <w:tc>
                <w:tcPr>
                  <w:tcW w:w="3830" w:type="pct"/>
                </w:tcPr>
                <w:p w14:paraId="2D84DEFD" w14:textId="77777777" w:rsidR="00D337E4" w:rsidRPr="003F6D08" w:rsidRDefault="00D337E4" w:rsidP="00B6173B">
                  <w:pPr>
                    <w:pStyle w:val="TableBodyText"/>
                    <w:numPr>
                      <w:ilvl w:val="0"/>
                      <w:numId w:val="20"/>
                    </w:numPr>
                    <w:jc w:val="left"/>
                  </w:pPr>
                  <w:r w:rsidRPr="003F6D08">
                    <w:t>Level of workforce participation</w:t>
                  </w:r>
                </w:p>
              </w:tc>
              <w:tc>
                <w:tcPr>
                  <w:tcW w:w="1170" w:type="pct"/>
                </w:tcPr>
                <w:p w14:paraId="5D6B64BA" w14:textId="172214B1" w:rsidR="00D337E4" w:rsidRPr="003F6D08" w:rsidRDefault="00551B74" w:rsidP="009A665E">
                  <w:pPr>
                    <w:pStyle w:val="TableBodyText"/>
                    <w:ind w:right="28"/>
                  </w:pPr>
                  <w:r>
                    <w:rPr>
                      <w:noProof/>
                    </w:rPr>
                    <w:t>5</w:t>
                  </w:r>
                  <w:r w:rsidR="009A665E">
                    <w:rPr>
                      <w:noProof/>
                    </w:rPr>
                    <w:t>2</w:t>
                  </w:r>
                </w:p>
              </w:tc>
            </w:tr>
            <w:tr w:rsidR="00D337E4" w14:paraId="787F4677" w14:textId="77777777" w:rsidTr="00831041">
              <w:tc>
                <w:tcPr>
                  <w:tcW w:w="3830" w:type="pct"/>
                  <w:tcBorders>
                    <w:bottom w:val="single" w:sz="6" w:space="0" w:color="BFBFBF"/>
                  </w:tcBorders>
                  <w:shd w:val="clear" w:color="auto" w:fill="auto"/>
                </w:tcPr>
                <w:p w14:paraId="460F9DF3" w14:textId="77777777" w:rsidR="00D337E4" w:rsidRPr="003F6D08" w:rsidRDefault="00680847" w:rsidP="00B6173B">
                  <w:pPr>
                    <w:pStyle w:val="TableBodyText"/>
                    <w:numPr>
                      <w:ilvl w:val="0"/>
                      <w:numId w:val="20"/>
                    </w:numPr>
                    <w:jc w:val="left"/>
                  </w:pPr>
                  <w:r w:rsidRPr="003F6D08">
                    <w:t xml:space="preserve">Proportion of Indigenous 20 to 64 year </w:t>
                  </w:r>
                  <w:r w:rsidR="004261E9" w:rsidRPr="003F6D08">
                    <w:t xml:space="preserve">olds </w:t>
                  </w:r>
                  <w:r w:rsidRPr="003F6D08">
                    <w:t xml:space="preserve">with or working towards post school qualifications in </w:t>
                  </w:r>
                  <w:proofErr w:type="spellStart"/>
                  <w:r w:rsidRPr="003F6D08">
                    <w:t>AQF</w:t>
                  </w:r>
                  <w:proofErr w:type="spellEnd"/>
                  <w:r w:rsidRPr="003F6D08">
                    <w:t xml:space="preserve"> Certificate III or above</w:t>
                  </w:r>
                </w:p>
              </w:tc>
              <w:tc>
                <w:tcPr>
                  <w:tcW w:w="1170" w:type="pct"/>
                  <w:tcBorders>
                    <w:bottom w:val="single" w:sz="6" w:space="0" w:color="BFBFBF"/>
                  </w:tcBorders>
                  <w:shd w:val="clear" w:color="auto" w:fill="auto"/>
                </w:tcPr>
                <w:p w14:paraId="602B4EEA" w14:textId="0B181971" w:rsidR="00D337E4" w:rsidRPr="003F6D08" w:rsidRDefault="005B5AE3" w:rsidP="009A665E">
                  <w:pPr>
                    <w:pStyle w:val="TableBodyText"/>
                    <w:ind w:right="28"/>
                  </w:pPr>
                  <w:r>
                    <w:rPr>
                      <w:noProof/>
                    </w:rPr>
                    <w:t>5</w:t>
                  </w:r>
                  <w:r w:rsidR="009A665E">
                    <w:rPr>
                      <w:noProof/>
                    </w:rPr>
                    <w:t>6</w:t>
                  </w:r>
                </w:p>
              </w:tc>
            </w:tr>
          </w:tbl>
          <w:p w14:paraId="45BF2CCE" w14:textId="77777777" w:rsidR="00D337E4" w:rsidRDefault="00D337E4" w:rsidP="00680847">
            <w:pPr>
              <w:pStyle w:val="Box"/>
            </w:pPr>
          </w:p>
        </w:tc>
      </w:tr>
      <w:tr w:rsidR="00D337E4" w14:paraId="7255116C" w14:textId="77777777" w:rsidTr="008F5A63">
        <w:trPr>
          <w:cantSplit/>
        </w:trPr>
        <w:tc>
          <w:tcPr>
            <w:tcW w:w="8789" w:type="dxa"/>
            <w:tcBorders>
              <w:top w:val="nil"/>
              <w:left w:val="nil"/>
              <w:bottom w:val="nil"/>
              <w:right w:val="nil"/>
            </w:tcBorders>
            <w:shd w:val="clear" w:color="auto" w:fill="auto"/>
          </w:tcPr>
          <w:p w14:paraId="318C66EB" w14:textId="2ADF3010" w:rsidR="00D337E4" w:rsidRDefault="00D337E4" w:rsidP="00EB38D0">
            <w:pPr>
              <w:pStyle w:val="Note"/>
              <w:rPr>
                <w:i/>
              </w:rPr>
            </w:pPr>
            <w:r w:rsidRPr="008E77FE">
              <w:rPr>
                <w:rStyle w:val="NoteLabel"/>
              </w:rPr>
              <w:t>a</w:t>
            </w:r>
            <w:r>
              <w:t xml:space="preserve"> </w:t>
            </w:r>
            <w:r w:rsidRPr="00D87AA9">
              <w:t xml:space="preserve">Performance indicators are presented in this table using the direct wording for the performance indicators </w:t>
            </w:r>
            <w:r>
              <w:t xml:space="preserve">in the revised </w:t>
            </w:r>
            <w:proofErr w:type="spellStart"/>
            <w:r>
              <w:t>NIRA</w:t>
            </w:r>
            <w:proofErr w:type="spellEnd"/>
            <w:r>
              <w:t xml:space="preserve"> (</w:t>
            </w:r>
            <w:proofErr w:type="spellStart"/>
            <w:r>
              <w:t>COAG</w:t>
            </w:r>
            <w:proofErr w:type="spellEnd"/>
            <w:r>
              <w:t xml:space="preserve"> 2012)</w:t>
            </w:r>
            <w:r w:rsidRPr="00D87AA9">
              <w:t xml:space="preserve">. This does not necessarily reflect the measures used </w:t>
            </w:r>
            <w:r w:rsidR="00C77CA4" w:rsidRPr="00D87AA9">
              <w:t>in th</w:t>
            </w:r>
            <w:r w:rsidR="00C77CA4">
              <w:t>is</w:t>
            </w:r>
            <w:r w:rsidR="00C77CA4" w:rsidRPr="00D87AA9">
              <w:t xml:space="preserve"> </w:t>
            </w:r>
            <w:r w:rsidR="00C77CA4">
              <w:t>r</w:t>
            </w:r>
            <w:r w:rsidR="00C77CA4" w:rsidRPr="00D87AA9">
              <w:t xml:space="preserve">eport </w:t>
            </w:r>
            <w:r w:rsidRPr="00D87AA9">
              <w:t>to report against the indicators.</w:t>
            </w:r>
            <w:r>
              <w:t xml:space="preserve"> </w:t>
            </w:r>
          </w:p>
        </w:tc>
      </w:tr>
      <w:tr w:rsidR="00D337E4" w14:paraId="0762D08B" w14:textId="77777777" w:rsidTr="008F5A63">
        <w:trPr>
          <w:cantSplit/>
        </w:trPr>
        <w:tc>
          <w:tcPr>
            <w:tcW w:w="8789" w:type="dxa"/>
            <w:tcBorders>
              <w:top w:val="nil"/>
              <w:left w:val="nil"/>
              <w:bottom w:val="single" w:sz="6" w:space="0" w:color="78A22F"/>
              <w:right w:val="nil"/>
            </w:tcBorders>
            <w:shd w:val="clear" w:color="auto" w:fill="auto"/>
          </w:tcPr>
          <w:p w14:paraId="448A4416" w14:textId="77777777" w:rsidR="00D337E4" w:rsidRDefault="00D337E4" w:rsidP="00680847">
            <w:pPr>
              <w:pStyle w:val="Box"/>
              <w:spacing w:before="0" w:line="120" w:lineRule="exact"/>
            </w:pPr>
          </w:p>
        </w:tc>
      </w:tr>
      <w:tr w:rsidR="00D337E4" w:rsidRPr="000863A5" w14:paraId="62138BAB" w14:textId="77777777" w:rsidTr="008F5A63">
        <w:tc>
          <w:tcPr>
            <w:tcW w:w="8789" w:type="dxa"/>
            <w:tcBorders>
              <w:top w:val="single" w:sz="6" w:space="0" w:color="78A22F"/>
              <w:left w:val="nil"/>
              <w:bottom w:val="nil"/>
              <w:right w:val="nil"/>
            </w:tcBorders>
          </w:tcPr>
          <w:p w14:paraId="74E72216" w14:textId="77777777" w:rsidR="00D337E4" w:rsidRPr="00626D32" w:rsidRDefault="00D337E4" w:rsidP="00680847">
            <w:pPr>
              <w:pStyle w:val="BoxSpaceBelow"/>
            </w:pPr>
          </w:p>
        </w:tc>
      </w:tr>
    </w:tbl>
    <w:p w14:paraId="22E20BB2" w14:textId="77777777" w:rsidR="00680847" w:rsidRDefault="00680847" w:rsidP="00680847">
      <w:pPr>
        <w:pStyle w:val="BodyText"/>
        <w:rPr>
          <w:rFonts w:ascii="Arial" w:hAnsi="Arial"/>
          <w:sz w:val="20"/>
        </w:rPr>
      </w:pPr>
      <w:r>
        <w:br w:type="page"/>
      </w:r>
    </w:p>
    <w:p w14:paraId="54E766B5" w14:textId="77777777" w:rsidR="00680847" w:rsidRDefault="00680847" w:rsidP="00680847">
      <w:pPr>
        <w:pStyle w:val="Heading3"/>
      </w:pPr>
      <w:bookmarkStart w:id="3" w:name="_Ref341361401"/>
      <w:r w:rsidRPr="00D87AA9">
        <w:lastRenderedPageBreak/>
        <w:t>Indicator 1: Estimated life expectancy at birth</w:t>
      </w:r>
      <w:bookmarkEnd w:id="3"/>
    </w:p>
    <w:p w14:paraId="4C5C0CB0" w14:textId="77777777" w:rsidR="00680847" w:rsidRPr="009C0D98" w:rsidRDefault="00680847" w:rsidP="008F5A63">
      <w:pPr>
        <w:spacing w:before="120"/>
      </w:pPr>
    </w:p>
    <w:tbl>
      <w:tblPr>
        <w:tblW w:w="0" w:type="auto"/>
        <w:tblCellMar>
          <w:right w:w="0" w:type="dxa"/>
        </w:tblCellMar>
        <w:tblLook w:val="0000" w:firstRow="0" w:lastRow="0" w:firstColumn="0" w:lastColumn="0" w:noHBand="0" w:noVBand="0"/>
      </w:tblPr>
      <w:tblGrid>
        <w:gridCol w:w="2080"/>
        <w:gridCol w:w="6709"/>
      </w:tblGrid>
      <w:tr w:rsidR="00680847" w:rsidRPr="00D87AA9" w14:paraId="403DF5E3" w14:textId="77777777" w:rsidTr="008F5A63">
        <w:tc>
          <w:tcPr>
            <w:tcW w:w="2080" w:type="dxa"/>
          </w:tcPr>
          <w:p w14:paraId="28CDDBC9" w14:textId="2513D6EC" w:rsidR="00680847" w:rsidRPr="00D87AA9" w:rsidRDefault="00680847" w:rsidP="00EE332B">
            <w:pPr>
              <w:pStyle w:val="TableBodyText"/>
              <w:spacing w:before="80"/>
              <w:jc w:val="left"/>
            </w:pPr>
            <w:r w:rsidRPr="00B82DC5">
              <w:t>Key amendments fr</w:t>
            </w:r>
            <w:r w:rsidR="00EE332B">
              <w:t>om previous cycle of reporting:</w:t>
            </w:r>
          </w:p>
        </w:tc>
        <w:tc>
          <w:tcPr>
            <w:tcW w:w="6709" w:type="dxa"/>
          </w:tcPr>
          <w:p w14:paraId="7C756F5B" w14:textId="222FB1C4" w:rsidR="00680847" w:rsidRPr="00D87AA9" w:rsidRDefault="00680847" w:rsidP="00EE332B">
            <w:pPr>
              <w:pStyle w:val="TableBodyText"/>
              <w:spacing w:before="80"/>
              <w:jc w:val="left"/>
            </w:pPr>
            <w:r w:rsidRPr="005332B8">
              <w:t xml:space="preserve">This </w:t>
            </w:r>
            <w:r>
              <w:t xml:space="preserve">indicator is </w:t>
            </w:r>
            <w:r w:rsidRPr="005332B8">
              <w:t xml:space="preserve">unchanged from </w:t>
            </w:r>
            <w:r w:rsidR="002C180B">
              <w:t xml:space="preserve">the </w:t>
            </w:r>
            <w:r w:rsidRPr="005332B8">
              <w:t xml:space="preserve">previous </w:t>
            </w:r>
            <w:proofErr w:type="spellStart"/>
            <w:r w:rsidR="00F555B6">
              <w:t>NIRA</w:t>
            </w:r>
            <w:proofErr w:type="spellEnd"/>
            <w:r w:rsidR="00F555B6">
              <w:t xml:space="preserve"> performance report</w:t>
            </w:r>
            <w:r w:rsidDel="00614262">
              <w:t xml:space="preserve"> </w:t>
            </w:r>
          </w:p>
        </w:tc>
      </w:tr>
      <w:tr w:rsidR="00680847" w:rsidRPr="00D87AA9" w14:paraId="1853BBF6" w14:textId="77777777" w:rsidTr="008F5A63">
        <w:tc>
          <w:tcPr>
            <w:tcW w:w="2080" w:type="dxa"/>
          </w:tcPr>
          <w:p w14:paraId="240EDACF" w14:textId="77777777" w:rsidR="00680847" w:rsidRPr="00D87AA9" w:rsidRDefault="00680847" w:rsidP="00EE332B">
            <w:pPr>
              <w:pStyle w:val="TableBodyText"/>
              <w:spacing w:before="80"/>
              <w:jc w:val="left"/>
            </w:pPr>
            <w:r w:rsidRPr="00D87AA9">
              <w:t>Target:</w:t>
            </w:r>
          </w:p>
        </w:tc>
        <w:tc>
          <w:tcPr>
            <w:tcW w:w="6709" w:type="dxa"/>
          </w:tcPr>
          <w:p w14:paraId="690FA5AD" w14:textId="0528EF82" w:rsidR="00680847" w:rsidRPr="00D87AA9" w:rsidRDefault="00680847" w:rsidP="00EE332B">
            <w:pPr>
              <w:pStyle w:val="TableBodyText"/>
              <w:spacing w:before="80"/>
              <w:jc w:val="left"/>
            </w:pPr>
            <w:r w:rsidRPr="00010BAE">
              <w:t>Closing the life expectancy gap within a generation (by 2031)</w:t>
            </w:r>
          </w:p>
        </w:tc>
      </w:tr>
      <w:tr w:rsidR="00680847" w:rsidRPr="00D87AA9" w14:paraId="6CFDEF54" w14:textId="77777777" w:rsidTr="008F5A63">
        <w:tc>
          <w:tcPr>
            <w:tcW w:w="2080" w:type="dxa"/>
          </w:tcPr>
          <w:p w14:paraId="5F5E853C" w14:textId="77777777" w:rsidR="00680847" w:rsidRPr="00D87AA9" w:rsidRDefault="00680847" w:rsidP="00EE332B">
            <w:pPr>
              <w:pStyle w:val="TableBodyText"/>
              <w:spacing w:before="80"/>
              <w:jc w:val="left"/>
            </w:pPr>
            <w:r w:rsidRPr="00D87AA9">
              <w:t>Measure:</w:t>
            </w:r>
          </w:p>
        </w:tc>
        <w:tc>
          <w:tcPr>
            <w:tcW w:w="6709" w:type="dxa"/>
          </w:tcPr>
          <w:p w14:paraId="482A49D4" w14:textId="77777777" w:rsidR="00680847" w:rsidRDefault="00680847" w:rsidP="00EE332B">
            <w:pPr>
              <w:pStyle w:val="TableBodyText"/>
              <w:spacing w:before="80"/>
              <w:jc w:val="left"/>
            </w:pPr>
            <w:r>
              <w:t>The average number of years new born babies could expect to live, if they experienced the age/sex specific death rates that applied at their birth throughout their lifetimes, by Indigenous status.</w:t>
            </w:r>
          </w:p>
          <w:p w14:paraId="7365096A" w14:textId="77777777" w:rsidR="00680847" w:rsidRDefault="00680847" w:rsidP="00EE332B">
            <w:pPr>
              <w:pStyle w:val="TableBodyText"/>
              <w:spacing w:before="80"/>
              <w:jc w:val="left"/>
            </w:pPr>
            <w:r>
              <w:t>The measure is defined as:</w:t>
            </w:r>
          </w:p>
          <w:p w14:paraId="274DC150" w14:textId="3C28A72A" w:rsidR="00680847" w:rsidRPr="00183B59" w:rsidRDefault="00680847" w:rsidP="00EE332B">
            <w:pPr>
              <w:pStyle w:val="TableBodyText"/>
              <w:spacing w:before="80"/>
              <w:jc w:val="left"/>
            </w:pPr>
            <w:r>
              <w:t xml:space="preserve">Direct estimation of the life expectancy gap </w:t>
            </w:r>
            <w:r w:rsidR="00F144E1">
              <w:t xml:space="preserve">at birth </w:t>
            </w:r>
            <w:r>
              <w:t xml:space="preserve">between </w:t>
            </w:r>
            <w:r w:rsidR="00F1707A">
              <w:t xml:space="preserve">Aboriginal and Torres Strait Islander </w:t>
            </w:r>
            <w:r>
              <w:t>and non−Indigenous Australians using the average number of deaths in the relevant three-year period and the estimated resident population at the mid−point of that three-year period, with adjustments for incomplete ident</w:t>
            </w:r>
            <w:r w:rsidR="00EE332B">
              <w:t>ification by Indigenous status.</w:t>
            </w:r>
          </w:p>
        </w:tc>
      </w:tr>
      <w:tr w:rsidR="00680847" w:rsidRPr="00D87AA9" w14:paraId="3B1D77AC" w14:textId="77777777" w:rsidTr="008F5A63">
        <w:tc>
          <w:tcPr>
            <w:tcW w:w="2080" w:type="dxa"/>
          </w:tcPr>
          <w:p w14:paraId="64D35E7A" w14:textId="77777777" w:rsidR="00680847" w:rsidRPr="00D87AA9" w:rsidRDefault="00680847" w:rsidP="00EE332B">
            <w:pPr>
              <w:pStyle w:val="TableBodyText"/>
              <w:spacing w:before="80"/>
              <w:jc w:val="left"/>
            </w:pPr>
            <w:r w:rsidRPr="00D87AA9">
              <w:t>Data source:</w:t>
            </w:r>
          </w:p>
        </w:tc>
        <w:tc>
          <w:tcPr>
            <w:tcW w:w="6709" w:type="dxa"/>
          </w:tcPr>
          <w:p w14:paraId="6FE83A9C" w14:textId="53AE2E2B" w:rsidR="00680847" w:rsidRPr="00D87AA9" w:rsidRDefault="00680847" w:rsidP="0065425D">
            <w:pPr>
              <w:pStyle w:val="TableBodyText"/>
              <w:spacing w:before="80"/>
              <w:jc w:val="left"/>
            </w:pPr>
            <w:r w:rsidRPr="000C66DF">
              <w:rPr>
                <w:i/>
              </w:rPr>
              <w:t>Numerator and denominator</w:t>
            </w:r>
            <w:r w:rsidRPr="00010BAE">
              <w:t xml:space="preserve"> — ABS </w:t>
            </w:r>
            <w:r w:rsidR="009431D9">
              <w:rPr>
                <w:u w:val="single"/>
              </w:rPr>
              <w:t>Aboriginal and Torres Strait Islander</w:t>
            </w:r>
            <w:r>
              <w:rPr>
                <w:u w:val="single"/>
              </w:rPr>
              <w:t xml:space="preserve"> and non-</w:t>
            </w:r>
            <w:r w:rsidRPr="000C66DF">
              <w:rPr>
                <w:u w:val="single"/>
              </w:rPr>
              <w:t>Indigenous life tables</w:t>
            </w:r>
            <w:r w:rsidRPr="00010BAE">
              <w:t xml:space="preserve"> (Life tables). Data are calculated for three year periods and reported every five years</w:t>
            </w:r>
          </w:p>
        </w:tc>
      </w:tr>
      <w:tr w:rsidR="00680847" w:rsidRPr="00D87AA9" w14:paraId="341F1F22" w14:textId="77777777" w:rsidTr="008F5A63">
        <w:tc>
          <w:tcPr>
            <w:tcW w:w="2080" w:type="dxa"/>
          </w:tcPr>
          <w:p w14:paraId="7484C4D8" w14:textId="77777777" w:rsidR="00680847" w:rsidRPr="00D87AA9" w:rsidRDefault="00680847" w:rsidP="00EE332B">
            <w:pPr>
              <w:pStyle w:val="TableBodyText"/>
              <w:spacing w:before="80"/>
              <w:jc w:val="left"/>
            </w:pPr>
            <w:r w:rsidRPr="00D87AA9">
              <w:t>Data provider:</w:t>
            </w:r>
          </w:p>
        </w:tc>
        <w:tc>
          <w:tcPr>
            <w:tcW w:w="6709" w:type="dxa"/>
          </w:tcPr>
          <w:p w14:paraId="6F79F0FD" w14:textId="21FDF224" w:rsidR="00680847" w:rsidRPr="00D87AA9" w:rsidRDefault="00680847" w:rsidP="00EE332B">
            <w:pPr>
              <w:pStyle w:val="TableBodyText"/>
              <w:spacing w:before="80"/>
              <w:jc w:val="left"/>
            </w:pPr>
            <w:r w:rsidRPr="00010BAE">
              <w:t>ABS</w:t>
            </w:r>
          </w:p>
        </w:tc>
      </w:tr>
      <w:tr w:rsidR="00680847" w:rsidRPr="00D87AA9" w14:paraId="7E0B4980" w14:textId="77777777" w:rsidTr="008F5A63">
        <w:tc>
          <w:tcPr>
            <w:tcW w:w="2080" w:type="dxa"/>
            <w:shd w:val="clear" w:color="auto" w:fill="auto"/>
          </w:tcPr>
          <w:p w14:paraId="28FA33B2" w14:textId="77777777" w:rsidR="00680847" w:rsidRPr="00D87AA9" w:rsidRDefault="00680847" w:rsidP="00EE332B">
            <w:pPr>
              <w:pStyle w:val="TableBodyText"/>
              <w:spacing w:before="80"/>
              <w:jc w:val="left"/>
            </w:pPr>
            <w:r w:rsidRPr="00D87AA9">
              <w:t>Data availability:</w:t>
            </w:r>
          </w:p>
        </w:tc>
        <w:tc>
          <w:tcPr>
            <w:tcW w:w="6709" w:type="dxa"/>
            <w:shd w:val="clear" w:color="auto" w:fill="auto"/>
          </w:tcPr>
          <w:p w14:paraId="429C3789" w14:textId="250C46D2" w:rsidR="00680847" w:rsidRPr="00EE332B" w:rsidRDefault="00B47864" w:rsidP="00EE332B">
            <w:pPr>
              <w:pStyle w:val="TableBodyText"/>
              <w:spacing w:before="80"/>
              <w:jc w:val="left"/>
            </w:pPr>
            <w:r>
              <w:t>2015–2017 data based on 2016 Census</w:t>
            </w:r>
          </w:p>
        </w:tc>
      </w:tr>
      <w:tr w:rsidR="00680847" w:rsidRPr="00D87AA9" w14:paraId="6F6D9100" w14:textId="77777777" w:rsidTr="008F5A63">
        <w:tc>
          <w:tcPr>
            <w:tcW w:w="2080" w:type="dxa"/>
            <w:shd w:val="clear" w:color="auto" w:fill="auto"/>
          </w:tcPr>
          <w:p w14:paraId="120F9F53" w14:textId="77777777" w:rsidR="00680847" w:rsidRPr="00D87AA9" w:rsidRDefault="00680847" w:rsidP="00EE332B">
            <w:pPr>
              <w:pStyle w:val="TableBodyText"/>
              <w:spacing w:before="80"/>
              <w:jc w:val="left"/>
            </w:pPr>
            <w:r w:rsidRPr="00D87AA9">
              <w:t>Cross tabulations provided:</w:t>
            </w:r>
          </w:p>
        </w:tc>
        <w:tc>
          <w:tcPr>
            <w:tcW w:w="6709" w:type="dxa"/>
            <w:shd w:val="clear" w:color="auto" w:fill="auto"/>
          </w:tcPr>
          <w:p w14:paraId="0852E6D1" w14:textId="667B5382" w:rsidR="00680847" w:rsidRPr="00D87AA9" w:rsidRDefault="00680847" w:rsidP="00EE332B">
            <w:pPr>
              <w:pStyle w:val="TableBodyText"/>
              <w:spacing w:before="80"/>
              <w:jc w:val="left"/>
            </w:pPr>
            <w:r w:rsidRPr="00411F19">
              <w:t>N</w:t>
            </w:r>
            <w:r w:rsidR="00EE332B">
              <w:t>il</w:t>
            </w:r>
          </w:p>
        </w:tc>
      </w:tr>
    </w:tbl>
    <w:p w14:paraId="5960AC3A" w14:textId="77777777" w:rsidR="004731C0" w:rsidRDefault="004731C0">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4731C0" w14:paraId="06DA4DDE" w14:textId="77777777" w:rsidTr="008F5A63">
        <w:tc>
          <w:tcPr>
            <w:tcW w:w="8789" w:type="dxa"/>
            <w:tcBorders>
              <w:top w:val="single" w:sz="6" w:space="0" w:color="78A22F"/>
              <w:left w:val="nil"/>
              <w:bottom w:val="nil"/>
              <w:right w:val="nil"/>
            </w:tcBorders>
            <w:shd w:val="clear" w:color="auto" w:fill="F2F2F2"/>
          </w:tcPr>
          <w:p w14:paraId="6CBC1764" w14:textId="3A8F38A6" w:rsidR="004731C0" w:rsidRDefault="004731C0" w:rsidP="00291F8D">
            <w:pPr>
              <w:pStyle w:val="BoxTitle"/>
            </w:pPr>
            <w:r>
              <w:rPr>
                <w:b w:val="0"/>
              </w:rPr>
              <w:t xml:space="preserve">Box </w:t>
            </w:r>
            <w:r w:rsidR="00A8151B">
              <w:rPr>
                <w:b w:val="0"/>
              </w:rPr>
              <w:t>1</w:t>
            </w:r>
            <w:r w:rsidR="00291F8D">
              <w:rPr>
                <w:b w:val="0"/>
              </w:rPr>
              <w:t>3</w:t>
            </w:r>
            <w:r>
              <w:tab/>
            </w:r>
            <w:r w:rsidR="00B47864">
              <w:t>Results</w:t>
            </w:r>
          </w:p>
        </w:tc>
      </w:tr>
      <w:tr w:rsidR="004731C0" w14:paraId="45039B08" w14:textId="77777777" w:rsidTr="008F5A63">
        <w:trPr>
          <w:cantSplit/>
        </w:trPr>
        <w:tc>
          <w:tcPr>
            <w:tcW w:w="8789" w:type="dxa"/>
            <w:tcBorders>
              <w:top w:val="nil"/>
              <w:left w:val="nil"/>
              <w:bottom w:val="nil"/>
              <w:right w:val="nil"/>
            </w:tcBorders>
            <w:shd w:val="clear" w:color="auto" w:fill="F2F2F2"/>
          </w:tcPr>
          <w:p w14:paraId="1857EE66" w14:textId="322DA5A5" w:rsidR="00E10314" w:rsidRDefault="00B47864" w:rsidP="004731C0">
            <w:pPr>
              <w:pStyle w:val="Box"/>
            </w:pPr>
            <w:r>
              <w:t>For this report, n</w:t>
            </w:r>
            <w:r w:rsidR="00E10314">
              <w:t xml:space="preserve">ew data </w:t>
            </w:r>
            <w:r w:rsidR="0042341C">
              <w:t>for this indicator are available for 2015–2017</w:t>
            </w:r>
            <w:r w:rsidR="00E10314">
              <w:t>.</w:t>
            </w:r>
            <w:r w:rsidR="00235014">
              <w:t xml:space="preserve"> </w:t>
            </w:r>
          </w:p>
          <w:p w14:paraId="64718EB8" w14:textId="654BF422" w:rsidR="0042341C" w:rsidRDefault="0042341C" w:rsidP="00C530B4">
            <w:pPr>
              <w:pStyle w:val="BoxListBullet"/>
            </w:pPr>
            <w:r>
              <w:t xml:space="preserve">Data by Indigenous status by State and Territory, by sex are presented in table </w:t>
            </w:r>
            <w:proofErr w:type="spellStart"/>
            <w:r>
              <w:t>NIRA.1.1</w:t>
            </w:r>
            <w:proofErr w:type="spellEnd"/>
          </w:p>
          <w:p w14:paraId="250656F5" w14:textId="7F045CBE" w:rsidR="00B47864" w:rsidRDefault="0042341C" w:rsidP="00C530B4">
            <w:pPr>
              <w:pStyle w:val="BoxListBullet"/>
            </w:pPr>
            <w:r>
              <w:t>Data by Indigenous status, by r</w:t>
            </w:r>
            <w:r w:rsidR="00B47864">
              <w:t xml:space="preserve">emoteness are </w:t>
            </w:r>
            <w:r w:rsidR="00B06B51">
              <w:t xml:space="preserve">presented </w:t>
            </w:r>
            <w:r w:rsidR="00B47864">
              <w:t xml:space="preserve">in table </w:t>
            </w:r>
            <w:proofErr w:type="spellStart"/>
            <w:r>
              <w:t>NIRA.</w:t>
            </w:r>
            <w:r w:rsidR="00B47864">
              <w:t>1.2</w:t>
            </w:r>
            <w:proofErr w:type="spellEnd"/>
            <w:r w:rsidR="00B47864">
              <w:t>.</w:t>
            </w:r>
          </w:p>
          <w:p w14:paraId="4EE51280" w14:textId="12A4FDF3" w:rsidR="004731C0" w:rsidRDefault="004731C0" w:rsidP="004731C0">
            <w:pPr>
              <w:pStyle w:val="Box"/>
            </w:pPr>
            <w:r>
              <w:t xml:space="preserve">Data </w:t>
            </w:r>
            <w:r w:rsidR="0042341C">
              <w:t>for 2010–2012</w:t>
            </w:r>
            <w:r>
              <w:t xml:space="preserve"> and revised data</w:t>
            </w:r>
            <w:r w:rsidR="0042341C">
              <w:t xml:space="preserve"> for 2005–2007</w:t>
            </w:r>
            <w:r>
              <w:t xml:space="preserve"> were included in the 2012</w:t>
            </w:r>
            <w:r w:rsidR="00E10314">
              <w:noBreakHyphen/>
            </w:r>
            <w:r>
              <w:t xml:space="preserve">13 </w:t>
            </w:r>
            <w:proofErr w:type="spellStart"/>
            <w:r>
              <w:t>NIRA</w:t>
            </w:r>
            <w:proofErr w:type="spellEnd"/>
            <w:r>
              <w:t xml:space="preserve"> </w:t>
            </w:r>
            <w:r w:rsidR="005E1919">
              <w:t xml:space="preserve">performance </w:t>
            </w:r>
            <w:r>
              <w:t xml:space="preserve">report. </w:t>
            </w:r>
          </w:p>
        </w:tc>
      </w:tr>
      <w:tr w:rsidR="004731C0" w14:paraId="027DA981" w14:textId="77777777" w:rsidTr="008F5A63">
        <w:trPr>
          <w:cantSplit/>
        </w:trPr>
        <w:tc>
          <w:tcPr>
            <w:tcW w:w="8789" w:type="dxa"/>
            <w:tcBorders>
              <w:top w:val="nil"/>
              <w:left w:val="nil"/>
              <w:bottom w:val="single" w:sz="6" w:space="0" w:color="78A22F"/>
              <w:right w:val="nil"/>
            </w:tcBorders>
            <w:shd w:val="clear" w:color="auto" w:fill="F2F2F2"/>
          </w:tcPr>
          <w:p w14:paraId="365F5647" w14:textId="77777777" w:rsidR="004731C0" w:rsidRDefault="004731C0">
            <w:pPr>
              <w:pStyle w:val="Box"/>
              <w:spacing w:before="0" w:line="120" w:lineRule="exact"/>
            </w:pPr>
          </w:p>
        </w:tc>
      </w:tr>
      <w:tr w:rsidR="004731C0" w:rsidRPr="000863A5" w14:paraId="07615F89" w14:textId="77777777" w:rsidTr="008F5A63">
        <w:tc>
          <w:tcPr>
            <w:tcW w:w="8789" w:type="dxa"/>
            <w:tcBorders>
              <w:top w:val="single" w:sz="6" w:space="0" w:color="78A22F"/>
              <w:left w:val="nil"/>
              <w:bottom w:val="nil"/>
              <w:right w:val="nil"/>
            </w:tcBorders>
          </w:tcPr>
          <w:p w14:paraId="29DC66D2" w14:textId="77777777" w:rsidR="004731C0" w:rsidRPr="00626D32" w:rsidRDefault="004731C0" w:rsidP="00937DB6">
            <w:pPr>
              <w:pStyle w:val="BoxSpaceBelow"/>
            </w:pPr>
          </w:p>
        </w:tc>
      </w:tr>
      <w:tr w:rsidR="00B47864" w14:paraId="07047173" w14:textId="77777777" w:rsidTr="009824F7">
        <w:tc>
          <w:tcPr>
            <w:tcW w:w="8789" w:type="dxa"/>
            <w:tcBorders>
              <w:top w:val="single" w:sz="6" w:space="0" w:color="78A22F"/>
              <w:left w:val="nil"/>
              <w:bottom w:val="nil"/>
              <w:right w:val="nil"/>
            </w:tcBorders>
            <w:shd w:val="clear" w:color="auto" w:fill="F2F2F2"/>
          </w:tcPr>
          <w:p w14:paraId="5F883274" w14:textId="0D84A5C4" w:rsidR="00B47864" w:rsidRDefault="00B47864" w:rsidP="00291F8D">
            <w:pPr>
              <w:pStyle w:val="BoxTitle"/>
            </w:pPr>
            <w:r w:rsidRPr="00606B68">
              <w:rPr>
                <w:b w:val="0"/>
              </w:rPr>
              <w:lastRenderedPageBreak/>
              <w:t>Box</w:t>
            </w:r>
            <w:r w:rsidRPr="003C599F">
              <w:rPr>
                <w:b w:val="0"/>
              </w:rPr>
              <w:t xml:space="preserve"> 1</w:t>
            </w:r>
            <w:r w:rsidR="00291F8D">
              <w:rPr>
                <w:b w:val="0"/>
              </w:rPr>
              <w:t>4</w:t>
            </w:r>
            <w:r w:rsidRPr="00606B68">
              <w:tab/>
              <w:t>Comment on data quality</w:t>
            </w:r>
          </w:p>
        </w:tc>
      </w:tr>
      <w:tr w:rsidR="00B47864" w:rsidRPr="00450474" w14:paraId="781F6168" w14:textId="77777777" w:rsidTr="009824F7">
        <w:trPr>
          <w:cantSplit/>
        </w:trPr>
        <w:tc>
          <w:tcPr>
            <w:tcW w:w="8789" w:type="dxa"/>
            <w:tcBorders>
              <w:top w:val="nil"/>
              <w:left w:val="nil"/>
              <w:bottom w:val="nil"/>
              <w:right w:val="nil"/>
            </w:tcBorders>
            <w:shd w:val="clear" w:color="auto" w:fill="F2F2F2"/>
          </w:tcPr>
          <w:p w14:paraId="633CAA95" w14:textId="52BC57AC" w:rsidR="00CE109A" w:rsidRPr="00450474" w:rsidRDefault="00CE109A" w:rsidP="00CE109A">
            <w:pPr>
              <w:pStyle w:val="Box"/>
              <w:rPr>
                <w:rStyle w:val="DraftingNote"/>
                <w:b w:val="0"/>
                <w:color w:val="auto"/>
                <w:sz w:val="20"/>
                <w:u w:val="none"/>
              </w:rPr>
            </w:pPr>
            <w:r w:rsidRPr="00450474">
              <w:rPr>
                <w:rStyle w:val="DraftingNote"/>
                <w:b w:val="0"/>
                <w:color w:val="auto"/>
                <w:sz w:val="20"/>
                <w:u w:val="none"/>
              </w:rPr>
              <w:t xml:space="preserve">The data provide relevant information on the estimates of life expectancy at birth, by Indigenous status. </w:t>
            </w:r>
            <w:r w:rsidR="00450474" w:rsidRPr="00450474">
              <w:rPr>
                <w:rStyle w:val="DraftingNote"/>
                <w:b w:val="0"/>
                <w:color w:val="auto"/>
                <w:sz w:val="20"/>
                <w:u w:val="none"/>
              </w:rPr>
              <w:t>The life tables in this release are based on the average number of Aboriginal and Torres Strait Islander deaths registered in 2015-2017 adjusted for under/over identification of Indigenous Status in registrations, and final Aboriginal and Torres Strait Islander population estimates for 30</w:t>
            </w:r>
            <w:r w:rsidR="009467A7">
              <w:rPr>
                <w:rStyle w:val="DraftingNote"/>
                <w:b w:val="0"/>
                <w:color w:val="auto"/>
                <w:sz w:val="20"/>
                <w:u w:val="none"/>
              </w:rPr>
              <w:t> </w:t>
            </w:r>
            <w:r w:rsidR="00450474" w:rsidRPr="00450474">
              <w:rPr>
                <w:rStyle w:val="DraftingNote"/>
                <w:b w:val="0"/>
                <w:color w:val="auto"/>
                <w:sz w:val="20"/>
                <w:u w:val="none"/>
              </w:rPr>
              <w:t>June 2016 based on the 2016 Census (mid-point between the 2015-2017 reference year).</w:t>
            </w:r>
          </w:p>
          <w:p w14:paraId="296902C7" w14:textId="1E7C345C" w:rsidR="00CE109A" w:rsidRPr="00450474" w:rsidRDefault="00CE109A" w:rsidP="00CE109A">
            <w:pPr>
              <w:pStyle w:val="Box"/>
              <w:rPr>
                <w:rStyle w:val="DraftingNote"/>
                <w:b w:val="0"/>
                <w:color w:val="auto"/>
                <w:sz w:val="20"/>
                <w:u w:val="none"/>
              </w:rPr>
            </w:pPr>
            <w:r w:rsidRPr="00450474">
              <w:rPr>
                <w:rStyle w:val="DraftingNote"/>
                <w:b w:val="0"/>
                <w:color w:val="auto"/>
                <w:sz w:val="20"/>
                <w:u w:val="none"/>
              </w:rPr>
              <w:t>Data are not available for Victoria, SA, Tasmania or the ACT due to the small number of Aboriginal and Torres Strait Islander deaths reported in these jurisdictions (although data are included in national totals).</w:t>
            </w:r>
          </w:p>
          <w:p w14:paraId="580E9C8A" w14:textId="47B6D712" w:rsidR="00CE109A" w:rsidRPr="00450474" w:rsidRDefault="00CE109A" w:rsidP="00CE109A">
            <w:pPr>
              <w:pStyle w:val="Box"/>
              <w:rPr>
                <w:rStyle w:val="DraftingNote"/>
                <w:b w:val="0"/>
                <w:color w:val="auto"/>
                <w:sz w:val="20"/>
                <w:u w:val="none"/>
              </w:rPr>
            </w:pPr>
            <w:r w:rsidRPr="00450474">
              <w:rPr>
                <w:rStyle w:val="DraftingNote"/>
                <w:b w:val="0"/>
                <w:color w:val="auto"/>
                <w:sz w:val="20"/>
                <w:u w:val="none"/>
              </w:rPr>
              <w:t>Life expectancy estimates are available every five years. The most recent available data (for 2015–2017) were published in November 2018. Data are calculated for three year periods based on an average of the three years.</w:t>
            </w:r>
          </w:p>
          <w:p w14:paraId="7FD0224B" w14:textId="4ECE6379" w:rsidR="00CE109A" w:rsidRPr="00450474" w:rsidRDefault="00CE109A" w:rsidP="00CE109A">
            <w:pPr>
              <w:pStyle w:val="Box"/>
              <w:rPr>
                <w:rStyle w:val="DraftingNote"/>
                <w:b w:val="0"/>
                <w:color w:val="auto"/>
                <w:sz w:val="20"/>
                <w:u w:val="none"/>
              </w:rPr>
            </w:pPr>
            <w:r w:rsidRPr="00450474">
              <w:rPr>
                <w:rStyle w:val="DraftingNote"/>
                <w:b w:val="0"/>
                <w:color w:val="auto"/>
                <w:sz w:val="20"/>
                <w:u w:val="none"/>
              </w:rPr>
              <w:t xml:space="preserve">Life expectancy estimates by remoteness areas are </w:t>
            </w:r>
            <w:r w:rsidR="00450474">
              <w:rPr>
                <w:rStyle w:val="DraftingNote"/>
                <w:b w:val="0"/>
                <w:color w:val="auto"/>
                <w:sz w:val="20"/>
                <w:u w:val="none"/>
              </w:rPr>
              <w:t xml:space="preserve">included but </w:t>
            </w:r>
            <w:r w:rsidRPr="00450474">
              <w:rPr>
                <w:rStyle w:val="DraftingNote"/>
                <w:b w:val="0"/>
                <w:color w:val="auto"/>
                <w:sz w:val="20"/>
                <w:u w:val="none"/>
              </w:rPr>
              <w:t xml:space="preserve">remoteness areas have </w:t>
            </w:r>
            <w:r w:rsidR="00020D30" w:rsidRPr="00450474">
              <w:rPr>
                <w:rStyle w:val="DraftingNote"/>
                <w:b w:val="0"/>
                <w:color w:val="auto"/>
                <w:sz w:val="20"/>
                <w:u w:val="none"/>
              </w:rPr>
              <w:t>changed</w:t>
            </w:r>
            <w:r w:rsidRPr="00450474">
              <w:rPr>
                <w:rStyle w:val="DraftingNote"/>
                <w:b w:val="0"/>
                <w:color w:val="auto"/>
                <w:sz w:val="20"/>
                <w:u w:val="none"/>
              </w:rPr>
              <w:t xml:space="preserve"> since the </w:t>
            </w:r>
            <w:r w:rsidR="00450474" w:rsidRPr="00450474">
              <w:rPr>
                <w:rStyle w:val="DraftingNote"/>
                <w:b w:val="0"/>
                <w:color w:val="auto"/>
                <w:sz w:val="20"/>
                <w:u w:val="none"/>
              </w:rPr>
              <w:t>previous data</w:t>
            </w:r>
            <w:r w:rsidRPr="00450474">
              <w:rPr>
                <w:rStyle w:val="DraftingNote"/>
                <w:b w:val="0"/>
                <w:color w:val="auto"/>
                <w:sz w:val="20"/>
                <w:u w:val="none"/>
              </w:rPr>
              <w:t xml:space="preserve"> (2010-</w:t>
            </w:r>
            <w:r w:rsidR="00450474">
              <w:rPr>
                <w:rStyle w:val="DraftingNote"/>
                <w:b w:val="0"/>
                <w:color w:val="auto"/>
                <w:sz w:val="20"/>
                <w:u w:val="none"/>
              </w:rPr>
              <w:t>20</w:t>
            </w:r>
            <w:r w:rsidRPr="00450474">
              <w:rPr>
                <w:rStyle w:val="DraftingNote"/>
                <w:b w:val="0"/>
                <w:color w:val="auto"/>
                <w:sz w:val="20"/>
                <w:u w:val="none"/>
              </w:rPr>
              <w:t>12 data in the 2012-</w:t>
            </w:r>
            <w:r w:rsidR="00450474" w:rsidRPr="00450474">
              <w:rPr>
                <w:rStyle w:val="DraftingNote"/>
                <w:b w:val="0"/>
                <w:color w:val="auto"/>
                <w:sz w:val="20"/>
                <w:u w:val="none"/>
              </w:rPr>
              <w:t>1</w:t>
            </w:r>
            <w:r w:rsidRPr="00450474">
              <w:rPr>
                <w:rStyle w:val="DraftingNote"/>
                <w:b w:val="0"/>
                <w:color w:val="auto"/>
                <w:sz w:val="20"/>
                <w:u w:val="none"/>
              </w:rPr>
              <w:t xml:space="preserve">3 </w:t>
            </w:r>
            <w:proofErr w:type="spellStart"/>
            <w:r w:rsidRPr="00450474">
              <w:rPr>
                <w:rStyle w:val="DraftingNote"/>
                <w:b w:val="0"/>
                <w:color w:val="auto"/>
                <w:sz w:val="20"/>
                <w:u w:val="none"/>
              </w:rPr>
              <w:t>NIRA</w:t>
            </w:r>
            <w:proofErr w:type="spellEnd"/>
            <w:r w:rsidRPr="00450474">
              <w:rPr>
                <w:rStyle w:val="DraftingNote"/>
                <w:b w:val="0"/>
                <w:color w:val="auto"/>
                <w:sz w:val="20"/>
                <w:u w:val="none"/>
              </w:rPr>
              <w:t xml:space="preserve"> </w:t>
            </w:r>
            <w:r w:rsidR="00450474" w:rsidRPr="00450474">
              <w:rPr>
                <w:rStyle w:val="DraftingNote"/>
                <w:b w:val="0"/>
                <w:color w:val="auto"/>
                <w:sz w:val="20"/>
                <w:u w:val="none"/>
              </w:rPr>
              <w:t xml:space="preserve">performance </w:t>
            </w:r>
            <w:r w:rsidRPr="00450474">
              <w:rPr>
                <w:rStyle w:val="DraftingNote"/>
                <w:b w:val="0"/>
                <w:color w:val="auto"/>
                <w:sz w:val="20"/>
                <w:u w:val="none"/>
              </w:rPr>
              <w:t>report).</w:t>
            </w:r>
            <w:r w:rsidR="00020D30" w:rsidRPr="00450474">
              <w:rPr>
                <w:rStyle w:val="DraftingNote"/>
                <w:b w:val="0"/>
                <w:color w:val="auto"/>
                <w:sz w:val="20"/>
                <w:u w:val="none"/>
              </w:rPr>
              <w:t xml:space="preserve"> For </w:t>
            </w:r>
            <w:r w:rsidR="00450474">
              <w:rPr>
                <w:rStyle w:val="DraftingNote"/>
                <w:b w:val="0"/>
                <w:color w:val="auto"/>
                <w:sz w:val="20"/>
                <w:u w:val="none"/>
              </w:rPr>
              <w:t>this report</w:t>
            </w:r>
            <w:r w:rsidR="00020D30" w:rsidRPr="00450474">
              <w:rPr>
                <w:rStyle w:val="DraftingNote"/>
                <w:b w:val="0"/>
                <w:color w:val="auto"/>
                <w:sz w:val="20"/>
                <w:u w:val="none"/>
              </w:rPr>
              <w:t xml:space="preserve">, Remoteness </w:t>
            </w:r>
            <w:r w:rsidR="00020D30" w:rsidRPr="00450474">
              <w:t>Areas are the spatial units that make up the Australian Statistical Geography Standard (</w:t>
            </w:r>
            <w:proofErr w:type="spellStart"/>
            <w:r w:rsidR="00020D30" w:rsidRPr="00450474">
              <w:t>ASGS</w:t>
            </w:r>
            <w:proofErr w:type="spellEnd"/>
            <w:r w:rsidR="00020D30" w:rsidRPr="00450474">
              <w:t>) Remoteness Structure.</w:t>
            </w:r>
          </w:p>
          <w:p w14:paraId="45EE4E57" w14:textId="77777777" w:rsidR="00CE109A" w:rsidRPr="00450474" w:rsidRDefault="00CE109A" w:rsidP="00CE109A">
            <w:pPr>
              <w:pStyle w:val="Box"/>
              <w:rPr>
                <w:rStyle w:val="DraftingNote"/>
                <w:b w:val="0"/>
                <w:color w:val="auto"/>
                <w:sz w:val="20"/>
                <w:u w:val="none"/>
              </w:rPr>
            </w:pPr>
            <w:r w:rsidRPr="00450474">
              <w:rPr>
                <w:rStyle w:val="DraftingNote"/>
                <w:b w:val="0"/>
                <w:color w:val="auto"/>
                <w:sz w:val="20"/>
                <w:u w:val="none"/>
              </w:rPr>
              <w:t>Data are of acceptable accuracy.</w:t>
            </w:r>
          </w:p>
          <w:p w14:paraId="528FD71D" w14:textId="77777777" w:rsidR="00CE109A" w:rsidRPr="00450474" w:rsidRDefault="00CE109A" w:rsidP="00CE109A">
            <w:pPr>
              <w:pStyle w:val="Box"/>
              <w:rPr>
                <w:rStyle w:val="DraftingNote"/>
                <w:b w:val="0"/>
                <w:color w:val="auto"/>
                <w:sz w:val="20"/>
                <w:u w:val="none"/>
              </w:rPr>
            </w:pPr>
            <w:r w:rsidRPr="00450474">
              <w:rPr>
                <w:rStyle w:val="DraftingNote"/>
                <w:b w:val="0"/>
                <w:color w:val="auto"/>
                <w:sz w:val="20"/>
                <w:u w:val="none"/>
              </w:rPr>
              <w:t>Detailed explanatory notes are publicly available to assist in the interpretation of results.</w:t>
            </w:r>
          </w:p>
          <w:p w14:paraId="733C5E3B" w14:textId="77777777" w:rsidR="00CE109A" w:rsidRPr="00450474" w:rsidRDefault="00CE109A" w:rsidP="00CE109A">
            <w:pPr>
              <w:pStyle w:val="Box"/>
              <w:rPr>
                <w:rStyle w:val="DraftingNote"/>
                <w:b w:val="0"/>
                <w:color w:val="auto"/>
                <w:sz w:val="20"/>
                <w:u w:val="none"/>
              </w:rPr>
            </w:pPr>
            <w:r w:rsidRPr="00450474">
              <w:rPr>
                <w:rStyle w:val="DraftingNote"/>
                <w:b w:val="0"/>
                <w:color w:val="auto"/>
                <w:sz w:val="20"/>
                <w:u w:val="none"/>
              </w:rPr>
              <w:t>Additional data from the data source are available online, and on request.</w:t>
            </w:r>
          </w:p>
          <w:p w14:paraId="6DF7F072" w14:textId="77777777" w:rsidR="00CE109A" w:rsidRPr="00450474" w:rsidRDefault="00CE109A" w:rsidP="00CE109A">
            <w:pPr>
              <w:pStyle w:val="Box"/>
              <w:rPr>
                <w:rStyle w:val="DraftingNote"/>
                <w:b w:val="0"/>
                <w:color w:val="auto"/>
                <w:sz w:val="20"/>
                <w:u w:val="none"/>
              </w:rPr>
            </w:pPr>
            <w:r w:rsidRPr="00450474">
              <w:rPr>
                <w:rStyle w:val="DraftingNote"/>
                <w:b w:val="0"/>
                <w:color w:val="auto"/>
                <w:sz w:val="20"/>
                <w:u w:val="none"/>
              </w:rPr>
              <w:t>The Steering Committee also notes the following issues:</w:t>
            </w:r>
          </w:p>
          <w:p w14:paraId="5BD03EB9" w14:textId="334BDF71" w:rsidR="00CE109A" w:rsidRPr="00450474" w:rsidRDefault="00CE109A" w:rsidP="00450474">
            <w:pPr>
              <w:pStyle w:val="BoxListBullet"/>
              <w:rPr>
                <w:rStyle w:val="DraftingNote"/>
                <w:b w:val="0"/>
                <w:color w:val="auto"/>
                <w:sz w:val="20"/>
                <w:u w:val="none"/>
              </w:rPr>
            </w:pPr>
            <w:r w:rsidRPr="00450474">
              <w:rPr>
                <w:rStyle w:val="DraftingNote"/>
                <w:b w:val="0"/>
                <w:color w:val="auto"/>
                <w:sz w:val="20"/>
                <w:u w:val="none"/>
              </w:rPr>
              <w:t xml:space="preserve">Further work is required to improve the quality of data by Indigenous status, to enable reporting by all states and territories. However, for some jurisdictions, it may not be possible to derive life expectancy estimates due to the small number of </w:t>
            </w:r>
            <w:r w:rsidR="00450474">
              <w:rPr>
                <w:rStyle w:val="DraftingNote"/>
                <w:b w:val="0"/>
                <w:color w:val="auto"/>
                <w:sz w:val="20"/>
                <w:u w:val="none"/>
              </w:rPr>
              <w:t>Indigenous deaths</w:t>
            </w:r>
          </w:p>
          <w:p w14:paraId="177ED789" w14:textId="123D009D" w:rsidR="00B47864" w:rsidRPr="00450474" w:rsidRDefault="00CE109A" w:rsidP="00450474">
            <w:pPr>
              <w:pStyle w:val="BoxListBullet"/>
              <w:rPr>
                <w:rStyle w:val="DraftingNote"/>
                <w:rFonts w:ascii="Times New Roman" w:hAnsi="Times New Roman"/>
                <w:color w:val="auto"/>
                <w:szCs w:val="24"/>
              </w:rPr>
            </w:pPr>
            <w:r w:rsidRPr="00450474">
              <w:rPr>
                <w:rStyle w:val="DraftingNote"/>
                <w:b w:val="0"/>
                <w:color w:val="auto"/>
                <w:sz w:val="20"/>
                <w:u w:val="none"/>
              </w:rPr>
              <w:t>The measure for this indicator is based on a three-year average and published every five years. Further work is required to determine what level of disaggregation is reliable for single year data and more regular reporting</w:t>
            </w:r>
            <w:r w:rsidR="00450474">
              <w:rPr>
                <w:rStyle w:val="DraftingNote"/>
                <w:b w:val="0"/>
                <w:color w:val="auto"/>
                <w:sz w:val="20"/>
                <w:u w:val="none"/>
              </w:rPr>
              <w:t>.</w:t>
            </w:r>
          </w:p>
        </w:tc>
      </w:tr>
      <w:tr w:rsidR="009467A7" w14:paraId="20B08C86" w14:textId="77777777" w:rsidTr="0040006D">
        <w:trPr>
          <w:cantSplit/>
        </w:trPr>
        <w:tc>
          <w:tcPr>
            <w:tcW w:w="8789" w:type="dxa"/>
            <w:tcBorders>
              <w:top w:val="nil"/>
              <w:left w:val="nil"/>
              <w:bottom w:val="single" w:sz="6" w:space="0" w:color="78A22F"/>
              <w:right w:val="nil"/>
            </w:tcBorders>
            <w:shd w:val="clear" w:color="auto" w:fill="F2F2F2"/>
          </w:tcPr>
          <w:p w14:paraId="122B42DB" w14:textId="77777777" w:rsidR="009467A7" w:rsidRDefault="009467A7" w:rsidP="0040006D">
            <w:pPr>
              <w:pStyle w:val="Box"/>
              <w:spacing w:before="0" w:line="120" w:lineRule="exact"/>
            </w:pPr>
          </w:p>
        </w:tc>
      </w:tr>
    </w:tbl>
    <w:p w14:paraId="3D9ABBB3" w14:textId="77777777" w:rsidR="00680847" w:rsidRPr="00450474" w:rsidRDefault="00680847" w:rsidP="00680847">
      <w:pPr>
        <w:pStyle w:val="BodyText"/>
      </w:pPr>
      <w:r w:rsidRPr="00450474">
        <w:br w:type="page"/>
      </w:r>
    </w:p>
    <w:p w14:paraId="741F8CF4" w14:textId="77777777" w:rsidR="00680847" w:rsidRPr="00921D4D" w:rsidRDefault="00680847" w:rsidP="00680847">
      <w:pPr>
        <w:pStyle w:val="Heading3"/>
      </w:pPr>
      <w:bookmarkStart w:id="4" w:name="_Ref277842701"/>
      <w:bookmarkStart w:id="5" w:name="_Ref341361473"/>
      <w:r w:rsidRPr="00921D4D">
        <w:lastRenderedPageBreak/>
        <w:t>Indicator 2: Mortality rate by leading causes</w:t>
      </w:r>
      <w:bookmarkEnd w:id="4"/>
      <w:bookmarkEnd w:id="5"/>
    </w:p>
    <w:p w14:paraId="796F5F0E" w14:textId="77777777" w:rsidR="00680847" w:rsidRPr="009C0D98" w:rsidRDefault="00680847" w:rsidP="008F5A63">
      <w:pPr>
        <w:keepNext/>
        <w:spacing w:before="120"/>
      </w:pPr>
    </w:p>
    <w:tbl>
      <w:tblPr>
        <w:tblW w:w="0" w:type="auto"/>
        <w:tblCellMar>
          <w:right w:w="0" w:type="dxa"/>
        </w:tblCellMar>
        <w:tblLook w:val="0000" w:firstRow="0" w:lastRow="0" w:firstColumn="0" w:lastColumn="0" w:noHBand="0" w:noVBand="0"/>
      </w:tblPr>
      <w:tblGrid>
        <w:gridCol w:w="1801"/>
        <w:gridCol w:w="6988"/>
      </w:tblGrid>
      <w:tr w:rsidR="00680847" w:rsidRPr="00D87AA9" w14:paraId="70AF69C2" w14:textId="77777777" w:rsidTr="008F5A63">
        <w:tc>
          <w:tcPr>
            <w:tcW w:w="1801" w:type="dxa"/>
          </w:tcPr>
          <w:p w14:paraId="1C3B3E89" w14:textId="25ABB7C2" w:rsidR="00680847" w:rsidRPr="00EE332B" w:rsidRDefault="00680847" w:rsidP="00680847">
            <w:pPr>
              <w:pStyle w:val="TableBodyText"/>
              <w:jc w:val="left"/>
            </w:pPr>
            <w:r w:rsidRPr="00B82DC5">
              <w:t>Key amendments from previous cycle of repo</w:t>
            </w:r>
            <w:r w:rsidR="00EE332B">
              <w:t>rting:</w:t>
            </w:r>
          </w:p>
        </w:tc>
        <w:tc>
          <w:tcPr>
            <w:tcW w:w="6988" w:type="dxa"/>
          </w:tcPr>
          <w:p w14:paraId="27DAC046" w14:textId="6E5E1F45" w:rsidR="007D6965" w:rsidRDefault="00E10314" w:rsidP="007D6965">
            <w:pPr>
              <w:pStyle w:val="TableBodyText"/>
              <w:jc w:val="left"/>
            </w:pPr>
            <w:r>
              <w:t xml:space="preserve">Single year data have been </w:t>
            </w:r>
            <w:proofErr w:type="spellStart"/>
            <w:r>
              <w:t>backcast</w:t>
            </w:r>
            <w:proofErr w:type="spellEnd"/>
            <w:r>
              <w:t xml:space="preserve"> due to revised ABS cause of death data (</w:t>
            </w:r>
            <w:r w:rsidR="00B47864">
              <w:t xml:space="preserve">2014 </w:t>
            </w:r>
            <w:r>
              <w:t xml:space="preserve">and </w:t>
            </w:r>
            <w:r w:rsidR="00B47864">
              <w:t>2015</w:t>
            </w:r>
            <w:r>
              <w:t>).</w:t>
            </w:r>
          </w:p>
          <w:p w14:paraId="0E0F013E" w14:textId="77777777" w:rsidR="00680847" w:rsidRPr="00D87AA9" w:rsidRDefault="00680847" w:rsidP="00680847">
            <w:pPr>
              <w:pStyle w:val="TableBodyText"/>
              <w:jc w:val="left"/>
            </w:pPr>
          </w:p>
        </w:tc>
      </w:tr>
      <w:tr w:rsidR="00680847" w:rsidRPr="00D87AA9" w14:paraId="1526BF49" w14:textId="77777777" w:rsidTr="008F5A63">
        <w:tc>
          <w:tcPr>
            <w:tcW w:w="1801" w:type="dxa"/>
          </w:tcPr>
          <w:p w14:paraId="14792733" w14:textId="77777777" w:rsidR="00680847" w:rsidRPr="00D87AA9" w:rsidRDefault="00680847" w:rsidP="00450212">
            <w:pPr>
              <w:pStyle w:val="TableBodyText"/>
              <w:spacing w:before="80"/>
              <w:jc w:val="left"/>
            </w:pPr>
            <w:r w:rsidRPr="00D87AA9">
              <w:t>Target:</w:t>
            </w:r>
          </w:p>
        </w:tc>
        <w:tc>
          <w:tcPr>
            <w:tcW w:w="6988" w:type="dxa"/>
          </w:tcPr>
          <w:p w14:paraId="136E9A6B" w14:textId="47B55A47" w:rsidR="00680847" w:rsidRPr="00D87AA9" w:rsidRDefault="00680847" w:rsidP="00450212">
            <w:pPr>
              <w:pStyle w:val="TableBodyText"/>
              <w:spacing w:before="80"/>
              <w:jc w:val="left"/>
            </w:pPr>
            <w:r w:rsidRPr="00010BAE">
              <w:t>Closing the life expectancy gap within a generation (by 2031)</w:t>
            </w:r>
          </w:p>
        </w:tc>
      </w:tr>
      <w:tr w:rsidR="00680847" w:rsidRPr="00D87AA9" w14:paraId="19EE79B3" w14:textId="77777777" w:rsidTr="008F5A63">
        <w:tc>
          <w:tcPr>
            <w:tcW w:w="1801" w:type="dxa"/>
          </w:tcPr>
          <w:p w14:paraId="0A8500C8" w14:textId="77777777" w:rsidR="00680847" w:rsidRPr="00D87AA9" w:rsidRDefault="00680847" w:rsidP="00450212">
            <w:pPr>
              <w:pStyle w:val="TableBodyText"/>
              <w:spacing w:before="80"/>
              <w:jc w:val="left"/>
            </w:pPr>
            <w:r w:rsidRPr="00D87AA9">
              <w:t>Measure:</w:t>
            </w:r>
          </w:p>
        </w:tc>
        <w:tc>
          <w:tcPr>
            <w:tcW w:w="6988" w:type="dxa"/>
          </w:tcPr>
          <w:p w14:paraId="40DDF92A" w14:textId="471C7F7F" w:rsidR="00680847" w:rsidRDefault="00680847" w:rsidP="00450212">
            <w:pPr>
              <w:pStyle w:val="TableBodyText"/>
              <w:spacing w:before="80"/>
              <w:jc w:val="left"/>
            </w:pPr>
            <w:r>
              <w:t>Mortality rates for Australians by the leading cause of death, by Indigen</w:t>
            </w:r>
            <w:r w:rsidR="00EE332B">
              <w:t>ous status.</w:t>
            </w:r>
          </w:p>
          <w:p w14:paraId="1EAC95C1" w14:textId="77777777" w:rsidR="00680847" w:rsidRDefault="00680847" w:rsidP="00EE332B">
            <w:pPr>
              <w:pStyle w:val="TableBodyText"/>
              <w:spacing w:before="80"/>
              <w:jc w:val="left"/>
            </w:pPr>
            <w:r>
              <w:t>The measure is defined as:</w:t>
            </w:r>
          </w:p>
          <w:p w14:paraId="5DF9CA41" w14:textId="77777777" w:rsidR="00680847" w:rsidRDefault="00680847" w:rsidP="00680847">
            <w:pPr>
              <w:pStyle w:val="TableBullet"/>
              <w:rPr>
                <w:szCs w:val="24"/>
              </w:rPr>
            </w:pPr>
            <w:r w:rsidRPr="000C66DF">
              <w:rPr>
                <w:i/>
              </w:rPr>
              <w:t>Numerator</w:t>
            </w:r>
            <w:r>
              <w:t xml:space="preserve"> — number of deaths</w:t>
            </w:r>
          </w:p>
          <w:p w14:paraId="52D101D8" w14:textId="77777777" w:rsidR="00680847" w:rsidRDefault="00680847" w:rsidP="00680847">
            <w:pPr>
              <w:pStyle w:val="TableBullet"/>
              <w:rPr>
                <w:szCs w:val="24"/>
              </w:rPr>
            </w:pPr>
            <w:r w:rsidRPr="000C66DF">
              <w:rPr>
                <w:i/>
              </w:rPr>
              <w:t>Denominator</w:t>
            </w:r>
            <w:r>
              <w:t xml:space="preserve"> — total population of all people</w:t>
            </w:r>
          </w:p>
          <w:p w14:paraId="37409A54" w14:textId="77777777" w:rsidR="00680847" w:rsidRDefault="00680847" w:rsidP="00680847">
            <w:pPr>
              <w:pStyle w:val="TableBodyText"/>
              <w:jc w:val="left"/>
            </w:pPr>
            <w:r>
              <w:t xml:space="preserve">presented as a </w:t>
            </w:r>
            <w:r w:rsidRPr="00EE758E">
              <w:rPr>
                <w:i/>
              </w:rPr>
              <w:t>rate per 100 000 persons</w:t>
            </w:r>
          </w:p>
          <w:p w14:paraId="3323D194" w14:textId="77777777" w:rsidR="00680847" w:rsidRDefault="00680847" w:rsidP="00EE332B">
            <w:pPr>
              <w:pStyle w:val="TableBodyText"/>
              <w:spacing w:before="80"/>
              <w:jc w:val="left"/>
            </w:pPr>
            <w:r>
              <w:t xml:space="preserve">Crude rates are calculated for </w:t>
            </w:r>
            <w:r w:rsidR="00F1707A">
              <w:t>Aboriginal and Torres Strait Islander</w:t>
            </w:r>
            <w:r>
              <w:t xml:space="preserve"> Australians.</w:t>
            </w:r>
          </w:p>
          <w:p w14:paraId="2D995AEB" w14:textId="77777777" w:rsidR="00680847" w:rsidRDefault="00680847" w:rsidP="00EE332B">
            <w:pPr>
              <w:pStyle w:val="TableBodyText"/>
              <w:spacing w:before="80"/>
              <w:jc w:val="left"/>
            </w:pPr>
            <w:r>
              <w:t xml:space="preserve">Age standardised rates are calculated for comparing </w:t>
            </w:r>
            <w:r w:rsidR="00F1707A">
              <w:t xml:space="preserve">Aboriginal and Torres Strait Islander </w:t>
            </w:r>
            <w:r>
              <w:t xml:space="preserve">and </w:t>
            </w:r>
            <w:r w:rsidR="00937DB6">
              <w:t>n</w:t>
            </w:r>
            <w:r w:rsidR="00A96FBF">
              <w:t>on-</w:t>
            </w:r>
            <w:r>
              <w:t>Indigenous Australians using:</w:t>
            </w:r>
          </w:p>
          <w:p w14:paraId="6F41B5DF" w14:textId="77777777" w:rsidR="00680847" w:rsidRDefault="00680847" w:rsidP="00680847">
            <w:pPr>
              <w:pStyle w:val="TableBullet"/>
              <w:rPr>
                <w:szCs w:val="24"/>
              </w:rPr>
            </w:pPr>
            <w:r>
              <w:t xml:space="preserve">the direct method </w:t>
            </w:r>
          </w:p>
          <w:p w14:paraId="46EB25B2" w14:textId="77777777" w:rsidR="00680847" w:rsidRDefault="00680847" w:rsidP="00680847">
            <w:pPr>
              <w:pStyle w:val="TableBullet"/>
              <w:rPr>
                <w:szCs w:val="24"/>
              </w:rPr>
            </w:pPr>
            <w:r>
              <w:t xml:space="preserve">five year age groups from 0–4 years to 75 years and over </w:t>
            </w:r>
          </w:p>
          <w:p w14:paraId="4611F6E7" w14:textId="77777777" w:rsidR="00680847" w:rsidRDefault="00680847" w:rsidP="00680847">
            <w:pPr>
              <w:pStyle w:val="TableBullet"/>
              <w:rPr>
                <w:szCs w:val="24"/>
              </w:rPr>
            </w:pPr>
            <w:r>
              <w:t xml:space="preserve">total persons in the Australian population as at 30 June 2001 </w:t>
            </w:r>
            <w:r w:rsidR="00991A09">
              <w:t xml:space="preserve">Estimated Resident Population (ERP) based on the 2001 Census </w:t>
            </w:r>
            <w:r>
              <w:t>as the standard</w:t>
            </w:r>
            <w:r w:rsidR="00991A09">
              <w:t xml:space="preserve"> population</w:t>
            </w:r>
            <w:r>
              <w:t>.</w:t>
            </w:r>
          </w:p>
          <w:p w14:paraId="59B5CF08" w14:textId="77777777" w:rsidR="00680847" w:rsidRPr="00EE758E" w:rsidRDefault="00680847" w:rsidP="00EE332B">
            <w:pPr>
              <w:pStyle w:val="TableBodyText"/>
              <w:spacing w:before="80"/>
              <w:jc w:val="left"/>
              <w:rPr>
                <w:u w:val="single"/>
              </w:rPr>
            </w:pPr>
            <w:r w:rsidRPr="00EE758E">
              <w:rPr>
                <w:u w:val="single"/>
              </w:rPr>
              <w:t>[Note: The measure refers to ‘leading cause of death’. Data are provided for ‘selected causes of death’ according to the ICD-10 codes used for ‘leading cause of death’ in the Aboriginal and Torres Strait Islander Health Performance Framework].</w:t>
            </w:r>
          </w:p>
          <w:p w14:paraId="232D8B10" w14:textId="77777777" w:rsidR="00680847" w:rsidRDefault="00680847" w:rsidP="00EE332B">
            <w:pPr>
              <w:pStyle w:val="TableBodyText"/>
              <w:spacing w:before="80"/>
              <w:jc w:val="left"/>
            </w:pPr>
            <w:r>
              <w:t xml:space="preserve">Rate ratios and rate differences are calculated for </w:t>
            </w:r>
            <w:r w:rsidR="00DB3DFF">
              <w:t xml:space="preserve">comparison between </w:t>
            </w:r>
            <w:r w:rsidR="00F1707A">
              <w:t>Aboriginal and Torres Strait Islander</w:t>
            </w:r>
            <w:r w:rsidR="00DB3DFF">
              <w:t xml:space="preserve"> and</w:t>
            </w:r>
            <w:r>
              <w:t xml:space="preserve"> non-Indigenous Australians.</w:t>
            </w:r>
          </w:p>
          <w:p w14:paraId="260C029C" w14:textId="77777777" w:rsidR="00680847" w:rsidRDefault="00680847" w:rsidP="00EE332B">
            <w:pPr>
              <w:pStyle w:val="TableBodyText"/>
              <w:spacing w:before="80"/>
              <w:jc w:val="left"/>
            </w:pPr>
            <w:r>
              <w:t xml:space="preserve">Causes are listed from highest to lowest </w:t>
            </w:r>
            <w:r w:rsidR="00F1707A">
              <w:t xml:space="preserve">Aboriginal and Torres Strait Islander </w:t>
            </w:r>
            <w:r>
              <w:t xml:space="preserve">crude numbers for the most recent 5 year combined period. The top 5 causes need to be reassessed each reporting period. If a change is identified, data may be </w:t>
            </w:r>
            <w:proofErr w:type="spellStart"/>
            <w:r>
              <w:t>backcast</w:t>
            </w:r>
            <w:proofErr w:type="spellEnd"/>
            <w:r>
              <w:t xml:space="preserve"> to the baseline year for the most recent set of top 5 causes to ensure a consistent time series</w:t>
            </w:r>
          </w:p>
          <w:p w14:paraId="6D4562DC" w14:textId="7DFA6758" w:rsidR="00680847" w:rsidRPr="00D87AA9" w:rsidRDefault="00680847" w:rsidP="00EE332B">
            <w:pPr>
              <w:pStyle w:val="TableBodyText"/>
              <w:spacing w:before="80"/>
              <w:jc w:val="left"/>
            </w:pPr>
            <w:r>
              <w:t>Variability bands are to be calculated for rates (single year data and national data for five years combined) using the standard method.</w:t>
            </w:r>
          </w:p>
        </w:tc>
      </w:tr>
      <w:tr w:rsidR="00EE332B" w:rsidRPr="00D87AA9" w14:paraId="2EA172B9" w14:textId="77777777" w:rsidTr="008F5A63">
        <w:tc>
          <w:tcPr>
            <w:tcW w:w="1801" w:type="dxa"/>
          </w:tcPr>
          <w:p w14:paraId="30D5B98E" w14:textId="0B0E0799" w:rsidR="00EE332B" w:rsidRPr="00D87AA9" w:rsidRDefault="00EE332B" w:rsidP="00450212">
            <w:pPr>
              <w:pStyle w:val="TableBodyText"/>
              <w:spacing w:before="80"/>
              <w:jc w:val="left"/>
            </w:pPr>
            <w:r w:rsidRPr="00D87AA9">
              <w:t>Data source:</w:t>
            </w:r>
          </w:p>
        </w:tc>
        <w:tc>
          <w:tcPr>
            <w:tcW w:w="6988" w:type="dxa"/>
          </w:tcPr>
          <w:p w14:paraId="4360B114" w14:textId="77777777" w:rsidR="00450212" w:rsidRDefault="00450212" w:rsidP="00450212">
            <w:pPr>
              <w:pStyle w:val="TableBodyText"/>
              <w:spacing w:before="80"/>
              <w:jc w:val="left"/>
            </w:pPr>
            <w:r w:rsidRPr="00EE758E">
              <w:rPr>
                <w:i/>
              </w:rPr>
              <w:t>Numerator</w:t>
            </w:r>
            <w:r>
              <w:t xml:space="preserve"> — ABS </w:t>
            </w:r>
            <w:r w:rsidRPr="00EE758E">
              <w:rPr>
                <w:u w:val="single"/>
              </w:rPr>
              <w:t>Cause of Death collection</w:t>
            </w:r>
            <w:r>
              <w:t xml:space="preserve"> and ABS </w:t>
            </w:r>
            <w:r w:rsidRPr="00EE758E">
              <w:rPr>
                <w:u w:val="single"/>
              </w:rPr>
              <w:t>Death Registrations Collection</w:t>
            </w:r>
            <w:r>
              <w:t>. Data are available annually</w:t>
            </w:r>
          </w:p>
          <w:p w14:paraId="6F761CA9" w14:textId="77777777" w:rsidR="00450212" w:rsidRDefault="00450212" w:rsidP="00450212">
            <w:pPr>
              <w:pStyle w:val="TableBodyText"/>
              <w:spacing w:before="80"/>
              <w:jc w:val="left"/>
            </w:pPr>
            <w:r w:rsidRPr="00EE758E">
              <w:rPr>
                <w:i/>
              </w:rPr>
              <w:t>Denominator</w:t>
            </w:r>
            <w:r>
              <w:t xml:space="preserve"> — ABS </w:t>
            </w:r>
            <w:r w:rsidRPr="00EE758E">
              <w:rPr>
                <w:u w:val="single"/>
              </w:rPr>
              <w:t>Estimated Resident Population</w:t>
            </w:r>
            <w:r>
              <w:t xml:space="preserve"> (ERP) for total population. ABS </w:t>
            </w:r>
            <w:r w:rsidRPr="00EE758E">
              <w:rPr>
                <w:u w:val="single"/>
              </w:rPr>
              <w:t>Estimates and Projections</w:t>
            </w:r>
            <w:r>
              <w:t xml:space="preserve"> for Aboriginal and Torres Strait Islander population. </w:t>
            </w:r>
            <w:r>
              <w:br/>
              <w:t>Non-Indigenous population estimates are calculated by subtracting the Aboriginal and Torres Strait Islander population projections from the total population estimates</w:t>
            </w:r>
            <w:r w:rsidRPr="00CB3013">
              <w:t xml:space="preserve">. </w:t>
            </w:r>
          </w:p>
          <w:p w14:paraId="123C4EA3" w14:textId="21367BC7" w:rsidR="00EE332B" w:rsidRDefault="00450212" w:rsidP="00450212">
            <w:pPr>
              <w:pStyle w:val="TableBodyText"/>
              <w:spacing w:before="80"/>
              <w:jc w:val="left"/>
            </w:pPr>
            <w:r w:rsidRPr="00F75BA4">
              <w:t xml:space="preserve">For comparisons of </w:t>
            </w:r>
            <w:r>
              <w:t xml:space="preserve">Aboriginal and Torres Strait Islander </w:t>
            </w:r>
            <w:r w:rsidRPr="00F75BA4">
              <w:t xml:space="preserve">and non-Indigenous populations, data </w:t>
            </w:r>
            <w:r>
              <w:t>are 2011 Census based.</w:t>
            </w:r>
          </w:p>
        </w:tc>
      </w:tr>
      <w:tr w:rsidR="00450212" w:rsidRPr="00D87AA9" w14:paraId="49231D6C" w14:textId="77777777" w:rsidTr="008F5A63">
        <w:tc>
          <w:tcPr>
            <w:tcW w:w="1801" w:type="dxa"/>
          </w:tcPr>
          <w:p w14:paraId="3ED4473F" w14:textId="66D39B9A" w:rsidR="00450212" w:rsidRPr="00D87AA9" w:rsidRDefault="00450212" w:rsidP="00450212">
            <w:pPr>
              <w:pStyle w:val="TableBodyText"/>
              <w:spacing w:before="80"/>
              <w:jc w:val="left"/>
            </w:pPr>
            <w:r w:rsidRPr="00D87AA9">
              <w:t>Data provider:</w:t>
            </w:r>
          </w:p>
        </w:tc>
        <w:tc>
          <w:tcPr>
            <w:tcW w:w="6988" w:type="dxa"/>
          </w:tcPr>
          <w:p w14:paraId="70BE21C9" w14:textId="6B4F4921" w:rsidR="00450212" w:rsidRPr="00EE758E" w:rsidRDefault="00450212" w:rsidP="00450212">
            <w:pPr>
              <w:pStyle w:val="TableBodyText"/>
              <w:spacing w:before="80"/>
              <w:jc w:val="left"/>
              <w:rPr>
                <w:i/>
              </w:rPr>
            </w:pPr>
            <w:r w:rsidRPr="00010BAE">
              <w:t>ABS</w:t>
            </w:r>
          </w:p>
        </w:tc>
      </w:tr>
      <w:tr w:rsidR="00450212" w:rsidRPr="00D87AA9" w14:paraId="270EA54D" w14:textId="77777777" w:rsidTr="008F5A63">
        <w:tc>
          <w:tcPr>
            <w:tcW w:w="1801" w:type="dxa"/>
          </w:tcPr>
          <w:p w14:paraId="6C544E3A" w14:textId="23A6684B" w:rsidR="00450212" w:rsidRPr="00D87AA9" w:rsidRDefault="00450212" w:rsidP="00450212">
            <w:pPr>
              <w:pStyle w:val="TableBodyText"/>
              <w:spacing w:before="80"/>
              <w:jc w:val="left"/>
            </w:pPr>
            <w:r w:rsidRPr="00D87AA9">
              <w:t>Data availability:</w:t>
            </w:r>
          </w:p>
        </w:tc>
        <w:tc>
          <w:tcPr>
            <w:tcW w:w="6988" w:type="dxa"/>
          </w:tcPr>
          <w:p w14:paraId="440481C8" w14:textId="494F4CC8" w:rsidR="00450212" w:rsidRDefault="00B47864" w:rsidP="00450212">
            <w:pPr>
              <w:pStyle w:val="TableBodyText"/>
              <w:spacing w:before="80"/>
              <w:jc w:val="left"/>
            </w:pPr>
            <w:r>
              <w:t>2017</w:t>
            </w:r>
            <w:r w:rsidR="00450212" w:rsidRPr="00010BAE">
              <w:t>— Causes of death (</w:t>
            </w:r>
            <w:r w:rsidR="00450212">
              <w:t xml:space="preserve">and </w:t>
            </w:r>
            <w:r w:rsidR="00450212" w:rsidRPr="00010BAE">
              <w:t xml:space="preserve">revised </w:t>
            </w:r>
            <w:r w:rsidR="00450212">
              <w:t xml:space="preserve">data </w:t>
            </w:r>
            <w:r w:rsidR="00450212" w:rsidRPr="00010BAE">
              <w:t xml:space="preserve">for </w:t>
            </w:r>
            <w:r w:rsidR="00365846">
              <w:t xml:space="preserve">2015 </w:t>
            </w:r>
            <w:r w:rsidR="00450212">
              <w:t>and</w:t>
            </w:r>
            <w:r w:rsidR="008873E7">
              <w:t xml:space="preserve"> revised final data for</w:t>
            </w:r>
            <w:r w:rsidR="00450212">
              <w:t xml:space="preserve"> </w:t>
            </w:r>
            <w:r w:rsidR="00365846">
              <w:t>2014</w:t>
            </w:r>
            <w:r w:rsidR="00450212" w:rsidRPr="00010BAE">
              <w:t>)</w:t>
            </w:r>
          </w:p>
          <w:p w14:paraId="7BF3BD94" w14:textId="024180EF" w:rsidR="00450212" w:rsidRDefault="00B47864" w:rsidP="00450212">
            <w:pPr>
              <w:pStyle w:val="TableBodyText"/>
              <w:spacing w:before="80"/>
              <w:jc w:val="left"/>
            </w:pPr>
            <w:r>
              <w:t xml:space="preserve">2017 </w:t>
            </w:r>
            <w:r w:rsidR="00450212">
              <w:t xml:space="preserve">— Death registrations (for all-cause totals) </w:t>
            </w:r>
          </w:p>
          <w:p w14:paraId="794A00D3" w14:textId="25FBEFFF" w:rsidR="00450212" w:rsidRPr="00010BAE" w:rsidRDefault="00450212" w:rsidP="00B47864">
            <w:pPr>
              <w:pStyle w:val="TableBodyText"/>
              <w:spacing w:before="80"/>
              <w:jc w:val="left"/>
            </w:pPr>
            <w:r>
              <w:t xml:space="preserve">30 June </w:t>
            </w:r>
            <w:r w:rsidR="00B47864">
              <w:t xml:space="preserve">2017 </w:t>
            </w:r>
            <w:r>
              <w:t>(based on 2011 Census) — Population data</w:t>
            </w:r>
          </w:p>
        </w:tc>
      </w:tr>
    </w:tbl>
    <w:p w14:paraId="7BE14F78" w14:textId="77777777" w:rsidR="008F5A63" w:rsidRDefault="008F5A63">
      <w:r>
        <w:br w:type="page"/>
      </w:r>
    </w:p>
    <w:tbl>
      <w:tblPr>
        <w:tblW w:w="0" w:type="auto"/>
        <w:tblCellMar>
          <w:right w:w="0" w:type="dxa"/>
        </w:tblCellMar>
        <w:tblLook w:val="0000" w:firstRow="0" w:lastRow="0" w:firstColumn="0" w:lastColumn="0" w:noHBand="0" w:noVBand="0"/>
      </w:tblPr>
      <w:tblGrid>
        <w:gridCol w:w="1801"/>
        <w:gridCol w:w="6988"/>
      </w:tblGrid>
      <w:tr w:rsidR="00680847" w:rsidRPr="00D87AA9" w14:paraId="045C10F8" w14:textId="77777777" w:rsidTr="008F5A63">
        <w:tc>
          <w:tcPr>
            <w:tcW w:w="1801" w:type="dxa"/>
            <w:shd w:val="clear" w:color="auto" w:fill="auto"/>
          </w:tcPr>
          <w:p w14:paraId="7BEC671C" w14:textId="77777777" w:rsidR="00680847" w:rsidRPr="00D87AA9" w:rsidRDefault="00680847" w:rsidP="00680847">
            <w:pPr>
              <w:pStyle w:val="TableBodyText"/>
              <w:jc w:val="left"/>
            </w:pPr>
            <w:r w:rsidRPr="00D87AA9">
              <w:lastRenderedPageBreak/>
              <w:t>Cross tabulations provided:</w:t>
            </w:r>
          </w:p>
        </w:tc>
        <w:tc>
          <w:tcPr>
            <w:tcW w:w="6988" w:type="dxa"/>
            <w:shd w:val="clear" w:color="auto" w:fill="auto"/>
          </w:tcPr>
          <w:p w14:paraId="373C99AB" w14:textId="77777777" w:rsidR="00680847" w:rsidRDefault="00680847" w:rsidP="00680847">
            <w:pPr>
              <w:pStyle w:val="TableBodyText"/>
              <w:jc w:val="left"/>
            </w:pPr>
            <w:r>
              <w:t>Data are reported individually by jurisdiction of residence by Indigenous status for NSW, Queensland, WA, SA and the NT only. Each table by jurisdiction will also include a 'national' total made up of these 5 jurisdictions only.</w:t>
            </w:r>
          </w:p>
          <w:p w14:paraId="6C9FF398" w14:textId="77777777" w:rsidR="00680847" w:rsidRDefault="00680847" w:rsidP="00450212">
            <w:pPr>
              <w:pStyle w:val="TableBodyText"/>
              <w:spacing w:before="80"/>
              <w:jc w:val="left"/>
            </w:pPr>
            <w:r>
              <w:t xml:space="preserve">For </w:t>
            </w:r>
            <w:r w:rsidR="00F1707A">
              <w:t xml:space="preserve">Aboriginal and Torres Strait Islander </w:t>
            </w:r>
            <w:r>
              <w:t>only (crude rates and crude percentages):</w:t>
            </w:r>
          </w:p>
          <w:p w14:paraId="4F510162" w14:textId="77777777" w:rsidR="00680847" w:rsidRDefault="00680847" w:rsidP="00680847">
            <w:pPr>
              <w:pStyle w:val="TableBullet"/>
              <w:rPr>
                <w:szCs w:val="24"/>
              </w:rPr>
            </w:pPr>
            <w:r>
              <w:t>Five year aggregate data, by State and Territory, by selected causes of death</w:t>
            </w:r>
          </w:p>
          <w:p w14:paraId="71AEED7B" w14:textId="77777777" w:rsidR="00680847" w:rsidRDefault="00680847" w:rsidP="00680847">
            <w:pPr>
              <w:pStyle w:val="TableBullet"/>
              <w:rPr>
                <w:szCs w:val="24"/>
              </w:rPr>
            </w:pPr>
            <w:r>
              <w:t>Five year aggregate data, national only, by sex, by selected causes of death</w:t>
            </w:r>
          </w:p>
          <w:p w14:paraId="5ED98290" w14:textId="77777777" w:rsidR="00680847" w:rsidRDefault="00680847" w:rsidP="00680847">
            <w:pPr>
              <w:pStyle w:val="TableBullet"/>
              <w:rPr>
                <w:szCs w:val="24"/>
              </w:rPr>
            </w:pPr>
            <w:r>
              <w:t>Five year aggregate data, by State and Territory</w:t>
            </w:r>
            <w:r w:rsidR="00E50607">
              <w:t xml:space="preserve"> (</w:t>
            </w:r>
            <w:r>
              <w:t>all cause total</w:t>
            </w:r>
            <w:r w:rsidR="00E50607">
              <w:t>)</w:t>
            </w:r>
            <w:r>
              <w:t xml:space="preserve"> </w:t>
            </w:r>
          </w:p>
          <w:p w14:paraId="23C876DF" w14:textId="77777777" w:rsidR="00680847" w:rsidRDefault="00680847" w:rsidP="00450212">
            <w:pPr>
              <w:pStyle w:val="TableBodyText"/>
              <w:spacing w:before="80"/>
              <w:jc w:val="left"/>
            </w:pPr>
            <w:r>
              <w:t xml:space="preserve">For </w:t>
            </w:r>
            <w:r w:rsidR="00F1707A">
              <w:t xml:space="preserve">Aboriginal and Torres Strait Islander </w:t>
            </w:r>
            <w:r>
              <w:t>and non-Indigenous (age-standardised rates):</w:t>
            </w:r>
          </w:p>
          <w:p w14:paraId="5C84FCA3" w14:textId="77777777" w:rsidR="00680847" w:rsidRDefault="00680847" w:rsidP="00680847">
            <w:pPr>
              <w:pStyle w:val="TableBullet"/>
              <w:rPr>
                <w:szCs w:val="24"/>
              </w:rPr>
            </w:pPr>
            <w:r>
              <w:t>Single year data, by State and Territory, (all-cause total)</w:t>
            </w:r>
          </w:p>
          <w:p w14:paraId="74DCD8D2" w14:textId="77777777" w:rsidR="00680847" w:rsidRDefault="00680847" w:rsidP="00680847">
            <w:pPr>
              <w:pStyle w:val="TableBullet"/>
              <w:rPr>
                <w:szCs w:val="24"/>
              </w:rPr>
            </w:pPr>
            <w:r>
              <w:t>Single year data, national only, by sex, (all-cause total)</w:t>
            </w:r>
          </w:p>
          <w:p w14:paraId="5776E7CC" w14:textId="77777777" w:rsidR="00680847" w:rsidRDefault="00680847" w:rsidP="00680847">
            <w:pPr>
              <w:pStyle w:val="TableBullet"/>
              <w:rPr>
                <w:szCs w:val="24"/>
              </w:rPr>
            </w:pPr>
            <w:r>
              <w:t>Single year data, by State and Territory, (selected causes of death)</w:t>
            </w:r>
          </w:p>
          <w:p w14:paraId="07A77287" w14:textId="77777777" w:rsidR="00680847" w:rsidRDefault="00680847" w:rsidP="00680847">
            <w:pPr>
              <w:pStyle w:val="TableBullet"/>
              <w:rPr>
                <w:szCs w:val="24"/>
              </w:rPr>
            </w:pPr>
            <w:r>
              <w:t>Five year aggregate data, by State and Territory, (selected causes of death)</w:t>
            </w:r>
          </w:p>
          <w:p w14:paraId="3DE14A5C" w14:textId="77777777" w:rsidR="00680847" w:rsidRDefault="00680847" w:rsidP="00680847">
            <w:pPr>
              <w:pStyle w:val="TableBullet"/>
              <w:rPr>
                <w:szCs w:val="24"/>
              </w:rPr>
            </w:pPr>
            <w:r>
              <w:t>Five year aggregate data, by State and Territory, by sex, (selected causes of death)</w:t>
            </w:r>
          </w:p>
          <w:p w14:paraId="06EE706F" w14:textId="77777777" w:rsidR="00680847" w:rsidRPr="002B469C" w:rsidRDefault="00680847" w:rsidP="002B469C">
            <w:pPr>
              <w:pStyle w:val="TableBullet"/>
              <w:rPr>
                <w:szCs w:val="24"/>
              </w:rPr>
            </w:pPr>
            <w:r>
              <w:t>Five year aggregate data, by State and Territory, (all cause total)</w:t>
            </w:r>
          </w:p>
        </w:tc>
      </w:tr>
    </w:tbl>
    <w:p w14:paraId="1FE32ED2" w14:textId="77777777" w:rsidR="00F40323" w:rsidRDefault="00F40323" w:rsidP="008F5A63">
      <w:pPr>
        <w:pStyle w:val="BoxSpaceAbove"/>
        <w:spacing w:before="240"/>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1CAAD0DA" w14:textId="77777777" w:rsidTr="008F5A63">
        <w:tc>
          <w:tcPr>
            <w:tcW w:w="8789" w:type="dxa"/>
            <w:tcBorders>
              <w:top w:val="single" w:sz="6" w:space="0" w:color="78A22F"/>
              <w:left w:val="nil"/>
              <w:bottom w:val="nil"/>
              <w:right w:val="nil"/>
            </w:tcBorders>
            <w:shd w:val="clear" w:color="auto" w:fill="F2F2F2"/>
          </w:tcPr>
          <w:p w14:paraId="6987E00A" w14:textId="60A43E44" w:rsidR="00680847" w:rsidRDefault="00680847" w:rsidP="00291F8D">
            <w:pPr>
              <w:pStyle w:val="BoxTitle"/>
            </w:pPr>
            <w:r>
              <w:rPr>
                <w:b w:val="0"/>
              </w:rPr>
              <w:t>Box</w:t>
            </w:r>
            <w:r w:rsidR="00F62402">
              <w:rPr>
                <w:b w:val="0"/>
              </w:rPr>
              <w:t xml:space="preserve"> </w:t>
            </w:r>
            <w:r w:rsidR="00A8151B">
              <w:rPr>
                <w:b w:val="0"/>
              </w:rPr>
              <w:t>1</w:t>
            </w:r>
            <w:r w:rsidR="00291F8D">
              <w:rPr>
                <w:b w:val="0"/>
              </w:rPr>
              <w:t>5</w:t>
            </w:r>
            <w:r>
              <w:tab/>
              <w:t>Results</w:t>
            </w:r>
          </w:p>
        </w:tc>
      </w:tr>
      <w:tr w:rsidR="00680847" w:rsidRPr="00680847" w14:paraId="2A2E385D" w14:textId="77777777" w:rsidTr="008F5A63">
        <w:trPr>
          <w:cantSplit/>
        </w:trPr>
        <w:tc>
          <w:tcPr>
            <w:tcW w:w="8789" w:type="dxa"/>
            <w:tcBorders>
              <w:top w:val="nil"/>
              <w:left w:val="nil"/>
              <w:bottom w:val="nil"/>
              <w:right w:val="nil"/>
            </w:tcBorders>
            <w:shd w:val="clear" w:color="auto" w:fill="F2F2F2"/>
          </w:tcPr>
          <w:p w14:paraId="601B0047" w14:textId="167A9D0F" w:rsidR="00657D43" w:rsidRDefault="00680847" w:rsidP="00657D43">
            <w:pPr>
              <w:pStyle w:val="Box"/>
            </w:pPr>
            <w:r w:rsidRPr="00680847">
              <w:t xml:space="preserve">For this report, new </w:t>
            </w:r>
            <w:r w:rsidR="00794590">
              <w:t xml:space="preserve">cause of death </w:t>
            </w:r>
            <w:r w:rsidRPr="00680847">
              <w:t xml:space="preserve">data for this indicator are available for </w:t>
            </w:r>
            <w:r w:rsidR="00B47864" w:rsidRPr="00680847">
              <w:t>201</w:t>
            </w:r>
            <w:r w:rsidR="00B47864">
              <w:t>7</w:t>
            </w:r>
            <w:r w:rsidRPr="00680847">
              <w:t xml:space="preserve">. This results in new aggregate year data for </w:t>
            </w:r>
            <w:r w:rsidR="00B47864" w:rsidRPr="00680847">
              <w:t>20</w:t>
            </w:r>
            <w:r w:rsidR="00B47864">
              <w:t>13</w:t>
            </w:r>
            <w:r w:rsidRPr="00680847">
              <w:t>–</w:t>
            </w:r>
            <w:r w:rsidR="00B47864" w:rsidRPr="00680847">
              <w:t>201</w:t>
            </w:r>
            <w:r w:rsidR="00B47864">
              <w:t>7</w:t>
            </w:r>
            <w:r w:rsidR="0048444D">
              <w:t xml:space="preserve">. </w:t>
            </w:r>
          </w:p>
          <w:p w14:paraId="06E68FC5" w14:textId="3DDB2063" w:rsidR="00680847" w:rsidRPr="0048444D" w:rsidRDefault="00F1707A" w:rsidP="00680847">
            <w:pPr>
              <w:pStyle w:val="BoxListBullet"/>
            </w:pPr>
            <w:r>
              <w:t>Aboriginal and Torres Strait Islander</w:t>
            </w:r>
            <w:r w:rsidR="00680847" w:rsidRPr="0048444D">
              <w:t xml:space="preserve"> mortality rates and proportions (crude) by State and Territory are presented in tables </w:t>
            </w:r>
            <w:proofErr w:type="spellStart"/>
            <w:r w:rsidR="00680847" w:rsidRPr="0048444D">
              <w:t>NIRA.2.1</w:t>
            </w:r>
            <w:proofErr w:type="spellEnd"/>
            <w:r w:rsidR="008E3756" w:rsidRPr="0048444D">
              <w:t>–2.</w:t>
            </w:r>
            <w:r w:rsidR="00794590">
              <w:t>2</w:t>
            </w:r>
          </w:p>
          <w:p w14:paraId="5626223A" w14:textId="1A7644CB" w:rsidR="00680847" w:rsidRPr="0048444D" w:rsidRDefault="00F1707A" w:rsidP="00680847">
            <w:pPr>
              <w:pStyle w:val="BoxListBullet"/>
            </w:pPr>
            <w:r>
              <w:t xml:space="preserve">Aboriginal and Torres Strait Islander </w:t>
            </w:r>
            <w:r w:rsidR="00680847" w:rsidRPr="0048444D">
              <w:t>mortality rates and proportion (crude) by sex are presented in tables</w:t>
            </w:r>
            <w:r w:rsidR="00C77CA4" w:rsidRPr="0048444D">
              <w:t> </w:t>
            </w:r>
            <w:proofErr w:type="spellStart"/>
            <w:r w:rsidR="00657D43" w:rsidRPr="0048444D">
              <w:t>NIRA.2.</w:t>
            </w:r>
            <w:r w:rsidR="00794590">
              <w:t>3</w:t>
            </w:r>
            <w:proofErr w:type="spellEnd"/>
            <w:r w:rsidR="00680847" w:rsidRPr="0048444D">
              <w:t>–</w:t>
            </w:r>
            <w:r w:rsidR="008E3756" w:rsidRPr="0048444D">
              <w:t>2.</w:t>
            </w:r>
            <w:r w:rsidR="00794590">
              <w:t>4</w:t>
            </w:r>
            <w:r w:rsidR="00680847" w:rsidRPr="0048444D">
              <w:t>.</w:t>
            </w:r>
          </w:p>
          <w:p w14:paraId="0FFBE49D" w14:textId="4639D685" w:rsidR="00680847" w:rsidRDefault="003917D1" w:rsidP="00680847">
            <w:pPr>
              <w:pStyle w:val="BoxListBullet"/>
            </w:pPr>
            <w:r>
              <w:t>S</w:t>
            </w:r>
            <w:r w:rsidR="00680847" w:rsidRPr="0048444D">
              <w:t>ingle year mortality rates (age standardised) by State and Territory</w:t>
            </w:r>
            <w:r w:rsidR="00657D43" w:rsidRPr="0048444D">
              <w:t xml:space="preserve"> are presented </w:t>
            </w:r>
            <w:r w:rsidR="00657D43" w:rsidRPr="00AC128F">
              <w:t>in table </w:t>
            </w:r>
            <w:proofErr w:type="spellStart"/>
            <w:r w:rsidR="00657D43" w:rsidRPr="00AC128F">
              <w:t>NIRA.2.</w:t>
            </w:r>
            <w:r w:rsidR="00794590">
              <w:t>5</w:t>
            </w:r>
            <w:proofErr w:type="spellEnd"/>
            <w:r w:rsidR="00F95FD1">
              <w:t>–</w:t>
            </w:r>
            <w:r w:rsidR="00794590">
              <w:t>7</w:t>
            </w:r>
          </w:p>
          <w:p w14:paraId="4D7E10D5" w14:textId="33E77DB1" w:rsidR="00680847" w:rsidRPr="00AC128F" w:rsidRDefault="003917D1" w:rsidP="0071084C">
            <w:pPr>
              <w:pStyle w:val="BoxListBullet"/>
            </w:pPr>
            <w:r>
              <w:t>M</w:t>
            </w:r>
            <w:r w:rsidR="00680847" w:rsidRPr="00AC128F">
              <w:t>ortality rates (age standardised) by State and Territory are presented in table</w:t>
            </w:r>
            <w:r w:rsidR="00C77CA4" w:rsidRPr="00AC128F">
              <w:t> </w:t>
            </w:r>
            <w:proofErr w:type="spellStart"/>
            <w:r w:rsidR="00680847" w:rsidRPr="00AC128F">
              <w:t>NIRA.2.</w:t>
            </w:r>
            <w:r w:rsidR="00794590">
              <w:t>8</w:t>
            </w:r>
            <w:proofErr w:type="spellEnd"/>
          </w:p>
          <w:p w14:paraId="7858A540" w14:textId="52CDACD1" w:rsidR="00680847" w:rsidRPr="00AC128F" w:rsidRDefault="003917D1" w:rsidP="00680847">
            <w:pPr>
              <w:pStyle w:val="BoxListBullet"/>
            </w:pPr>
            <w:r>
              <w:t>M</w:t>
            </w:r>
            <w:r w:rsidR="00680847" w:rsidRPr="00AC128F">
              <w:t xml:space="preserve">ortality rates (age standardised) by State and Territory, by sex are presented in table </w:t>
            </w:r>
            <w:proofErr w:type="spellStart"/>
            <w:r w:rsidR="00680847" w:rsidRPr="00AC128F">
              <w:t>NIRA.2.</w:t>
            </w:r>
            <w:r w:rsidR="00794590">
              <w:t>9</w:t>
            </w:r>
            <w:proofErr w:type="spellEnd"/>
            <w:r w:rsidR="009D1B6E" w:rsidRPr="00AC128F">
              <w:t>.</w:t>
            </w:r>
          </w:p>
          <w:p w14:paraId="7BC87B56" w14:textId="62D6C521" w:rsidR="00680847" w:rsidRPr="00AC128F" w:rsidRDefault="00680847" w:rsidP="00680847">
            <w:pPr>
              <w:pStyle w:val="Box"/>
            </w:pPr>
            <w:r w:rsidRPr="00680847">
              <w:t xml:space="preserve">Data for all-cause mortality (not disaggregated by cause of death) are available for </w:t>
            </w:r>
            <w:r w:rsidR="00A8151B" w:rsidRPr="00680847">
              <w:t>201</w:t>
            </w:r>
            <w:r w:rsidR="00A8151B">
              <w:t>7</w:t>
            </w:r>
            <w:r w:rsidRPr="00680847">
              <w:t xml:space="preserve">. This results in new aggregate year data for </w:t>
            </w:r>
            <w:r w:rsidR="00A8151B" w:rsidRPr="00680847">
              <w:t>20</w:t>
            </w:r>
            <w:r w:rsidR="00A8151B">
              <w:t>13</w:t>
            </w:r>
            <w:r w:rsidRPr="00680847">
              <w:t>–</w:t>
            </w:r>
            <w:r w:rsidR="00A8151B" w:rsidRPr="00680847">
              <w:t>201</w:t>
            </w:r>
            <w:r w:rsidR="00A8151B">
              <w:t>7</w:t>
            </w:r>
            <w:r w:rsidRPr="00680847">
              <w:t>.</w:t>
            </w:r>
            <w:r w:rsidR="00AC128F">
              <w:t xml:space="preserve"> </w:t>
            </w:r>
          </w:p>
          <w:p w14:paraId="29342A6C" w14:textId="5353DCA8" w:rsidR="00794590" w:rsidRDefault="003917D1" w:rsidP="00680847">
            <w:pPr>
              <w:pStyle w:val="BoxListBullet"/>
            </w:pPr>
            <w:r>
              <w:t>A</w:t>
            </w:r>
            <w:r w:rsidR="00794590" w:rsidRPr="000A1A31">
              <w:t xml:space="preserve">ll-cause mortality </w:t>
            </w:r>
            <w:r w:rsidR="00794590">
              <w:t>(</w:t>
            </w:r>
            <w:r>
              <w:t>crude rate</w:t>
            </w:r>
            <w:r w:rsidR="00794590">
              <w:t xml:space="preserve">) </w:t>
            </w:r>
            <w:r w:rsidR="00794590" w:rsidRPr="000A1A31">
              <w:t>by State and Territory are presented in table </w:t>
            </w:r>
            <w:proofErr w:type="spellStart"/>
            <w:r w:rsidR="00794590" w:rsidRPr="000A1A31">
              <w:t>NIRA.2.1</w:t>
            </w:r>
            <w:r w:rsidR="00794590">
              <w:t>0</w:t>
            </w:r>
            <w:proofErr w:type="spellEnd"/>
          </w:p>
          <w:p w14:paraId="436EF129" w14:textId="190ED0B3" w:rsidR="00680847" w:rsidRPr="00AC128F" w:rsidRDefault="003917D1" w:rsidP="0071084C">
            <w:pPr>
              <w:pStyle w:val="BoxListBullet"/>
            </w:pPr>
            <w:r>
              <w:t>S</w:t>
            </w:r>
            <w:r w:rsidR="00680847" w:rsidRPr="00AC128F">
              <w:t xml:space="preserve">ingle year mortality rates (age standardised) by State and Territory are presented in table </w:t>
            </w:r>
            <w:proofErr w:type="spellStart"/>
            <w:r w:rsidR="00680847" w:rsidRPr="00AC128F">
              <w:t>NIRA.2.1</w:t>
            </w:r>
            <w:r w:rsidR="00794590">
              <w:t>1</w:t>
            </w:r>
            <w:proofErr w:type="spellEnd"/>
          </w:p>
          <w:p w14:paraId="12269241" w14:textId="26BE746E" w:rsidR="00680847" w:rsidRPr="00AC128F" w:rsidRDefault="003917D1" w:rsidP="00680847">
            <w:pPr>
              <w:pStyle w:val="BoxListBullet"/>
            </w:pPr>
            <w:r>
              <w:t>S</w:t>
            </w:r>
            <w:r w:rsidR="00680847" w:rsidRPr="00AC128F">
              <w:t xml:space="preserve">ingle year mortality rates (age standardised) by sex are presented in table  </w:t>
            </w:r>
            <w:proofErr w:type="spellStart"/>
            <w:r w:rsidR="00680847" w:rsidRPr="00AC128F">
              <w:t>NIRA</w:t>
            </w:r>
            <w:r w:rsidR="00A15490" w:rsidRPr="00AC128F">
              <w:t>.</w:t>
            </w:r>
            <w:r w:rsidR="00AC128F" w:rsidRPr="00AC128F">
              <w:t>2.</w:t>
            </w:r>
            <w:r w:rsidR="003F4701">
              <w:t>12</w:t>
            </w:r>
            <w:proofErr w:type="spellEnd"/>
          </w:p>
          <w:p w14:paraId="6CC591B7" w14:textId="5D06FF8C" w:rsidR="00680847" w:rsidRPr="00337E5B" w:rsidRDefault="003917D1" w:rsidP="00680847">
            <w:pPr>
              <w:pStyle w:val="BoxListBullet"/>
            </w:pPr>
            <w:r>
              <w:t>Mo</w:t>
            </w:r>
            <w:r w:rsidR="00680847" w:rsidRPr="00337E5B">
              <w:t>rtality rates (age standardised) by State and Territory</w:t>
            </w:r>
            <w:r w:rsidR="00337E5B" w:rsidRPr="00337E5B">
              <w:t xml:space="preserve"> </w:t>
            </w:r>
            <w:r w:rsidR="00C10C77">
              <w:t xml:space="preserve">are presented in table </w:t>
            </w:r>
            <w:proofErr w:type="spellStart"/>
            <w:r w:rsidR="00C10C77">
              <w:t>NIRA.2.</w:t>
            </w:r>
            <w:r w:rsidR="003F4701">
              <w:t>13</w:t>
            </w:r>
            <w:proofErr w:type="spellEnd"/>
            <w:r w:rsidR="009D1B6E" w:rsidRPr="00337E5B">
              <w:t>.</w:t>
            </w:r>
          </w:p>
          <w:p w14:paraId="68FC17E9" w14:textId="71982398" w:rsidR="00BD59E4" w:rsidRPr="00680847" w:rsidRDefault="00EB1279" w:rsidP="00EB1279">
            <w:pPr>
              <w:pStyle w:val="Box"/>
            </w:pPr>
            <w:r>
              <w:t xml:space="preserve">Revised data for 2014 and 2015 are available in this report. </w:t>
            </w:r>
            <w:r w:rsidR="00A8151B">
              <w:t xml:space="preserve">Data for 2016 are available in the 2016-17 </w:t>
            </w:r>
            <w:proofErr w:type="spellStart"/>
            <w:r w:rsidR="00A8151B">
              <w:t>NIRA</w:t>
            </w:r>
            <w:proofErr w:type="spellEnd"/>
            <w:r w:rsidR="00A8151B">
              <w:t xml:space="preserve"> performance report. </w:t>
            </w:r>
            <w:r w:rsidR="00794590">
              <w:t xml:space="preserve">Data for </w:t>
            </w:r>
            <w:r>
              <w:t xml:space="preserve">2013 </w:t>
            </w:r>
            <w:r w:rsidR="0066162F">
              <w:t>are available</w:t>
            </w:r>
            <w:r w:rsidR="00794590">
              <w:t xml:space="preserve"> in the 2015-16 </w:t>
            </w:r>
            <w:proofErr w:type="spellStart"/>
            <w:r w:rsidR="00794590">
              <w:t>NIRA</w:t>
            </w:r>
            <w:proofErr w:type="spellEnd"/>
            <w:r w:rsidR="00794590">
              <w:t xml:space="preserve"> performance report. </w:t>
            </w:r>
            <w:r w:rsidR="0066162F">
              <w:t xml:space="preserve">Data for 2012 are available in the 2014-15 </w:t>
            </w:r>
            <w:proofErr w:type="spellStart"/>
            <w:r w:rsidR="0066162F">
              <w:t>NIRA</w:t>
            </w:r>
            <w:proofErr w:type="spellEnd"/>
            <w:r w:rsidR="0066162F">
              <w:t xml:space="preserve"> performance report. Data for </w:t>
            </w:r>
            <w:r w:rsidR="003F4701">
              <w:t xml:space="preserve">2013, </w:t>
            </w:r>
            <w:r w:rsidR="0066162F">
              <w:t xml:space="preserve">2011, 2010, 2009, 2008, 2007 and 2006 are available in the 2013-14 </w:t>
            </w:r>
            <w:proofErr w:type="spellStart"/>
            <w:r w:rsidR="0066162F">
              <w:t>NIRA</w:t>
            </w:r>
            <w:proofErr w:type="spellEnd"/>
            <w:r w:rsidR="0066162F">
              <w:t xml:space="preserve"> performance report.</w:t>
            </w:r>
          </w:p>
        </w:tc>
      </w:tr>
      <w:tr w:rsidR="00680847" w14:paraId="6E1F24EE" w14:textId="77777777" w:rsidTr="008F5A63">
        <w:trPr>
          <w:cantSplit/>
        </w:trPr>
        <w:tc>
          <w:tcPr>
            <w:tcW w:w="8789" w:type="dxa"/>
            <w:tcBorders>
              <w:top w:val="nil"/>
              <w:left w:val="nil"/>
              <w:bottom w:val="single" w:sz="6" w:space="0" w:color="78A22F"/>
              <w:right w:val="nil"/>
            </w:tcBorders>
            <w:shd w:val="clear" w:color="auto" w:fill="F2F2F2"/>
          </w:tcPr>
          <w:p w14:paraId="4A34FEC8" w14:textId="77777777" w:rsidR="00680847" w:rsidRDefault="00680847">
            <w:pPr>
              <w:pStyle w:val="Box"/>
              <w:spacing w:before="0" w:line="120" w:lineRule="exact"/>
            </w:pPr>
          </w:p>
        </w:tc>
      </w:tr>
      <w:tr w:rsidR="00680847" w:rsidRPr="000863A5" w14:paraId="04BE3571" w14:textId="77777777" w:rsidTr="008F5A63">
        <w:tc>
          <w:tcPr>
            <w:tcW w:w="8789" w:type="dxa"/>
            <w:tcBorders>
              <w:top w:val="single" w:sz="6" w:space="0" w:color="78A22F"/>
              <w:left w:val="nil"/>
              <w:bottom w:val="nil"/>
              <w:right w:val="nil"/>
            </w:tcBorders>
          </w:tcPr>
          <w:p w14:paraId="3BD8BC57" w14:textId="77777777" w:rsidR="00680847" w:rsidRPr="00626D32" w:rsidRDefault="00680847" w:rsidP="00680847">
            <w:pPr>
              <w:pStyle w:val="BoxSpaceBelow"/>
            </w:pPr>
          </w:p>
        </w:tc>
      </w:tr>
    </w:tbl>
    <w:p w14:paraId="1014EFBE" w14:textId="77777777" w:rsidR="00680847" w:rsidRDefault="00680847">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7DC4490B" w14:textId="77777777" w:rsidTr="008F5A63">
        <w:tc>
          <w:tcPr>
            <w:tcW w:w="8789" w:type="dxa"/>
            <w:tcBorders>
              <w:top w:val="single" w:sz="6" w:space="0" w:color="78A22F"/>
              <w:left w:val="nil"/>
              <w:bottom w:val="nil"/>
              <w:right w:val="nil"/>
            </w:tcBorders>
            <w:shd w:val="clear" w:color="auto" w:fill="F2F2F2"/>
          </w:tcPr>
          <w:p w14:paraId="0E3E0EA3" w14:textId="44F2FC6F" w:rsidR="00680847" w:rsidRDefault="00680847" w:rsidP="00291F8D">
            <w:pPr>
              <w:pStyle w:val="BoxTitle"/>
            </w:pPr>
            <w:r w:rsidRPr="00606B68">
              <w:rPr>
                <w:b w:val="0"/>
              </w:rPr>
              <w:t>Box</w:t>
            </w:r>
            <w:r w:rsidR="00B1719E" w:rsidRPr="003C599F">
              <w:rPr>
                <w:b w:val="0"/>
              </w:rPr>
              <w:t xml:space="preserve"> </w:t>
            </w:r>
            <w:r w:rsidR="00A8151B" w:rsidRPr="003C599F">
              <w:rPr>
                <w:b w:val="0"/>
              </w:rPr>
              <w:t>1</w:t>
            </w:r>
            <w:r w:rsidR="00291F8D">
              <w:rPr>
                <w:b w:val="0"/>
              </w:rPr>
              <w:t>6</w:t>
            </w:r>
            <w:r w:rsidRPr="00606B68">
              <w:tab/>
              <w:t>Comment on data quality</w:t>
            </w:r>
          </w:p>
        </w:tc>
      </w:tr>
      <w:tr w:rsidR="00680847" w:rsidRPr="00680847" w14:paraId="36F79ACB" w14:textId="77777777" w:rsidTr="008F5A63">
        <w:trPr>
          <w:cantSplit/>
        </w:trPr>
        <w:tc>
          <w:tcPr>
            <w:tcW w:w="8789" w:type="dxa"/>
            <w:tcBorders>
              <w:top w:val="nil"/>
              <w:left w:val="nil"/>
              <w:bottom w:val="nil"/>
              <w:right w:val="nil"/>
            </w:tcBorders>
            <w:shd w:val="clear" w:color="auto" w:fill="F2F2F2"/>
          </w:tcPr>
          <w:p w14:paraId="6E333649" w14:textId="77777777" w:rsidR="00680847" w:rsidRPr="00F1640C" w:rsidRDefault="00680847" w:rsidP="00680847">
            <w:pPr>
              <w:pStyle w:val="Box"/>
              <w:keepLines/>
            </w:pPr>
            <w:r w:rsidRPr="00F1640C">
              <w:t>Key points on data quality for this indicator are summarised below.</w:t>
            </w:r>
          </w:p>
          <w:p w14:paraId="3DB68222" w14:textId="77777777" w:rsidR="00680847" w:rsidRPr="00F1640C" w:rsidRDefault="00680847" w:rsidP="00680847">
            <w:pPr>
              <w:pStyle w:val="BoxListBullet"/>
              <w:keepLines/>
            </w:pPr>
            <w:r w:rsidRPr="00F1640C">
              <w:t xml:space="preserve">The data provide relevant information on mortality by selected causes of death. Data by Indigenous status are reported for NSW, Queensland, WA, SA and </w:t>
            </w:r>
            <w:r w:rsidR="002C180B" w:rsidRPr="00F1640C">
              <w:t xml:space="preserve">the </w:t>
            </w:r>
            <w:r w:rsidRPr="00F1640C">
              <w:t xml:space="preserve">NT. Only these five jurisdictions have evidence of a sufficient level of </w:t>
            </w:r>
            <w:r w:rsidR="00F1707A">
              <w:t>Aboriginal and Torres Strait Islander</w:t>
            </w:r>
            <w:r w:rsidRPr="00F1640C">
              <w:t xml:space="preserve"> identification and </w:t>
            </w:r>
            <w:r w:rsidR="00F144E1" w:rsidRPr="00F1640C">
              <w:t xml:space="preserve">sufficient </w:t>
            </w:r>
            <w:r w:rsidRPr="00F1640C">
              <w:t xml:space="preserve">numbers of </w:t>
            </w:r>
            <w:r w:rsidR="009431D9">
              <w:t>Aboriginal and Torres Strait Islander</w:t>
            </w:r>
            <w:r w:rsidRPr="00F1640C">
              <w:t xml:space="preserve"> deaths to support mortality analysis, and do not have other significant data quality issues.</w:t>
            </w:r>
          </w:p>
          <w:p w14:paraId="1DAB36AF" w14:textId="5B4400C7" w:rsidR="008C5BAE" w:rsidRPr="00F1640C" w:rsidRDefault="00680847" w:rsidP="003770A0">
            <w:pPr>
              <w:pStyle w:val="BoxListBullet"/>
              <w:keepLines/>
            </w:pPr>
            <w:r w:rsidRPr="00F1640C">
              <w:t xml:space="preserve">Annual data are available. The most recent available data are for </w:t>
            </w:r>
            <w:r w:rsidR="005C047E" w:rsidRPr="00F1640C">
              <w:t>201</w:t>
            </w:r>
            <w:r w:rsidR="005C047E">
              <w:t>7</w:t>
            </w:r>
            <w:r w:rsidRPr="00F1640C">
              <w:t>.</w:t>
            </w:r>
            <w:r w:rsidR="006D3CB3">
              <w:t xml:space="preserve"> </w:t>
            </w:r>
          </w:p>
          <w:p w14:paraId="4C5D935E" w14:textId="4A26FE00" w:rsidR="00680847" w:rsidRPr="00F1640C" w:rsidRDefault="006D3CB3" w:rsidP="00680847">
            <w:pPr>
              <w:pStyle w:val="BoxListBullet"/>
              <w:keepLines/>
            </w:pPr>
            <w:r>
              <w:t>Single year c</w:t>
            </w:r>
            <w:r w:rsidR="009D1B6E" w:rsidRPr="00F1640C">
              <w:t>auses of death d</w:t>
            </w:r>
            <w:r w:rsidR="00723C57" w:rsidRPr="00F1640C">
              <w:t xml:space="preserve">ata for </w:t>
            </w:r>
            <w:r w:rsidR="00365846" w:rsidRPr="00F1640C">
              <w:t>201</w:t>
            </w:r>
            <w:r w:rsidR="00365846">
              <w:t xml:space="preserve">4 </w:t>
            </w:r>
            <w:r w:rsidR="00F11CC4">
              <w:t xml:space="preserve">and </w:t>
            </w:r>
            <w:r w:rsidR="00365846">
              <w:t>2015</w:t>
            </w:r>
            <w:r w:rsidR="00365846" w:rsidRPr="00F1640C">
              <w:t xml:space="preserve"> </w:t>
            </w:r>
            <w:r w:rsidR="00723C57" w:rsidRPr="00F1640C">
              <w:t xml:space="preserve">included in </w:t>
            </w:r>
            <w:r w:rsidR="00F11CC4">
              <w:t>earlier</w:t>
            </w:r>
            <w:r w:rsidR="00680847" w:rsidRPr="00F1640C">
              <w:t xml:space="preserve"> </w:t>
            </w:r>
            <w:proofErr w:type="spellStart"/>
            <w:r w:rsidR="00680847" w:rsidRPr="00F1640C">
              <w:t>NIRA</w:t>
            </w:r>
            <w:proofErr w:type="spellEnd"/>
            <w:r w:rsidR="00680847" w:rsidRPr="00F1640C">
              <w:t xml:space="preserve"> performance report</w:t>
            </w:r>
            <w:r w:rsidR="00F11CC4">
              <w:t>s</w:t>
            </w:r>
            <w:r w:rsidR="00680847" w:rsidRPr="00F1640C">
              <w:t xml:space="preserve"> have been revised</w:t>
            </w:r>
            <w:r w:rsidR="00A12233">
              <w:t xml:space="preserve"> </w:t>
            </w:r>
            <w:r w:rsidR="00EB1279">
              <w:t xml:space="preserve">(2014 </w:t>
            </w:r>
            <w:r w:rsidR="00A12233">
              <w:t>as final</w:t>
            </w:r>
            <w:r w:rsidR="00EB1279">
              <w:t>)</w:t>
            </w:r>
            <w:r w:rsidR="00680847" w:rsidRPr="00F1640C">
              <w:t>, as coroner</w:t>
            </w:r>
            <w:r w:rsidR="00E10314">
              <w:t>-</w:t>
            </w:r>
            <w:r w:rsidR="00680847" w:rsidRPr="00F1640C">
              <w:t xml:space="preserve">certified deaths for </w:t>
            </w:r>
            <w:r w:rsidR="00F11CC4" w:rsidRPr="00F1640C">
              <w:t>th</w:t>
            </w:r>
            <w:r w:rsidR="00F11CC4">
              <w:t>ese</w:t>
            </w:r>
            <w:r w:rsidR="00F11CC4" w:rsidRPr="00F1640C">
              <w:t xml:space="preserve"> </w:t>
            </w:r>
            <w:r w:rsidR="00337E5B" w:rsidRPr="00F1640C">
              <w:t>year</w:t>
            </w:r>
            <w:r w:rsidR="00F11CC4">
              <w:t>s</w:t>
            </w:r>
            <w:r w:rsidR="00337E5B" w:rsidRPr="00F1640C">
              <w:t xml:space="preserve"> ha</w:t>
            </w:r>
            <w:r w:rsidR="00F95FD1">
              <w:t>ve</w:t>
            </w:r>
            <w:r w:rsidR="00680847" w:rsidRPr="00F1640C">
              <w:t xml:space="preserve"> been updated.</w:t>
            </w:r>
            <w:r w:rsidR="00337E5B" w:rsidRPr="00F1640C">
              <w:t xml:space="preserve"> Revised causes of deaths data were not available for </w:t>
            </w:r>
            <w:r w:rsidR="005C047E" w:rsidRPr="00F1640C">
              <w:t>201</w:t>
            </w:r>
            <w:r w:rsidR="005C047E">
              <w:t>6</w:t>
            </w:r>
            <w:r w:rsidR="005C047E" w:rsidRPr="00F1640C">
              <w:t xml:space="preserve"> </w:t>
            </w:r>
            <w:r w:rsidR="00A12233">
              <w:t xml:space="preserve">due to the earlier release date for </w:t>
            </w:r>
            <w:r w:rsidR="005C047E">
              <w:t xml:space="preserve">2017 </w:t>
            </w:r>
            <w:r w:rsidR="00BF6FAD">
              <w:t>data</w:t>
            </w:r>
            <w:r w:rsidR="00B6167F">
              <w:t xml:space="preserve">, and are </w:t>
            </w:r>
            <w:r w:rsidR="00794590">
              <w:t>anticipated to be available for the next report</w:t>
            </w:r>
            <w:r w:rsidR="00337E5B" w:rsidRPr="00F1640C">
              <w:t xml:space="preserve">. </w:t>
            </w:r>
          </w:p>
          <w:p w14:paraId="3CEB550A" w14:textId="77777777" w:rsidR="00680847" w:rsidRPr="00F1640C" w:rsidRDefault="00F1707A" w:rsidP="00680847">
            <w:pPr>
              <w:pStyle w:val="BoxListBullet"/>
              <w:keepLines/>
            </w:pPr>
            <w:r>
              <w:t>Aboriginal and Torres Strait Islander</w:t>
            </w:r>
            <w:r w:rsidR="00680847" w:rsidRPr="00F1640C">
              <w:t xml:space="preserve"> mortality rates should be used with caution (although the data are considered comparable across jurisdictions and over time):</w:t>
            </w:r>
          </w:p>
          <w:p w14:paraId="2B2A3CF2" w14:textId="4F5D6B49" w:rsidR="00680847" w:rsidRPr="00F1640C" w:rsidRDefault="00680847" w:rsidP="00680847">
            <w:pPr>
              <w:pStyle w:val="BoxListBullet2"/>
              <w:keepLines/>
            </w:pPr>
            <w:r w:rsidRPr="00F1640C">
              <w:t xml:space="preserve">although most deaths of </w:t>
            </w:r>
            <w:r w:rsidR="00F1707A">
              <w:t xml:space="preserve">Aboriginal and Torres Strait Islander </w:t>
            </w:r>
            <w:r w:rsidRPr="00F1640C">
              <w:t xml:space="preserve">people are registered, it is likely that some are not accurately identified and the </w:t>
            </w:r>
            <w:r w:rsidR="00F1707A">
              <w:t xml:space="preserve">Aboriginal and Torres Strait Islander </w:t>
            </w:r>
            <w:r w:rsidRPr="00F1640C">
              <w:t>mortality rate may be underestimated</w:t>
            </w:r>
            <w:r w:rsidR="00794590">
              <w:t>.</w:t>
            </w:r>
          </w:p>
          <w:p w14:paraId="0E70E15D" w14:textId="77777777" w:rsidR="001F73CA" w:rsidRPr="00F1640C" w:rsidRDefault="00680847" w:rsidP="001F73CA">
            <w:pPr>
              <w:pStyle w:val="BoxListBullet2"/>
              <w:keepLines/>
            </w:pPr>
            <w:r w:rsidRPr="00F1640C">
              <w:t xml:space="preserve">non-Indigenous population estimates are available for Census years only. In the intervening years, population estimates are only available for the total population and the </w:t>
            </w:r>
            <w:r w:rsidR="00F1707A">
              <w:t>Aboriginal and Torres Strait Islander</w:t>
            </w:r>
            <w:r w:rsidRPr="00F1640C">
              <w:t xml:space="preserve"> population, with non-Indigenous population estimates derived by subtracting the projected </w:t>
            </w:r>
            <w:r w:rsidR="00F1707A">
              <w:t xml:space="preserve">Aboriginal and Torres Strait Islander </w:t>
            </w:r>
            <w:r w:rsidRPr="00F1640C">
              <w:t>population from the total population. For this report</w:t>
            </w:r>
            <w:r w:rsidR="001F73CA" w:rsidRPr="00F1640C">
              <w:t xml:space="preserve"> </w:t>
            </w:r>
            <w:r w:rsidRPr="00F1640C">
              <w:t>the non</w:t>
            </w:r>
            <w:r w:rsidR="009D1B6E" w:rsidRPr="00F1640C">
              <w:noBreakHyphen/>
            </w:r>
            <w:r w:rsidRPr="00F1640C">
              <w:t>Indigenous population denominator has been ca</w:t>
            </w:r>
            <w:r w:rsidR="001F73CA" w:rsidRPr="00F1640C">
              <w:t>lculated by subtracting the 2011</w:t>
            </w:r>
            <w:r w:rsidRPr="00F1640C">
              <w:t xml:space="preserve"> Census based </w:t>
            </w:r>
            <w:r w:rsidR="00F1707A">
              <w:t xml:space="preserve">Aboriginal and Torres Strait Islander </w:t>
            </w:r>
            <w:r w:rsidR="001F73CA" w:rsidRPr="00F1640C">
              <w:t>Projections from the 2011</w:t>
            </w:r>
            <w:r w:rsidRPr="00F1640C">
              <w:t xml:space="preserve"> Census</w:t>
            </w:r>
            <w:r w:rsidR="009D1B6E" w:rsidRPr="00F1640C">
              <w:t xml:space="preserve"> </w:t>
            </w:r>
            <w:r w:rsidRPr="00F1640C">
              <w:t>base</w:t>
            </w:r>
            <w:r w:rsidR="009D1B6E" w:rsidRPr="00F1640C">
              <w:t>d</w:t>
            </w:r>
            <w:r w:rsidRPr="00F1640C">
              <w:t xml:space="preserve"> Estimated Resident Population</w:t>
            </w:r>
            <w:r w:rsidR="001F73CA" w:rsidRPr="00F1640C">
              <w:t>.</w:t>
            </w:r>
            <w:r w:rsidRPr="00F1640C">
              <w:t xml:space="preserve"> Such figures have a degree of uncertainty and should be used with caution, particularly as the time from the base year of the</w:t>
            </w:r>
            <w:r w:rsidR="001F73CA" w:rsidRPr="00F1640C">
              <w:t xml:space="preserve"> projection series increases. </w:t>
            </w:r>
          </w:p>
          <w:p w14:paraId="1B827146" w14:textId="77777777" w:rsidR="00680847" w:rsidRPr="00F1640C" w:rsidRDefault="00680847" w:rsidP="00680847">
            <w:pPr>
              <w:pStyle w:val="BoxListBullet"/>
              <w:keepLines/>
            </w:pPr>
            <w:r w:rsidRPr="00F1640C">
              <w:t>Detailed explanatory notes are publicly available to assist in the interpretation of results. Additional data from the data sources are available on-line, and on request.</w:t>
            </w:r>
          </w:p>
          <w:p w14:paraId="76403EA7" w14:textId="77777777" w:rsidR="00763368" w:rsidRPr="00F1640C" w:rsidRDefault="00763368" w:rsidP="00763368">
            <w:pPr>
              <w:pStyle w:val="Box"/>
              <w:keepLines/>
            </w:pPr>
            <w:r w:rsidRPr="00F1640C">
              <w:t>The Steering Committee also notes the following issues:</w:t>
            </w:r>
          </w:p>
          <w:p w14:paraId="19B07DAA" w14:textId="749A605F" w:rsidR="00763368" w:rsidRPr="00F1640C" w:rsidRDefault="00763368" w:rsidP="00763368">
            <w:pPr>
              <w:pStyle w:val="BoxListBullet"/>
              <w:keepLines/>
            </w:pPr>
            <w:r w:rsidRPr="00F1640C">
              <w:t xml:space="preserve">The </w:t>
            </w:r>
            <w:proofErr w:type="spellStart"/>
            <w:r w:rsidRPr="00F1640C">
              <w:t>NIRAPIMG</w:t>
            </w:r>
            <w:proofErr w:type="spellEnd"/>
            <w:r w:rsidRPr="00F1640C">
              <w:t xml:space="preserve"> has advised that single year data should only be used for time series analysis. Current period analysis should refer to the most recent aggregate years data</w:t>
            </w:r>
            <w:r w:rsidR="00F1640C" w:rsidRPr="00F1640C">
              <w:t xml:space="preserve"> (although the previous year aggregate is </w:t>
            </w:r>
            <w:r w:rsidR="00F95FD1">
              <w:t>also included</w:t>
            </w:r>
            <w:r w:rsidR="00F1640C" w:rsidRPr="00F1640C">
              <w:t xml:space="preserve"> in this report for completeness)</w:t>
            </w:r>
            <w:r w:rsidRPr="00F1640C">
              <w:t>.</w:t>
            </w:r>
          </w:p>
          <w:p w14:paraId="22D192F0" w14:textId="77777777" w:rsidR="00763368" w:rsidRPr="00F1640C" w:rsidRDefault="00763368" w:rsidP="00763368">
            <w:pPr>
              <w:pStyle w:val="BoxListBullet"/>
              <w:keepLines/>
            </w:pPr>
            <w:r w:rsidRPr="00F1640C">
              <w:t xml:space="preserve">Variability bands accompanying mortality data should be used for comparisons within a jurisdiction either at point in time or over time. They should not be used for comparisons across jurisdictions, as the variability bands (and underlying mortality rates) do not take into account differences in under-identification of </w:t>
            </w:r>
            <w:r w:rsidR="00F1707A">
              <w:t xml:space="preserve">Aboriginal and Torres Strait Islander </w:t>
            </w:r>
            <w:r w:rsidRPr="00F1640C">
              <w:t>Australians in deaths data across jurisdictions.</w:t>
            </w:r>
          </w:p>
          <w:p w14:paraId="5CFED328" w14:textId="77777777" w:rsidR="00680847" w:rsidRPr="00F1640C" w:rsidRDefault="00763368" w:rsidP="008D039F">
            <w:pPr>
              <w:pStyle w:val="BoxListBullet"/>
              <w:keepLines/>
            </w:pPr>
            <w:r w:rsidRPr="00F1640C">
              <w:t xml:space="preserve">Mortality rates disaggregated by Indigenous status and remoteness are not available for this cycle of reporting. </w:t>
            </w:r>
            <w:r w:rsidR="00C77CA4" w:rsidRPr="00F1640C">
              <w:t>T</w:t>
            </w:r>
            <w:r w:rsidRPr="00F1640C">
              <w:t xml:space="preserve">he ABS has advised that further analysis is required to determine what </w:t>
            </w:r>
            <w:r w:rsidR="00C77CA4" w:rsidRPr="00F1640C">
              <w:t xml:space="preserve">data </w:t>
            </w:r>
            <w:r w:rsidRPr="00F1640C">
              <w:t xml:space="preserve">adjustments </w:t>
            </w:r>
            <w:r w:rsidR="00C77CA4" w:rsidRPr="00F1640C">
              <w:t xml:space="preserve">may be </w:t>
            </w:r>
            <w:r w:rsidRPr="00F1640C">
              <w:t xml:space="preserve">required for performance reporting purposes. While the ABS has published some unadjusted data in </w:t>
            </w:r>
            <w:r w:rsidRPr="00EA4095">
              <w:rPr>
                <w:i/>
              </w:rPr>
              <w:t>Deaths Australia</w:t>
            </w:r>
            <w:r w:rsidRPr="00F1640C">
              <w:t xml:space="preserve"> (Cat. no. 3302.0), these data should be used with caution, as the under-identification of Indigenous status in deaths registrations increases as remoteness decreases.</w:t>
            </w:r>
          </w:p>
        </w:tc>
      </w:tr>
      <w:tr w:rsidR="00680847" w14:paraId="42BD1572" w14:textId="77777777" w:rsidTr="008F5A63">
        <w:trPr>
          <w:cantSplit/>
        </w:trPr>
        <w:tc>
          <w:tcPr>
            <w:tcW w:w="8789" w:type="dxa"/>
            <w:tcBorders>
              <w:top w:val="nil"/>
              <w:left w:val="nil"/>
              <w:bottom w:val="single" w:sz="6" w:space="0" w:color="78A22F"/>
              <w:right w:val="nil"/>
            </w:tcBorders>
            <w:shd w:val="clear" w:color="auto" w:fill="F2F2F2"/>
          </w:tcPr>
          <w:p w14:paraId="53FA41D9" w14:textId="77777777" w:rsidR="00680847" w:rsidRPr="002533D1" w:rsidRDefault="00680847">
            <w:pPr>
              <w:pStyle w:val="Box"/>
              <w:spacing w:before="0" w:line="120" w:lineRule="exact"/>
              <w:rPr>
                <w:highlight w:val="yellow"/>
              </w:rPr>
            </w:pPr>
          </w:p>
        </w:tc>
      </w:tr>
      <w:tr w:rsidR="00680847" w:rsidRPr="000863A5" w14:paraId="11F66D50" w14:textId="77777777" w:rsidTr="008F5A63">
        <w:tc>
          <w:tcPr>
            <w:tcW w:w="8789" w:type="dxa"/>
            <w:tcBorders>
              <w:top w:val="single" w:sz="6" w:space="0" w:color="78A22F"/>
              <w:left w:val="nil"/>
              <w:bottom w:val="nil"/>
              <w:right w:val="nil"/>
            </w:tcBorders>
          </w:tcPr>
          <w:p w14:paraId="6AEC9AAA" w14:textId="77777777" w:rsidR="00680847" w:rsidRPr="00626D32" w:rsidRDefault="00680847" w:rsidP="00680847">
            <w:pPr>
              <w:pStyle w:val="BoxSpaceBelow"/>
            </w:pPr>
          </w:p>
        </w:tc>
      </w:tr>
    </w:tbl>
    <w:p w14:paraId="35CC4BC9" w14:textId="77777777" w:rsidR="00680847" w:rsidRDefault="00680847" w:rsidP="001A52CA">
      <w:pPr>
        <w:pStyle w:val="Heading3"/>
        <w:keepLines/>
      </w:pPr>
      <w:bookmarkStart w:id="6" w:name="_Ref375126254"/>
      <w:r w:rsidRPr="00921D4D">
        <w:lastRenderedPageBreak/>
        <w:t xml:space="preserve">Indicator 3: </w:t>
      </w:r>
      <w:r>
        <w:t>Rates of current daily smokers</w:t>
      </w:r>
      <w:bookmarkEnd w:id="6"/>
    </w:p>
    <w:p w14:paraId="798440EC" w14:textId="77777777" w:rsidR="00BD5DEA" w:rsidRPr="00BD5DEA" w:rsidRDefault="00BD5DEA" w:rsidP="00BD5DEA">
      <w:pPr>
        <w:keepNext/>
      </w:pPr>
    </w:p>
    <w:tbl>
      <w:tblPr>
        <w:tblW w:w="0" w:type="auto"/>
        <w:tblCellMar>
          <w:right w:w="0" w:type="dxa"/>
        </w:tblCellMar>
        <w:tblLook w:val="0000" w:firstRow="0" w:lastRow="0" w:firstColumn="0" w:lastColumn="0" w:noHBand="0" w:noVBand="0"/>
      </w:tblPr>
      <w:tblGrid>
        <w:gridCol w:w="2080"/>
        <w:gridCol w:w="6709"/>
      </w:tblGrid>
      <w:tr w:rsidR="00680847" w:rsidRPr="00D87AA9" w14:paraId="218BA300" w14:textId="77777777" w:rsidTr="008F5A63">
        <w:trPr>
          <w:trHeight w:val="747"/>
        </w:trPr>
        <w:tc>
          <w:tcPr>
            <w:tcW w:w="2080" w:type="dxa"/>
          </w:tcPr>
          <w:p w14:paraId="61BB94F2" w14:textId="2B8BA63F" w:rsidR="00680847" w:rsidRPr="008E3756" w:rsidRDefault="00680847" w:rsidP="001A52CA">
            <w:pPr>
              <w:pStyle w:val="TableBodyText"/>
              <w:jc w:val="left"/>
            </w:pPr>
            <w:r w:rsidRPr="00B82DC5">
              <w:t>Key amendments fr</w:t>
            </w:r>
            <w:r w:rsidR="008E3756">
              <w:t>om previous cycle of reporting:</w:t>
            </w:r>
          </w:p>
        </w:tc>
        <w:tc>
          <w:tcPr>
            <w:tcW w:w="6709" w:type="dxa"/>
          </w:tcPr>
          <w:p w14:paraId="6ACEFB4D" w14:textId="277599A0" w:rsidR="00680847" w:rsidRPr="00E33DC4" w:rsidRDefault="007D6965" w:rsidP="001A52CA">
            <w:pPr>
              <w:pStyle w:val="TableBodyText"/>
              <w:jc w:val="left"/>
            </w:pPr>
            <w:r w:rsidRPr="005332B8">
              <w:t xml:space="preserve">This </w:t>
            </w:r>
            <w:r>
              <w:t xml:space="preserve">indicator is </w:t>
            </w:r>
            <w:r w:rsidRPr="005332B8">
              <w:t>unchanged from</w:t>
            </w:r>
            <w:r w:rsidR="004F51D4">
              <w:t xml:space="preserve"> the</w:t>
            </w:r>
            <w:r w:rsidRPr="005332B8">
              <w:t xml:space="preserve"> previous </w:t>
            </w:r>
            <w:proofErr w:type="spellStart"/>
            <w:r w:rsidR="00F555B6">
              <w:t>NIRA</w:t>
            </w:r>
            <w:proofErr w:type="spellEnd"/>
            <w:r w:rsidR="00F555B6">
              <w:t xml:space="preserve"> performance report</w:t>
            </w:r>
          </w:p>
        </w:tc>
      </w:tr>
      <w:tr w:rsidR="00680847" w:rsidRPr="00D87AA9" w14:paraId="085AE26B" w14:textId="77777777" w:rsidTr="008F5A63">
        <w:tc>
          <w:tcPr>
            <w:tcW w:w="2080" w:type="dxa"/>
          </w:tcPr>
          <w:p w14:paraId="04F8EB61" w14:textId="77777777" w:rsidR="00680847" w:rsidRPr="00D87AA9" w:rsidRDefault="00680847" w:rsidP="002F2485">
            <w:pPr>
              <w:pStyle w:val="TableBodyText"/>
              <w:spacing w:before="80"/>
              <w:jc w:val="left"/>
            </w:pPr>
            <w:r w:rsidRPr="00D87AA9">
              <w:t>Target:</w:t>
            </w:r>
          </w:p>
        </w:tc>
        <w:tc>
          <w:tcPr>
            <w:tcW w:w="6709" w:type="dxa"/>
          </w:tcPr>
          <w:p w14:paraId="00B3AF5B" w14:textId="659367B0" w:rsidR="00680847" w:rsidRPr="00E33DC4" w:rsidRDefault="00680847" w:rsidP="002F2485">
            <w:pPr>
              <w:pStyle w:val="TableBodyText"/>
              <w:spacing w:before="80"/>
              <w:jc w:val="left"/>
            </w:pPr>
            <w:r w:rsidRPr="00E33DC4">
              <w:t>Closing the life expectancy gap within a generation (by 2031)</w:t>
            </w:r>
          </w:p>
        </w:tc>
      </w:tr>
      <w:tr w:rsidR="00680847" w:rsidRPr="00D87AA9" w14:paraId="54022DE7" w14:textId="77777777" w:rsidTr="008F5A63">
        <w:tc>
          <w:tcPr>
            <w:tcW w:w="2080" w:type="dxa"/>
          </w:tcPr>
          <w:p w14:paraId="21ACEABB" w14:textId="77777777" w:rsidR="00680847" w:rsidRPr="00D87AA9" w:rsidRDefault="00680847" w:rsidP="002F2485">
            <w:pPr>
              <w:pStyle w:val="TableBodyText"/>
              <w:spacing w:before="80"/>
              <w:jc w:val="left"/>
            </w:pPr>
            <w:r w:rsidRPr="00D87AA9">
              <w:t>Measure:</w:t>
            </w:r>
          </w:p>
        </w:tc>
        <w:tc>
          <w:tcPr>
            <w:tcW w:w="6709" w:type="dxa"/>
          </w:tcPr>
          <w:p w14:paraId="36B94C2A" w14:textId="3BAC49AB" w:rsidR="00680847" w:rsidRPr="00E33DC4" w:rsidRDefault="00680847" w:rsidP="002F2485">
            <w:pPr>
              <w:pStyle w:val="TableBodyText"/>
              <w:spacing w:before="80"/>
              <w:jc w:val="left"/>
            </w:pPr>
            <w:r w:rsidRPr="00E33DC4">
              <w:t>Proportion of adults who are current daily</w:t>
            </w:r>
            <w:r w:rsidR="002F2485">
              <w:t xml:space="preserve"> smokers, by Indigenous status.</w:t>
            </w:r>
          </w:p>
          <w:p w14:paraId="7DABA8B5" w14:textId="77777777" w:rsidR="00680847" w:rsidRPr="00E33DC4" w:rsidRDefault="00680847" w:rsidP="002F2485">
            <w:pPr>
              <w:pStyle w:val="TableBodyText"/>
              <w:spacing w:before="80"/>
              <w:jc w:val="left"/>
            </w:pPr>
            <w:r w:rsidRPr="00E33DC4">
              <w:t>The measure is defined as:</w:t>
            </w:r>
          </w:p>
          <w:p w14:paraId="3D741ED1" w14:textId="77777777" w:rsidR="00680847" w:rsidRPr="00E33DC4" w:rsidRDefault="00680847" w:rsidP="001A52CA">
            <w:pPr>
              <w:pStyle w:val="TableBullet"/>
              <w:rPr>
                <w:szCs w:val="24"/>
              </w:rPr>
            </w:pPr>
            <w:r w:rsidRPr="0078783D">
              <w:rPr>
                <w:i/>
              </w:rPr>
              <w:t>Numerator</w:t>
            </w:r>
            <w:r w:rsidRPr="00E33DC4">
              <w:t xml:space="preserve"> — people aged 18 years or over who smoke tobacco every day</w:t>
            </w:r>
          </w:p>
          <w:p w14:paraId="2ACF0388" w14:textId="77777777" w:rsidR="00680847" w:rsidRPr="00E33DC4" w:rsidRDefault="00680847" w:rsidP="001A52CA">
            <w:pPr>
              <w:pStyle w:val="TableBullet"/>
              <w:rPr>
                <w:szCs w:val="24"/>
              </w:rPr>
            </w:pPr>
            <w:r w:rsidRPr="0078783D">
              <w:rPr>
                <w:i/>
              </w:rPr>
              <w:t>Denominator</w:t>
            </w:r>
            <w:r w:rsidRPr="00E33DC4">
              <w:t xml:space="preserve"> — total population of people aged 18 years and over</w:t>
            </w:r>
          </w:p>
          <w:p w14:paraId="0F809C8B" w14:textId="3AE186FA" w:rsidR="00680847" w:rsidRPr="002F2485" w:rsidRDefault="00680847" w:rsidP="001A52CA">
            <w:pPr>
              <w:pStyle w:val="TableBodyText"/>
              <w:jc w:val="left"/>
              <w:rPr>
                <w:i/>
              </w:rPr>
            </w:pPr>
            <w:r w:rsidRPr="00E33DC4">
              <w:t xml:space="preserve">presented as a </w:t>
            </w:r>
            <w:r w:rsidRPr="00E33DC4">
              <w:rPr>
                <w:i/>
              </w:rPr>
              <w:t>rate per 100 persons (per cent).</w:t>
            </w:r>
          </w:p>
        </w:tc>
      </w:tr>
      <w:tr w:rsidR="00680847" w:rsidRPr="00D87AA9" w14:paraId="25109F0E" w14:textId="77777777" w:rsidTr="008F5A63">
        <w:tc>
          <w:tcPr>
            <w:tcW w:w="2080" w:type="dxa"/>
          </w:tcPr>
          <w:p w14:paraId="72A7D39A" w14:textId="77777777" w:rsidR="00680847" w:rsidRPr="00D87AA9" w:rsidRDefault="00680847" w:rsidP="002F2485">
            <w:pPr>
              <w:pStyle w:val="TableBodyText"/>
              <w:spacing w:before="80"/>
              <w:jc w:val="left"/>
            </w:pPr>
            <w:r w:rsidRPr="00D87AA9">
              <w:t>Data source:</w:t>
            </w:r>
          </w:p>
        </w:tc>
        <w:tc>
          <w:tcPr>
            <w:tcW w:w="6709" w:type="dxa"/>
          </w:tcPr>
          <w:p w14:paraId="2B6DAF3C" w14:textId="77777777" w:rsidR="00680847" w:rsidRPr="00E33DC4" w:rsidRDefault="00680847" w:rsidP="002F2485">
            <w:pPr>
              <w:pStyle w:val="TableBodyText"/>
              <w:spacing w:before="80"/>
              <w:jc w:val="left"/>
            </w:pPr>
            <w:r w:rsidRPr="00E33DC4">
              <w:rPr>
                <w:i/>
              </w:rPr>
              <w:t>Numerator and denominator</w:t>
            </w:r>
            <w:r w:rsidRPr="00E33DC4">
              <w:t xml:space="preserve"> — </w:t>
            </w:r>
          </w:p>
          <w:p w14:paraId="29E8670A" w14:textId="77777777" w:rsidR="00680847" w:rsidRPr="00E33DC4" w:rsidRDefault="00680847" w:rsidP="002F2485">
            <w:pPr>
              <w:pStyle w:val="TableBodyText"/>
              <w:spacing w:before="80"/>
              <w:jc w:val="left"/>
            </w:pPr>
            <w:r w:rsidRPr="0078783D">
              <w:t>(</w:t>
            </w:r>
            <w:r w:rsidR="00BA08B4">
              <w:t>Aboriginal and Torres Strait Islander</w:t>
            </w:r>
            <w:r w:rsidRPr="0078783D">
              <w:t>)</w:t>
            </w:r>
            <w:r w:rsidR="008D039F">
              <w:t xml:space="preserve"> </w:t>
            </w:r>
            <w:r w:rsidRPr="00E33DC4">
              <w:rPr>
                <w:u w:val="single"/>
              </w:rPr>
              <w:t>National Aboriginal and Torres Strait Islander Social Survey</w:t>
            </w:r>
            <w:r w:rsidRPr="00E33DC4">
              <w:t xml:space="preserve"> (</w:t>
            </w:r>
            <w:proofErr w:type="spellStart"/>
            <w:r w:rsidRPr="00E33DC4">
              <w:t>NATSISS</w:t>
            </w:r>
            <w:proofErr w:type="spellEnd"/>
            <w:r w:rsidRPr="00E33DC4">
              <w:t xml:space="preserve">) and the </w:t>
            </w:r>
            <w:r>
              <w:t xml:space="preserve">core </w:t>
            </w:r>
            <w:r w:rsidR="00573011">
              <w:t>component</w:t>
            </w:r>
            <w:r>
              <w:t xml:space="preserve"> (</w:t>
            </w:r>
            <w:proofErr w:type="spellStart"/>
            <w:r w:rsidRPr="00E33DC4">
              <w:t>NATSIHS</w:t>
            </w:r>
            <w:proofErr w:type="spellEnd"/>
            <w:r>
              <w:t xml:space="preserve"> plus </w:t>
            </w:r>
            <w:proofErr w:type="spellStart"/>
            <w:r>
              <w:t>NATSINPAS</w:t>
            </w:r>
            <w:proofErr w:type="spellEnd"/>
            <w:r w:rsidRPr="00E33DC4">
              <w:t xml:space="preserve">) of the </w:t>
            </w:r>
            <w:r w:rsidR="008D039F">
              <w:t xml:space="preserve">ABS </w:t>
            </w:r>
            <w:r w:rsidRPr="00E33DC4">
              <w:rPr>
                <w:u w:val="single"/>
              </w:rPr>
              <w:t>Australian Aboriginal and Torres Strait Islander Health Survey</w:t>
            </w:r>
            <w:r w:rsidRPr="00E33DC4">
              <w:t xml:space="preserve"> (</w:t>
            </w:r>
            <w:proofErr w:type="spellStart"/>
            <w:r w:rsidRPr="00E33DC4">
              <w:t>AATSIHS</w:t>
            </w:r>
            <w:proofErr w:type="spellEnd"/>
            <w:r w:rsidRPr="00E33DC4">
              <w:t xml:space="preserve">) for </w:t>
            </w:r>
            <w:r w:rsidR="00BA08B4">
              <w:t xml:space="preserve">Aboriginal and Torres Strait Islander </w:t>
            </w:r>
            <w:r w:rsidRPr="00E33DC4">
              <w:t>data. Data are collected on an alternating three-yearly cycle.</w:t>
            </w:r>
          </w:p>
          <w:p w14:paraId="6573C31A" w14:textId="7903ED33" w:rsidR="00680847" w:rsidRPr="00E33DC4" w:rsidRDefault="00680847" w:rsidP="002F2485">
            <w:pPr>
              <w:pStyle w:val="TableBodyText"/>
              <w:spacing w:before="80"/>
              <w:jc w:val="left"/>
            </w:pPr>
            <w:r w:rsidRPr="0078783D">
              <w:t>(</w:t>
            </w:r>
            <w:r w:rsidR="00F4543D">
              <w:t>N</w:t>
            </w:r>
            <w:r w:rsidRPr="0078783D">
              <w:t>on-Indigenous)</w:t>
            </w:r>
            <w:r w:rsidRPr="00E33DC4">
              <w:rPr>
                <w:i/>
              </w:rPr>
              <w:t xml:space="preserve"> </w:t>
            </w:r>
            <w:r w:rsidR="00573011">
              <w:t xml:space="preserve">core component </w:t>
            </w:r>
            <w:r>
              <w:t xml:space="preserve">(NHS plus </w:t>
            </w:r>
            <w:proofErr w:type="spellStart"/>
            <w:r>
              <w:t>NNPAS</w:t>
            </w:r>
            <w:proofErr w:type="spellEnd"/>
            <w:r>
              <w:t>) of the</w:t>
            </w:r>
            <w:r w:rsidR="008D039F">
              <w:t xml:space="preserve"> ABS</w:t>
            </w:r>
            <w:r>
              <w:t xml:space="preserve"> </w:t>
            </w:r>
            <w:r w:rsidRPr="00E33DC4">
              <w:rPr>
                <w:u w:val="single"/>
              </w:rPr>
              <w:t>Australian Health Survey</w:t>
            </w:r>
            <w:r w:rsidRPr="00E33DC4">
              <w:t xml:space="preserve"> (AHS) for non-Indigenous data. Data are collected every three years.</w:t>
            </w:r>
          </w:p>
        </w:tc>
      </w:tr>
      <w:tr w:rsidR="00680847" w:rsidRPr="00D87AA9" w14:paraId="5C78CD77" w14:textId="77777777" w:rsidTr="008F5A63">
        <w:trPr>
          <w:trHeight w:val="341"/>
        </w:trPr>
        <w:tc>
          <w:tcPr>
            <w:tcW w:w="2080" w:type="dxa"/>
          </w:tcPr>
          <w:p w14:paraId="09B29110" w14:textId="77777777" w:rsidR="00680847" w:rsidRPr="00D87AA9" w:rsidRDefault="00680847" w:rsidP="002F2485">
            <w:pPr>
              <w:pStyle w:val="TableBodyText"/>
              <w:spacing w:before="80"/>
              <w:jc w:val="left"/>
            </w:pPr>
            <w:r w:rsidRPr="00D87AA9">
              <w:t>Data provider:</w:t>
            </w:r>
          </w:p>
        </w:tc>
        <w:tc>
          <w:tcPr>
            <w:tcW w:w="6709" w:type="dxa"/>
          </w:tcPr>
          <w:p w14:paraId="50F4DAC0" w14:textId="26AFA934" w:rsidR="00680847" w:rsidRPr="00E33DC4" w:rsidRDefault="00680847" w:rsidP="002F2485">
            <w:pPr>
              <w:pStyle w:val="TableBodyText"/>
              <w:spacing w:before="80"/>
              <w:jc w:val="left"/>
            </w:pPr>
            <w:r w:rsidRPr="00E33DC4">
              <w:t>ABS</w:t>
            </w:r>
          </w:p>
        </w:tc>
      </w:tr>
      <w:tr w:rsidR="00680847" w:rsidRPr="00D87AA9" w14:paraId="70CA81F1" w14:textId="77777777" w:rsidTr="008F5A63">
        <w:tc>
          <w:tcPr>
            <w:tcW w:w="2080" w:type="dxa"/>
            <w:shd w:val="clear" w:color="auto" w:fill="auto"/>
          </w:tcPr>
          <w:p w14:paraId="216F46A4" w14:textId="77777777" w:rsidR="00680847" w:rsidRPr="00D87AA9" w:rsidRDefault="00680847" w:rsidP="002F2485">
            <w:pPr>
              <w:pStyle w:val="TableBodyText"/>
              <w:spacing w:before="80"/>
              <w:jc w:val="left"/>
            </w:pPr>
            <w:r w:rsidRPr="00D87AA9">
              <w:t>Data availability:</w:t>
            </w:r>
          </w:p>
        </w:tc>
        <w:tc>
          <w:tcPr>
            <w:tcW w:w="6709" w:type="dxa"/>
            <w:shd w:val="clear" w:color="auto" w:fill="auto"/>
          </w:tcPr>
          <w:p w14:paraId="751CE6AD" w14:textId="230E1D87" w:rsidR="00680847" w:rsidRPr="00E33DC4" w:rsidRDefault="00F11CC4" w:rsidP="002F2485">
            <w:pPr>
              <w:pStyle w:val="TableBodyText"/>
              <w:spacing w:before="80"/>
              <w:jc w:val="left"/>
            </w:pPr>
            <w:r>
              <w:t>No new data availa</w:t>
            </w:r>
            <w:r w:rsidR="002F2485">
              <w:t>ble for this report.</w:t>
            </w:r>
          </w:p>
        </w:tc>
      </w:tr>
      <w:tr w:rsidR="00680847" w:rsidRPr="00D87AA9" w14:paraId="6F227088" w14:textId="77777777" w:rsidTr="008F5A63">
        <w:tc>
          <w:tcPr>
            <w:tcW w:w="2080" w:type="dxa"/>
            <w:shd w:val="clear" w:color="auto" w:fill="auto"/>
          </w:tcPr>
          <w:p w14:paraId="23E7E793" w14:textId="77777777" w:rsidR="00680847" w:rsidRPr="00D87AA9" w:rsidRDefault="00680847" w:rsidP="002F2485">
            <w:pPr>
              <w:pStyle w:val="TableBodyText"/>
              <w:spacing w:before="80"/>
              <w:jc w:val="left"/>
            </w:pPr>
            <w:r w:rsidRPr="00D87AA9">
              <w:t>Cross tabulations provided:</w:t>
            </w:r>
          </w:p>
        </w:tc>
        <w:tc>
          <w:tcPr>
            <w:tcW w:w="6709" w:type="dxa"/>
            <w:shd w:val="clear" w:color="auto" w:fill="auto"/>
          </w:tcPr>
          <w:p w14:paraId="12ABB0F8" w14:textId="77777777" w:rsidR="00680847" w:rsidRDefault="00B970E0" w:rsidP="002F2485">
            <w:pPr>
              <w:pStyle w:val="TableBodyText"/>
              <w:spacing w:before="80"/>
              <w:jc w:val="left"/>
            </w:pPr>
            <w:r>
              <w:t>State and Territory, by:</w:t>
            </w:r>
          </w:p>
          <w:p w14:paraId="5FB0E745" w14:textId="77777777" w:rsidR="00B970E0" w:rsidRDefault="00BA08B4" w:rsidP="00B970E0">
            <w:pPr>
              <w:pStyle w:val="TableBullet"/>
            </w:pPr>
            <w:r>
              <w:t xml:space="preserve">Aboriginal and Torres Strait Islander </w:t>
            </w:r>
            <w:r w:rsidR="00B970E0">
              <w:t>Australians (crude rates)</w:t>
            </w:r>
          </w:p>
          <w:p w14:paraId="20A51F5B" w14:textId="77777777" w:rsidR="00B970E0" w:rsidRDefault="009431D9" w:rsidP="00B970E0">
            <w:pPr>
              <w:pStyle w:val="TableBullet"/>
            </w:pPr>
            <w:r>
              <w:t>Aboriginal and Torres Strait Islander</w:t>
            </w:r>
            <w:r w:rsidR="00B970E0">
              <w:t xml:space="preserve"> Australians by remoteness (crude rates) (based on </w:t>
            </w:r>
            <w:proofErr w:type="spellStart"/>
            <w:r w:rsidR="00B970E0">
              <w:t>ASGS</w:t>
            </w:r>
            <w:proofErr w:type="spellEnd"/>
            <w:r w:rsidR="00B970E0">
              <w:t>)</w:t>
            </w:r>
          </w:p>
          <w:p w14:paraId="79B09F00" w14:textId="77777777" w:rsidR="00B970E0" w:rsidRDefault="00B970E0" w:rsidP="00B970E0">
            <w:pPr>
              <w:pStyle w:val="TableBullet"/>
            </w:pPr>
            <w:r>
              <w:t>Indigenous status (age standardised rates)</w:t>
            </w:r>
          </w:p>
          <w:p w14:paraId="07D0C501" w14:textId="77777777" w:rsidR="00B970E0" w:rsidRPr="001A52CA" w:rsidRDefault="00B970E0" w:rsidP="00B970E0">
            <w:pPr>
              <w:pStyle w:val="TableBullet"/>
            </w:pPr>
            <w:r>
              <w:t xml:space="preserve">Indigenous status by remoteness (age standardised rates) (based on </w:t>
            </w:r>
            <w:proofErr w:type="spellStart"/>
            <w:r>
              <w:t>ASGS</w:t>
            </w:r>
            <w:proofErr w:type="spellEnd"/>
            <w:r>
              <w:t>)</w:t>
            </w:r>
          </w:p>
        </w:tc>
      </w:tr>
    </w:tbl>
    <w:p w14:paraId="0333D8F4" w14:textId="77777777" w:rsidR="00E516C4" w:rsidRDefault="00E516C4">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40C53F58" w14:textId="77777777" w:rsidTr="008F5A63">
        <w:tc>
          <w:tcPr>
            <w:tcW w:w="8789" w:type="dxa"/>
            <w:tcBorders>
              <w:top w:val="single" w:sz="6" w:space="0" w:color="78A22F"/>
              <w:left w:val="nil"/>
              <w:bottom w:val="nil"/>
              <w:right w:val="nil"/>
            </w:tcBorders>
            <w:shd w:val="clear" w:color="auto" w:fill="F2F2F2"/>
          </w:tcPr>
          <w:p w14:paraId="7716CD0C" w14:textId="5DC8FEAA" w:rsidR="00680847" w:rsidRDefault="00680847" w:rsidP="00291F8D">
            <w:pPr>
              <w:pStyle w:val="BoxTitle"/>
            </w:pPr>
            <w:r w:rsidRPr="000A6D48">
              <w:rPr>
                <w:b w:val="0"/>
              </w:rPr>
              <w:t>Box</w:t>
            </w:r>
            <w:r w:rsidR="00B1719E" w:rsidRPr="00801236">
              <w:rPr>
                <w:b w:val="0"/>
              </w:rPr>
              <w:t xml:space="preserve"> </w:t>
            </w:r>
            <w:r w:rsidR="00291F8D">
              <w:rPr>
                <w:b w:val="0"/>
              </w:rPr>
              <w:t>17</w:t>
            </w:r>
            <w:r w:rsidRPr="00437C7F">
              <w:tab/>
            </w:r>
            <w:r w:rsidR="00DD4235">
              <w:t>Comment on data availability</w:t>
            </w:r>
            <w:r w:rsidR="002C180B">
              <w:t xml:space="preserve"> </w:t>
            </w:r>
          </w:p>
        </w:tc>
      </w:tr>
      <w:tr w:rsidR="00680847" w:rsidRPr="00680847" w14:paraId="249A8F16" w14:textId="77777777" w:rsidTr="008F5A63">
        <w:trPr>
          <w:cantSplit/>
        </w:trPr>
        <w:tc>
          <w:tcPr>
            <w:tcW w:w="8789" w:type="dxa"/>
            <w:tcBorders>
              <w:top w:val="nil"/>
              <w:left w:val="nil"/>
              <w:bottom w:val="nil"/>
              <w:right w:val="nil"/>
            </w:tcBorders>
            <w:shd w:val="clear" w:color="auto" w:fill="F2F2F2"/>
          </w:tcPr>
          <w:p w14:paraId="2178712D" w14:textId="5F9545EA" w:rsidR="00680847" w:rsidRPr="00680847" w:rsidRDefault="00A64861" w:rsidP="001E43D7">
            <w:pPr>
              <w:pStyle w:val="Box"/>
            </w:pPr>
            <w:r>
              <w:t xml:space="preserve">No new data were available for this report. Data from the 2014-15 </w:t>
            </w:r>
            <w:proofErr w:type="spellStart"/>
            <w:r>
              <w:t>NATSIS</w:t>
            </w:r>
            <w:r w:rsidR="00A1741E">
              <w:t>S</w:t>
            </w:r>
            <w:proofErr w:type="spellEnd"/>
            <w:r>
              <w:t xml:space="preserve"> and the 2014-15 NHS were included in the 2015-16 </w:t>
            </w:r>
            <w:proofErr w:type="spellStart"/>
            <w:r>
              <w:t>NIRA</w:t>
            </w:r>
            <w:proofErr w:type="spellEnd"/>
            <w:r>
              <w:t xml:space="preserve"> performance report.</w:t>
            </w:r>
            <w:r w:rsidR="00A1741E">
              <w:t xml:space="preserve"> Data from the 2012-13 </w:t>
            </w:r>
            <w:proofErr w:type="spellStart"/>
            <w:r w:rsidR="00A1741E">
              <w:t>AATSIHS</w:t>
            </w:r>
            <w:proofErr w:type="spellEnd"/>
            <w:r w:rsidR="00A1741E">
              <w:t xml:space="preserve"> and 2011-12 AHS were included in the 2013-14 </w:t>
            </w:r>
            <w:proofErr w:type="spellStart"/>
            <w:r w:rsidR="00A1741E">
              <w:t>NIRA</w:t>
            </w:r>
            <w:proofErr w:type="spellEnd"/>
            <w:r w:rsidR="00A1741E">
              <w:t xml:space="preserve"> performance report. Data from the 2008 </w:t>
            </w:r>
            <w:proofErr w:type="spellStart"/>
            <w:r w:rsidR="00A1741E">
              <w:t>NATSISS</w:t>
            </w:r>
            <w:proofErr w:type="spellEnd"/>
            <w:r w:rsidR="00A1741E">
              <w:t xml:space="preserve"> and 2007-08 NHS were included</w:t>
            </w:r>
            <w:r>
              <w:t xml:space="preserve"> </w:t>
            </w:r>
            <w:r w:rsidR="00A1741E">
              <w:t xml:space="preserve">in the 2008-09 </w:t>
            </w:r>
            <w:proofErr w:type="spellStart"/>
            <w:r w:rsidR="00A1741E">
              <w:t>NIRA</w:t>
            </w:r>
            <w:proofErr w:type="spellEnd"/>
            <w:r w:rsidR="00A1741E">
              <w:t xml:space="preserve"> performance report.</w:t>
            </w:r>
          </w:p>
        </w:tc>
      </w:tr>
      <w:tr w:rsidR="00680847" w14:paraId="5AE0A9D0" w14:textId="77777777" w:rsidTr="008F5A63">
        <w:trPr>
          <w:cantSplit/>
        </w:trPr>
        <w:tc>
          <w:tcPr>
            <w:tcW w:w="8789" w:type="dxa"/>
            <w:tcBorders>
              <w:top w:val="nil"/>
              <w:left w:val="nil"/>
              <w:bottom w:val="single" w:sz="6" w:space="0" w:color="78A22F"/>
              <w:right w:val="nil"/>
            </w:tcBorders>
            <w:shd w:val="clear" w:color="auto" w:fill="F2F2F2"/>
          </w:tcPr>
          <w:p w14:paraId="586FFA42" w14:textId="77777777" w:rsidR="00680847" w:rsidRDefault="00680847">
            <w:pPr>
              <w:pStyle w:val="Box"/>
              <w:spacing w:before="0" w:line="120" w:lineRule="exact"/>
            </w:pPr>
          </w:p>
        </w:tc>
      </w:tr>
      <w:tr w:rsidR="00680847" w:rsidRPr="000863A5" w14:paraId="55B34D08" w14:textId="77777777" w:rsidTr="008F5A63">
        <w:tc>
          <w:tcPr>
            <w:tcW w:w="8789" w:type="dxa"/>
            <w:tcBorders>
              <w:top w:val="single" w:sz="6" w:space="0" w:color="78A22F"/>
              <w:left w:val="nil"/>
              <w:bottom w:val="nil"/>
              <w:right w:val="nil"/>
            </w:tcBorders>
          </w:tcPr>
          <w:p w14:paraId="77DF89B8" w14:textId="77777777" w:rsidR="00680847" w:rsidRPr="00626D32" w:rsidRDefault="00680847" w:rsidP="00680847">
            <w:pPr>
              <w:pStyle w:val="BoxSpaceBelow"/>
            </w:pPr>
          </w:p>
        </w:tc>
      </w:tr>
    </w:tbl>
    <w:p w14:paraId="2D8E3AB3" w14:textId="77777777" w:rsidR="00680847" w:rsidRDefault="00680847" w:rsidP="00680847">
      <w:pPr>
        <w:pStyle w:val="BodyText"/>
        <w:rPr>
          <w:rFonts w:ascii="Arial" w:hAnsi="Arial"/>
          <w:sz w:val="20"/>
        </w:rPr>
      </w:pPr>
      <w:r>
        <w:br w:type="page"/>
      </w:r>
    </w:p>
    <w:p w14:paraId="446EA3BE" w14:textId="77777777" w:rsidR="00680847" w:rsidRPr="00921D4D" w:rsidRDefault="00680847" w:rsidP="00680847">
      <w:pPr>
        <w:pStyle w:val="Heading3"/>
        <w:keepLines/>
      </w:pPr>
      <w:bookmarkStart w:id="7" w:name="_Ref341361509"/>
      <w:r w:rsidRPr="00921D4D">
        <w:lastRenderedPageBreak/>
        <w:t xml:space="preserve">Indicator 4: </w:t>
      </w:r>
      <w:r>
        <w:t>Levels of risky alcohol consumption</w:t>
      </w:r>
      <w:bookmarkEnd w:id="7"/>
    </w:p>
    <w:p w14:paraId="638C8B22" w14:textId="77777777" w:rsidR="00680847" w:rsidRPr="00D87AA9" w:rsidRDefault="00680847" w:rsidP="00680847">
      <w:pPr>
        <w:pStyle w:val="BodyText"/>
        <w:keepNext/>
        <w:spacing w:before="0"/>
      </w:pPr>
    </w:p>
    <w:tbl>
      <w:tblPr>
        <w:tblW w:w="8789" w:type="dxa"/>
        <w:tblCellMar>
          <w:right w:w="0" w:type="dxa"/>
        </w:tblCellMar>
        <w:tblLook w:val="0000" w:firstRow="0" w:lastRow="0" w:firstColumn="0" w:lastColumn="0" w:noHBand="0" w:noVBand="0"/>
      </w:tblPr>
      <w:tblGrid>
        <w:gridCol w:w="2093"/>
        <w:gridCol w:w="6696"/>
      </w:tblGrid>
      <w:tr w:rsidR="00680847" w:rsidRPr="00D87AA9" w14:paraId="44571466" w14:textId="77777777" w:rsidTr="008F5A63">
        <w:tc>
          <w:tcPr>
            <w:tcW w:w="2093" w:type="dxa"/>
          </w:tcPr>
          <w:p w14:paraId="4084FC89" w14:textId="522AA1A5" w:rsidR="00680847" w:rsidRPr="00D87AA9" w:rsidRDefault="00680847" w:rsidP="00680847">
            <w:pPr>
              <w:pStyle w:val="TableBodyText"/>
              <w:jc w:val="left"/>
            </w:pPr>
            <w:r w:rsidRPr="00B82DC5">
              <w:t>Key amendments fr</w:t>
            </w:r>
            <w:r w:rsidR="002F2485">
              <w:t>om previous cycle of reporting:</w:t>
            </w:r>
          </w:p>
        </w:tc>
        <w:tc>
          <w:tcPr>
            <w:tcW w:w="6696" w:type="dxa"/>
          </w:tcPr>
          <w:p w14:paraId="48D8E85D" w14:textId="7CA80FED" w:rsidR="00680847" w:rsidRPr="00D87AA9" w:rsidRDefault="00680847" w:rsidP="00510C07">
            <w:pPr>
              <w:pStyle w:val="TableBodyText"/>
              <w:jc w:val="left"/>
            </w:pPr>
            <w:r w:rsidRPr="005332B8">
              <w:t xml:space="preserve">This </w:t>
            </w:r>
            <w:r>
              <w:t xml:space="preserve">indicator is </w:t>
            </w:r>
            <w:r w:rsidRPr="005332B8">
              <w:t xml:space="preserve">unchanged from </w:t>
            </w:r>
            <w:r w:rsidR="004F51D4">
              <w:t xml:space="preserve">the </w:t>
            </w:r>
            <w:r w:rsidRPr="005332B8">
              <w:t xml:space="preserve">previous </w:t>
            </w:r>
            <w:proofErr w:type="spellStart"/>
            <w:r w:rsidR="00F555B6">
              <w:t>NIRA</w:t>
            </w:r>
            <w:proofErr w:type="spellEnd"/>
            <w:r w:rsidR="00F555B6">
              <w:t xml:space="preserve"> performance report</w:t>
            </w:r>
            <w:r w:rsidDel="00614262">
              <w:t xml:space="preserve"> </w:t>
            </w:r>
          </w:p>
        </w:tc>
      </w:tr>
      <w:tr w:rsidR="00680847" w:rsidRPr="00D87AA9" w14:paraId="6CC0330C" w14:textId="77777777" w:rsidTr="008F5A63">
        <w:tc>
          <w:tcPr>
            <w:tcW w:w="2093" w:type="dxa"/>
          </w:tcPr>
          <w:p w14:paraId="5BB65403" w14:textId="77777777" w:rsidR="00680847" w:rsidRPr="00D87AA9" w:rsidRDefault="00680847" w:rsidP="002F2485">
            <w:pPr>
              <w:pStyle w:val="TableBodyText"/>
              <w:spacing w:before="80"/>
              <w:jc w:val="left"/>
            </w:pPr>
            <w:r w:rsidRPr="00D87AA9">
              <w:t>Target:</w:t>
            </w:r>
          </w:p>
        </w:tc>
        <w:tc>
          <w:tcPr>
            <w:tcW w:w="6696" w:type="dxa"/>
          </w:tcPr>
          <w:p w14:paraId="328D2B3B" w14:textId="48880B76" w:rsidR="00680847" w:rsidRPr="00D87AA9" w:rsidRDefault="00680847" w:rsidP="002F2485">
            <w:pPr>
              <w:pStyle w:val="TableBodyText"/>
              <w:spacing w:before="80"/>
              <w:jc w:val="left"/>
            </w:pPr>
            <w:r w:rsidRPr="00985F2A">
              <w:t>Closing the life expectancy gap within a generation (by 2031)</w:t>
            </w:r>
          </w:p>
        </w:tc>
      </w:tr>
      <w:tr w:rsidR="00680847" w:rsidRPr="00D87AA9" w14:paraId="5A43BD64" w14:textId="77777777" w:rsidTr="008F5A63">
        <w:tc>
          <w:tcPr>
            <w:tcW w:w="2093" w:type="dxa"/>
          </w:tcPr>
          <w:p w14:paraId="2473518A" w14:textId="77777777" w:rsidR="00680847" w:rsidRPr="00D87AA9" w:rsidRDefault="00680847" w:rsidP="002F2485">
            <w:pPr>
              <w:pStyle w:val="TableBodyText"/>
              <w:spacing w:before="80"/>
              <w:jc w:val="left"/>
            </w:pPr>
            <w:r w:rsidRPr="00D87AA9">
              <w:t>Measure:</w:t>
            </w:r>
          </w:p>
        </w:tc>
        <w:tc>
          <w:tcPr>
            <w:tcW w:w="6696" w:type="dxa"/>
          </w:tcPr>
          <w:p w14:paraId="770BF079" w14:textId="77777777" w:rsidR="00680847" w:rsidRPr="00E33DC4" w:rsidRDefault="00680847" w:rsidP="002F2485">
            <w:pPr>
              <w:pStyle w:val="TableBodyText"/>
              <w:spacing w:before="80"/>
              <w:jc w:val="left"/>
            </w:pPr>
            <w:r w:rsidRPr="00E33DC4">
              <w:t>Proportion of Australians who consume alcohol at risky/high risk levels, by Indigenous status.</w:t>
            </w:r>
          </w:p>
          <w:p w14:paraId="6C59E816" w14:textId="77777777" w:rsidR="00680847" w:rsidRPr="00E33DC4" w:rsidRDefault="00680847" w:rsidP="002F2485">
            <w:pPr>
              <w:pStyle w:val="TableBodyText"/>
              <w:spacing w:before="80"/>
              <w:jc w:val="left"/>
            </w:pPr>
            <w:r w:rsidRPr="00E33DC4">
              <w:t>The measure is defined as:</w:t>
            </w:r>
          </w:p>
          <w:p w14:paraId="5029800A" w14:textId="77777777" w:rsidR="00680847" w:rsidRPr="00E33DC4" w:rsidRDefault="00680847" w:rsidP="00680847">
            <w:pPr>
              <w:pStyle w:val="TableBullet"/>
              <w:rPr>
                <w:szCs w:val="24"/>
              </w:rPr>
            </w:pPr>
            <w:r w:rsidRPr="00E33DC4">
              <w:rPr>
                <w:i/>
              </w:rPr>
              <w:t>Numerator</w:t>
            </w:r>
            <w:r w:rsidRPr="00E33DC4">
              <w:t xml:space="preserve"> — people aged 18 years or over assessed as having risky or high-risk alcohol consumption </w:t>
            </w:r>
          </w:p>
          <w:p w14:paraId="6321D6C6" w14:textId="77777777" w:rsidR="00680847" w:rsidRPr="00E33DC4" w:rsidRDefault="00680847" w:rsidP="00680847">
            <w:pPr>
              <w:pStyle w:val="TableBullet"/>
              <w:rPr>
                <w:szCs w:val="24"/>
              </w:rPr>
            </w:pPr>
            <w:r w:rsidRPr="00E33DC4">
              <w:rPr>
                <w:i/>
              </w:rPr>
              <w:t>Denominator</w:t>
            </w:r>
            <w:r w:rsidRPr="00E33DC4">
              <w:t xml:space="preserve"> — total population of people aged 18 years or over</w:t>
            </w:r>
          </w:p>
          <w:p w14:paraId="24394D49" w14:textId="77777777" w:rsidR="00680847" w:rsidRPr="00E33DC4" w:rsidRDefault="00680847" w:rsidP="00680847">
            <w:pPr>
              <w:pStyle w:val="TableBodyText"/>
              <w:jc w:val="left"/>
            </w:pPr>
            <w:r w:rsidRPr="00E33DC4">
              <w:t xml:space="preserve">presented as a </w:t>
            </w:r>
            <w:r w:rsidRPr="00E33DC4">
              <w:rPr>
                <w:i/>
              </w:rPr>
              <w:t>rate per 100 persons (per cent)</w:t>
            </w:r>
            <w:r w:rsidRPr="00E33DC4">
              <w:t>.</w:t>
            </w:r>
          </w:p>
          <w:p w14:paraId="02784034" w14:textId="4A73E0C8" w:rsidR="00680847" w:rsidRPr="00E33DC4" w:rsidRDefault="00680847" w:rsidP="002F2485">
            <w:pPr>
              <w:pStyle w:val="TableBodyText"/>
              <w:spacing w:before="80"/>
              <w:jc w:val="left"/>
            </w:pPr>
            <w:r w:rsidRPr="00E33DC4">
              <w:t xml:space="preserve">Risky or high risk alcohol consumption is measured by the concept of ‘Lifetime risk of alcohol harm’ which is based on the 2009 National Health and Medical Research Council guidelines. According to these guidelines, the consumption of </w:t>
            </w:r>
            <w:r w:rsidR="00F144E1">
              <w:t xml:space="preserve">more than </w:t>
            </w:r>
            <w:r w:rsidRPr="00E33DC4">
              <w:t>2 standard drinks on any day increases the lifetime risk of harm for both men and women. This has been operationalised as: for both males and females, an average of more than 2 standard drinks per day in the last week.</w:t>
            </w:r>
          </w:p>
        </w:tc>
      </w:tr>
      <w:tr w:rsidR="00680847" w:rsidRPr="00D87AA9" w14:paraId="7A5A3DCA" w14:textId="77777777" w:rsidTr="008F5A63">
        <w:tc>
          <w:tcPr>
            <w:tcW w:w="2093" w:type="dxa"/>
          </w:tcPr>
          <w:p w14:paraId="73C58F80" w14:textId="77777777" w:rsidR="00680847" w:rsidRPr="00D87AA9" w:rsidRDefault="00680847" w:rsidP="002F2485">
            <w:pPr>
              <w:pStyle w:val="TableBodyText"/>
              <w:spacing w:before="80"/>
              <w:jc w:val="left"/>
            </w:pPr>
            <w:r w:rsidRPr="00D87AA9">
              <w:t>Data source:</w:t>
            </w:r>
          </w:p>
        </w:tc>
        <w:tc>
          <w:tcPr>
            <w:tcW w:w="6696" w:type="dxa"/>
          </w:tcPr>
          <w:p w14:paraId="7D1F2119" w14:textId="77777777" w:rsidR="00680847" w:rsidRDefault="00680847" w:rsidP="002F2485">
            <w:pPr>
              <w:pStyle w:val="TableBodyText"/>
              <w:spacing w:before="80"/>
              <w:jc w:val="left"/>
            </w:pPr>
            <w:r w:rsidRPr="00E33DC4">
              <w:rPr>
                <w:i/>
              </w:rPr>
              <w:t>Numerator and denominator</w:t>
            </w:r>
            <w:r>
              <w:t xml:space="preserve"> —</w:t>
            </w:r>
          </w:p>
          <w:p w14:paraId="2E45C92C" w14:textId="77777777" w:rsidR="00680847" w:rsidRDefault="00680847" w:rsidP="002F2485">
            <w:pPr>
              <w:pStyle w:val="TableBodyText"/>
              <w:spacing w:before="80"/>
              <w:jc w:val="left"/>
            </w:pPr>
            <w:r w:rsidRPr="0078783D">
              <w:t>(</w:t>
            </w:r>
            <w:r w:rsidR="00D12D13">
              <w:t>Aboriginal and Torres Strait Islander</w:t>
            </w:r>
            <w:r w:rsidRPr="0078783D">
              <w:t>)</w:t>
            </w:r>
            <w:r>
              <w:t xml:space="preserve"> The </w:t>
            </w:r>
            <w:r w:rsidRPr="00BF4BD7">
              <w:rPr>
                <w:u w:val="single"/>
              </w:rPr>
              <w:t>National Aboriginal and Torres Strait Islander Health Survey</w:t>
            </w:r>
            <w:r>
              <w:t xml:space="preserve"> (</w:t>
            </w:r>
            <w:proofErr w:type="spellStart"/>
            <w:r>
              <w:t>NATSIHS</w:t>
            </w:r>
            <w:proofErr w:type="spellEnd"/>
            <w:r>
              <w:t>) component of the</w:t>
            </w:r>
            <w:r w:rsidR="008D039F">
              <w:t xml:space="preserve"> ABS</w:t>
            </w:r>
            <w:r>
              <w:t xml:space="preserve"> </w:t>
            </w:r>
            <w:r w:rsidRPr="00E33DC4">
              <w:rPr>
                <w:u w:val="single"/>
              </w:rPr>
              <w:t>Australian Aboriginal and Torres Strait Islander Health Survey</w:t>
            </w:r>
            <w:r>
              <w:t xml:space="preserve"> (</w:t>
            </w:r>
            <w:proofErr w:type="spellStart"/>
            <w:r>
              <w:t>AATSIHS</w:t>
            </w:r>
            <w:proofErr w:type="spellEnd"/>
            <w:r>
              <w:t xml:space="preserve">) for </w:t>
            </w:r>
            <w:r w:rsidR="009431D9">
              <w:t>Aboriginal and Torres Strait Islander</w:t>
            </w:r>
            <w:r>
              <w:t xml:space="preserve"> data. Data are collected every six years.</w:t>
            </w:r>
          </w:p>
          <w:p w14:paraId="25604C42" w14:textId="755A8DA2" w:rsidR="00680847" w:rsidRPr="00D87AA9" w:rsidRDefault="00680847" w:rsidP="002F2485">
            <w:pPr>
              <w:pStyle w:val="TableBodyText"/>
              <w:spacing w:before="80"/>
              <w:jc w:val="left"/>
            </w:pPr>
            <w:r w:rsidRPr="0078783D">
              <w:t>(non-Indigenous)</w:t>
            </w:r>
            <w:r w:rsidR="00C51C15">
              <w:t xml:space="preserve"> The </w:t>
            </w:r>
            <w:r w:rsidR="00C51C15" w:rsidRPr="00BF4BD7">
              <w:rPr>
                <w:u w:val="single"/>
              </w:rPr>
              <w:t>National Health Survey</w:t>
            </w:r>
            <w:r w:rsidR="00C51C15">
              <w:t xml:space="preserve"> (NHS) component of the</w:t>
            </w:r>
            <w:r w:rsidR="008D039F">
              <w:t xml:space="preserve"> ABS</w:t>
            </w:r>
            <w:r>
              <w:t xml:space="preserve"> </w:t>
            </w:r>
            <w:r w:rsidRPr="00E33DC4">
              <w:rPr>
                <w:u w:val="single"/>
              </w:rPr>
              <w:t>Australian Health Survey</w:t>
            </w:r>
            <w:r>
              <w:t xml:space="preserve"> (AHS) for non-Indigenous data. Data a</w:t>
            </w:r>
            <w:r w:rsidR="002F2485">
              <w:t>re collected every three years.</w:t>
            </w:r>
          </w:p>
        </w:tc>
      </w:tr>
      <w:tr w:rsidR="00680847" w:rsidRPr="00D87AA9" w14:paraId="69E2F531" w14:textId="77777777" w:rsidTr="008F5A63">
        <w:tc>
          <w:tcPr>
            <w:tcW w:w="2093" w:type="dxa"/>
          </w:tcPr>
          <w:p w14:paraId="730168F6" w14:textId="77777777" w:rsidR="00680847" w:rsidRPr="00D87AA9" w:rsidRDefault="00680847" w:rsidP="002F2485">
            <w:pPr>
              <w:pStyle w:val="TableBodyText"/>
              <w:spacing w:before="80"/>
              <w:jc w:val="left"/>
            </w:pPr>
            <w:r w:rsidRPr="00D87AA9">
              <w:t>Data provider:</w:t>
            </w:r>
          </w:p>
        </w:tc>
        <w:tc>
          <w:tcPr>
            <w:tcW w:w="6696" w:type="dxa"/>
          </w:tcPr>
          <w:p w14:paraId="51E218EC" w14:textId="2DF885E6" w:rsidR="00680847" w:rsidRPr="00D87AA9" w:rsidRDefault="00680847" w:rsidP="002F2485">
            <w:pPr>
              <w:pStyle w:val="TableBodyText"/>
              <w:spacing w:before="80"/>
              <w:jc w:val="left"/>
            </w:pPr>
            <w:r w:rsidRPr="00683983">
              <w:t>ABS</w:t>
            </w:r>
          </w:p>
        </w:tc>
      </w:tr>
      <w:tr w:rsidR="00680847" w:rsidRPr="00D87AA9" w14:paraId="55FD2375" w14:textId="77777777" w:rsidTr="008F5A63">
        <w:tc>
          <w:tcPr>
            <w:tcW w:w="2093" w:type="dxa"/>
            <w:shd w:val="clear" w:color="auto" w:fill="auto"/>
          </w:tcPr>
          <w:p w14:paraId="42E54260" w14:textId="77777777" w:rsidR="00680847" w:rsidRPr="00D87AA9" w:rsidRDefault="00680847" w:rsidP="002F2485">
            <w:pPr>
              <w:pStyle w:val="TableBodyText"/>
              <w:spacing w:before="80"/>
              <w:jc w:val="left"/>
            </w:pPr>
            <w:r w:rsidRPr="00D87AA9">
              <w:t>Data availability:</w:t>
            </w:r>
          </w:p>
        </w:tc>
        <w:tc>
          <w:tcPr>
            <w:tcW w:w="6696" w:type="dxa"/>
            <w:shd w:val="clear" w:color="auto" w:fill="auto"/>
          </w:tcPr>
          <w:p w14:paraId="044B40AF" w14:textId="4E649135" w:rsidR="00680847" w:rsidRPr="009C0D98" w:rsidRDefault="00680847" w:rsidP="002F2485">
            <w:pPr>
              <w:pStyle w:val="TableBodyText"/>
              <w:spacing w:before="80"/>
              <w:jc w:val="left"/>
            </w:pPr>
            <w:r>
              <w:t>No new</w:t>
            </w:r>
            <w:r w:rsidR="002F2485">
              <w:t xml:space="preserve"> data available for this report</w:t>
            </w:r>
          </w:p>
        </w:tc>
      </w:tr>
      <w:tr w:rsidR="00680847" w:rsidRPr="00D87AA9" w14:paraId="40DD8207" w14:textId="77777777" w:rsidTr="008F5A63">
        <w:tc>
          <w:tcPr>
            <w:tcW w:w="2093" w:type="dxa"/>
            <w:shd w:val="clear" w:color="auto" w:fill="auto"/>
          </w:tcPr>
          <w:p w14:paraId="6B462DF2" w14:textId="77777777" w:rsidR="00680847" w:rsidRPr="00D87AA9" w:rsidRDefault="00680847" w:rsidP="002F2485">
            <w:pPr>
              <w:pStyle w:val="TableBodyText"/>
              <w:spacing w:before="80"/>
              <w:jc w:val="left"/>
            </w:pPr>
            <w:r w:rsidRPr="00D87AA9">
              <w:t>Cross tabulations provided:</w:t>
            </w:r>
          </w:p>
        </w:tc>
        <w:tc>
          <w:tcPr>
            <w:tcW w:w="6696" w:type="dxa"/>
            <w:shd w:val="clear" w:color="auto" w:fill="auto"/>
          </w:tcPr>
          <w:p w14:paraId="66E02AF9" w14:textId="03238596" w:rsidR="00500594" w:rsidRPr="002F2485" w:rsidRDefault="002F2485" w:rsidP="002F2485">
            <w:pPr>
              <w:pStyle w:val="TableBodyText"/>
              <w:spacing w:before="80"/>
              <w:jc w:val="left"/>
            </w:pPr>
            <w:r>
              <w:t>Nil</w:t>
            </w:r>
          </w:p>
        </w:tc>
      </w:tr>
    </w:tbl>
    <w:p w14:paraId="0CD20BC8" w14:textId="77777777" w:rsidR="00C51C15" w:rsidRDefault="00C51C15">
      <w:pPr>
        <w:pStyle w:val="BoxSpaceAbove"/>
      </w:pPr>
      <w:bookmarkStart w:id="8" w:name="_Ref277842749"/>
      <w:bookmarkStart w:id="9" w:name="_Ref341361523"/>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C51C15" w14:paraId="263293E4" w14:textId="77777777" w:rsidTr="008F5A63">
        <w:tc>
          <w:tcPr>
            <w:tcW w:w="8789" w:type="dxa"/>
            <w:tcBorders>
              <w:top w:val="single" w:sz="6" w:space="0" w:color="78A22F"/>
              <w:left w:val="nil"/>
              <w:bottom w:val="nil"/>
              <w:right w:val="nil"/>
            </w:tcBorders>
            <w:shd w:val="clear" w:color="auto" w:fill="F2F2F2"/>
          </w:tcPr>
          <w:p w14:paraId="711AA4D6" w14:textId="32D0DC12" w:rsidR="00C51C15" w:rsidRDefault="00295C5C" w:rsidP="00291F8D">
            <w:pPr>
              <w:pStyle w:val="BoxTitle"/>
            </w:pPr>
            <w:r>
              <w:rPr>
                <w:b w:val="0"/>
              </w:rPr>
              <w:t xml:space="preserve">Box </w:t>
            </w:r>
            <w:r w:rsidR="00291F8D">
              <w:rPr>
                <w:b w:val="0"/>
              </w:rPr>
              <w:t>18</w:t>
            </w:r>
            <w:r w:rsidR="00C51C15">
              <w:tab/>
              <w:t xml:space="preserve">Comment on data </w:t>
            </w:r>
            <w:r w:rsidR="004F51D4">
              <w:t>availability</w:t>
            </w:r>
          </w:p>
        </w:tc>
      </w:tr>
      <w:tr w:rsidR="00C51C15" w14:paraId="06FADC65" w14:textId="77777777" w:rsidTr="008F5A63">
        <w:trPr>
          <w:cantSplit/>
        </w:trPr>
        <w:tc>
          <w:tcPr>
            <w:tcW w:w="8789" w:type="dxa"/>
            <w:tcBorders>
              <w:top w:val="nil"/>
              <w:left w:val="nil"/>
              <w:bottom w:val="nil"/>
              <w:right w:val="nil"/>
            </w:tcBorders>
            <w:shd w:val="clear" w:color="auto" w:fill="F2F2F2"/>
          </w:tcPr>
          <w:p w14:paraId="7D6045E6" w14:textId="756809E3" w:rsidR="00FC15F4" w:rsidRDefault="00C51C15" w:rsidP="00FC15F4">
            <w:pPr>
              <w:pStyle w:val="Box"/>
            </w:pPr>
            <w:r>
              <w:t xml:space="preserve">No new data were available for this report. </w:t>
            </w:r>
            <w:r w:rsidR="008D039F">
              <w:t xml:space="preserve">Data </w:t>
            </w:r>
            <w:r w:rsidR="00A1741E">
              <w:t xml:space="preserve">from the 2012-13 </w:t>
            </w:r>
            <w:proofErr w:type="spellStart"/>
            <w:r w:rsidR="00A1741E">
              <w:t>NATSIHS</w:t>
            </w:r>
            <w:proofErr w:type="spellEnd"/>
            <w:r w:rsidR="00A1741E">
              <w:t xml:space="preserve"> and 2011-12 NHS were included in the</w:t>
            </w:r>
            <w:r w:rsidR="008D039F">
              <w:t xml:space="preserve"> 2013-14 </w:t>
            </w:r>
            <w:proofErr w:type="spellStart"/>
            <w:r w:rsidR="008D039F">
              <w:t>NIRA</w:t>
            </w:r>
            <w:proofErr w:type="spellEnd"/>
            <w:r w:rsidR="008D039F">
              <w:t xml:space="preserve"> performance report.</w:t>
            </w:r>
            <w:r w:rsidR="007350B3">
              <w:rPr>
                <w:rStyle w:val="FootnoteReference"/>
              </w:rPr>
              <w:footnoteReference w:id="3"/>
            </w:r>
          </w:p>
          <w:p w14:paraId="716691F8" w14:textId="4500260D" w:rsidR="00C51C15" w:rsidRDefault="00C51C15" w:rsidP="00295C5C">
            <w:pPr>
              <w:pStyle w:val="Box"/>
            </w:pPr>
            <w:r>
              <w:t>Historical data for 2004</w:t>
            </w:r>
            <w:r w:rsidR="00A269CF">
              <w:noBreakHyphen/>
            </w:r>
            <w:r>
              <w:t xml:space="preserve">05 were provided in the baseline 2008-09 </w:t>
            </w:r>
            <w:proofErr w:type="spellStart"/>
            <w:r>
              <w:t>NIRA</w:t>
            </w:r>
            <w:proofErr w:type="spellEnd"/>
            <w:r>
              <w:t xml:space="preserve"> </w:t>
            </w:r>
            <w:r w:rsidR="005E1919">
              <w:t xml:space="preserve">performance </w:t>
            </w:r>
            <w:r>
              <w:t xml:space="preserve">report, and 2004-05 data based on the 2009 </w:t>
            </w:r>
            <w:proofErr w:type="spellStart"/>
            <w:r>
              <w:t>NHMRC</w:t>
            </w:r>
            <w:proofErr w:type="spellEnd"/>
            <w:r>
              <w:t xml:space="preserve"> guidelines </w:t>
            </w:r>
            <w:r w:rsidR="002D75B6">
              <w:t>by remoteness</w:t>
            </w:r>
            <w:r w:rsidR="00A269CF">
              <w:t xml:space="preserve"> were included</w:t>
            </w:r>
            <w:r w:rsidR="002D75B6">
              <w:t xml:space="preserve"> </w:t>
            </w:r>
            <w:r>
              <w:t>in the 2012</w:t>
            </w:r>
            <w:r w:rsidR="00FB3FB5">
              <w:noBreakHyphen/>
            </w:r>
            <w:r>
              <w:t xml:space="preserve">13 </w:t>
            </w:r>
            <w:proofErr w:type="spellStart"/>
            <w:r>
              <w:t>NIRA</w:t>
            </w:r>
            <w:proofErr w:type="spellEnd"/>
            <w:r>
              <w:t xml:space="preserve"> </w:t>
            </w:r>
            <w:r w:rsidR="005E1919">
              <w:t xml:space="preserve">performance </w:t>
            </w:r>
            <w:r w:rsidR="00295C5C">
              <w:t>report.</w:t>
            </w:r>
          </w:p>
        </w:tc>
      </w:tr>
      <w:tr w:rsidR="00C51C15" w14:paraId="6A25B3FB" w14:textId="77777777" w:rsidTr="008F5A63">
        <w:trPr>
          <w:cantSplit/>
        </w:trPr>
        <w:tc>
          <w:tcPr>
            <w:tcW w:w="8789" w:type="dxa"/>
            <w:tcBorders>
              <w:top w:val="nil"/>
              <w:left w:val="nil"/>
              <w:bottom w:val="single" w:sz="6" w:space="0" w:color="78A22F"/>
              <w:right w:val="nil"/>
            </w:tcBorders>
            <w:shd w:val="clear" w:color="auto" w:fill="F2F2F2"/>
          </w:tcPr>
          <w:p w14:paraId="60E5C78F" w14:textId="77777777" w:rsidR="00C51C15" w:rsidRDefault="00C51C15">
            <w:pPr>
              <w:pStyle w:val="Box"/>
              <w:spacing w:before="0" w:line="120" w:lineRule="exact"/>
            </w:pPr>
          </w:p>
        </w:tc>
      </w:tr>
      <w:tr w:rsidR="00C51C15" w:rsidRPr="000863A5" w14:paraId="35432D0A" w14:textId="77777777" w:rsidTr="008F5A63">
        <w:tc>
          <w:tcPr>
            <w:tcW w:w="8789" w:type="dxa"/>
            <w:tcBorders>
              <w:top w:val="single" w:sz="6" w:space="0" w:color="78A22F"/>
              <w:left w:val="nil"/>
              <w:bottom w:val="nil"/>
              <w:right w:val="nil"/>
            </w:tcBorders>
          </w:tcPr>
          <w:p w14:paraId="437687C3" w14:textId="77777777" w:rsidR="00C51C15" w:rsidRPr="00626D32" w:rsidRDefault="00C51C15" w:rsidP="0079305E">
            <w:pPr>
              <w:pStyle w:val="BoxSpaceBelow"/>
            </w:pPr>
          </w:p>
        </w:tc>
      </w:tr>
    </w:tbl>
    <w:p w14:paraId="6D23B35E" w14:textId="77777777" w:rsidR="00680847" w:rsidRPr="003F6E31" w:rsidRDefault="00680847" w:rsidP="00947053">
      <w:pPr>
        <w:pStyle w:val="Heading3"/>
      </w:pPr>
      <w:bookmarkStart w:id="10" w:name="_Ref405202306"/>
      <w:r w:rsidRPr="003F6E31">
        <w:lastRenderedPageBreak/>
        <w:t xml:space="preserve">Indicator 5: </w:t>
      </w:r>
      <w:bookmarkEnd w:id="8"/>
      <w:r w:rsidRPr="003F6E31">
        <w:t>Prevalence of overweight and obesity</w:t>
      </w:r>
      <w:bookmarkEnd w:id="9"/>
      <w:bookmarkEnd w:id="10"/>
    </w:p>
    <w:p w14:paraId="0DA51C15" w14:textId="77777777" w:rsidR="00680847" w:rsidRDefault="00680847" w:rsidP="002B469C">
      <w:pPr>
        <w:pStyle w:val="BodyText"/>
        <w:keepNext/>
        <w:spacing w:before="0"/>
      </w:pPr>
    </w:p>
    <w:tbl>
      <w:tblPr>
        <w:tblW w:w="8789" w:type="dxa"/>
        <w:tblCellMar>
          <w:right w:w="0" w:type="dxa"/>
        </w:tblCellMar>
        <w:tblLook w:val="0000" w:firstRow="0" w:lastRow="0" w:firstColumn="0" w:lastColumn="0" w:noHBand="0" w:noVBand="0"/>
      </w:tblPr>
      <w:tblGrid>
        <w:gridCol w:w="2093"/>
        <w:gridCol w:w="6696"/>
      </w:tblGrid>
      <w:tr w:rsidR="00680847" w:rsidRPr="00D87AA9" w14:paraId="111ACE4F" w14:textId="77777777" w:rsidTr="008F5A63">
        <w:tc>
          <w:tcPr>
            <w:tcW w:w="2093" w:type="dxa"/>
          </w:tcPr>
          <w:p w14:paraId="48A2C223" w14:textId="0CCFCFE5" w:rsidR="00680847" w:rsidRPr="00D87AA9" w:rsidRDefault="00680847" w:rsidP="00680847">
            <w:pPr>
              <w:pStyle w:val="TableBodyText"/>
              <w:jc w:val="left"/>
            </w:pPr>
            <w:r w:rsidRPr="00B82DC5">
              <w:t>Key amendments fr</w:t>
            </w:r>
            <w:r w:rsidR="002F2485">
              <w:t>om previous cycle of reporting:</w:t>
            </w:r>
          </w:p>
        </w:tc>
        <w:tc>
          <w:tcPr>
            <w:tcW w:w="6696" w:type="dxa"/>
          </w:tcPr>
          <w:p w14:paraId="26FE9EB2" w14:textId="7F92C891" w:rsidR="00680847" w:rsidRPr="00D87AA9" w:rsidRDefault="00760FAF" w:rsidP="00573011">
            <w:pPr>
              <w:pStyle w:val="TableBodyText"/>
              <w:jc w:val="left"/>
            </w:pPr>
            <w:r w:rsidRPr="005332B8">
              <w:t xml:space="preserve">This </w:t>
            </w:r>
            <w:r>
              <w:t xml:space="preserve">indicator is </w:t>
            </w:r>
            <w:r w:rsidRPr="005332B8">
              <w:t xml:space="preserve">unchanged from </w:t>
            </w:r>
            <w:r w:rsidR="004F51D4">
              <w:t xml:space="preserve">the </w:t>
            </w:r>
            <w:r w:rsidRPr="005332B8">
              <w:t xml:space="preserve">previous </w:t>
            </w:r>
            <w:proofErr w:type="spellStart"/>
            <w:r w:rsidR="00F555B6">
              <w:t>NIRA</w:t>
            </w:r>
            <w:proofErr w:type="spellEnd"/>
            <w:r w:rsidR="00F555B6">
              <w:t xml:space="preserve"> performance report</w:t>
            </w:r>
          </w:p>
        </w:tc>
      </w:tr>
      <w:tr w:rsidR="00680847" w:rsidRPr="00D87AA9" w14:paraId="65E4414F" w14:textId="77777777" w:rsidTr="008F5A63">
        <w:tc>
          <w:tcPr>
            <w:tcW w:w="2093" w:type="dxa"/>
          </w:tcPr>
          <w:p w14:paraId="4C6976A7" w14:textId="77777777" w:rsidR="00680847" w:rsidRPr="00D87AA9" w:rsidRDefault="00680847" w:rsidP="002F2485">
            <w:pPr>
              <w:pStyle w:val="TableBodyText"/>
              <w:spacing w:before="80"/>
              <w:jc w:val="left"/>
            </w:pPr>
            <w:r w:rsidRPr="00D87AA9">
              <w:t>Target:</w:t>
            </w:r>
          </w:p>
        </w:tc>
        <w:tc>
          <w:tcPr>
            <w:tcW w:w="6696" w:type="dxa"/>
          </w:tcPr>
          <w:p w14:paraId="7DA96067" w14:textId="089FE188" w:rsidR="00680847" w:rsidRPr="00D87AA9" w:rsidRDefault="00680847" w:rsidP="002F2485">
            <w:pPr>
              <w:pStyle w:val="TableBodyText"/>
              <w:spacing w:before="80"/>
              <w:jc w:val="left"/>
            </w:pPr>
            <w:r w:rsidRPr="00B53FA2">
              <w:t>Closing the life expectancy gap within a generation (by 2031)</w:t>
            </w:r>
          </w:p>
        </w:tc>
      </w:tr>
      <w:tr w:rsidR="00680847" w:rsidRPr="00D87AA9" w14:paraId="0E52AD0E" w14:textId="77777777" w:rsidTr="008F5A63">
        <w:tc>
          <w:tcPr>
            <w:tcW w:w="2093" w:type="dxa"/>
          </w:tcPr>
          <w:p w14:paraId="00AA5124" w14:textId="77777777" w:rsidR="00680847" w:rsidRPr="00D87AA9" w:rsidRDefault="00680847" w:rsidP="002F2485">
            <w:pPr>
              <w:pStyle w:val="TableBodyText"/>
              <w:spacing w:before="80"/>
              <w:jc w:val="left"/>
            </w:pPr>
            <w:r w:rsidRPr="00D87AA9">
              <w:t>Measure:</w:t>
            </w:r>
          </w:p>
        </w:tc>
        <w:tc>
          <w:tcPr>
            <w:tcW w:w="6696" w:type="dxa"/>
          </w:tcPr>
          <w:p w14:paraId="20F77299" w14:textId="77777777" w:rsidR="00680847" w:rsidRDefault="00680847" w:rsidP="002F2485">
            <w:pPr>
              <w:pStyle w:val="TableBodyText"/>
              <w:spacing w:before="80"/>
              <w:jc w:val="left"/>
            </w:pPr>
            <w:r>
              <w:t>Prevalence of overweight and obesity among Australians, by Indigenous status.</w:t>
            </w:r>
          </w:p>
          <w:p w14:paraId="6521A487" w14:textId="77777777" w:rsidR="00680847" w:rsidRDefault="00680847" w:rsidP="002F2485">
            <w:pPr>
              <w:pStyle w:val="TableBodyText"/>
              <w:spacing w:before="80"/>
              <w:jc w:val="left"/>
            </w:pPr>
            <w:r>
              <w:t>The measure is defined as:</w:t>
            </w:r>
          </w:p>
          <w:p w14:paraId="56B1C02F" w14:textId="77777777" w:rsidR="00680847" w:rsidRPr="00855818" w:rsidRDefault="00680847" w:rsidP="00680847">
            <w:pPr>
              <w:pStyle w:val="TableBullet"/>
              <w:rPr>
                <w:szCs w:val="24"/>
              </w:rPr>
            </w:pPr>
            <w:r w:rsidRPr="004B7D4D">
              <w:rPr>
                <w:i/>
              </w:rPr>
              <w:t>Numerator</w:t>
            </w:r>
            <w:r>
              <w:t xml:space="preserve"> — people aged 18 years or over with a Body Mass Index (BMI) </w:t>
            </w:r>
            <w:r w:rsidR="00012B4D">
              <w:t xml:space="preserve">classified as </w:t>
            </w:r>
            <w:r>
              <w:t xml:space="preserve">obese and </w:t>
            </w:r>
            <w:r w:rsidRPr="00855818">
              <w:t>overweight</w:t>
            </w:r>
          </w:p>
          <w:p w14:paraId="7C26AF8D" w14:textId="77777777" w:rsidR="00680847" w:rsidRPr="00855818" w:rsidRDefault="00680847" w:rsidP="00680847">
            <w:pPr>
              <w:pStyle w:val="TableBullet"/>
              <w:rPr>
                <w:szCs w:val="24"/>
              </w:rPr>
            </w:pPr>
            <w:r w:rsidRPr="00E30901">
              <w:rPr>
                <w:i/>
              </w:rPr>
              <w:t>Denominator</w:t>
            </w:r>
            <w:r w:rsidRPr="00E30901">
              <w:t xml:space="preserve"> — total population of people aged 18 years or over </w:t>
            </w:r>
            <w:r w:rsidRPr="00855818">
              <w:t>for whom height and weight measurements were taken</w:t>
            </w:r>
          </w:p>
          <w:p w14:paraId="7329A450" w14:textId="77777777" w:rsidR="00680847" w:rsidRDefault="00680847" w:rsidP="00680847">
            <w:pPr>
              <w:pStyle w:val="TableBodyText"/>
              <w:jc w:val="left"/>
            </w:pPr>
            <w:r w:rsidRPr="00E30901">
              <w:t xml:space="preserve">presented as a </w:t>
            </w:r>
            <w:r w:rsidRPr="00E30901">
              <w:rPr>
                <w:i/>
              </w:rPr>
              <w:t>rate per 100 persons (per cent)</w:t>
            </w:r>
          </w:p>
          <w:p w14:paraId="2CF7C10A" w14:textId="77777777" w:rsidR="00680847" w:rsidRDefault="00680847" w:rsidP="002F2485">
            <w:pPr>
              <w:pStyle w:val="TableBodyText"/>
              <w:spacing w:before="80"/>
              <w:jc w:val="left"/>
            </w:pPr>
            <w:r>
              <w:t>Data are also reported for people with a BMI of 18.5–24.9 (normal weight); and with a BMI of less than 18.5 (underweight)</w:t>
            </w:r>
          </w:p>
          <w:p w14:paraId="1FF8293C" w14:textId="562A489D" w:rsidR="00680847" w:rsidRPr="00D87AA9" w:rsidRDefault="00680847" w:rsidP="002F2485">
            <w:pPr>
              <w:pStyle w:val="TableBodyText"/>
              <w:spacing w:before="80"/>
              <w:jc w:val="left"/>
            </w:pPr>
            <w:r>
              <w:t>BMI calculated as weight (in kilograms) divided by the square of height (in metres). For adults, obesity is defined as a BMI of greater than or equal to 30 and overweight is defined as a BMI of 25.0–29.9.</w:t>
            </w:r>
          </w:p>
        </w:tc>
      </w:tr>
      <w:tr w:rsidR="00680847" w:rsidRPr="00D87AA9" w14:paraId="7EB373C5" w14:textId="77777777" w:rsidTr="008F5A63">
        <w:tc>
          <w:tcPr>
            <w:tcW w:w="2093" w:type="dxa"/>
          </w:tcPr>
          <w:p w14:paraId="14C5A5CA" w14:textId="77777777" w:rsidR="00680847" w:rsidRPr="00D87AA9" w:rsidRDefault="00680847" w:rsidP="002F2485">
            <w:pPr>
              <w:pStyle w:val="TableBodyText"/>
              <w:spacing w:before="80"/>
              <w:jc w:val="left"/>
            </w:pPr>
            <w:r w:rsidRPr="00D87AA9">
              <w:t>Data source:</w:t>
            </w:r>
          </w:p>
        </w:tc>
        <w:tc>
          <w:tcPr>
            <w:tcW w:w="6696" w:type="dxa"/>
          </w:tcPr>
          <w:p w14:paraId="7D75F698" w14:textId="77777777" w:rsidR="00680847" w:rsidRDefault="00680847" w:rsidP="002F2485">
            <w:pPr>
              <w:pStyle w:val="TableBodyText"/>
              <w:spacing w:before="80"/>
              <w:jc w:val="left"/>
            </w:pPr>
            <w:r w:rsidRPr="004B7D4D">
              <w:rPr>
                <w:i/>
              </w:rPr>
              <w:t>Numerator and denominator</w:t>
            </w:r>
            <w:r>
              <w:t xml:space="preserve"> — </w:t>
            </w:r>
          </w:p>
          <w:p w14:paraId="3182189C" w14:textId="77777777" w:rsidR="00680847" w:rsidRDefault="00680847" w:rsidP="002F2485">
            <w:pPr>
              <w:pStyle w:val="TableBodyText"/>
              <w:spacing w:before="80"/>
              <w:jc w:val="left"/>
            </w:pPr>
            <w:r w:rsidRPr="00436A2C">
              <w:t>(</w:t>
            </w:r>
            <w:r w:rsidR="009431D9">
              <w:t>Aboriginal and Torres Strait Islander</w:t>
            </w:r>
            <w:r w:rsidRPr="00436A2C">
              <w:t>)</w:t>
            </w:r>
            <w:r>
              <w:t xml:space="preserve"> core </w:t>
            </w:r>
            <w:r w:rsidR="00573011">
              <w:t xml:space="preserve">component </w:t>
            </w:r>
            <w:r>
              <w:t>(</w:t>
            </w:r>
            <w:proofErr w:type="spellStart"/>
            <w:r>
              <w:t>NATSIHS</w:t>
            </w:r>
            <w:proofErr w:type="spellEnd"/>
            <w:r>
              <w:t xml:space="preserve"> plus </w:t>
            </w:r>
            <w:proofErr w:type="spellStart"/>
            <w:r>
              <w:t>NATSINPAS</w:t>
            </w:r>
            <w:proofErr w:type="spellEnd"/>
            <w:r>
              <w:t>) of the</w:t>
            </w:r>
            <w:r w:rsidR="008D039F">
              <w:t xml:space="preserve"> ABS</w:t>
            </w:r>
            <w:r>
              <w:t xml:space="preserve"> </w:t>
            </w:r>
            <w:r w:rsidRPr="004B7D4D">
              <w:rPr>
                <w:u w:val="single"/>
              </w:rPr>
              <w:t>Australian Aboriginal and Torres Strait Islander Health Survey</w:t>
            </w:r>
            <w:r>
              <w:t xml:space="preserve"> (</w:t>
            </w:r>
            <w:proofErr w:type="spellStart"/>
            <w:r>
              <w:t>AATSIHS</w:t>
            </w:r>
            <w:proofErr w:type="spellEnd"/>
            <w:r>
              <w:t xml:space="preserve">) for </w:t>
            </w:r>
            <w:r w:rsidR="009431D9">
              <w:t>Aboriginal and Torres Strait Islander</w:t>
            </w:r>
            <w:r>
              <w:t xml:space="preserve"> data. Data are collected every six years</w:t>
            </w:r>
            <w:r w:rsidR="008D039F">
              <w:t>.</w:t>
            </w:r>
          </w:p>
          <w:p w14:paraId="2EFEC40A" w14:textId="35783A11" w:rsidR="00680847" w:rsidRPr="00247BAD" w:rsidRDefault="00680847" w:rsidP="002F2485">
            <w:pPr>
              <w:pStyle w:val="TableBodyText"/>
              <w:spacing w:before="80"/>
              <w:jc w:val="left"/>
            </w:pPr>
            <w:r w:rsidRPr="00436A2C">
              <w:t>(non-Indigenous)</w:t>
            </w:r>
            <w:r w:rsidR="008D039F">
              <w:t xml:space="preserve"> ABS</w:t>
            </w:r>
            <w:r>
              <w:t xml:space="preserve"> </w:t>
            </w:r>
            <w:r w:rsidRPr="004B7D4D">
              <w:rPr>
                <w:u w:val="single"/>
              </w:rPr>
              <w:t>Australian Health Survey</w:t>
            </w:r>
            <w:r>
              <w:t xml:space="preserve"> (AHS) for non-Indigenous data. Data are collected every three years</w:t>
            </w:r>
            <w:r w:rsidR="008D039F">
              <w:t>.</w:t>
            </w:r>
          </w:p>
        </w:tc>
      </w:tr>
      <w:tr w:rsidR="00680847" w:rsidRPr="00D87AA9" w14:paraId="1F3C57CF" w14:textId="77777777" w:rsidTr="008F5A63">
        <w:tc>
          <w:tcPr>
            <w:tcW w:w="2093" w:type="dxa"/>
          </w:tcPr>
          <w:p w14:paraId="456D38FD" w14:textId="77777777" w:rsidR="00680847" w:rsidRPr="00D87AA9" w:rsidRDefault="00680847" w:rsidP="002F2485">
            <w:pPr>
              <w:pStyle w:val="TableBodyText"/>
              <w:spacing w:before="80"/>
              <w:jc w:val="left"/>
            </w:pPr>
            <w:r w:rsidRPr="00D87AA9">
              <w:t>Data provider:</w:t>
            </w:r>
          </w:p>
        </w:tc>
        <w:tc>
          <w:tcPr>
            <w:tcW w:w="6696" w:type="dxa"/>
          </w:tcPr>
          <w:p w14:paraId="71B3F148" w14:textId="60585C24" w:rsidR="00680847" w:rsidRPr="00D87AA9" w:rsidRDefault="00680847" w:rsidP="002F2485">
            <w:pPr>
              <w:pStyle w:val="TableBodyText"/>
              <w:spacing w:before="80"/>
              <w:jc w:val="left"/>
            </w:pPr>
            <w:r w:rsidRPr="003C37F2">
              <w:t>ABS</w:t>
            </w:r>
          </w:p>
        </w:tc>
      </w:tr>
      <w:tr w:rsidR="00680847" w:rsidRPr="00D87AA9" w14:paraId="4C4F014C" w14:textId="77777777" w:rsidTr="008F5A63">
        <w:tc>
          <w:tcPr>
            <w:tcW w:w="2093" w:type="dxa"/>
            <w:shd w:val="clear" w:color="auto" w:fill="auto"/>
          </w:tcPr>
          <w:p w14:paraId="69017564" w14:textId="77777777" w:rsidR="00680847" w:rsidRPr="00D87AA9" w:rsidRDefault="00680847" w:rsidP="002F2485">
            <w:pPr>
              <w:pStyle w:val="TableBodyText"/>
              <w:spacing w:before="80"/>
              <w:jc w:val="left"/>
            </w:pPr>
            <w:r w:rsidRPr="00D87AA9">
              <w:t>Data availability:</w:t>
            </w:r>
          </w:p>
        </w:tc>
        <w:tc>
          <w:tcPr>
            <w:tcW w:w="6696" w:type="dxa"/>
            <w:shd w:val="clear" w:color="auto" w:fill="auto"/>
          </w:tcPr>
          <w:p w14:paraId="697F1B81" w14:textId="2C8FDCB0" w:rsidR="00680847" w:rsidRPr="009C0D98" w:rsidRDefault="00760FAF" w:rsidP="002F2485">
            <w:pPr>
              <w:pStyle w:val="TableBodyText"/>
              <w:spacing w:before="80"/>
              <w:jc w:val="left"/>
            </w:pPr>
            <w:r>
              <w:t>No new</w:t>
            </w:r>
            <w:r w:rsidR="002F2485">
              <w:t xml:space="preserve"> data available for this report</w:t>
            </w:r>
          </w:p>
        </w:tc>
      </w:tr>
      <w:tr w:rsidR="00680847" w:rsidRPr="00D87AA9" w14:paraId="638D3C5C" w14:textId="77777777" w:rsidTr="008F5A63">
        <w:tc>
          <w:tcPr>
            <w:tcW w:w="2093" w:type="dxa"/>
            <w:shd w:val="clear" w:color="auto" w:fill="auto"/>
          </w:tcPr>
          <w:p w14:paraId="0DF1ADDC" w14:textId="77777777" w:rsidR="00680847" w:rsidRPr="00D87AA9" w:rsidRDefault="00680847" w:rsidP="002F2485">
            <w:pPr>
              <w:pStyle w:val="TableBodyText"/>
              <w:spacing w:before="80"/>
              <w:jc w:val="left"/>
            </w:pPr>
            <w:r w:rsidRPr="00D87AA9">
              <w:t>Cross tabulations provided:</w:t>
            </w:r>
          </w:p>
        </w:tc>
        <w:tc>
          <w:tcPr>
            <w:tcW w:w="6696" w:type="dxa"/>
            <w:shd w:val="clear" w:color="auto" w:fill="auto"/>
          </w:tcPr>
          <w:p w14:paraId="3397D9DA" w14:textId="26122840" w:rsidR="00680847" w:rsidRPr="002F2485" w:rsidRDefault="008D039F" w:rsidP="002F2485">
            <w:pPr>
              <w:pStyle w:val="TableBodyText"/>
              <w:spacing w:before="80"/>
              <w:jc w:val="left"/>
              <w:rPr>
                <w:i/>
                <w:szCs w:val="24"/>
              </w:rPr>
            </w:pPr>
            <w:r>
              <w:t>Nil</w:t>
            </w:r>
          </w:p>
        </w:tc>
      </w:tr>
    </w:tbl>
    <w:p w14:paraId="3C519028" w14:textId="77777777" w:rsidR="00680847" w:rsidRDefault="00680847">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3DA5F57B" w14:textId="77777777" w:rsidTr="008F5A63">
        <w:tc>
          <w:tcPr>
            <w:tcW w:w="8789" w:type="dxa"/>
            <w:tcBorders>
              <w:top w:val="single" w:sz="6" w:space="0" w:color="78A22F"/>
              <w:left w:val="nil"/>
              <w:bottom w:val="nil"/>
              <w:right w:val="nil"/>
            </w:tcBorders>
            <w:shd w:val="clear" w:color="auto" w:fill="F2F2F2"/>
          </w:tcPr>
          <w:p w14:paraId="2014163D" w14:textId="7A5F7081" w:rsidR="00680847" w:rsidRDefault="00680847" w:rsidP="00291F8D">
            <w:pPr>
              <w:pStyle w:val="BoxTitle"/>
            </w:pPr>
            <w:r>
              <w:rPr>
                <w:b w:val="0"/>
              </w:rPr>
              <w:t>Box</w:t>
            </w:r>
            <w:r w:rsidR="00B1719E">
              <w:rPr>
                <w:b w:val="0"/>
              </w:rPr>
              <w:t xml:space="preserve"> </w:t>
            </w:r>
            <w:r w:rsidR="00291F8D">
              <w:rPr>
                <w:b w:val="0"/>
              </w:rPr>
              <w:t>19</w:t>
            </w:r>
            <w:r>
              <w:tab/>
              <w:t xml:space="preserve">Comment on data </w:t>
            </w:r>
            <w:r w:rsidR="004F51D4">
              <w:t>availability</w:t>
            </w:r>
          </w:p>
        </w:tc>
      </w:tr>
      <w:tr w:rsidR="00680847" w:rsidRPr="00680847" w14:paraId="4C5BE5F6" w14:textId="77777777" w:rsidTr="008F5A63">
        <w:trPr>
          <w:cantSplit/>
        </w:trPr>
        <w:tc>
          <w:tcPr>
            <w:tcW w:w="8789" w:type="dxa"/>
            <w:tcBorders>
              <w:top w:val="nil"/>
              <w:left w:val="nil"/>
              <w:bottom w:val="nil"/>
              <w:right w:val="nil"/>
            </w:tcBorders>
            <w:shd w:val="clear" w:color="auto" w:fill="F2F2F2"/>
          </w:tcPr>
          <w:p w14:paraId="22C748ED" w14:textId="5BA4C17C" w:rsidR="0093133F" w:rsidRDefault="0093133F" w:rsidP="0093133F">
            <w:pPr>
              <w:pStyle w:val="Box"/>
            </w:pPr>
            <w:r>
              <w:t xml:space="preserve">No new data </w:t>
            </w:r>
            <w:r w:rsidR="0025340F">
              <w:t>we</w:t>
            </w:r>
            <w:r>
              <w:t xml:space="preserve">re available for this report. Data </w:t>
            </w:r>
            <w:r w:rsidR="0025340F">
              <w:t xml:space="preserve">from the 2012-13 </w:t>
            </w:r>
            <w:proofErr w:type="spellStart"/>
            <w:r w:rsidR="0025340F">
              <w:t>AATSIHS</w:t>
            </w:r>
            <w:proofErr w:type="spellEnd"/>
            <w:r w:rsidR="0025340F">
              <w:t xml:space="preserve"> and 2011-12 AHS</w:t>
            </w:r>
            <w:r>
              <w:t xml:space="preserve"> </w:t>
            </w:r>
            <w:r w:rsidR="0082461D">
              <w:t xml:space="preserve">were reported </w:t>
            </w:r>
            <w:r>
              <w:t xml:space="preserve">in the 2013-14 </w:t>
            </w:r>
            <w:proofErr w:type="spellStart"/>
            <w:r>
              <w:t>NIRA</w:t>
            </w:r>
            <w:proofErr w:type="spellEnd"/>
            <w:r>
              <w:t xml:space="preserve"> performance report</w:t>
            </w:r>
            <w:r w:rsidR="0082461D">
              <w:t>.</w:t>
            </w:r>
            <w:r>
              <w:t xml:space="preserve"> </w:t>
            </w:r>
          </w:p>
          <w:p w14:paraId="52456C63" w14:textId="77777777" w:rsidR="00680847" w:rsidRPr="00680847" w:rsidRDefault="0093133F" w:rsidP="0082461D">
            <w:pPr>
              <w:pStyle w:val="Box"/>
            </w:pPr>
            <w:r w:rsidRPr="00680847">
              <w:t xml:space="preserve">Additional data for 2004-05 disaggregated by remoteness </w:t>
            </w:r>
            <w:r>
              <w:t>were</w:t>
            </w:r>
            <w:r w:rsidRPr="00680847">
              <w:t xml:space="preserve"> </w:t>
            </w:r>
            <w:r>
              <w:t>included</w:t>
            </w:r>
            <w:r w:rsidRPr="00680847">
              <w:t xml:space="preserve"> in the </w:t>
            </w:r>
            <w:r w:rsidRPr="00680847">
              <w:br/>
              <w:t xml:space="preserve">2012-13 </w:t>
            </w:r>
            <w:proofErr w:type="spellStart"/>
            <w:r w:rsidRPr="00680847">
              <w:t>NIRA</w:t>
            </w:r>
            <w:proofErr w:type="spellEnd"/>
            <w:r w:rsidRPr="00680847">
              <w:t xml:space="preserve"> </w:t>
            </w:r>
            <w:r>
              <w:t xml:space="preserve">performance </w:t>
            </w:r>
            <w:r w:rsidRPr="00680847">
              <w:t xml:space="preserve">report. </w:t>
            </w:r>
            <w:r w:rsidR="0082461D">
              <w:t>Other</w:t>
            </w:r>
            <w:r w:rsidRPr="00680847">
              <w:t xml:space="preserve"> data for 2004-05 </w:t>
            </w:r>
            <w:r>
              <w:t>were included</w:t>
            </w:r>
            <w:r w:rsidRPr="00680847">
              <w:t xml:space="preserve"> in the 2011-12 </w:t>
            </w:r>
            <w:proofErr w:type="spellStart"/>
            <w:r w:rsidRPr="00680847">
              <w:t>NIRA</w:t>
            </w:r>
            <w:proofErr w:type="spellEnd"/>
            <w:r w:rsidRPr="00680847">
              <w:t xml:space="preserve"> </w:t>
            </w:r>
            <w:r>
              <w:t xml:space="preserve">performance </w:t>
            </w:r>
            <w:r w:rsidR="00705DFC">
              <w:t>report.</w:t>
            </w:r>
          </w:p>
        </w:tc>
      </w:tr>
      <w:tr w:rsidR="00680847" w14:paraId="02558426" w14:textId="77777777" w:rsidTr="008F5A63">
        <w:trPr>
          <w:cantSplit/>
        </w:trPr>
        <w:tc>
          <w:tcPr>
            <w:tcW w:w="8789" w:type="dxa"/>
            <w:tcBorders>
              <w:top w:val="nil"/>
              <w:left w:val="nil"/>
              <w:bottom w:val="single" w:sz="6" w:space="0" w:color="78A22F"/>
              <w:right w:val="nil"/>
            </w:tcBorders>
            <w:shd w:val="clear" w:color="auto" w:fill="F2F2F2"/>
          </w:tcPr>
          <w:p w14:paraId="7C91D998" w14:textId="77777777" w:rsidR="00680847" w:rsidRDefault="00680847">
            <w:pPr>
              <w:pStyle w:val="Box"/>
              <w:spacing w:before="0" w:line="120" w:lineRule="exact"/>
            </w:pPr>
          </w:p>
        </w:tc>
      </w:tr>
      <w:tr w:rsidR="00680847" w:rsidRPr="000863A5" w14:paraId="1F00F4F9" w14:textId="77777777" w:rsidTr="008F5A63">
        <w:tc>
          <w:tcPr>
            <w:tcW w:w="8789" w:type="dxa"/>
            <w:tcBorders>
              <w:top w:val="single" w:sz="6" w:space="0" w:color="78A22F"/>
              <w:left w:val="nil"/>
              <w:bottom w:val="nil"/>
              <w:right w:val="nil"/>
            </w:tcBorders>
          </w:tcPr>
          <w:p w14:paraId="25BB56E2" w14:textId="77777777" w:rsidR="00680847" w:rsidRPr="00626D32" w:rsidRDefault="00680847" w:rsidP="00680847">
            <w:pPr>
              <w:pStyle w:val="BoxSpaceBelow"/>
            </w:pPr>
          </w:p>
        </w:tc>
      </w:tr>
    </w:tbl>
    <w:p w14:paraId="468A3B1B" w14:textId="1F8DF2F1" w:rsidR="00680847" w:rsidRDefault="00680847" w:rsidP="008F5A63">
      <w:pPr>
        <w:pStyle w:val="Heading3"/>
        <w:spacing w:after="120"/>
      </w:pPr>
      <w:bookmarkStart w:id="11" w:name="_Ref341361528"/>
      <w:r w:rsidRPr="00EE361B">
        <w:lastRenderedPageBreak/>
        <w:t>Indicator 6: Under 5 mortality rate by leading cause</w:t>
      </w:r>
      <w:bookmarkStart w:id="12" w:name="_GoBack"/>
      <w:bookmarkEnd w:id="11"/>
      <w:bookmarkEnd w:id="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6: Under 5 mortality rate by leading cause&#10;&#10;Table&#10;&#10;More details can be found within the text surrounding this image."/>
      </w:tblPr>
      <w:tblGrid>
        <w:gridCol w:w="2122"/>
        <w:gridCol w:w="6657"/>
      </w:tblGrid>
      <w:tr w:rsidR="008F5A63" w14:paraId="5572EB73" w14:textId="77777777" w:rsidTr="008F5A63">
        <w:tc>
          <w:tcPr>
            <w:tcW w:w="2122" w:type="dxa"/>
          </w:tcPr>
          <w:p w14:paraId="073EF972" w14:textId="589A6E74" w:rsidR="008F5A63" w:rsidRDefault="008F5A63" w:rsidP="00B1567F">
            <w:pPr>
              <w:pStyle w:val="TableBodyText"/>
              <w:jc w:val="left"/>
            </w:pPr>
            <w:r w:rsidRPr="00B82DC5">
              <w:t xml:space="preserve">Key amendments from </w:t>
            </w:r>
            <w:r w:rsidR="00383553">
              <w:t>p</w:t>
            </w:r>
            <w:r w:rsidRPr="00B82DC5">
              <w:t>revious cycle of reporting:</w:t>
            </w:r>
          </w:p>
        </w:tc>
        <w:tc>
          <w:tcPr>
            <w:tcW w:w="6657" w:type="dxa"/>
          </w:tcPr>
          <w:p w14:paraId="15F43A72" w14:textId="77B37F86" w:rsidR="008F5A63" w:rsidRPr="00B1567F" w:rsidRDefault="00B1567F" w:rsidP="00B1567F">
            <w:pPr>
              <w:pStyle w:val="TableBodyText"/>
              <w:jc w:val="left"/>
            </w:pPr>
            <w:r w:rsidRPr="005332B8">
              <w:t xml:space="preserve">This </w:t>
            </w:r>
            <w:r>
              <w:t xml:space="preserve">indicator is </w:t>
            </w:r>
            <w:r w:rsidRPr="005332B8">
              <w:t xml:space="preserve">unchanged from </w:t>
            </w:r>
            <w:r>
              <w:t xml:space="preserve">the </w:t>
            </w:r>
            <w:r w:rsidRPr="005332B8">
              <w:t xml:space="preserve">previous </w:t>
            </w:r>
            <w:proofErr w:type="spellStart"/>
            <w:r>
              <w:t>NIRA</w:t>
            </w:r>
            <w:proofErr w:type="spellEnd"/>
            <w:r>
              <w:t xml:space="preserve"> performance report.</w:t>
            </w:r>
          </w:p>
        </w:tc>
      </w:tr>
      <w:tr w:rsidR="00B1567F" w14:paraId="0EAFADB8" w14:textId="77777777" w:rsidTr="008F5A63">
        <w:tc>
          <w:tcPr>
            <w:tcW w:w="2122" w:type="dxa"/>
          </w:tcPr>
          <w:p w14:paraId="4684038C" w14:textId="46A0C590" w:rsidR="00B1567F" w:rsidRPr="00B82DC5" w:rsidRDefault="00B1567F" w:rsidP="00F50913">
            <w:pPr>
              <w:pStyle w:val="TableBodyText"/>
              <w:spacing w:before="80"/>
              <w:jc w:val="left"/>
            </w:pPr>
            <w:r w:rsidRPr="00D87AA9">
              <w:t>Target:</w:t>
            </w:r>
          </w:p>
        </w:tc>
        <w:tc>
          <w:tcPr>
            <w:tcW w:w="6657" w:type="dxa"/>
          </w:tcPr>
          <w:p w14:paraId="5188F86F" w14:textId="27D09505" w:rsidR="00B1567F" w:rsidRPr="005332B8" w:rsidRDefault="00B1567F" w:rsidP="00F50913">
            <w:pPr>
              <w:pStyle w:val="TableBodyText"/>
              <w:spacing w:before="80"/>
              <w:jc w:val="left"/>
            </w:pPr>
            <w:r w:rsidRPr="00C6095F">
              <w:t>Halving the gap in mortality rates for Indigenous children under five within a decade (by 2018)</w:t>
            </w:r>
          </w:p>
        </w:tc>
      </w:tr>
      <w:tr w:rsidR="00B1567F" w14:paraId="1E4C0F11" w14:textId="77777777" w:rsidTr="008F5A63">
        <w:tc>
          <w:tcPr>
            <w:tcW w:w="2122" w:type="dxa"/>
          </w:tcPr>
          <w:p w14:paraId="21EE4C9D" w14:textId="386D71EC" w:rsidR="00B1567F" w:rsidRPr="00D87AA9" w:rsidRDefault="00B1567F" w:rsidP="00F50913">
            <w:pPr>
              <w:pStyle w:val="TableBodyText"/>
              <w:spacing w:before="80"/>
              <w:jc w:val="left"/>
            </w:pPr>
            <w:r w:rsidRPr="00D87AA9">
              <w:t>Measure:</w:t>
            </w:r>
          </w:p>
        </w:tc>
        <w:tc>
          <w:tcPr>
            <w:tcW w:w="6657" w:type="dxa"/>
          </w:tcPr>
          <w:p w14:paraId="1CAE3F59" w14:textId="77777777" w:rsidR="00B1567F" w:rsidRDefault="00B1567F" w:rsidP="00F50913">
            <w:pPr>
              <w:pStyle w:val="TableBodyText"/>
              <w:spacing w:before="80"/>
              <w:jc w:val="left"/>
            </w:pPr>
            <w:r>
              <w:t>Mortality rates for children aged less than five years, by leading cause of death (</w:t>
            </w:r>
            <w:proofErr w:type="spellStart"/>
            <w:r>
              <w:t>CoD</w:t>
            </w:r>
            <w:proofErr w:type="spellEnd"/>
            <w:r>
              <w:t>), by Indigenous status.</w:t>
            </w:r>
          </w:p>
          <w:p w14:paraId="6B83A0C3" w14:textId="77777777" w:rsidR="00FB3FB5" w:rsidRDefault="00FB3FB5" w:rsidP="00F50913">
            <w:pPr>
              <w:pStyle w:val="TableBodyText"/>
              <w:spacing w:before="80"/>
              <w:jc w:val="left"/>
            </w:pPr>
          </w:p>
          <w:p w14:paraId="7C18898E" w14:textId="77777777" w:rsidR="00B1567F" w:rsidRDefault="00B1567F" w:rsidP="00F50913">
            <w:pPr>
              <w:pStyle w:val="TableBodyText"/>
              <w:spacing w:before="80"/>
              <w:jc w:val="left"/>
            </w:pPr>
            <w:r>
              <w:t>The measure is defined as:</w:t>
            </w:r>
          </w:p>
          <w:p w14:paraId="52072251" w14:textId="77777777" w:rsidR="00B1567F" w:rsidRPr="006F24C5" w:rsidRDefault="00B1567F" w:rsidP="00387C4E">
            <w:pPr>
              <w:pStyle w:val="TableBodyText"/>
              <w:spacing w:before="120"/>
              <w:jc w:val="left"/>
              <w:rPr>
                <w:i/>
              </w:rPr>
            </w:pPr>
            <w:r w:rsidRPr="006F24C5">
              <w:rPr>
                <w:i/>
              </w:rPr>
              <w:t>Perinatal</w:t>
            </w:r>
          </w:p>
          <w:p w14:paraId="76BC5F21" w14:textId="31C0A833" w:rsidR="00B1567F" w:rsidRDefault="00B1567F" w:rsidP="006F24C5">
            <w:pPr>
              <w:pStyle w:val="TableBullet"/>
            </w:pPr>
            <w:r>
              <w:t>Numerator — number of perinatal deaths (</w:t>
            </w:r>
            <w:proofErr w:type="spellStart"/>
            <w:r>
              <w:t>fetal</w:t>
            </w:r>
            <w:proofErr w:type="spellEnd"/>
            <w:r>
              <w:t xml:space="preserve"> and neonatal) </w:t>
            </w:r>
          </w:p>
          <w:p w14:paraId="339A6FCC" w14:textId="47018072" w:rsidR="00B1567F" w:rsidRDefault="00B1567F" w:rsidP="006F24C5">
            <w:pPr>
              <w:pStyle w:val="TableBullet"/>
            </w:pPr>
            <w:r>
              <w:t>Denominator — number of all live births and stillbirths</w:t>
            </w:r>
          </w:p>
          <w:p w14:paraId="46BFB3DC" w14:textId="77777777" w:rsidR="00B1567F" w:rsidRDefault="00B1567F" w:rsidP="00B1567F">
            <w:pPr>
              <w:pStyle w:val="TableBodyText"/>
              <w:jc w:val="left"/>
            </w:pPr>
            <w:r>
              <w:t>presented as a rate per 1000 births (including live births and stillbirths of at least 20 completed weeks of gestation or with a birth weight of at least 400 grams)</w:t>
            </w:r>
          </w:p>
          <w:p w14:paraId="67F2A8D9" w14:textId="77777777" w:rsidR="00B1567F" w:rsidRPr="006F24C5" w:rsidRDefault="00B1567F" w:rsidP="00387C4E">
            <w:pPr>
              <w:pStyle w:val="TableBodyText"/>
              <w:spacing w:before="120"/>
              <w:jc w:val="left"/>
              <w:rPr>
                <w:i/>
              </w:rPr>
            </w:pPr>
            <w:r w:rsidRPr="006F24C5">
              <w:rPr>
                <w:i/>
              </w:rPr>
              <w:t>Infant</w:t>
            </w:r>
          </w:p>
          <w:p w14:paraId="63447056" w14:textId="1FA9800A" w:rsidR="00B1567F" w:rsidRDefault="00B1567F" w:rsidP="006F24C5">
            <w:pPr>
              <w:pStyle w:val="TableBullet"/>
            </w:pPr>
            <w:r>
              <w:t>Numerator — number of deaths among children less than one year</w:t>
            </w:r>
          </w:p>
          <w:p w14:paraId="53967579" w14:textId="44A1C551" w:rsidR="00B1567F" w:rsidRDefault="00B1567F" w:rsidP="006F24C5">
            <w:pPr>
              <w:pStyle w:val="TableBullet"/>
            </w:pPr>
            <w:r>
              <w:t>Denominator — number of live births</w:t>
            </w:r>
          </w:p>
          <w:p w14:paraId="4E2581D1" w14:textId="77777777" w:rsidR="00B1567F" w:rsidRDefault="00B1567F" w:rsidP="00B1567F">
            <w:pPr>
              <w:pStyle w:val="TableBodyText"/>
              <w:jc w:val="left"/>
            </w:pPr>
            <w:r>
              <w:t>presented as a rate per 1000 live births</w:t>
            </w:r>
          </w:p>
          <w:p w14:paraId="5307DBB8" w14:textId="77777777" w:rsidR="00B1567F" w:rsidRPr="006F24C5" w:rsidRDefault="00B1567F" w:rsidP="00387C4E">
            <w:pPr>
              <w:pStyle w:val="TableBodyText"/>
              <w:spacing w:before="120"/>
              <w:jc w:val="left"/>
              <w:rPr>
                <w:i/>
              </w:rPr>
            </w:pPr>
            <w:r w:rsidRPr="006F24C5">
              <w:rPr>
                <w:i/>
              </w:rPr>
              <w:t>Child 1−4 years</w:t>
            </w:r>
          </w:p>
          <w:p w14:paraId="6F85092B" w14:textId="0D1B8B6C" w:rsidR="00B1567F" w:rsidRDefault="00B1567F" w:rsidP="006F24C5">
            <w:pPr>
              <w:pStyle w:val="TableBullet"/>
            </w:pPr>
            <w:r>
              <w:t>Numerator — number of deaths among children 1–4 years</w:t>
            </w:r>
          </w:p>
          <w:p w14:paraId="5DBDA2F7" w14:textId="74C05D49" w:rsidR="00B1567F" w:rsidRDefault="00B1567F" w:rsidP="006F24C5">
            <w:pPr>
              <w:pStyle w:val="TableBullet"/>
            </w:pPr>
            <w:r>
              <w:t>Denominator — total population of children aged 1–4 years</w:t>
            </w:r>
          </w:p>
          <w:p w14:paraId="50737DBD" w14:textId="7418EAA7" w:rsidR="00B1567F" w:rsidRDefault="00B1567F" w:rsidP="00B1567F">
            <w:pPr>
              <w:pStyle w:val="TableBodyText"/>
              <w:jc w:val="left"/>
            </w:pPr>
            <w:r>
              <w:t>presented a</w:t>
            </w:r>
            <w:r w:rsidR="00F50913">
              <w:t>s a rate per 100 000 population</w:t>
            </w:r>
          </w:p>
          <w:p w14:paraId="67F3A1A9" w14:textId="77777777" w:rsidR="00B1567F" w:rsidRPr="006F24C5" w:rsidRDefault="00B1567F" w:rsidP="00387C4E">
            <w:pPr>
              <w:pStyle w:val="TableBodyText"/>
              <w:spacing w:before="120"/>
              <w:jc w:val="left"/>
              <w:rPr>
                <w:i/>
              </w:rPr>
            </w:pPr>
            <w:r w:rsidRPr="006F24C5">
              <w:rPr>
                <w:i/>
              </w:rPr>
              <w:t>Child 0−4 years</w:t>
            </w:r>
          </w:p>
          <w:p w14:paraId="088DAF8F" w14:textId="12C7BC6C" w:rsidR="00B1567F" w:rsidRDefault="00B1567F" w:rsidP="006F24C5">
            <w:pPr>
              <w:pStyle w:val="TableBullet"/>
            </w:pPr>
            <w:r>
              <w:t xml:space="preserve">Numerator — number of deaths among children aged 0–4 years </w:t>
            </w:r>
          </w:p>
          <w:p w14:paraId="3E94A849" w14:textId="13943B4D" w:rsidR="00B1567F" w:rsidRDefault="00B1567F" w:rsidP="006F24C5">
            <w:pPr>
              <w:pStyle w:val="TableBullet"/>
            </w:pPr>
            <w:r>
              <w:t>Denominator — total population of children aged 0–4 years</w:t>
            </w:r>
          </w:p>
          <w:p w14:paraId="6808E038" w14:textId="77777777" w:rsidR="00B1567F" w:rsidRDefault="00B1567F" w:rsidP="00B1567F">
            <w:pPr>
              <w:pStyle w:val="TableBodyText"/>
              <w:jc w:val="left"/>
            </w:pPr>
            <w:r>
              <w:t>presented as a rate per 100 000 population.</w:t>
            </w:r>
          </w:p>
          <w:p w14:paraId="22483BA9" w14:textId="77777777" w:rsidR="00FB3FB5" w:rsidRDefault="00FB3FB5" w:rsidP="00F50913">
            <w:pPr>
              <w:pStyle w:val="TableBodyText"/>
              <w:spacing w:before="80"/>
              <w:jc w:val="left"/>
            </w:pPr>
          </w:p>
          <w:p w14:paraId="779628E1" w14:textId="77777777" w:rsidR="00B1567F" w:rsidRDefault="00B1567F" w:rsidP="00F50913">
            <w:pPr>
              <w:pStyle w:val="TableBodyText"/>
              <w:spacing w:before="80"/>
              <w:jc w:val="left"/>
            </w:pPr>
            <w:r>
              <w:t>Rates are calculated for children 1–4 and children 0–4 years on the following basis:</w:t>
            </w:r>
          </w:p>
          <w:p w14:paraId="56AB2CE8" w14:textId="38B3B810" w:rsidR="00B1567F" w:rsidRDefault="00B1567F" w:rsidP="006F24C5">
            <w:pPr>
              <w:pStyle w:val="TableBullet"/>
            </w:pPr>
            <w:r>
              <w:t xml:space="preserve">Rates for single year use single year for numerator and the average of three years of ERP for Aboriginal and Torres Strait Islander (with reference year as middle year) for denominator. For non-Indigenous the average of three year denominator uses two years of ERP and one year of projections for the total population. </w:t>
            </w:r>
          </w:p>
          <w:p w14:paraId="79AB99B1" w14:textId="04E6FA21" w:rsidR="00B1567F" w:rsidRDefault="00B1567F" w:rsidP="006F24C5">
            <w:pPr>
              <w:pStyle w:val="TableBullet"/>
            </w:pPr>
            <w:r>
              <w:t>Rates for 5 years combined use average of 5 years for numerator and average of 5 years ERP for Aboriginal and Torres Strait Islander and non-Indigenous denominator.</w:t>
            </w:r>
          </w:p>
          <w:p w14:paraId="3F4B77B2" w14:textId="77777777" w:rsidR="00B1567F" w:rsidRDefault="00B1567F" w:rsidP="00F50913">
            <w:pPr>
              <w:pStyle w:val="TableBodyText"/>
              <w:spacing w:before="80"/>
              <w:jc w:val="left"/>
            </w:pPr>
            <w:r>
              <w:t>Rates for infant (0&lt;1 years) and perinatal mortality are calculated on the following basis:</w:t>
            </w:r>
          </w:p>
          <w:p w14:paraId="4D3BC70C" w14:textId="61A91567" w:rsidR="00B1567F" w:rsidRDefault="00B1567F" w:rsidP="006F24C5">
            <w:pPr>
              <w:pStyle w:val="TableBullet"/>
            </w:pPr>
            <w:r>
              <w:t>Rates for single year use single year numerator and single year denominator</w:t>
            </w:r>
          </w:p>
          <w:p w14:paraId="2C167152" w14:textId="77777777" w:rsidR="00B1567F" w:rsidRDefault="00B1567F" w:rsidP="006F24C5">
            <w:pPr>
              <w:pStyle w:val="TableBullet"/>
            </w:pPr>
            <w:r>
              <w:t>Rates for 5 years combined use average of five years for numerator and a single year midpoint (live births for infants or live births and still births for perinatal) for the denominator.</w:t>
            </w:r>
          </w:p>
          <w:p w14:paraId="4DFDD7C9" w14:textId="01856A12" w:rsidR="00B1567F" w:rsidRPr="00C6095F" w:rsidRDefault="00B1567F" w:rsidP="00F50913">
            <w:pPr>
              <w:pStyle w:val="TableBodyText"/>
              <w:spacing w:before="80"/>
              <w:jc w:val="left"/>
            </w:pPr>
            <w:r w:rsidRPr="00B1567F">
              <w:t>[Note: The measure refers to ‘leading cause of death’. Data are provided for ‘selected causes of death’ according to the ICD-10 codes used for ‘leading cause of death’ in the Aboriginal and Torres Strait Islander Health Performance Framework].</w:t>
            </w:r>
          </w:p>
        </w:tc>
      </w:tr>
    </w:tbl>
    <w:p w14:paraId="5B5BB78F" w14:textId="77777777" w:rsidR="008F5A63" w:rsidRDefault="008F5A63" w:rsidP="008F5A63">
      <w:pPr>
        <w:pStyle w:val="BodyText"/>
      </w:pPr>
    </w:p>
    <w:tbl>
      <w:tblPr>
        <w:tblW w:w="8789" w:type="dxa"/>
        <w:tblCellMar>
          <w:right w:w="0" w:type="dxa"/>
        </w:tblCellMar>
        <w:tblLook w:val="0000" w:firstRow="0" w:lastRow="0" w:firstColumn="0" w:lastColumn="0" w:noHBand="0" w:noVBand="0"/>
      </w:tblPr>
      <w:tblGrid>
        <w:gridCol w:w="2093"/>
        <w:gridCol w:w="6696"/>
      </w:tblGrid>
      <w:tr w:rsidR="00680847" w:rsidRPr="00D87AA9" w14:paraId="10375C27" w14:textId="77777777" w:rsidTr="008F5A63">
        <w:trPr>
          <w:trHeight w:val="2907"/>
        </w:trPr>
        <w:tc>
          <w:tcPr>
            <w:tcW w:w="2093" w:type="dxa"/>
          </w:tcPr>
          <w:p w14:paraId="110636F2" w14:textId="7642D654" w:rsidR="00680847" w:rsidRPr="00D87AA9" w:rsidRDefault="00680847" w:rsidP="00680847">
            <w:pPr>
              <w:pStyle w:val="TableBodyText"/>
              <w:jc w:val="left"/>
            </w:pPr>
          </w:p>
        </w:tc>
        <w:tc>
          <w:tcPr>
            <w:tcW w:w="6696" w:type="dxa"/>
          </w:tcPr>
          <w:p w14:paraId="1D874258" w14:textId="77777777" w:rsidR="00680847" w:rsidRDefault="00680847" w:rsidP="00680847">
            <w:pPr>
              <w:pStyle w:val="TableBodyText"/>
              <w:jc w:val="left"/>
            </w:pPr>
            <w:r>
              <w:t xml:space="preserve">'Perinatal mortality' is defined in the ABS </w:t>
            </w:r>
            <w:proofErr w:type="spellStart"/>
            <w:r>
              <w:t>Perinatals</w:t>
            </w:r>
            <w:proofErr w:type="spellEnd"/>
            <w:r>
              <w:t xml:space="preserve"> Collection as death of a baby within 28 days of birth (neonatal death) or of a </w:t>
            </w:r>
            <w:proofErr w:type="spellStart"/>
            <w:r>
              <w:t>fetus</w:t>
            </w:r>
            <w:proofErr w:type="spellEnd"/>
            <w:r>
              <w:t xml:space="preserve"> (unborn child) of at least 20 completed weeks of gestation or with a </w:t>
            </w:r>
            <w:r w:rsidR="00293E8B">
              <w:t>birth weight</w:t>
            </w:r>
            <w:r>
              <w:t xml:space="preserve"> of at least 400 grams.</w:t>
            </w:r>
          </w:p>
          <w:p w14:paraId="15941F89" w14:textId="77777777" w:rsidR="00680847" w:rsidRDefault="00680847" w:rsidP="00F50913">
            <w:pPr>
              <w:pStyle w:val="TableBodyText"/>
              <w:spacing w:before="80"/>
              <w:jc w:val="left"/>
            </w:pPr>
            <w:r>
              <w:t xml:space="preserve">Rate ratios and rate differences are calculated for </w:t>
            </w:r>
            <w:r w:rsidR="00815570">
              <w:t>comparisons between</w:t>
            </w:r>
            <w:r>
              <w:t xml:space="preserve"> </w:t>
            </w:r>
            <w:r w:rsidR="009431D9">
              <w:t xml:space="preserve">Aboriginal and Torres Strait Islander </w:t>
            </w:r>
            <w:r w:rsidR="00815570">
              <w:t>and</w:t>
            </w:r>
            <w:r>
              <w:t xml:space="preserve"> non-Indigenous Australians.</w:t>
            </w:r>
          </w:p>
          <w:p w14:paraId="5378B8C8" w14:textId="77777777" w:rsidR="00680847" w:rsidRDefault="00680847" w:rsidP="00F50913">
            <w:pPr>
              <w:pStyle w:val="TableBodyText"/>
              <w:spacing w:before="80"/>
              <w:jc w:val="left"/>
            </w:pPr>
            <w:r>
              <w:t>Variability bands are calculated for rates (single year and national data for five years combined) using the standard method.</w:t>
            </w:r>
          </w:p>
          <w:p w14:paraId="45CE2391" w14:textId="64A1E090" w:rsidR="00680847" w:rsidRPr="00D87AA9" w:rsidRDefault="00680847" w:rsidP="00F50913">
            <w:pPr>
              <w:pStyle w:val="TableBodyText"/>
              <w:spacing w:before="80"/>
              <w:jc w:val="left"/>
            </w:pPr>
            <w:r>
              <w:t xml:space="preserve">Causes are listed from highest to lowest </w:t>
            </w:r>
            <w:r w:rsidR="009431D9">
              <w:t xml:space="preserve">Aboriginal and Torres Strait Islander </w:t>
            </w:r>
            <w:r>
              <w:t xml:space="preserve">crude numbers for the most recent 5 year combined period. The top 5 causes need to be reassessed each reporting period. If a change is identified, data may be </w:t>
            </w:r>
            <w:proofErr w:type="spellStart"/>
            <w:r>
              <w:t>backcast</w:t>
            </w:r>
            <w:proofErr w:type="spellEnd"/>
            <w:r>
              <w:t xml:space="preserve"> to the baseline year for the most recent set of top 5 causes to </w:t>
            </w:r>
            <w:r w:rsidR="002B469C">
              <w:t>ensure a consistent time series</w:t>
            </w:r>
          </w:p>
        </w:tc>
      </w:tr>
      <w:tr w:rsidR="00680847" w:rsidRPr="00D87AA9" w14:paraId="1FC2B4E3" w14:textId="77777777" w:rsidTr="008F5A63">
        <w:tc>
          <w:tcPr>
            <w:tcW w:w="2093" w:type="dxa"/>
          </w:tcPr>
          <w:p w14:paraId="36D6FBEA" w14:textId="77777777" w:rsidR="00680847" w:rsidRPr="00D87AA9" w:rsidRDefault="00680847" w:rsidP="00F50913">
            <w:pPr>
              <w:pStyle w:val="TableBodyText"/>
              <w:spacing w:before="80"/>
              <w:jc w:val="left"/>
            </w:pPr>
            <w:r w:rsidRPr="00D87AA9">
              <w:t>Data source:</w:t>
            </w:r>
          </w:p>
        </w:tc>
        <w:tc>
          <w:tcPr>
            <w:tcW w:w="6696" w:type="dxa"/>
          </w:tcPr>
          <w:p w14:paraId="708B1F3D" w14:textId="77777777" w:rsidR="00680847" w:rsidRDefault="00680847" w:rsidP="00F50913">
            <w:pPr>
              <w:pStyle w:val="TableBodyText"/>
              <w:spacing w:before="80"/>
              <w:jc w:val="left"/>
            </w:pPr>
            <w:r>
              <w:t xml:space="preserve">Perinatal </w:t>
            </w:r>
            <w:r w:rsidRPr="004B7D4D">
              <w:rPr>
                <w:i/>
              </w:rPr>
              <w:t>Numerator</w:t>
            </w:r>
            <w:r>
              <w:t xml:space="preserve"> — ABS </w:t>
            </w:r>
            <w:r w:rsidRPr="004B7D4D">
              <w:rPr>
                <w:u w:val="single"/>
              </w:rPr>
              <w:t>Perinatal Deaths Collection</w:t>
            </w:r>
          </w:p>
          <w:p w14:paraId="243A6232" w14:textId="77777777" w:rsidR="00680847" w:rsidRDefault="00680847" w:rsidP="00F50913">
            <w:pPr>
              <w:pStyle w:val="TableBodyText"/>
              <w:spacing w:before="80"/>
              <w:jc w:val="left"/>
            </w:pPr>
            <w:r>
              <w:t xml:space="preserve">Perinatal </w:t>
            </w:r>
            <w:r w:rsidRPr="004B7D4D">
              <w:rPr>
                <w:i/>
              </w:rPr>
              <w:t>Denominator</w:t>
            </w:r>
            <w:r>
              <w:t xml:space="preserve"> — ABS </w:t>
            </w:r>
            <w:r w:rsidRPr="004B7D4D">
              <w:rPr>
                <w:u w:val="single"/>
              </w:rPr>
              <w:t>Births Collection</w:t>
            </w:r>
            <w:r>
              <w:t xml:space="preserve"> and ABS </w:t>
            </w:r>
            <w:r w:rsidRPr="004B7D4D">
              <w:rPr>
                <w:u w:val="single"/>
              </w:rPr>
              <w:t>Perinatal Deaths Collection</w:t>
            </w:r>
          </w:p>
          <w:p w14:paraId="1C6D932E" w14:textId="77777777" w:rsidR="00680847" w:rsidRDefault="00680847" w:rsidP="00F50913">
            <w:pPr>
              <w:pStyle w:val="TableBodyText"/>
              <w:spacing w:before="80"/>
              <w:jc w:val="left"/>
            </w:pPr>
            <w:r>
              <w:t xml:space="preserve">Infant </w:t>
            </w:r>
            <w:r w:rsidRPr="002431BF">
              <w:rPr>
                <w:i/>
              </w:rPr>
              <w:t>Numerator</w:t>
            </w:r>
            <w:r>
              <w:t xml:space="preserve"> — ABS </w:t>
            </w:r>
            <w:r w:rsidRPr="004B7D4D">
              <w:rPr>
                <w:u w:val="single"/>
              </w:rPr>
              <w:t>Death Registrations</w:t>
            </w:r>
            <w:r w:rsidR="006B46D6">
              <w:rPr>
                <w:u w:val="single"/>
              </w:rPr>
              <w:t xml:space="preserve"> </w:t>
            </w:r>
            <w:r w:rsidR="006B46D6" w:rsidRPr="00EA4095">
              <w:t xml:space="preserve">and </w:t>
            </w:r>
            <w:r w:rsidR="006B46D6">
              <w:rPr>
                <w:u w:val="single"/>
              </w:rPr>
              <w:t xml:space="preserve">ABS Cause of </w:t>
            </w:r>
            <w:r w:rsidR="00012B4D">
              <w:rPr>
                <w:u w:val="single"/>
              </w:rPr>
              <w:t>D</w:t>
            </w:r>
            <w:r w:rsidR="006B46D6">
              <w:rPr>
                <w:u w:val="single"/>
              </w:rPr>
              <w:t>eaths</w:t>
            </w:r>
            <w:r>
              <w:t xml:space="preserve"> Collection </w:t>
            </w:r>
          </w:p>
          <w:p w14:paraId="32B41E5C" w14:textId="77777777" w:rsidR="00680847" w:rsidRDefault="00680847" w:rsidP="00F50913">
            <w:pPr>
              <w:pStyle w:val="TableBodyText"/>
              <w:spacing w:before="80"/>
              <w:jc w:val="left"/>
            </w:pPr>
            <w:r>
              <w:t xml:space="preserve">Infant </w:t>
            </w:r>
            <w:r w:rsidRPr="002431BF">
              <w:rPr>
                <w:i/>
              </w:rPr>
              <w:t>Denominator</w:t>
            </w:r>
            <w:r>
              <w:t xml:space="preserve"> — ABS </w:t>
            </w:r>
            <w:r w:rsidRPr="004B7D4D">
              <w:rPr>
                <w:u w:val="single"/>
              </w:rPr>
              <w:t>Births Collection</w:t>
            </w:r>
          </w:p>
          <w:p w14:paraId="0FCA6C15" w14:textId="77777777" w:rsidR="00680847" w:rsidRDefault="00680847" w:rsidP="00F50913">
            <w:pPr>
              <w:pStyle w:val="TableBodyText"/>
              <w:spacing w:before="80"/>
              <w:jc w:val="left"/>
            </w:pPr>
            <w:r>
              <w:t xml:space="preserve">Child </w:t>
            </w:r>
            <w:r w:rsidRPr="002431BF">
              <w:rPr>
                <w:i/>
              </w:rPr>
              <w:t>Numerator</w:t>
            </w:r>
            <w:r>
              <w:t xml:space="preserve"> — ABS </w:t>
            </w:r>
            <w:r w:rsidRPr="002431BF">
              <w:rPr>
                <w:u w:val="single"/>
              </w:rPr>
              <w:t xml:space="preserve">Death Registrations </w:t>
            </w:r>
            <w:r w:rsidR="00012B4D" w:rsidRPr="00EA4095">
              <w:t xml:space="preserve">and </w:t>
            </w:r>
            <w:r w:rsidR="00012B4D">
              <w:rPr>
                <w:u w:val="single"/>
              </w:rPr>
              <w:t>ABS Cause of D</w:t>
            </w:r>
            <w:r w:rsidR="006B46D6">
              <w:rPr>
                <w:u w:val="single"/>
              </w:rPr>
              <w:t xml:space="preserve">eaths </w:t>
            </w:r>
            <w:r w:rsidRPr="00611985">
              <w:t>Collection</w:t>
            </w:r>
            <w:r>
              <w:t xml:space="preserve">. </w:t>
            </w:r>
          </w:p>
          <w:p w14:paraId="63A10BE3" w14:textId="77777777" w:rsidR="00680847" w:rsidRDefault="00680847" w:rsidP="00F50913">
            <w:pPr>
              <w:pStyle w:val="TableBodyText"/>
              <w:spacing w:before="80"/>
              <w:jc w:val="left"/>
            </w:pPr>
            <w:r>
              <w:t xml:space="preserve">Child </w:t>
            </w:r>
            <w:r w:rsidRPr="002431BF">
              <w:rPr>
                <w:i/>
              </w:rPr>
              <w:t>Denominator</w:t>
            </w:r>
            <w:r>
              <w:t xml:space="preserve"> — ABS </w:t>
            </w:r>
            <w:r w:rsidRPr="002431BF">
              <w:rPr>
                <w:u w:val="single"/>
              </w:rPr>
              <w:t>Estimated Resident Population</w:t>
            </w:r>
            <w:r>
              <w:t xml:space="preserve"> (ERP) for total population. </w:t>
            </w:r>
            <w:r w:rsidR="00BD5DEA">
              <w:t xml:space="preserve">ABS </w:t>
            </w:r>
            <w:r w:rsidRPr="00BD5DEA">
              <w:rPr>
                <w:u w:val="single"/>
              </w:rPr>
              <w:t>Estimates and Projections</w:t>
            </w:r>
            <w:r>
              <w:t xml:space="preserve"> for </w:t>
            </w:r>
            <w:r w:rsidR="00D12D13">
              <w:t xml:space="preserve">Aboriginal and Torres Strait Islander </w:t>
            </w:r>
            <w:r>
              <w:t xml:space="preserve">population. Non-Indigenous population estimates are calculated by subtracting </w:t>
            </w:r>
            <w:r w:rsidR="00D12D13">
              <w:t xml:space="preserve">Aboriginal and Torres Strait Islander </w:t>
            </w:r>
            <w:r>
              <w:t xml:space="preserve">population projections from the total population estimates. </w:t>
            </w:r>
          </w:p>
          <w:p w14:paraId="46332D85" w14:textId="77777777" w:rsidR="00680847" w:rsidRPr="00F75BA4" w:rsidRDefault="00680847" w:rsidP="00F50913">
            <w:pPr>
              <w:pStyle w:val="TableBodyText"/>
              <w:spacing w:before="80"/>
              <w:jc w:val="left"/>
            </w:pPr>
            <w:r w:rsidRPr="00F75BA4">
              <w:t xml:space="preserve">For comparisons of </w:t>
            </w:r>
            <w:r w:rsidR="009431D9">
              <w:t>Aboriginal and Torres Strait Islander</w:t>
            </w:r>
            <w:r w:rsidR="009431D9" w:rsidRPr="00F75BA4">
              <w:t xml:space="preserve"> </w:t>
            </w:r>
            <w:r w:rsidRPr="00F75BA4">
              <w:t xml:space="preserve">and non-Indigenous populations, data </w:t>
            </w:r>
            <w:r>
              <w:t>are 2011 Census based.</w:t>
            </w:r>
          </w:p>
          <w:p w14:paraId="4F342D82" w14:textId="676173B8" w:rsidR="00E23FC9" w:rsidRPr="00D87AA9" w:rsidRDefault="00680847" w:rsidP="00F50913">
            <w:pPr>
              <w:pStyle w:val="TableBodyText"/>
              <w:spacing w:before="80"/>
              <w:jc w:val="left"/>
            </w:pPr>
            <w:r>
              <w:t>All data available annually.</w:t>
            </w:r>
          </w:p>
        </w:tc>
      </w:tr>
      <w:tr w:rsidR="00680847" w:rsidRPr="00D87AA9" w14:paraId="2019D028" w14:textId="77777777" w:rsidTr="008F5A63">
        <w:tc>
          <w:tcPr>
            <w:tcW w:w="2093" w:type="dxa"/>
          </w:tcPr>
          <w:p w14:paraId="0BA22815" w14:textId="77777777" w:rsidR="00680847" w:rsidRPr="00D87AA9" w:rsidRDefault="00680847" w:rsidP="00F50913">
            <w:pPr>
              <w:pStyle w:val="TableBodyText"/>
              <w:spacing w:before="80"/>
              <w:jc w:val="left"/>
            </w:pPr>
            <w:r w:rsidRPr="00D87AA9">
              <w:t>Data provider:</w:t>
            </w:r>
          </w:p>
        </w:tc>
        <w:tc>
          <w:tcPr>
            <w:tcW w:w="6696" w:type="dxa"/>
          </w:tcPr>
          <w:p w14:paraId="7D1B6C61" w14:textId="2ADEB2A7" w:rsidR="00680847" w:rsidRPr="00D87AA9" w:rsidRDefault="00680847" w:rsidP="00F50913">
            <w:pPr>
              <w:pStyle w:val="TableBodyText"/>
              <w:spacing w:before="80"/>
              <w:jc w:val="left"/>
            </w:pPr>
            <w:r w:rsidRPr="00C6095F">
              <w:t>ABS</w:t>
            </w:r>
          </w:p>
        </w:tc>
      </w:tr>
      <w:tr w:rsidR="00680847" w:rsidRPr="00D87AA9" w14:paraId="506A6951" w14:textId="77777777" w:rsidTr="008F5A63">
        <w:tc>
          <w:tcPr>
            <w:tcW w:w="2093" w:type="dxa"/>
            <w:shd w:val="clear" w:color="auto" w:fill="auto"/>
          </w:tcPr>
          <w:p w14:paraId="19535F62" w14:textId="77777777" w:rsidR="00680847" w:rsidRPr="00D87AA9" w:rsidRDefault="00680847" w:rsidP="00F50913">
            <w:pPr>
              <w:pStyle w:val="TableBodyText"/>
              <w:spacing w:before="80"/>
              <w:jc w:val="left"/>
            </w:pPr>
            <w:r w:rsidRPr="00D87AA9">
              <w:t>Data availability:</w:t>
            </w:r>
          </w:p>
        </w:tc>
        <w:tc>
          <w:tcPr>
            <w:tcW w:w="6696" w:type="dxa"/>
            <w:shd w:val="clear" w:color="auto" w:fill="auto"/>
          </w:tcPr>
          <w:p w14:paraId="6465C8FA" w14:textId="712A11C2" w:rsidR="00760FAF" w:rsidRDefault="00BF087B" w:rsidP="00F50913">
            <w:pPr>
              <w:pStyle w:val="TableBodyText"/>
              <w:spacing w:before="80"/>
              <w:jc w:val="left"/>
            </w:pPr>
            <w:r>
              <w:t>2017</w:t>
            </w:r>
            <w:r w:rsidR="00760FAF">
              <w:t>— Perinatal deaths</w:t>
            </w:r>
            <w:r w:rsidR="000B665F">
              <w:t xml:space="preserve">, </w:t>
            </w:r>
            <w:r w:rsidR="00450B0B">
              <w:t>Causes of d</w:t>
            </w:r>
            <w:r w:rsidR="00760FAF">
              <w:t>eath</w:t>
            </w:r>
            <w:r w:rsidR="000B665F">
              <w:t xml:space="preserve">, </w:t>
            </w:r>
            <w:r w:rsidR="00760FAF">
              <w:t>Deaths collection</w:t>
            </w:r>
            <w:r w:rsidR="000B665F">
              <w:t xml:space="preserve">, </w:t>
            </w:r>
            <w:r w:rsidR="00760FAF">
              <w:t xml:space="preserve">Births collection </w:t>
            </w:r>
          </w:p>
          <w:p w14:paraId="256936DC" w14:textId="75F825D3" w:rsidR="00680847" w:rsidRPr="009910BE" w:rsidRDefault="00760FAF" w:rsidP="00BF087B">
            <w:pPr>
              <w:pStyle w:val="TableBodyText"/>
              <w:jc w:val="left"/>
            </w:pPr>
            <w:r>
              <w:t xml:space="preserve">30 June </w:t>
            </w:r>
            <w:r w:rsidR="00BF087B">
              <w:t xml:space="preserve">2017 </w:t>
            </w:r>
            <w:r>
              <w:t>(based on</w:t>
            </w:r>
            <w:r w:rsidR="00F50913">
              <w:t xml:space="preserve"> 2011 Census) — Population data</w:t>
            </w:r>
          </w:p>
        </w:tc>
      </w:tr>
      <w:tr w:rsidR="00680847" w:rsidRPr="00D87AA9" w14:paraId="6A6D8289" w14:textId="77777777" w:rsidTr="008F5A63">
        <w:tc>
          <w:tcPr>
            <w:tcW w:w="2093" w:type="dxa"/>
            <w:shd w:val="clear" w:color="auto" w:fill="auto"/>
          </w:tcPr>
          <w:p w14:paraId="1D5728A3" w14:textId="77777777" w:rsidR="00680847" w:rsidRPr="00D87AA9" w:rsidRDefault="00680847" w:rsidP="00F50913">
            <w:pPr>
              <w:pStyle w:val="TableBodyText"/>
              <w:spacing w:before="80"/>
              <w:jc w:val="left"/>
            </w:pPr>
            <w:r w:rsidRPr="00D87AA9">
              <w:t>Cross tabulations provided:</w:t>
            </w:r>
          </w:p>
        </w:tc>
        <w:tc>
          <w:tcPr>
            <w:tcW w:w="6696" w:type="dxa"/>
            <w:shd w:val="clear" w:color="auto" w:fill="auto"/>
          </w:tcPr>
          <w:p w14:paraId="33BEB162" w14:textId="77777777" w:rsidR="00680847" w:rsidRDefault="00680847" w:rsidP="00F50913">
            <w:pPr>
              <w:pStyle w:val="TableBodyText"/>
              <w:spacing w:before="80"/>
              <w:jc w:val="left"/>
            </w:pPr>
            <w:r>
              <w:t xml:space="preserve">Data are reported individually by jurisdiction of residence by Indigenous status for NSW, Queensland, WA, SA and </w:t>
            </w:r>
            <w:r w:rsidR="00F8458B">
              <w:t xml:space="preserve">the </w:t>
            </w:r>
            <w:r>
              <w:t xml:space="preserve">NT only. </w:t>
            </w:r>
            <w:r w:rsidR="006B0124">
              <w:t>Each table by jurisdiction will also include a 'national' total made up of these 5 jurisdictions only.</w:t>
            </w:r>
          </w:p>
          <w:p w14:paraId="0208A82B" w14:textId="57F4854F" w:rsidR="00680847" w:rsidRDefault="00680847" w:rsidP="00F50913">
            <w:pPr>
              <w:pStyle w:val="TableBodyText"/>
              <w:spacing w:before="80"/>
              <w:jc w:val="left"/>
            </w:pPr>
            <w:r>
              <w:t>Single year data are reported for time series analysis at the national level (</w:t>
            </w:r>
            <w:r w:rsidR="00BF087B">
              <w:t xml:space="preserve">2017 </w:t>
            </w:r>
            <w:r>
              <w:t>for perinatal for infant and child 0−4). Five-year aggregated data reported for current year analysis (</w:t>
            </w:r>
            <w:r w:rsidR="00BF087B">
              <w:t>2013</w:t>
            </w:r>
            <w:r>
              <w:t>−</w:t>
            </w:r>
            <w:r w:rsidR="00BF087B">
              <w:t xml:space="preserve">2017 </w:t>
            </w:r>
            <w:r>
              <w:t>for perinatal</w:t>
            </w:r>
            <w:r w:rsidR="00EA4095">
              <w:t>,</w:t>
            </w:r>
            <w:r>
              <w:t xml:space="preserve"> infant, child 1−4 and child 0−4).</w:t>
            </w:r>
          </w:p>
          <w:p w14:paraId="1C5CD503" w14:textId="77777777" w:rsidR="00680847" w:rsidRDefault="00680847" w:rsidP="00F50913">
            <w:pPr>
              <w:pStyle w:val="TableBodyText"/>
              <w:spacing w:before="80"/>
              <w:jc w:val="left"/>
            </w:pPr>
            <w:r>
              <w:t xml:space="preserve">For </w:t>
            </w:r>
            <w:r w:rsidR="009431D9">
              <w:t xml:space="preserve">Aboriginal and Torres Strait Islander </w:t>
            </w:r>
            <w:r>
              <w:t>and non-Indigenous:</w:t>
            </w:r>
          </w:p>
          <w:p w14:paraId="30648505" w14:textId="77777777" w:rsidR="00680847" w:rsidRDefault="00680847" w:rsidP="00680847">
            <w:pPr>
              <w:pStyle w:val="TableBullet"/>
              <w:rPr>
                <w:szCs w:val="24"/>
              </w:rPr>
            </w:pPr>
            <w:r>
              <w:t>Single year data, national, by age (perinatal, infant, child)</w:t>
            </w:r>
          </w:p>
          <w:p w14:paraId="1B4FDBBF" w14:textId="5982E3C8" w:rsidR="00680847" w:rsidRDefault="00680847" w:rsidP="00680847">
            <w:pPr>
              <w:pStyle w:val="TableBullet"/>
              <w:rPr>
                <w:szCs w:val="24"/>
              </w:rPr>
            </w:pPr>
            <w:r>
              <w:t>Five year aggregate data, by State and Territory, by age group (perinatal, infant, child 1−4 and child 0−4), by all-cause total</w:t>
            </w:r>
          </w:p>
          <w:p w14:paraId="61ADFA70" w14:textId="0D695842" w:rsidR="00680847" w:rsidRPr="00D87AA9" w:rsidRDefault="00680847" w:rsidP="00680847">
            <w:pPr>
              <w:pStyle w:val="TableBullet"/>
              <w:rPr>
                <w:szCs w:val="24"/>
              </w:rPr>
            </w:pPr>
            <w:r>
              <w:t>Five year aggregated data, national, by selected causes of death, by age group (perinatal, infant, child 1−4 and child 0−4).</w:t>
            </w:r>
          </w:p>
        </w:tc>
      </w:tr>
    </w:tbl>
    <w:p w14:paraId="0635B889" w14:textId="77777777" w:rsidR="00680847" w:rsidRDefault="00680847" w:rsidP="00FA7518">
      <w:pPr>
        <w:pStyle w:val="BodyText"/>
      </w:pPr>
    </w:p>
    <w:p w14:paraId="0CB1E1CB" w14:textId="77777777" w:rsidR="000B665F" w:rsidRDefault="000B665F">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355D9028" w14:textId="77777777" w:rsidTr="004F04D8">
        <w:tc>
          <w:tcPr>
            <w:tcW w:w="8789" w:type="dxa"/>
            <w:tcBorders>
              <w:top w:val="single" w:sz="6" w:space="0" w:color="78A22F"/>
              <w:left w:val="nil"/>
              <w:bottom w:val="nil"/>
              <w:right w:val="nil"/>
            </w:tcBorders>
            <w:shd w:val="clear" w:color="auto" w:fill="F2F2F2"/>
          </w:tcPr>
          <w:p w14:paraId="55F50F6C" w14:textId="5E5E5FA9" w:rsidR="00680847" w:rsidRDefault="00680847" w:rsidP="00291F8D">
            <w:pPr>
              <w:pStyle w:val="BoxTitle"/>
            </w:pPr>
            <w:r>
              <w:rPr>
                <w:b w:val="0"/>
              </w:rPr>
              <w:t>Box</w:t>
            </w:r>
            <w:r w:rsidR="00B1719E">
              <w:rPr>
                <w:b w:val="0"/>
              </w:rPr>
              <w:t xml:space="preserve"> </w:t>
            </w:r>
            <w:r w:rsidR="00A8151B">
              <w:rPr>
                <w:b w:val="0"/>
              </w:rPr>
              <w:t>2</w:t>
            </w:r>
            <w:r w:rsidR="00291F8D">
              <w:rPr>
                <w:b w:val="0"/>
              </w:rPr>
              <w:t>0</w:t>
            </w:r>
            <w:r>
              <w:tab/>
              <w:t>Results</w:t>
            </w:r>
          </w:p>
        </w:tc>
      </w:tr>
      <w:tr w:rsidR="00680847" w:rsidRPr="00680847" w14:paraId="669A415C" w14:textId="77777777" w:rsidTr="004F04D8">
        <w:trPr>
          <w:cantSplit/>
        </w:trPr>
        <w:tc>
          <w:tcPr>
            <w:tcW w:w="8789" w:type="dxa"/>
            <w:tcBorders>
              <w:top w:val="nil"/>
              <w:left w:val="nil"/>
              <w:bottom w:val="nil"/>
              <w:right w:val="nil"/>
            </w:tcBorders>
            <w:shd w:val="clear" w:color="auto" w:fill="F2F2F2"/>
          </w:tcPr>
          <w:p w14:paraId="00427498" w14:textId="42752C54" w:rsidR="006B589C" w:rsidRPr="00680847" w:rsidRDefault="00680847" w:rsidP="00680847">
            <w:pPr>
              <w:pStyle w:val="Box"/>
            </w:pPr>
            <w:r w:rsidRPr="00680847">
              <w:t xml:space="preserve">For this report, new data are available for this indicator for </w:t>
            </w:r>
            <w:r w:rsidR="00BF087B" w:rsidRPr="00680847">
              <w:t>201</w:t>
            </w:r>
            <w:r w:rsidR="00BF087B">
              <w:t>7</w:t>
            </w:r>
            <w:r w:rsidRPr="00680847">
              <w:t xml:space="preserve">. This results in new aggregate year data for </w:t>
            </w:r>
            <w:r w:rsidR="00BF087B" w:rsidRPr="00680847">
              <w:t>20</w:t>
            </w:r>
            <w:r w:rsidR="00BF087B">
              <w:t>13</w:t>
            </w:r>
            <w:r w:rsidRPr="00680847">
              <w:t>–</w:t>
            </w:r>
            <w:r w:rsidR="00BF087B" w:rsidRPr="00680847">
              <w:t>201</w:t>
            </w:r>
            <w:r w:rsidR="00BF087B">
              <w:t>7</w:t>
            </w:r>
            <w:r w:rsidRPr="00680847">
              <w:t>.</w:t>
            </w:r>
            <w:r w:rsidR="005519B4">
              <w:t xml:space="preserve"> </w:t>
            </w:r>
          </w:p>
          <w:p w14:paraId="23B8D97E" w14:textId="48A8C3C7" w:rsidR="00680847" w:rsidRPr="00680847" w:rsidRDefault="009B231E" w:rsidP="00680847">
            <w:pPr>
              <w:pStyle w:val="BoxListBullet"/>
            </w:pPr>
            <w:r>
              <w:t>S</w:t>
            </w:r>
            <w:r w:rsidR="00680847" w:rsidRPr="00680847">
              <w:t xml:space="preserve">ingle year mortality rates </w:t>
            </w:r>
            <w:r w:rsidR="00063E26">
              <w:t xml:space="preserve">for perinatal, infant and children </w:t>
            </w:r>
            <w:r w:rsidR="00680847" w:rsidRPr="00680847">
              <w:t>a</w:t>
            </w:r>
            <w:r w:rsidR="009A3160">
              <w:t>re presented in table</w:t>
            </w:r>
            <w:r w:rsidR="00A96FBF">
              <w:t xml:space="preserve"> </w:t>
            </w:r>
            <w:proofErr w:type="spellStart"/>
            <w:r w:rsidR="00A96FBF">
              <w:t>NIRA</w:t>
            </w:r>
            <w:proofErr w:type="spellEnd"/>
            <w:r w:rsidR="00A96FBF">
              <w:t xml:space="preserve"> 6.1</w:t>
            </w:r>
            <w:r w:rsidR="00E7729E">
              <w:t xml:space="preserve"> (all</w:t>
            </w:r>
            <w:r w:rsidR="005519B4">
              <w:t>-</w:t>
            </w:r>
            <w:r w:rsidR="00E7729E">
              <w:t>cause</w:t>
            </w:r>
            <w:r w:rsidR="00063E26">
              <w:t>)</w:t>
            </w:r>
            <w:r w:rsidR="008D0AB2">
              <w:t>.</w:t>
            </w:r>
          </w:p>
          <w:p w14:paraId="057C7651" w14:textId="683507F0" w:rsidR="00680847" w:rsidRPr="00680847" w:rsidRDefault="009B231E" w:rsidP="00680847">
            <w:pPr>
              <w:pStyle w:val="BoxListBullet"/>
            </w:pPr>
            <w:r>
              <w:t>P</w:t>
            </w:r>
            <w:r w:rsidR="00680847" w:rsidRPr="00680847">
              <w:t>erinatal mortality rates, by State and Territory are presented in table</w:t>
            </w:r>
            <w:r w:rsidR="009A3160">
              <w:t>s</w:t>
            </w:r>
            <w:r w:rsidR="00680847" w:rsidRPr="00680847">
              <w:t> </w:t>
            </w:r>
            <w:proofErr w:type="spellStart"/>
            <w:r w:rsidR="00680847" w:rsidRPr="00680847">
              <w:t>NIRA.6.2</w:t>
            </w:r>
            <w:proofErr w:type="spellEnd"/>
            <w:r w:rsidR="00680847" w:rsidRPr="00680847">
              <w:t xml:space="preserve"> </w:t>
            </w:r>
            <w:r w:rsidR="00E7729E">
              <w:t xml:space="preserve">(all cause) </w:t>
            </w:r>
            <w:r w:rsidR="00680847" w:rsidRPr="00680847">
              <w:t xml:space="preserve">and </w:t>
            </w:r>
            <w:proofErr w:type="spellStart"/>
            <w:r w:rsidR="00680847" w:rsidRPr="00680847">
              <w:t>NIRA.6.</w:t>
            </w:r>
            <w:r w:rsidR="0072207B">
              <w:t>6</w:t>
            </w:r>
            <w:proofErr w:type="spellEnd"/>
            <w:r w:rsidR="00E7729E">
              <w:t xml:space="preserve"> (selected causes)</w:t>
            </w:r>
          </w:p>
          <w:p w14:paraId="12D3B61A" w14:textId="557E605F" w:rsidR="00680847" w:rsidRPr="00680847" w:rsidRDefault="009B231E" w:rsidP="00680847">
            <w:pPr>
              <w:pStyle w:val="BoxListBullet"/>
            </w:pPr>
            <w:r>
              <w:t>I</w:t>
            </w:r>
            <w:r w:rsidR="00680847" w:rsidRPr="00680847">
              <w:t>nfant mortality rates, by State and Territory are presented in table</w:t>
            </w:r>
            <w:r w:rsidR="009A3160">
              <w:t>s</w:t>
            </w:r>
            <w:r w:rsidR="00680847" w:rsidRPr="00680847">
              <w:t xml:space="preserve"> </w:t>
            </w:r>
            <w:proofErr w:type="spellStart"/>
            <w:r w:rsidR="00680847" w:rsidRPr="00680847">
              <w:t>NIRA.6.</w:t>
            </w:r>
            <w:r w:rsidR="0072207B">
              <w:t>3</w:t>
            </w:r>
            <w:proofErr w:type="spellEnd"/>
            <w:r w:rsidR="00680847" w:rsidRPr="00680847">
              <w:t xml:space="preserve"> </w:t>
            </w:r>
            <w:r w:rsidR="00E7729E">
              <w:t xml:space="preserve">(all cause) </w:t>
            </w:r>
            <w:r w:rsidR="00680847" w:rsidRPr="00680847">
              <w:t xml:space="preserve">and </w:t>
            </w:r>
            <w:proofErr w:type="spellStart"/>
            <w:r w:rsidR="00680847" w:rsidRPr="00680847">
              <w:t>NIRA.6.</w:t>
            </w:r>
            <w:r w:rsidR="00C234E7">
              <w:t>7</w:t>
            </w:r>
            <w:proofErr w:type="spellEnd"/>
            <w:r w:rsidR="00C234E7">
              <w:t xml:space="preserve"> </w:t>
            </w:r>
            <w:r w:rsidR="00E7729E">
              <w:t>(selected causes)</w:t>
            </w:r>
          </w:p>
          <w:p w14:paraId="5EFDD185" w14:textId="6C4402B6" w:rsidR="00680847" w:rsidRPr="00680847" w:rsidRDefault="009B231E" w:rsidP="00680847">
            <w:pPr>
              <w:pStyle w:val="BoxListBullet"/>
            </w:pPr>
            <w:r>
              <w:t>C</w:t>
            </w:r>
            <w:r w:rsidR="00680847" w:rsidRPr="00680847">
              <w:t>h</w:t>
            </w:r>
            <w:r w:rsidR="009A3160">
              <w:t>ild mortality (aged 1</w:t>
            </w:r>
            <w:r w:rsidR="009A3160">
              <w:rPr>
                <w:rFonts w:cs="Arial"/>
              </w:rPr>
              <w:t>−</w:t>
            </w:r>
            <w:r w:rsidR="00680847" w:rsidRPr="00680847">
              <w:t xml:space="preserve">4 years) rates by State and Territory </w:t>
            </w:r>
            <w:r w:rsidR="0072207B">
              <w:t>are presented in tables</w:t>
            </w:r>
            <w:r w:rsidR="00995C2F">
              <w:t> </w:t>
            </w:r>
            <w:proofErr w:type="spellStart"/>
            <w:r w:rsidR="0072207B">
              <w:t>NIRA.6.4</w:t>
            </w:r>
            <w:proofErr w:type="spellEnd"/>
            <w:r w:rsidR="00680847" w:rsidRPr="00680847">
              <w:t xml:space="preserve"> </w:t>
            </w:r>
            <w:r w:rsidR="00E7729E">
              <w:t xml:space="preserve">(all cause) </w:t>
            </w:r>
            <w:r w:rsidR="00680847" w:rsidRPr="00680847">
              <w:t xml:space="preserve">and </w:t>
            </w:r>
            <w:proofErr w:type="spellStart"/>
            <w:r w:rsidR="00680847" w:rsidRPr="00680847">
              <w:t>NIRA.6.</w:t>
            </w:r>
            <w:r w:rsidR="00C234E7">
              <w:t>8</w:t>
            </w:r>
            <w:proofErr w:type="spellEnd"/>
            <w:r w:rsidR="00C234E7">
              <w:t xml:space="preserve"> </w:t>
            </w:r>
            <w:r w:rsidR="00E7729E">
              <w:t>(selected causes)</w:t>
            </w:r>
          </w:p>
          <w:p w14:paraId="4A5BBF7F" w14:textId="2699AB93" w:rsidR="00680847" w:rsidRDefault="009B231E" w:rsidP="00680847">
            <w:pPr>
              <w:pStyle w:val="BoxListBullet"/>
            </w:pPr>
            <w:r>
              <w:t>C</w:t>
            </w:r>
            <w:r w:rsidR="009A3160">
              <w:t>hild mortality (aged 0</w:t>
            </w:r>
            <w:r w:rsidR="009A3160">
              <w:rPr>
                <w:rFonts w:cs="Arial"/>
              </w:rPr>
              <w:t>−</w:t>
            </w:r>
            <w:r w:rsidR="00680847" w:rsidRPr="00680847">
              <w:t xml:space="preserve">4 years) rates by State and Territory are presented </w:t>
            </w:r>
            <w:r w:rsidR="0072207B">
              <w:t>in tables</w:t>
            </w:r>
            <w:r w:rsidR="00995C2F">
              <w:t> </w:t>
            </w:r>
            <w:proofErr w:type="spellStart"/>
            <w:r w:rsidR="0072207B">
              <w:t>NIRA.6.5</w:t>
            </w:r>
            <w:proofErr w:type="spellEnd"/>
            <w:r w:rsidR="0072207B">
              <w:t xml:space="preserve"> </w:t>
            </w:r>
            <w:r w:rsidR="00A7767C">
              <w:t xml:space="preserve">(all cause) </w:t>
            </w:r>
            <w:r w:rsidR="0072207B">
              <w:t xml:space="preserve">and </w:t>
            </w:r>
            <w:proofErr w:type="spellStart"/>
            <w:r w:rsidR="0072207B">
              <w:t>NIRA.6.</w:t>
            </w:r>
            <w:r w:rsidR="00C234E7">
              <w:t>9</w:t>
            </w:r>
            <w:proofErr w:type="spellEnd"/>
            <w:r w:rsidR="00C234E7">
              <w:t xml:space="preserve"> </w:t>
            </w:r>
            <w:r w:rsidR="00A7767C">
              <w:t>(selected causes)</w:t>
            </w:r>
            <w:r w:rsidR="009A3160">
              <w:t>.</w:t>
            </w:r>
          </w:p>
          <w:p w14:paraId="4F616631" w14:textId="1C867E64" w:rsidR="00273D2D" w:rsidRPr="00680847" w:rsidRDefault="00BF087B" w:rsidP="00063E26">
            <w:pPr>
              <w:pStyle w:val="Box"/>
            </w:pPr>
            <w:r>
              <w:t xml:space="preserve">Data for 2016 are available in the 2016-17 </w:t>
            </w:r>
            <w:proofErr w:type="spellStart"/>
            <w:r>
              <w:t>NIRA</w:t>
            </w:r>
            <w:proofErr w:type="spellEnd"/>
            <w:r>
              <w:t xml:space="preserve"> performance report</w:t>
            </w:r>
            <w:r w:rsidR="00063E26">
              <w:t xml:space="preserve">. </w:t>
            </w:r>
            <w:r w:rsidR="00273D2D">
              <w:t xml:space="preserve">Data for 2015 </w:t>
            </w:r>
            <w:r w:rsidR="0066162F">
              <w:t>(and 2014</w:t>
            </w:r>
            <w:r w:rsidR="009B231E">
              <w:t xml:space="preserve"> and 2015</w:t>
            </w:r>
            <w:r w:rsidR="0066162F">
              <w:t xml:space="preserve"> for </w:t>
            </w:r>
            <w:proofErr w:type="spellStart"/>
            <w:r w:rsidR="0066162F">
              <w:t>perinatals</w:t>
            </w:r>
            <w:proofErr w:type="spellEnd"/>
            <w:r w:rsidR="0066162F">
              <w:t xml:space="preserve">) </w:t>
            </w:r>
            <w:r w:rsidR="00273D2D">
              <w:t xml:space="preserve">are available in the 2015-16 </w:t>
            </w:r>
            <w:proofErr w:type="spellStart"/>
            <w:r w:rsidR="00273D2D">
              <w:t>NIRA</w:t>
            </w:r>
            <w:proofErr w:type="spellEnd"/>
            <w:r w:rsidR="00273D2D">
              <w:t xml:space="preserve"> performance report</w:t>
            </w:r>
            <w:r w:rsidR="005519B4">
              <w:t>.</w:t>
            </w:r>
            <w:r w:rsidR="00273D2D">
              <w:t xml:space="preserve"> Data for </w:t>
            </w:r>
            <w:r w:rsidR="0066162F">
              <w:t xml:space="preserve">2014 (and 2013 </w:t>
            </w:r>
            <w:proofErr w:type="spellStart"/>
            <w:r w:rsidR="0066162F">
              <w:t>perinatals</w:t>
            </w:r>
            <w:proofErr w:type="spellEnd"/>
            <w:r w:rsidR="0066162F">
              <w:t>)</w:t>
            </w:r>
            <w:r w:rsidR="00273D2D">
              <w:t xml:space="preserve"> are available in the 2014-15 </w:t>
            </w:r>
            <w:proofErr w:type="spellStart"/>
            <w:r w:rsidR="00273D2D">
              <w:t>NIRA</w:t>
            </w:r>
            <w:proofErr w:type="spellEnd"/>
            <w:r w:rsidR="00273D2D">
              <w:t xml:space="preserve"> performance report</w:t>
            </w:r>
            <w:r w:rsidR="0066162F">
              <w:t xml:space="preserve">. Data for 2013 (and 2012 </w:t>
            </w:r>
            <w:proofErr w:type="spellStart"/>
            <w:r w:rsidR="0066162F">
              <w:t>perinatals</w:t>
            </w:r>
            <w:proofErr w:type="spellEnd"/>
            <w:r w:rsidR="0066162F">
              <w:t>) back to 2006</w:t>
            </w:r>
            <w:r w:rsidR="00273D2D">
              <w:t xml:space="preserve"> are available in the 2013-14 </w:t>
            </w:r>
            <w:proofErr w:type="spellStart"/>
            <w:r w:rsidR="00273D2D">
              <w:t>NIRA</w:t>
            </w:r>
            <w:proofErr w:type="spellEnd"/>
            <w:r w:rsidR="00273D2D">
              <w:t xml:space="preserve"> performance report. </w:t>
            </w:r>
          </w:p>
        </w:tc>
      </w:tr>
      <w:tr w:rsidR="00680847" w14:paraId="5D9C1C20" w14:textId="77777777" w:rsidTr="004F04D8">
        <w:trPr>
          <w:cantSplit/>
        </w:trPr>
        <w:tc>
          <w:tcPr>
            <w:tcW w:w="8789" w:type="dxa"/>
            <w:tcBorders>
              <w:top w:val="nil"/>
              <w:left w:val="nil"/>
              <w:bottom w:val="single" w:sz="6" w:space="0" w:color="78A22F"/>
              <w:right w:val="nil"/>
            </w:tcBorders>
            <w:shd w:val="clear" w:color="auto" w:fill="F2F2F2"/>
          </w:tcPr>
          <w:p w14:paraId="46CA6546" w14:textId="77777777" w:rsidR="00680847" w:rsidRDefault="00680847">
            <w:pPr>
              <w:pStyle w:val="Box"/>
              <w:spacing w:before="0" w:line="120" w:lineRule="exact"/>
            </w:pPr>
          </w:p>
        </w:tc>
      </w:tr>
      <w:tr w:rsidR="00680847" w:rsidRPr="000863A5" w14:paraId="32D09914" w14:textId="77777777" w:rsidTr="004F04D8">
        <w:tc>
          <w:tcPr>
            <w:tcW w:w="8789" w:type="dxa"/>
            <w:tcBorders>
              <w:top w:val="single" w:sz="6" w:space="0" w:color="78A22F"/>
              <w:left w:val="nil"/>
              <w:bottom w:val="nil"/>
              <w:right w:val="nil"/>
            </w:tcBorders>
          </w:tcPr>
          <w:p w14:paraId="48EFCE77" w14:textId="77777777" w:rsidR="00680847" w:rsidRPr="00626D32" w:rsidRDefault="00680847" w:rsidP="00680847">
            <w:pPr>
              <w:pStyle w:val="BoxSpaceBelow"/>
            </w:pPr>
          </w:p>
        </w:tc>
      </w:tr>
    </w:tbl>
    <w:p w14:paraId="078D52AF" w14:textId="77777777" w:rsidR="00680847" w:rsidRDefault="00680847">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32A38B17" w14:textId="77777777" w:rsidTr="004F04D8">
        <w:tc>
          <w:tcPr>
            <w:tcW w:w="8789" w:type="dxa"/>
            <w:tcBorders>
              <w:top w:val="single" w:sz="6" w:space="0" w:color="78A22F"/>
              <w:left w:val="nil"/>
              <w:bottom w:val="nil"/>
              <w:right w:val="nil"/>
            </w:tcBorders>
            <w:shd w:val="clear" w:color="auto" w:fill="F2F2F2"/>
          </w:tcPr>
          <w:p w14:paraId="53A9C2D0" w14:textId="4AB4FEC0" w:rsidR="00680847" w:rsidRDefault="00680847" w:rsidP="00291F8D">
            <w:pPr>
              <w:pStyle w:val="BoxTitle"/>
            </w:pPr>
            <w:r w:rsidRPr="000A6D48">
              <w:rPr>
                <w:b w:val="0"/>
              </w:rPr>
              <w:t>Box</w:t>
            </w:r>
            <w:r w:rsidR="00B1719E" w:rsidRPr="000A6D48">
              <w:rPr>
                <w:b w:val="0"/>
              </w:rPr>
              <w:t xml:space="preserve"> </w:t>
            </w:r>
            <w:r w:rsidR="00A8151B" w:rsidRPr="000A6D48">
              <w:rPr>
                <w:b w:val="0"/>
              </w:rPr>
              <w:t>2</w:t>
            </w:r>
            <w:r w:rsidR="00291F8D">
              <w:rPr>
                <w:b w:val="0"/>
              </w:rPr>
              <w:t>1</w:t>
            </w:r>
            <w:r w:rsidRPr="00437C7F">
              <w:tab/>
              <w:t>Comment on data quality</w:t>
            </w:r>
            <w:r>
              <w:t xml:space="preserve"> </w:t>
            </w:r>
          </w:p>
        </w:tc>
      </w:tr>
      <w:tr w:rsidR="00680847" w:rsidRPr="00680847" w14:paraId="723CFFBB" w14:textId="77777777" w:rsidTr="004F04D8">
        <w:trPr>
          <w:cantSplit/>
        </w:trPr>
        <w:tc>
          <w:tcPr>
            <w:tcW w:w="8789" w:type="dxa"/>
            <w:tcBorders>
              <w:top w:val="nil"/>
              <w:left w:val="nil"/>
              <w:bottom w:val="nil"/>
              <w:right w:val="nil"/>
            </w:tcBorders>
            <w:shd w:val="clear" w:color="auto" w:fill="F2F2F2"/>
          </w:tcPr>
          <w:p w14:paraId="471BCFEA" w14:textId="77777777" w:rsidR="00680847" w:rsidRPr="00680847" w:rsidRDefault="00680847" w:rsidP="00680847">
            <w:pPr>
              <w:pStyle w:val="Box"/>
              <w:keepLines/>
            </w:pPr>
            <w:r w:rsidRPr="00680847">
              <w:t>Key points on data quality for this indicator are summarised below.</w:t>
            </w:r>
          </w:p>
          <w:p w14:paraId="110426B1" w14:textId="77777777" w:rsidR="00680847" w:rsidRPr="00680847" w:rsidRDefault="00680847" w:rsidP="0082461D">
            <w:pPr>
              <w:pStyle w:val="BoxListBullet"/>
            </w:pPr>
            <w:r w:rsidRPr="00680847">
              <w:t xml:space="preserve">The data provide relevant information on child under five mortality rates by leading cause of </w:t>
            </w:r>
            <w:r w:rsidRPr="0082461D">
              <w:t>death</w:t>
            </w:r>
            <w:r w:rsidRPr="00680847">
              <w:t>. Data are presented for perinatal, infant and young child mortality, by leading cause of death and all cause totals. Data are available by State and Territory, but are not of sufficient quality for reporting for Victoria, Tasmania and the ACT.</w:t>
            </w:r>
          </w:p>
          <w:p w14:paraId="674D103E" w14:textId="7BB5D57D" w:rsidR="00680847" w:rsidRDefault="00680847" w:rsidP="00784D6B">
            <w:pPr>
              <w:pStyle w:val="BoxListBullet"/>
            </w:pPr>
            <w:r w:rsidRPr="00680847">
              <w:t xml:space="preserve">Annual data are available. The most recent available data </w:t>
            </w:r>
            <w:r w:rsidR="005A3C3A">
              <w:t xml:space="preserve">for both all cause total and by selected cause of death is </w:t>
            </w:r>
            <w:r w:rsidR="00365846" w:rsidRPr="00680847">
              <w:t>201</w:t>
            </w:r>
            <w:r w:rsidR="00365846">
              <w:t>7</w:t>
            </w:r>
            <w:r w:rsidRPr="00680847">
              <w:t>. Data by cause of death are presented as five year combined data at the State and Territory level, due to the volatility of the small numbers involved. Single year data are only reliable for all cause totals.</w:t>
            </w:r>
          </w:p>
          <w:p w14:paraId="1275005B" w14:textId="77777777" w:rsidR="00B93086" w:rsidRPr="00B93086" w:rsidRDefault="009431D9" w:rsidP="00784D6B">
            <w:pPr>
              <w:pStyle w:val="BoxListBullet"/>
              <w:rPr>
                <w:szCs w:val="24"/>
              </w:rPr>
            </w:pPr>
            <w:r>
              <w:t>Aboriginal and Torres Strait Islander</w:t>
            </w:r>
            <w:r w:rsidRPr="00680847">
              <w:t xml:space="preserve"> </w:t>
            </w:r>
            <w:r w:rsidR="00B63E92" w:rsidRPr="00680847">
              <w:t xml:space="preserve">mortality rates should be used with caution (although the data are generally considered comparable across jurisdictions and </w:t>
            </w:r>
            <w:r w:rsidR="00D03091">
              <w:t>over time)</w:t>
            </w:r>
            <w:r w:rsidR="00B93086">
              <w:t xml:space="preserve">. </w:t>
            </w:r>
            <w:r w:rsidR="00B63E92">
              <w:t>A</w:t>
            </w:r>
            <w:r w:rsidR="00B63E92" w:rsidRPr="00680847">
              <w:t xml:space="preserve">lthough most deaths of </w:t>
            </w:r>
            <w:r>
              <w:t>Aboriginal and Torres Strait Islander</w:t>
            </w:r>
            <w:r w:rsidRPr="00680847">
              <w:t xml:space="preserve"> </w:t>
            </w:r>
            <w:r w:rsidR="00B63E92" w:rsidRPr="00680847">
              <w:t xml:space="preserve">people are registered, it is likely that some are not accurately identified as </w:t>
            </w:r>
            <w:r w:rsidR="00F80EE3">
              <w:t>Aboriginal and Torres Strait Islander</w:t>
            </w:r>
            <w:r w:rsidR="00F80EE3" w:rsidRPr="00680847">
              <w:t xml:space="preserve"> </w:t>
            </w:r>
            <w:r w:rsidR="00B63E92" w:rsidRPr="00680847">
              <w:t>and the mortal</w:t>
            </w:r>
            <w:r w:rsidR="00B63E92">
              <w:t>ity rate may be underestimated.</w:t>
            </w:r>
          </w:p>
          <w:p w14:paraId="2D9B50C4" w14:textId="77777777" w:rsidR="00A35642" w:rsidRPr="00A35642" w:rsidRDefault="008F4D23" w:rsidP="0082461D">
            <w:pPr>
              <w:pStyle w:val="BoxListBullet"/>
              <w:rPr>
                <w:szCs w:val="24"/>
              </w:rPr>
            </w:pPr>
            <w:r w:rsidRPr="00A35642">
              <w:t xml:space="preserve">Denominators for child mortality use population data. Non-Indigenous population estimates are </w:t>
            </w:r>
            <w:r w:rsidRPr="0082461D">
              <w:t>available</w:t>
            </w:r>
            <w:r w:rsidRPr="00A35642">
              <w:t xml:space="preserve"> for Census years only. In the intervening years, population estimates are only available for the total population and the </w:t>
            </w:r>
            <w:r w:rsidR="00F80EE3">
              <w:t>Aboriginal and Torres Strait Islander</w:t>
            </w:r>
            <w:r w:rsidR="00F80EE3" w:rsidRPr="00A35642">
              <w:t xml:space="preserve"> </w:t>
            </w:r>
            <w:r w:rsidRPr="00A35642">
              <w:t xml:space="preserve">population, with non-Indigenous population estimates derived by subtracting the projected </w:t>
            </w:r>
            <w:r w:rsidR="00D12D13">
              <w:t>Aboriginal and Torres Strait Islander</w:t>
            </w:r>
            <w:r w:rsidR="00D12D13" w:rsidRPr="00A35642">
              <w:t xml:space="preserve"> </w:t>
            </w:r>
            <w:r w:rsidRPr="00A35642">
              <w:t>popula</w:t>
            </w:r>
            <w:r w:rsidR="0034316D">
              <w:t>tion from the total population.</w:t>
            </w:r>
          </w:p>
          <w:p w14:paraId="3A764166" w14:textId="77777777" w:rsidR="001C7AC0" w:rsidRDefault="001C7AC0" w:rsidP="00784D6B">
            <w:pPr>
              <w:pStyle w:val="BoxListBullet"/>
              <w:rPr>
                <w:szCs w:val="24"/>
              </w:rPr>
            </w:pPr>
            <w:r w:rsidRPr="00680847">
              <w:t>Detailed explanatory notes are publicly available to assist in the interpretation of results. Additional data from the data source are ava</w:t>
            </w:r>
            <w:r>
              <w:t>ilable on-line, and on request.</w:t>
            </w:r>
          </w:p>
          <w:p w14:paraId="65B7C9DB" w14:textId="77777777" w:rsidR="001C7AC0" w:rsidRPr="00680847" w:rsidRDefault="001C7AC0" w:rsidP="001C7AC0">
            <w:pPr>
              <w:pStyle w:val="Box"/>
              <w:keepLines/>
            </w:pPr>
            <w:r w:rsidRPr="00680847">
              <w:t>The Steering Committee also notes the following issues.</w:t>
            </w:r>
          </w:p>
          <w:p w14:paraId="56C7D4A9" w14:textId="6EAB7CD8" w:rsidR="001C7AC0" w:rsidRPr="00680847" w:rsidRDefault="001C7AC0" w:rsidP="00784D6B">
            <w:pPr>
              <w:pStyle w:val="BoxListBullet"/>
              <w:rPr>
                <w:szCs w:val="24"/>
              </w:rPr>
            </w:pPr>
            <w:r w:rsidRPr="00680847">
              <w:t xml:space="preserve">The </w:t>
            </w:r>
            <w:proofErr w:type="spellStart"/>
            <w:r w:rsidRPr="0082461D">
              <w:t>NIRAPIMG</w:t>
            </w:r>
            <w:proofErr w:type="spellEnd"/>
            <w:r w:rsidRPr="00680847">
              <w:t xml:space="preserve"> has advised that single year data should only be used for time series analysis. Current period analysis should refer to the most recent aggregate years</w:t>
            </w:r>
            <w:r w:rsidR="00063E26">
              <w:t>’</w:t>
            </w:r>
            <w:r w:rsidRPr="00680847">
              <w:t xml:space="preserve"> data.</w:t>
            </w:r>
          </w:p>
          <w:p w14:paraId="4B364C22" w14:textId="77777777" w:rsidR="001C7AC0" w:rsidRDefault="001C7AC0" w:rsidP="00784D6B">
            <w:pPr>
              <w:pStyle w:val="BoxListBullet"/>
              <w:rPr>
                <w:szCs w:val="24"/>
              </w:rPr>
            </w:pPr>
            <w:r w:rsidRPr="00680847">
              <w:t xml:space="preserve">Variability bands accompanying mortality data should be used for comparisons within a jurisdiction either at point in time or over time. They should not be used for comparisons across </w:t>
            </w:r>
            <w:r w:rsidRPr="0082461D">
              <w:t>jurisdictions</w:t>
            </w:r>
            <w:r w:rsidRPr="00680847">
              <w:t xml:space="preserve">, as the variability bands (and underlying mortality rates) do not take into account differences in under-identification of </w:t>
            </w:r>
            <w:r w:rsidR="00F80EE3">
              <w:t>Aboriginal and Torres Strait Islander</w:t>
            </w:r>
            <w:r w:rsidR="00F80EE3" w:rsidRPr="00680847">
              <w:t xml:space="preserve"> </w:t>
            </w:r>
            <w:r w:rsidRPr="00680847">
              <w:t>Australians in de</w:t>
            </w:r>
            <w:r>
              <w:t>aths data across jurisdictions.</w:t>
            </w:r>
          </w:p>
          <w:p w14:paraId="7D138E0A" w14:textId="77777777" w:rsidR="00680847" w:rsidRPr="00680847" w:rsidRDefault="005E37FD" w:rsidP="00784D6B">
            <w:pPr>
              <w:pStyle w:val="BoxListBullet"/>
              <w:rPr>
                <w:szCs w:val="24"/>
              </w:rPr>
            </w:pPr>
            <w:r w:rsidRPr="0082461D">
              <w:t>Mortality</w:t>
            </w:r>
            <w:r w:rsidRPr="00860DDD">
              <w:t xml:space="preserve"> rates </w:t>
            </w:r>
            <w:r>
              <w:t xml:space="preserve">disaggregated by Indigenous status </w:t>
            </w:r>
            <w:r w:rsidRPr="00860DDD">
              <w:t xml:space="preserve">are not available by remoteness. </w:t>
            </w:r>
            <w:r w:rsidR="00995C2F">
              <w:t xml:space="preserve">The </w:t>
            </w:r>
            <w:r w:rsidRPr="00860DDD">
              <w:t xml:space="preserve">ABS advised that further analysis is required to determine </w:t>
            </w:r>
            <w:r w:rsidR="00D459D5">
              <w:t xml:space="preserve">the </w:t>
            </w:r>
            <w:r w:rsidRPr="00860DDD">
              <w:t xml:space="preserve">adjustments required for performance reporting. </w:t>
            </w:r>
            <w:r>
              <w:t>T</w:t>
            </w:r>
            <w:r w:rsidRPr="00860DDD">
              <w:t xml:space="preserve">he ABS has published some unadjusted data in </w:t>
            </w:r>
            <w:r w:rsidRPr="00887A9D">
              <w:rPr>
                <w:i/>
              </w:rPr>
              <w:t>Deaths Australia</w:t>
            </w:r>
            <w:r w:rsidR="00D03091">
              <w:rPr>
                <w:i/>
              </w:rPr>
              <w:t xml:space="preserve"> </w:t>
            </w:r>
            <w:r w:rsidR="00D03091" w:rsidRPr="00D03091">
              <w:t>(Cat. no. 3302.0)</w:t>
            </w:r>
            <w:r w:rsidRPr="00860DDD">
              <w:t>,</w:t>
            </w:r>
            <w:r>
              <w:t xml:space="preserve"> but</w:t>
            </w:r>
            <w:r w:rsidRPr="00860DDD">
              <w:t xml:space="preserve"> these data should be used with caution, as the under</w:t>
            </w:r>
            <w:r>
              <w:noBreakHyphen/>
            </w:r>
            <w:r w:rsidRPr="00860DDD">
              <w:t>identification of Indigenous status in deaths registrations increases as remoteness decreases</w:t>
            </w:r>
            <w:r w:rsidR="003A7646">
              <w:t>.</w:t>
            </w:r>
          </w:p>
        </w:tc>
      </w:tr>
      <w:tr w:rsidR="00680847" w14:paraId="066FAA3B" w14:textId="77777777" w:rsidTr="004F04D8">
        <w:trPr>
          <w:cantSplit/>
          <w:trHeight w:val="87"/>
        </w:trPr>
        <w:tc>
          <w:tcPr>
            <w:tcW w:w="8789" w:type="dxa"/>
            <w:tcBorders>
              <w:top w:val="nil"/>
              <w:left w:val="nil"/>
              <w:bottom w:val="single" w:sz="6" w:space="0" w:color="78A22F"/>
              <w:right w:val="nil"/>
            </w:tcBorders>
            <w:shd w:val="clear" w:color="auto" w:fill="F2F2F2"/>
          </w:tcPr>
          <w:p w14:paraId="292B8A91" w14:textId="77777777" w:rsidR="00680847" w:rsidRDefault="00680847">
            <w:pPr>
              <w:pStyle w:val="Box"/>
              <w:spacing w:before="0" w:line="120" w:lineRule="exact"/>
            </w:pPr>
          </w:p>
        </w:tc>
      </w:tr>
      <w:tr w:rsidR="00680847" w:rsidRPr="000863A5" w14:paraId="78AA7871" w14:textId="77777777" w:rsidTr="004F04D8">
        <w:tc>
          <w:tcPr>
            <w:tcW w:w="8789" w:type="dxa"/>
            <w:tcBorders>
              <w:top w:val="single" w:sz="6" w:space="0" w:color="78A22F"/>
              <w:left w:val="nil"/>
              <w:bottom w:val="nil"/>
              <w:right w:val="nil"/>
            </w:tcBorders>
          </w:tcPr>
          <w:p w14:paraId="04E24CD7" w14:textId="77777777" w:rsidR="00680847" w:rsidRPr="00626D32" w:rsidRDefault="00680847" w:rsidP="00680847">
            <w:pPr>
              <w:pStyle w:val="BoxSpaceBelow"/>
            </w:pPr>
          </w:p>
        </w:tc>
      </w:tr>
    </w:tbl>
    <w:p w14:paraId="3EDB8AED" w14:textId="77777777" w:rsidR="00680847" w:rsidRPr="00921D4D" w:rsidRDefault="00680847" w:rsidP="00680847">
      <w:pPr>
        <w:pStyle w:val="Heading3"/>
        <w:keepLines/>
      </w:pPr>
      <w:bookmarkStart w:id="13" w:name="_Ref375126402"/>
      <w:r w:rsidRPr="00921D4D">
        <w:lastRenderedPageBreak/>
        <w:t xml:space="preserve">Indicator 7: </w:t>
      </w:r>
      <w:r>
        <w:t>Proportion of babies born of low birth</w:t>
      </w:r>
      <w:r w:rsidR="00293E8B">
        <w:t xml:space="preserve"> </w:t>
      </w:r>
      <w:r>
        <w:t>weight</w:t>
      </w:r>
      <w:bookmarkEnd w:id="13"/>
    </w:p>
    <w:p w14:paraId="076D73F4" w14:textId="77777777" w:rsidR="00680847" w:rsidRDefault="00680847" w:rsidP="002B469C">
      <w:pPr>
        <w:keepNext/>
      </w:pPr>
    </w:p>
    <w:tbl>
      <w:tblPr>
        <w:tblW w:w="8789" w:type="dxa"/>
        <w:tblCellMar>
          <w:right w:w="0" w:type="dxa"/>
        </w:tblCellMar>
        <w:tblLook w:val="0000" w:firstRow="0" w:lastRow="0" w:firstColumn="0" w:lastColumn="0" w:noHBand="0" w:noVBand="0"/>
      </w:tblPr>
      <w:tblGrid>
        <w:gridCol w:w="2093"/>
        <w:gridCol w:w="6696"/>
      </w:tblGrid>
      <w:tr w:rsidR="00680847" w:rsidRPr="00D87AA9" w14:paraId="10ACB699" w14:textId="77777777" w:rsidTr="004F04D8">
        <w:tc>
          <w:tcPr>
            <w:tcW w:w="2093" w:type="dxa"/>
          </w:tcPr>
          <w:p w14:paraId="3A5001CE" w14:textId="3C1B8543" w:rsidR="00680847" w:rsidRPr="00D87AA9" w:rsidRDefault="00680847" w:rsidP="00680847">
            <w:pPr>
              <w:pStyle w:val="TableBodyText"/>
              <w:jc w:val="left"/>
            </w:pPr>
            <w:r w:rsidRPr="00B82DC5">
              <w:t>Key amendments fr</w:t>
            </w:r>
            <w:r w:rsidR="00F50913">
              <w:t>om previous cycle of reporting:</w:t>
            </w:r>
          </w:p>
        </w:tc>
        <w:tc>
          <w:tcPr>
            <w:tcW w:w="6696" w:type="dxa"/>
          </w:tcPr>
          <w:p w14:paraId="2A621AD9" w14:textId="148C3A51" w:rsidR="00680847" w:rsidRPr="00D87AA9" w:rsidRDefault="00360E8B" w:rsidP="002549C4">
            <w:pPr>
              <w:pStyle w:val="TableBodyText"/>
              <w:jc w:val="left"/>
            </w:pPr>
            <w:r w:rsidRPr="005332B8">
              <w:t xml:space="preserve">This </w:t>
            </w:r>
            <w:r>
              <w:t xml:space="preserve">indicator is </w:t>
            </w:r>
            <w:r w:rsidRPr="005332B8">
              <w:t xml:space="preserve">unchanged from </w:t>
            </w:r>
            <w:r>
              <w:t xml:space="preserve">the </w:t>
            </w:r>
            <w:r w:rsidRPr="005332B8">
              <w:t xml:space="preserve">previous </w:t>
            </w:r>
            <w:proofErr w:type="spellStart"/>
            <w:r>
              <w:t>NIRA</w:t>
            </w:r>
            <w:proofErr w:type="spellEnd"/>
            <w:r>
              <w:t xml:space="preserve"> performance report</w:t>
            </w:r>
          </w:p>
        </w:tc>
      </w:tr>
      <w:tr w:rsidR="00680847" w:rsidRPr="00D87AA9" w14:paraId="4E3B1AB5" w14:textId="77777777" w:rsidTr="004F04D8">
        <w:tc>
          <w:tcPr>
            <w:tcW w:w="2093" w:type="dxa"/>
          </w:tcPr>
          <w:p w14:paraId="4CE5D529" w14:textId="77777777" w:rsidR="00680847" w:rsidRPr="00D87AA9" w:rsidRDefault="00680847" w:rsidP="00F50913">
            <w:pPr>
              <w:pStyle w:val="TableBodyText"/>
              <w:spacing w:before="80"/>
              <w:jc w:val="left"/>
            </w:pPr>
            <w:r w:rsidRPr="00D87AA9">
              <w:t>Target:</w:t>
            </w:r>
          </w:p>
        </w:tc>
        <w:tc>
          <w:tcPr>
            <w:tcW w:w="6696" w:type="dxa"/>
          </w:tcPr>
          <w:p w14:paraId="3E9AA866" w14:textId="06D43662" w:rsidR="00680847" w:rsidRPr="00D87AA9" w:rsidRDefault="00680847" w:rsidP="00F50913">
            <w:pPr>
              <w:pStyle w:val="TableBodyText"/>
              <w:spacing w:before="80"/>
              <w:jc w:val="left"/>
            </w:pPr>
            <w:r w:rsidRPr="004F1FEB">
              <w:t>Halving the gap in mortality rates for Indigenous children under five within a decade (by 2018)</w:t>
            </w:r>
          </w:p>
        </w:tc>
      </w:tr>
      <w:tr w:rsidR="00680847" w:rsidRPr="00D87AA9" w14:paraId="142318E2" w14:textId="77777777" w:rsidTr="004F04D8">
        <w:tc>
          <w:tcPr>
            <w:tcW w:w="2093" w:type="dxa"/>
          </w:tcPr>
          <w:p w14:paraId="4C7C80CC" w14:textId="77777777" w:rsidR="00680847" w:rsidRPr="00D87AA9" w:rsidRDefault="00680847" w:rsidP="00F50913">
            <w:pPr>
              <w:pStyle w:val="TableBodyText"/>
              <w:spacing w:before="80"/>
              <w:jc w:val="left"/>
            </w:pPr>
            <w:r w:rsidRPr="00D87AA9">
              <w:t>Measure:</w:t>
            </w:r>
          </w:p>
        </w:tc>
        <w:tc>
          <w:tcPr>
            <w:tcW w:w="6696" w:type="dxa"/>
          </w:tcPr>
          <w:p w14:paraId="5F65F34A" w14:textId="720353E4" w:rsidR="00680847" w:rsidRPr="004F1FEB" w:rsidRDefault="00680847" w:rsidP="00F50913">
            <w:pPr>
              <w:pStyle w:val="TableBodyText"/>
              <w:spacing w:before="80"/>
              <w:jc w:val="left"/>
            </w:pPr>
            <w:r w:rsidRPr="004F1FEB">
              <w:t>The incidence of low birth</w:t>
            </w:r>
            <w:r w:rsidR="00293E8B">
              <w:t xml:space="preserve"> </w:t>
            </w:r>
            <w:r w:rsidRPr="004F1FEB">
              <w:t xml:space="preserve">weight among live-born </w:t>
            </w:r>
            <w:r w:rsidR="00E919C4" w:rsidRPr="004F1FEB">
              <w:t>babies, of</w:t>
            </w:r>
            <w:r w:rsidRPr="004F1FEB">
              <w:t xml:space="preserve"> mothers by Indigenous status</w:t>
            </w:r>
            <w:r w:rsidR="00F144E1">
              <w:t>, and among live-born babies by Indigenous status</w:t>
            </w:r>
            <w:r w:rsidRPr="004F1FEB">
              <w:t>.</w:t>
            </w:r>
          </w:p>
          <w:p w14:paraId="7C4EBEF3" w14:textId="77777777" w:rsidR="00680847" w:rsidRPr="004F1FEB" w:rsidRDefault="00680847" w:rsidP="00F50913">
            <w:pPr>
              <w:pStyle w:val="TableBodyText"/>
              <w:spacing w:before="80"/>
              <w:jc w:val="left"/>
            </w:pPr>
            <w:r w:rsidRPr="004F1FEB">
              <w:t>The measure is defined as:</w:t>
            </w:r>
          </w:p>
          <w:p w14:paraId="74006337" w14:textId="77777777" w:rsidR="00680847" w:rsidRPr="004F1FEB" w:rsidRDefault="00680847" w:rsidP="00217FEB">
            <w:pPr>
              <w:pStyle w:val="TableBullet"/>
            </w:pPr>
            <w:r w:rsidRPr="00436A2C">
              <w:rPr>
                <w:i/>
              </w:rPr>
              <w:t>Numerator</w:t>
            </w:r>
            <w:r w:rsidRPr="004F1FEB">
              <w:t xml:space="preserve"> — number of low birth</w:t>
            </w:r>
            <w:r w:rsidR="00293E8B">
              <w:t xml:space="preserve"> </w:t>
            </w:r>
            <w:r w:rsidRPr="004F1FEB">
              <w:t>weight live-born singleton infants</w:t>
            </w:r>
          </w:p>
          <w:p w14:paraId="4DEB2765" w14:textId="3FA9AB5B" w:rsidR="00680847" w:rsidRPr="004F1FEB" w:rsidRDefault="00680847" w:rsidP="00217FEB">
            <w:pPr>
              <w:pStyle w:val="TableBullet"/>
            </w:pPr>
            <w:r w:rsidRPr="00436A2C">
              <w:rPr>
                <w:i/>
              </w:rPr>
              <w:t xml:space="preserve">Denominator </w:t>
            </w:r>
            <w:r w:rsidR="007509C7">
              <w:t>— number of live-born singleton infants</w:t>
            </w:r>
          </w:p>
          <w:p w14:paraId="5153359E" w14:textId="77777777" w:rsidR="00680847" w:rsidRPr="004F1FEB" w:rsidRDefault="00680847" w:rsidP="00217FEB">
            <w:pPr>
              <w:pStyle w:val="TableBodyText"/>
              <w:jc w:val="left"/>
            </w:pPr>
            <w:r w:rsidRPr="004F1FEB">
              <w:t xml:space="preserve">presented as a </w:t>
            </w:r>
            <w:r w:rsidRPr="004F1FEB">
              <w:rPr>
                <w:i/>
              </w:rPr>
              <w:t>rate per 100 infants</w:t>
            </w:r>
          </w:p>
          <w:p w14:paraId="367BC21A" w14:textId="6B1FA6D6" w:rsidR="00680847" w:rsidRPr="004F1FEB" w:rsidRDefault="00680847" w:rsidP="00F50913">
            <w:pPr>
              <w:pStyle w:val="TableBodyText"/>
              <w:spacing w:before="80"/>
              <w:jc w:val="left"/>
            </w:pPr>
            <w:r w:rsidRPr="004F1FEB">
              <w:t>'Births' excludes multiple births and stillbirths</w:t>
            </w:r>
            <w:r w:rsidR="007509C7">
              <w:t xml:space="preserve"> and births of less than 20 weeks gestation (where gestation is known).</w:t>
            </w:r>
          </w:p>
          <w:p w14:paraId="4D3D847C" w14:textId="77777777" w:rsidR="00680847" w:rsidRPr="004F1FEB" w:rsidRDefault="00680847" w:rsidP="00F50913">
            <w:pPr>
              <w:pStyle w:val="TableBodyText"/>
              <w:spacing w:before="80"/>
              <w:jc w:val="left"/>
            </w:pPr>
            <w:r w:rsidRPr="004F1FEB">
              <w:t>'Low birth</w:t>
            </w:r>
            <w:r w:rsidR="00293E8B">
              <w:t xml:space="preserve"> </w:t>
            </w:r>
            <w:r w:rsidRPr="004F1FEB">
              <w:t>weight' is defined as: less than 2500 grams</w:t>
            </w:r>
          </w:p>
          <w:p w14:paraId="2EC4EC93" w14:textId="77777777" w:rsidR="00680847" w:rsidRDefault="00815570" w:rsidP="00F50913">
            <w:pPr>
              <w:pStyle w:val="TableBodyText"/>
              <w:spacing w:before="80"/>
              <w:jc w:val="left"/>
            </w:pPr>
            <w:r>
              <w:t>Rate ratios and rate differences are calculated for comparisons between Indigenous and non-Indigenous Australians</w:t>
            </w:r>
            <w:r w:rsidRPr="004F1FEB" w:rsidDel="00815570">
              <w:t xml:space="preserve"> </w:t>
            </w:r>
          </w:p>
          <w:p w14:paraId="4FD3A9CB" w14:textId="4D7E68ED" w:rsidR="00680847" w:rsidRPr="004F1FEB" w:rsidRDefault="00F144E1" w:rsidP="00F50913">
            <w:pPr>
              <w:pStyle w:val="TableBodyText"/>
              <w:spacing w:before="80"/>
              <w:jc w:val="left"/>
            </w:pPr>
            <w:r>
              <w:t xml:space="preserve">For 2011, data on the Indigenous status of the baby were available for 6 </w:t>
            </w:r>
            <w:r w:rsidR="00096D71">
              <w:t>jurisdictions</w:t>
            </w:r>
            <w:r>
              <w:t xml:space="preserve"> – NSW, Victoria, Queensland, Tas</w:t>
            </w:r>
            <w:r w:rsidR="000A1A31">
              <w:t>mania</w:t>
            </w:r>
            <w:r>
              <w:t>, the ACT and the NT. For 2012 onwards, nationally standardised data about the Indigenous status of the baby were supplied fr</w:t>
            </w:r>
            <w:r w:rsidR="00012B4D">
              <w:t>o</w:t>
            </w:r>
            <w:r>
              <w:t xml:space="preserve">m all jurisdictions to the </w:t>
            </w:r>
            <w:proofErr w:type="spellStart"/>
            <w:r>
              <w:t>NPDC</w:t>
            </w:r>
            <w:proofErr w:type="spellEnd"/>
            <w:r>
              <w:t xml:space="preserve">. </w:t>
            </w:r>
          </w:p>
          <w:p w14:paraId="64FE8AE3" w14:textId="2E5293AE" w:rsidR="00680847" w:rsidRPr="00D87AA9" w:rsidRDefault="00680847" w:rsidP="00F50913">
            <w:pPr>
              <w:pStyle w:val="TableBodyText"/>
              <w:spacing w:before="80"/>
              <w:jc w:val="left"/>
            </w:pPr>
            <w:r w:rsidRPr="004F1FEB">
              <w:t>Variability bands are calculated for rates (single year data and for national data for three years combined) using the standard method</w:t>
            </w:r>
          </w:p>
        </w:tc>
      </w:tr>
      <w:tr w:rsidR="00680847" w:rsidRPr="00D87AA9" w14:paraId="24DAE169" w14:textId="77777777" w:rsidTr="004F04D8">
        <w:tc>
          <w:tcPr>
            <w:tcW w:w="2093" w:type="dxa"/>
          </w:tcPr>
          <w:p w14:paraId="217E5797" w14:textId="77777777" w:rsidR="00680847" w:rsidRPr="00D87AA9" w:rsidRDefault="00680847" w:rsidP="00F50913">
            <w:pPr>
              <w:pStyle w:val="TableBodyText"/>
              <w:spacing w:before="80"/>
              <w:jc w:val="left"/>
            </w:pPr>
            <w:r w:rsidRPr="00D87AA9">
              <w:t>Data source:</w:t>
            </w:r>
          </w:p>
        </w:tc>
        <w:tc>
          <w:tcPr>
            <w:tcW w:w="6696" w:type="dxa"/>
          </w:tcPr>
          <w:p w14:paraId="3529EFA2" w14:textId="30F83DDF" w:rsidR="00680847" w:rsidRPr="00D87AA9" w:rsidRDefault="00680847" w:rsidP="00F50913">
            <w:pPr>
              <w:pStyle w:val="TableBodyText"/>
              <w:spacing w:before="80"/>
              <w:jc w:val="left"/>
            </w:pPr>
            <w:r w:rsidRPr="004F1FEB">
              <w:rPr>
                <w:i/>
              </w:rPr>
              <w:t>Numerator and denominator</w:t>
            </w:r>
            <w:r w:rsidRPr="004F1FEB">
              <w:t xml:space="preserve"> — </w:t>
            </w:r>
            <w:proofErr w:type="spellStart"/>
            <w:r w:rsidRPr="004F1FEB">
              <w:t>AIHW</w:t>
            </w:r>
            <w:proofErr w:type="spellEnd"/>
            <w:r w:rsidRPr="004F1FEB">
              <w:t xml:space="preserve"> </w:t>
            </w:r>
            <w:r w:rsidRPr="004F1FEB">
              <w:rPr>
                <w:u w:val="single"/>
              </w:rPr>
              <w:t>National Perinatal Data Collection</w:t>
            </w:r>
            <w:r w:rsidRPr="004F1FEB">
              <w:t xml:space="preserve"> (</w:t>
            </w:r>
            <w:proofErr w:type="spellStart"/>
            <w:r w:rsidRPr="004F1FEB">
              <w:t>NPDC</w:t>
            </w:r>
            <w:proofErr w:type="spellEnd"/>
            <w:r w:rsidRPr="004F1FEB">
              <w:t>). Data are available annually</w:t>
            </w:r>
          </w:p>
        </w:tc>
      </w:tr>
      <w:tr w:rsidR="00680847" w:rsidRPr="00D87AA9" w14:paraId="64771309" w14:textId="77777777" w:rsidTr="004F04D8">
        <w:tc>
          <w:tcPr>
            <w:tcW w:w="2093" w:type="dxa"/>
          </w:tcPr>
          <w:p w14:paraId="7C063E86" w14:textId="77777777" w:rsidR="00680847" w:rsidRPr="00D87AA9" w:rsidRDefault="00680847" w:rsidP="00F50913">
            <w:pPr>
              <w:pStyle w:val="TableBodyText"/>
              <w:spacing w:before="80"/>
              <w:jc w:val="left"/>
            </w:pPr>
            <w:r w:rsidRPr="00D87AA9">
              <w:t>Data provider:</w:t>
            </w:r>
          </w:p>
        </w:tc>
        <w:tc>
          <w:tcPr>
            <w:tcW w:w="6696" w:type="dxa"/>
          </w:tcPr>
          <w:p w14:paraId="1EFCD4A9" w14:textId="3E6A6EAD" w:rsidR="005510E3" w:rsidRPr="00D87AA9" w:rsidRDefault="00680847" w:rsidP="00F50913">
            <w:pPr>
              <w:pStyle w:val="TableBodyText"/>
              <w:spacing w:before="80"/>
              <w:jc w:val="left"/>
            </w:pPr>
            <w:proofErr w:type="spellStart"/>
            <w:r w:rsidRPr="004F1FEB">
              <w:t>AIHW</w:t>
            </w:r>
            <w:proofErr w:type="spellEnd"/>
          </w:p>
        </w:tc>
      </w:tr>
      <w:tr w:rsidR="00680847" w:rsidRPr="00D87AA9" w14:paraId="10BF9AFB" w14:textId="77777777" w:rsidTr="004F04D8">
        <w:tc>
          <w:tcPr>
            <w:tcW w:w="2093" w:type="dxa"/>
            <w:shd w:val="clear" w:color="auto" w:fill="auto"/>
          </w:tcPr>
          <w:p w14:paraId="47223096" w14:textId="77777777" w:rsidR="00680847" w:rsidRPr="00D87AA9" w:rsidRDefault="00680847" w:rsidP="00F50913">
            <w:pPr>
              <w:pStyle w:val="TableBodyText"/>
              <w:spacing w:before="80"/>
              <w:jc w:val="left"/>
            </w:pPr>
            <w:r w:rsidRPr="00D87AA9">
              <w:t>Data availability:</w:t>
            </w:r>
          </w:p>
        </w:tc>
        <w:tc>
          <w:tcPr>
            <w:tcW w:w="6696" w:type="dxa"/>
            <w:shd w:val="clear" w:color="auto" w:fill="auto"/>
          </w:tcPr>
          <w:p w14:paraId="1E49D00F" w14:textId="7E58314D" w:rsidR="00680847" w:rsidRPr="009910BE" w:rsidRDefault="00365846" w:rsidP="00365846">
            <w:pPr>
              <w:pStyle w:val="TableBodyText"/>
              <w:spacing w:before="80"/>
              <w:jc w:val="left"/>
            </w:pPr>
            <w:r w:rsidRPr="004F1FEB">
              <w:t>201</w:t>
            </w:r>
            <w:r>
              <w:t>6</w:t>
            </w:r>
          </w:p>
        </w:tc>
      </w:tr>
      <w:tr w:rsidR="00680847" w:rsidRPr="00D87AA9" w14:paraId="170C9314" w14:textId="77777777" w:rsidTr="004F04D8">
        <w:tc>
          <w:tcPr>
            <w:tcW w:w="2093" w:type="dxa"/>
            <w:shd w:val="clear" w:color="auto" w:fill="auto"/>
          </w:tcPr>
          <w:p w14:paraId="21A94642" w14:textId="77777777" w:rsidR="00680847" w:rsidRPr="00D87AA9" w:rsidRDefault="00680847" w:rsidP="00F50913">
            <w:pPr>
              <w:pStyle w:val="TableBodyText"/>
              <w:spacing w:before="80"/>
              <w:jc w:val="left"/>
            </w:pPr>
            <w:r w:rsidRPr="00D87AA9">
              <w:t>Cross tabulations provided:</w:t>
            </w:r>
          </w:p>
        </w:tc>
        <w:tc>
          <w:tcPr>
            <w:tcW w:w="6696" w:type="dxa"/>
            <w:shd w:val="clear" w:color="auto" w:fill="auto"/>
          </w:tcPr>
          <w:p w14:paraId="75F918DB" w14:textId="77777777" w:rsidR="00680847" w:rsidRPr="004F1FEB" w:rsidRDefault="00680847" w:rsidP="00F50913">
            <w:pPr>
              <w:pStyle w:val="TableBodyText"/>
              <w:spacing w:before="80"/>
              <w:jc w:val="left"/>
            </w:pPr>
            <w:r w:rsidRPr="004F1FEB">
              <w:t xml:space="preserve">State and Territory, by: </w:t>
            </w:r>
          </w:p>
          <w:p w14:paraId="703B8351" w14:textId="77777777" w:rsidR="00680847" w:rsidRPr="004F1FEB" w:rsidRDefault="00680847" w:rsidP="00680847">
            <w:pPr>
              <w:pStyle w:val="TableBullet"/>
            </w:pPr>
            <w:r w:rsidRPr="004F1FEB">
              <w:t>Indigenous status (of the mother)</w:t>
            </w:r>
          </w:p>
          <w:p w14:paraId="36299AB6" w14:textId="6FB1A9DD" w:rsidR="00680847" w:rsidRPr="004F1FEB" w:rsidRDefault="00680847" w:rsidP="00680847">
            <w:pPr>
              <w:pStyle w:val="TableBullet"/>
            </w:pPr>
            <w:r w:rsidRPr="004F1FEB">
              <w:t xml:space="preserve">Indigenous status (of the mother), by remoteness (based on </w:t>
            </w:r>
            <w:r w:rsidR="004722E0">
              <w:t xml:space="preserve">2011 </w:t>
            </w:r>
            <w:proofErr w:type="spellStart"/>
            <w:r w:rsidRPr="004F1FEB">
              <w:t>ASGS</w:t>
            </w:r>
            <w:proofErr w:type="spellEnd"/>
            <w:r w:rsidRPr="004F1FEB">
              <w:t>)</w:t>
            </w:r>
          </w:p>
          <w:p w14:paraId="7520FB53" w14:textId="77777777" w:rsidR="00680847" w:rsidRPr="004F1FEB" w:rsidRDefault="00680847" w:rsidP="00680847">
            <w:pPr>
              <w:pStyle w:val="TableBullet"/>
            </w:pPr>
            <w:r w:rsidRPr="004F1FEB">
              <w:t>Indigenous status (of the infant)</w:t>
            </w:r>
          </w:p>
          <w:p w14:paraId="0D569CBC" w14:textId="0DCE7A6D" w:rsidR="00680847" w:rsidRDefault="00680847" w:rsidP="00680847">
            <w:pPr>
              <w:pStyle w:val="TableBullet"/>
            </w:pPr>
            <w:r w:rsidRPr="004F1FEB">
              <w:t>Indigenous status (of the infan</w:t>
            </w:r>
            <w:r w:rsidR="00815570">
              <w:t>t</w:t>
            </w:r>
            <w:r w:rsidRPr="004F1FEB">
              <w:t>), by remoteness (based</w:t>
            </w:r>
            <w:r>
              <w:t xml:space="preserve"> on</w:t>
            </w:r>
            <w:r w:rsidRPr="004F1FEB">
              <w:t xml:space="preserve"> </w:t>
            </w:r>
            <w:r w:rsidR="004722E0">
              <w:t xml:space="preserve">2011 </w:t>
            </w:r>
            <w:proofErr w:type="spellStart"/>
            <w:r w:rsidRPr="004F1FEB">
              <w:t>ASGS</w:t>
            </w:r>
            <w:proofErr w:type="spellEnd"/>
            <w:r w:rsidRPr="004F1FEB">
              <w:t>)</w:t>
            </w:r>
          </w:p>
          <w:p w14:paraId="4EC79C42" w14:textId="77777777" w:rsidR="005510E3" w:rsidRPr="004F1FEB" w:rsidRDefault="005510E3" w:rsidP="00680847">
            <w:pPr>
              <w:pStyle w:val="TableBullet"/>
            </w:pPr>
            <w:r>
              <w:t>Indigenous status (of the mother and of the baby)</w:t>
            </w:r>
          </w:p>
          <w:p w14:paraId="6DEF7947" w14:textId="791EAF8D" w:rsidR="00680847" w:rsidRPr="00D87AA9" w:rsidRDefault="00760FAF" w:rsidP="00BC0687">
            <w:pPr>
              <w:pStyle w:val="TableBodyText"/>
              <w:spacing w:before="80"/>
              <w:jc w:val="left"/>
              <w:rPr>
                <w:szCs w:val="24"/>
              </w:rPr>
            </w:pPr>
            <w:r w:rsidRPr="004F1FEB">
              <w:t xml:space="preserve">Three-year aggregated data reported for current year analysis </w:t>
            </w:r>
            <w:r w:rsidR="005510E3">
              <w:t>for Indigenous status of the mother, (</w:t>
            </w:r>
            <w:r w:rsidR="00BC0687" w:rsidRPr="004F1FEB">
              <w:t>20</w:t>
            </w:r>
            <w:r w:rsidR="00BC0687">
              <w:t>14</w:t>
            </w:r>
            <w:r w:rsidRPr="004F1FEB">
              <w:t>−</w:t>
            </w:r>
            <w:r w:rsidR="00BC0687" w:rsidRPr="004F1FEB">
              <w:t>201</w:t>
            </w:r>
            <w:r w:rsidR="00BC0687">
              <w:t>6</w:t>
            </w:r>
            <w:r w:rsidR="00041B6D">
              <w:t>)</w:t>
            </w:r>
            <w:r w:rsidR="00680B2C" w:rsidRPr="007509C7">
              <w:rPr>
                <w:b/>
              </w:rPr>
              <w:t xml:space="preserve">. </w:t>
            </w:r>
            <w:r w:rsidR="0035536F" w:rsidRPr="00041B6D">
              <w:t>T</w:t>
            </w:r>
            <w:r w:rsidR="0035536F">
              <w:t>hree</w:t>
            </w:r>
            <w:r w:rsidR="0035536F" w:rsidRPr="00041B6D">
              <w:t xml:space="preserve"> </w:t>
            </w:r>
            <w:r w:rsidR="005510E3" w:rsidRPr="00041B6D">
              <w:t>yea</w:t>
            </w:r>
            <w:r w:rsidR="001F2953" w:rsidRPr="00041B6D">
              <w:t>r</w:t>
            </w:r>
            <w:r w:rsidR="005510E3" w:rsidRPr="00041B6D">
              <w:t xml:space="preserve">s of aggregate data are reported for current year analysis for Indigenous status of the </w:t>
            </w:r>
            <w:r w:rsidR="005510E3" w:rsidRPr="00CA00CE">
              <w:t>baby</w:t>
            </w:r>
            <w:r w:rsidR="005510E3" w:rsidRPr="00870441">
              <w:t xml:space="preserve"> and of the </w:t>
            </w:r>
            <w:r w:rsidR="00041B6D" w:rsidRPr="00870441">
              <w:t xml:space="preserve">Indigenous status of the </w:t>
            </w:r>
            <w:r w:rsidR="005510E3" w:rsidRPr="00870441">
              <w:t>mother</w:t>
            </w:r>
            <w:r w:rsidR="00041B6D" w:rsidRPr="00870441">
              <w:t xml:space="preserve"> stratified by Indigenous status of</w:t>
            </w:r>
            <w:r w:rsidR="005510E3" w:rsidRPr="00870441">
              <w:t xml:space="preserve"> the</w:t>
            </w:r>
            <w:r w:rsidR="005510E3" w:rsidRPr="00CA00CE">
              <w:t xml:space="preserve"> baby</w:t>
            </w:r>
            <w:r w:rsidR="005510E3">
              <w:t xml:space="preserve"> (</w:t>
            </w:r>
            <w:r w:rsidR="00BC0687">
              <w:t>2014</w:t>
            </w:r>
            <w:r w:rsidR="005510E3">
              <w:t>-</w:t>
            </w:r>
            <w:r w:rsidR="00BC0687">
              <w:t>2016</w:t>
            </w:r>
            <w:r w:rsidR="005510E3">
              <w:t>)</w:t>
            </w:r>
            <w:r w:rsidR="0035536F">
              <w:t>.</w:t>
            </w:r>
          </w:p>
        </w:tc>
      </w:tr>
    </w:tbl>
    <w:p w14:paraId="58732A86" w14:textId="77777777" w:rsidR="00680847" w:rsidRDefault="00680847" w:rsidP="00680847">
      <w:pPr>
        <w:pStyle w:val="BodyText"/>
      </w:pPr>
      <w:r>
        <w:br w:type="page"/>
      </w:r>
    </w:p>
    <w:p w14:paraId="553342BA" w14:textId="77777777" w:rsidR="00680847" w:rsidRDefault="00680847">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7EE959BA" w14:textId="77777777" w:rsidTr="004F04D8">
        <w:tc>
          <w:tcPr>
            <w:tcW w:w="8789" w:type="dxa"/>
            <w:tcBorders>
              <w:top w:val="single" w:sz="6" w:space="0" w:color="78A22F"/>
              <w:left w:val="nil"/>
              <w:bottom w:val="nil"/>
              <w:right w:val="nil"/>
            </w:tcBorders>
            <w:shd w:val="clear" w:color="auto" w:fill="F2F2F2"/>
          </w:tcPr>
          <w:p w14:paraId="2A93B090" w14:textId="6F66D012" w:rsidR="00680847" w:rsidRDefault="00680847" w:rsidP="00291F8D">
            <w:pPr>
              <w:pStyle w:val="BoxTitle"/>
            </w:pPr>
            <w:r>
              <w:rPr>
                <w:b w:val="0"/>
              </w:rPr>
              <w:t>Box</w:t>
            </w:r>
            <w:r w:rsidR="00B1719E">
              <w:rPr>
                <w:b w:val="0"/>
              </w:rPr>
              <w:t xml:space="preserve"> </w:t>
            </w:r>
            <w:r w:rsidR="00A8151B">
              <w:rPr>
                <w:b w:val="0"/>
              </w:rPr>
              <w:t>2</w:t>
            </w:r>
            <w:r w:rsidR="00291F8D">
              <w:rPr>
                <w:b w:val="0"/>
              </w:rPr>
              <w:t>2</w:t>
            </w:r>
            <w:r>
              <w:tab/>
              <w:t>Results</w:t>
            </w:r>
          </w:p>
        </w:tc>
      </w:tr>
      <w:tr w:rsidR="00680847" w:rsidRPr="00680847" w14:paraId="68920E19" w14:textId="77777777" w:rsidTr="004F04D8">
        <w:trPr>
          <w:cantSplit/>
        </w:trPr>
        <w:tc>
          <w:tcPr>
            <w:tcW w:w="8789" w:type="dxa"/>
            <w:tcBorders>
              <w:top w:val="nil"/>
              <w:left w:val="nil"/>
              <w:bottom w:val="nil"/>
              <w:right w:val="nil"/>
            </w:tcBorders>
            <w:shd w:val="clear" w:color="auto" w:fill="F2F2F2"/>
          </w:tcPr>
          <w:p w14:paraId="59243778" w14:textId="3628EEBD" w:rsidR="00680847" w:rsidRPr="00680847" w:rsidRDefault="00680847" w:rsidP="00680847">
            <w:pPr>
              <w:pStyle w:val="Box"/>
            </w:pPr>
            <w:r w:rsidRPr="00680847">
              <w:t xml:space="preserve">For this report, new data for this indicator are available for </w:t>
            </w:r>
            <w:r w:rsidR="00BC0687" w:rsidRPr="00680847">
              <w:t>201</w:t>
            </w:r>
            <w:r w:rsidR="00BC0687">
              <w:t>6</w:t>
            </w:r>
            <w:r w:rsidRPr="00680847">
              <w:t xml:space="preserve">. This results in new aggregate year data for </w:t>
            </w:r>
            <w:r w:rsidR="00BC0687" w:rsidRPr="00680847">
              <w:t>201</w:t>
            </w:r>
            <w:r w:rsidR="00BC0687">
              <w:t>4</w:t>
            </w:r>
            <w:r w:rsidRPr="00680847">
              <w:t>–</w:t>
            </w:r>
            <w:r w:rsidR="00BC0687" w:rsidRPr="00680847">
              <w:t>201</w:t>
            </w:r>
            <w:r w:rsidR="00BC0687">
              <w:t>6</w:t>
            </w:r>
            <w:r w:rsidRPr="00680847">
              <w:t>.</w:t>
            </w:r>
          </w:p>
          <w:p w14:paraId="5D70DD05" w14:textId="77777777" w:rsidR="00680847" w:rsidRPr="00680847" w:rsidRDefault="00680847" w:rsidP="00680847">
            <w:pPr>
              <w:pStyle w:val="BoxListBullet"/>
            </w:pPr>
            <w:r w:rsidRPr="00680847">
              <w:t xml:space="preserve">Single year data by State and Territory (Indigenous status of the mother) are presented in table </w:t>
            </w:r>
            <w:proofErr w:type="spellStart"/>
            <w:r w:rsidRPr="00680847">
              <w:t>NIRA.7.1</w:t>
            </w:r>
            <w:proofErr w:type="spellEnd"/>
            <w:r w:rsidRPr="00680847">
              <w:t>.</w:t>
            </w:r>
          </w:p>
          <w:p w14:paraId="4DDBEE45" w14:textId="77777777" w:rsidR="00680847" w:rsidRPr="00680847" w:rsidRDefault="00680847" w:rsidP="00680847">
            <w:pPr>
              <w:pStyle w:val="BoxListBullet"/>
            </w:pPr>
            <w:r w:rsidRPr="00680847">
              <w:t xml:space="preserve">Single year data by State and Territory by remoteness (Indigenous status of the mother) are presented in table </w:t>
            </w:r>
            <w:proofErr w:type="spellStart"/>
            <w:r w:rsidRPr="00680847">
              <w:t>NIRA</w:t>
            </w:r>
            <w:proofErr w:type="spellEnd"/>
            <w:r w:rsidRPr="00680847">
              <w:t xml:space="preserve"> 7.2.</w:t>
            </w:r>
          </w:p>
          <w:p w14:paraId="0950A4A9" w14:textId="77777777" w:rsidR="00680847" w:rsidRPr="00680847" w:rsidRDefault="00680847" w:rsidP="00680847">
            <w:pPr>
              <w:pStyle w:val="BoxListBullet"/>
            </w:pPr>
            <w:r w:rsidRPr="00680847">
              <w:t xml:space="preserve">Single year data by State and Territory (Indigenous status of the infant) are presented in table </w:t>
            </w:r>
            <w:proofErr w:type="spellStart"/>
            <w:r w:rsidRPr="00680847">
              <w:t>NIRA.7.3</w:t>
            </w:r>
            <w:proofErr w:type="spellEnd"/>
            <w:r w:rsidRPr="00680847">
              <w:t>.</w:t>
            </w:r>
          </w:p>
          <w:p w14:paraId="75C9A7D4" w14:textId="77777777" w:rsidR="00680847" w:rsidRPr="00680847" w:rsidRDefault="00680847" w:rsidP="00680847">
            <w:pPr>
              <w:pStyle w:val="BoxListBullet"/>
            </w:pPr>
            <w:r w:rsidRPr="00680847">
              <w:t xml:space="preserve">Single year data by State and Territory by remoteness (Indigenous status of the infant) are presented in table </w:t>
            </w:r>
            <w:proofErr w:type="spellStart"/>
            <w:r w:rsidRPr="00680847">
              <w:t>NIRA</w:t>
            </w:r>
            <w:proofErr w:type="spellEnd"/>
            <w:r w:rsidRPr="00680847">
              <w:t xml:space="preserve"> 7.4.</w:t>
            </w:r>
          </w:p>
          <w:p w14:paraId="5438784F" w14:textId="77777777" w:rsidR="00680847" w:rsidRPr="00680847" w:rsidRDefault="00680847" w:rsidP="00680847">
            <w:pPr>
              <w:pStyle w:val="BoxListBullet"/>
            </w:pPr>
            <w:r w:rsidRPr="00680847">
              <w:t xml:space="preserve">Aggregate year data by State and Territory (Indigenous status of the mother) are presented in table </w:t>
            </w:r>
            <w:proofErr w:type="spellStart"/>
            <w:r w:rsidRPr="00680847">
              <w:t>NIRA.7.5</w:t>
            </w:r>
            <w:proofErr w:type="spellEnd"/>
            <w:r w:rsidRPr="00680847">
              <w:t>.</w:t>
            </w:r>
          </w:p>
          <w:p w14:paraId="156C5820" w14:textId="77777777" w:rsidR="00F50910" w:rsidRDefault="00680847" w:rsidP="00F50910">
            <w:pPr>
              <w:pStyle w:val="BoxListBullet"/>
            </w:pPr>
            <w:r w:rsidRPr="00680847">
              <w:t xml:space="preserve">Aggregate year data by State and Territory, by remoteness (Indigenous status of the mother) are presented in table </w:t>
            </w:r>
            <w:proofErr w:type="spellStart"/>
            <w:r w:rsidRPr="00680847">
              <w:t>NIRA.7.6</w:t>
            </w:r>
            <w:proofErr w:type="spellEnd"/>
            <w:r w:rsidRPr="00680847">
              <w:t>.</w:t>
            </w:r>
          </w:p>
          <w:p w14:paraId="787D8CE7" w14:textId="11876C3C" w:rsidR="00F50910" w:rsidRPr="000F7959" w:rsidRDefault="0035536F" w:rsidP="008F66B1">
            <w:pPr>
              <w:pStyle w:val="Box"/>
            </w:pPr>
            <w:r>
              <w:t>Three</w:t>
            </w:r>
            <w:r w:rsidR="008F66B1" w:rsidRPr="000F7959">
              <w:t xml:space="preserve"> years of aggregate data are available for </w:t>
            </w:r>
            <w:r w:rsidR="00BC0687" w:rsidRPr="000F7959">
              <w:t>201</w:t>
            </w:r>
            <w:r w:rsidR="00BC0687">
              <w:t>4</w:t>
            </w:r>
            <w:r w:rsidR="008F66B1" w:rsidRPr="000F7959">
              <w:t>-</w:t>
            </w:r>
            <w:r w:rsidR="00BC0687">
              <w:t>20</w:t>
            </w:r>
            <w:r w:rsidR="00BC0687" w:rsidRPr="000F7959">
              <w:t>1</w:t>
            </w:r>
            <w:r w:rsidR="00BC0687">
              <w:t>6</w:t>
            </w:r>
            <w:r w:rsidR="00BC0687" w:rsidRPr="000F7959">
              <w:t xml:space="preserve"> </w:t>
            </w:r>
            <w:r w:rsidR="008F66B1" w:rsidRPr="000F7959">
              <w:t xml:space="preserve">by Indigenous status of the </w:t>
            </w:r>
            <w:r w:rsidR="005A59AD" w:rsidRPr="000F7959">
              <w:t>infant</w:t>
            </w:r>
            <w:r w:rsidR="008F66B1" w:rsidRPr="000F7959">
              <w:t xml:space="preserve"> and by </w:t>
            </w:r>
            <w:r w:rsidR="005A59AD" w:rsidRPr="000F7959">
              <w:t>Indigenous status of the mother</w:t>
            </w:r>
            <w:r w:rsidR="000F7959" w:rsidRPr="000F7959">
              <w:t xml:space="preserve"> and </w:t>
            </w:r>
            <w:r w:rsidR="005A59AD" w:rsidRPr="000F7959">
              <w:t xml:space="preserve">infant. </w:t>
            </w:r>
          </w:p>
          <w:p w14:paraId="03936C7D" w14:textId="77777777" w:rsidR="008F66B1" w:rsidRPr="000F7959" w:rsidRDefault="00F50910" w:rsidP="00680847">
            <w:pPr>
              <w:pStyle w:val="BoxListBullet"/>
            </w:pPr>
            <w:r w:rsidRPr="000F7959">
              <w:t>Aggregate year data by State and Territory (Indigenous status of the infant) are presented in</w:t>
            </w:r>
            <w:r w:rsidR="008F66B1" w:rsidRPr="000F7959">
              <w:t xml:space="preserve"> table </w:t>
            </w:r>
            <w:proofErr w:type="spellStart"/>
            <w:r w:rsidR="008F66B1" w:rsidRPr="000F7959">
              <w:t>NIRA.7.7</w:t>
            </w:r>
            <w:proofErr w:type="spellEnd"/>
            <w:r w:rsidR="008F66B1" w:rsidRPr="000F7959">
              <w:t xml:space="preserve">. </w:t>
            </w:r>
          </w:p>
          <w:p w14:paraId="49B5A08C" w14:textId="77777777" w:rsidR="008F66B1" w:rsidRPr="000F7959" w:rsidRDefault="008F66B1" w:rsidP="00680847">
            <w:pPr>
              <w:pStyle w:val="BoxListBullet"/>
            </w:pPr>
            <w:r w:rsidRPr="000F7959">
              <w:t xml:space="preserve">Aggregate year data by State and Territory by remoteness (Indigenous status of the infant) are presented in table </w:t>
            </w:r>
            <w:proofErr w:type="spellStart"/>
            <w:r w:rsidRPr="000F7959">
              <w:t>NIRA</w:t>
            </w:r>
            <w:proofErr w:type="spellEnd"/>
            <w:r w:rsidRPr="000F7959">
              <w:t xml:space="preserve"> 7.8</w:t>
            </w:r>
            <w:r w:rsidR="000F7959">
              <w:t>.</w:t>
            </w:r>
          </w:p>
          <w:p w14:paraId="57DCE9FC" w14:textId="77777777" w:rsidR="007A2DB5" w:rsidRPr="008F66B1" w:rsidRDefault="008F66B1" w:rsidP="00680847">
            <w:pPr>
              <w:pStyle w:val="BoxListBullet"/>
            </w:pPr>
            <w:r w:rsidRPr="008F66B1">
              <w:t xml:space="preserve">Aggregate year data by State and Territory (Indigenous status of the mother and of the baby) are presented in table </w:t>
            </w:r>
            <w:proofErr w:type="spellStart"/>
            <w:r w:rsidRPr="008F66B1">
              <w:t>NIRA.7.9</w:t>
            </w:r>
            <w:proofErr w:type="spellEnd"/>
            <w:r w:rsidRPr="008F66B1">
              <w:t>.</w:t>
            </w:r>
          </w:p>
          <w:p w14:paraId="6A30AE0D" w14:textId="4F827E53" w:rsidR="00680847" w:rsidRPr="00680847" w:rsidRDefault="00BC0687" w:rsidP="00082DB4">
            <w:pPr>
              <w:pStyle w:val="Box"/>
            </w:pPr>
            <w:r>
              <w:t xml:space="preserve">Data for 2015 </w:t>
            </w:r>
            <w:r w:rsidR="00082DB4">
              <w:t>are available</w:t>
            </w:r>
            <w:r>
              <w:t xml:space="preserve"> in the 2016-17 </w:t>
            </w:r>
            <w:proofErr w:type="spellStart"/>
            <w:r>
              <w:t>NIRA</w:t>
            </w:r>
            <w:proofErr w:type="spellEnd"/>
            <w:r>
              <w:t xml:space="preserve"> performance report</w:t>
            </w:r>
            <w:r w:rsidR="00082DB4">
              <w:t xml:space="preserve">, </w:t>
            </w:r>
            <w:r w:rsidR="0035536F">
              <w:t xml:space="preserve">for 2014 in the 2015-16 </w:t>
            </w:r>
            <w:proofErr w:type="spellStart"/>
            <w:r w:rsidR="0035536F">
              <w:t>NIRA</w:t>
            </w:r>
            <w:proofErr w:type="spellEnd"/>
            <w:r w:rsidR="0035536F">
              <w:t xml:space="preserve"> performance report</w:t>
            </w:r>
            <w:r w:rsidR="00082DB4">
              <w:t xml:space="preserve">, </w:t>
            </w:r>
            <w:r w:rsidR="005510E3">
              <w:t xml:space="preserve">for 2013 in the 2014-15 </w:t>
            </w:r>
            <w:proofErr w:type="spellStart"/>
            <w:r w:rsidR="005510E3">
              <w:t>NIRA</w:t>
            </w:r>
            <w:proofErr w:type="spellEnd"/>
            <w:r w:rsidR="005510E3">
              <w:t xml:space="preserve"> performance report</w:t>
            </w:r>
            <w:r w:rsidR="00082DB4">
              <w:t xml:space="preserve"> and </w:t>
            </w:r>
            <w:r w:rsidR="00054A8F">
              <w:t xml:space="preserve">for 2012 in the 2013-14 </w:t>
            </w:r>
            <w:proofErr w:type="spellStart"/>
            <w:r w:rsidR="00054A8F">
              <w:t>NIRA</w:t>
            </w:r>
            <w:proofErr w:type="spellEnd"/>
            <w:r w:rsidR="00054A8F">
              <w:t xml:space="preserve"> </w:t>
            </w:r>
            <w:r w:rsidR="003661AB">
              <w:t xml:space="preserve">performance </w:t>
            </w:r>
            <w:r w:rsidR="00054A8F">
              <w:t xml:space="preserve">report. </w:t>
            </w:r>
            <w:r w:rsidR="00680847" w:rsidRPr="00680847">
              <w:t xml:space="preserve">Data for 2011 and remoteness data for 2010, 2009, 2008 and 2007 (Indigenous status of the mother only) </w:t>
            </w:r>
            <w:r w:rsidR="00082DB4">
              <w:t>are available</w:t>
            </w:r>
            <w:r w:rsidR="00680847" w:rsidRPr="00680847">
              <w:t xml:space="preserve"> in the 2012-13 </w:t>
            </w:r>
            <w:proofErr w:type="spellStart"/>
            <w:r w:rsidR="00680847" w:rsidRPr="00680847">
              <w:t>NIRA</w:t>
            </w:r>
            <w:proofErr w:type="spellEnd"/>
            <w:r w:rsidR="00680847" w:rsidRPr="00680847">
              <w:t xml:space="preserve"> </w:t>
            </w:r>
            <w:r w:rsidR="003661AB">
              <w:t xml:space="preserve">performance </w:t>
            </w:r>
            <w:r w:rsidR="00680847" w:rsidRPr="00680847">
              <w:t xml:space="preserve">report. Data for 2007 to 2010 are available in the 2011-12 </w:t>
            </w:r>
            <w:proofErr w:type="spellStart"/>
            <w:r w:rsidR="00680847" w:rsidRPr="00680847">
              <w:t>NIRA</w:t>
            </w:r>
            <w:proofErr w:type="spellEnd"/>
            <w:r w:rsidR="00680847" w:rsidRPr="00680847">
              <w:t xml:space="preserve"> </w:t>
            </w:r>
            <w:r w:rsidR="00F8458B">
              <w:t xml:space="preserve">performance </w:t>
            </w:r>
            <w:r w:rsidR="00FA7518">
              <w:t>report.</w:t>
            </w:r>
          </w:p>
        </w:tc>
      </w:tr>
      <w:tr w:rsidR="00680847" w14:paraId="4C289319" w14:textId="77777777" w:rsidTr="004F04D8">
        <w:trPr>
          <w:cantSplit/>
        </w:trPr>
        <w:tc>
          <w:tcPr>
            <w:tcW w:w="8789" w:type="dxa"/>
            <w:tcBorders>
              <w:top w:val="nil"/>
              <w:left w:val="nil"/>
              <w:bottom w:val="single" w:sz="6" w:space="0" w:color="78A22F"/>
              <w:right w:val="nil"/>
            </w:tcBorders>
            <w:shd w:val="clear" w:color="auto" w:fill="F2F2F2"/>
          </w:tcPr>
          <w:p w14:paraId="4633CC11" w14:textId="77777777" w:rsidR="00680847" w:rsidRDefault="00680847">
            <w:pPr>
              <w:pStyle w:val="Box"/>
              <w:spacing w:before="0" w:line="120" w:lineRule="exact"/>
            </w:pPr>
          </w:p>
        </w:tc>
      </w:tr>
      <w:tr w:rsidR="00680847" w:rsidRPr="000863A5" w14:paraId="5551E516" w14:textId="77777777" w:rsidTr="004F04D8">
        <w:tc>
          <w:tcPr>
            <w:tcW w:w="8789" w:type="dxa"/>
            <w:tcBorders>
              <w:top w:val="single" w:sz="6" w:space="0" w:color="78A22F"/>
              <w:left w:val="nil"/>
              <w:bottom w:val="nil"/>
              <w:right w:val="nil"/>
            </w:tcBorders>
          </w:tcPr>
          <w:p w14:paraId="4BA007A3" w14:textId="77777777" w:rsidR="00680847" w:rsidRPr="00626D32" w:rsidRDefault="00680847" w:rsidP="00680847">
            <w:pPr>
              <w:pStyle w:val="BoxSpaceBelow"/>
            </w:pPr>
          </w:p>
        </w:tc>
      </w:tr>
    </w:tbl>
    <w:p w14:paraId="41CE53E9" w14:textId="77777777" w:rsidR="00680847" w:rsidRDefault="00680847">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7C22D95F" w14:textId="77777777" w:rsidTr="004F04D8">
        <w:tc>
          <w:tcPr>
            <w:tcW w:w="8789" w:type="dxa"/>
            <w:tcBorders>
              <w:top w:val="single" w:sz="6" w:space="0" w:color="78A22F"/>
              <w:left w:val="nil"/>
              <w:bottom w:val="nil"/>
              <w:right w:val="nil"/>
            </w:tcBorders>
            <w:shd w:val="clear" w:color="auto" w:fill="F2F2F2"/>
          </w:tcPr>
          <w:p w14:paraId="2375E019" w14:textId="502B4BE1" w:rsidR="00680847" w:rsidRDefault="00680847" w:rsidP="00291F8D">
            <w:pPr>
              <w:pStyle w:val="BoxTitle"/>
            </w:pPr>
            <w:r w:rsidRPr="00606B68">
              <w:rPr>
                <w:b w:val="0"/>
              </w:rPr>
              <w:t>Box</w:t>
            </w:r>
            <w:r w:rsidR="00B1719E" w:rsidRPr="00606B68">
              <w:rPr>
                <w:b w:val="0"/>
              </w:rPr>
              <w:t xml:space="preserve"> </w:t>
            </w:r>
            <w:r w:rsidR="00A8151B" w:rsidRPr="00606B68">
              <w:rPr>
                <w:b w:val="0"/>
              </w:rPr>
              <w:t>2</w:t>
            </w:r>
            <w:r w:rsidR="00291F8D">
              <w:rPr>
                <w:b w:val="0"/>
              </w:rPr>
              <w:t>3</w:t>
            </w:r>
            <w:r w:rsidRPr="00606B68">
              <w:tab/>
              <w:t>Comment on data quality</w:t>
            </w:r>
          </w:p>
        </w:tc>
      </w:tr>
      <w:tr w:rsidR="00680847" w:rsidRPr="00680847" w14:paraId="77763DEB" w14:textId="77777777" w:rsidTr="004F04D8">
        <w:trPr>
          <w:cantSplit/>
        </w:trPr>
        <w:tc>
          <w:tcPr>
            <w:tcW w:w="8789" w:type="dxa"/>
            <w:tcBorders>
              <w:top w:val="nil"/>
              <w:left w:val="nil"/>
              <w:bottom w:val="nil"/>
              <w:right w:val="nil"/>
            </w:tcBorders>
            <w:shd w:val="clear" w:color="auto" w:fill="F2F2F2"/>
          </w:tcPr>
          <w:p w14:paraId="5FFA1DDA" w14:textId="77777777" w:rsidR="00680847" w:rsidRPr="00680847" w:rsidRDefault="00680847" w:rsidP="00680847">
            <w:pPr>
              <w:pStyle w:val="Box"/>
              <w:keepLines/>
            </w:pPr>
            <w:r w:rsidRPr="00680847">
              <w:t>Key points on data quality for this indicator are summarised below.</w:t>
            </w:r>
          </w:p>
          <w:p w14:paraId="19581647" w14:textId="12C93BBE" w:rsidR="00680847" w:rsidRPr="000F7959" w:rsidRDefault="00680847" w:rsidP="005A3036">
            <w:pPr>
              <w:pStyle w:val="BoxListBullet"/>
              <w:keepLines/>
            </w:pPr>
            <w:r w:rsidRPr="00680847">
              <w:t>The data provide relevant information on the proportion of babies born of low birth</w:t>
            </w:r>
            <w:r w:rsidR="00293E8B">
              <w:t xml:space="preserve"> </w:t>
            </w:r>
            <w:r w:rsidRPr="00680847">
              <w:t xml:space="preserve">weight. Data are available by State and Territory. </w:t>
            </w:r>
          </w:p>
          <w:p w14:paraId="635B72B7" w14:textId="568DB350" w:rsidR="00680847" w:rsidRPr="00680847" w:rsidRDefault="00680847" w:rsidP="00680847">
            <w:pPr>
              <w:pStyle w:val="BoxListBullet"/>
              <w:keepLines/>
            </w:pPr>
            <w:r w:rsidRPr="00680847">
              <w:t xml:space="preserve">Data are collected and published annually. The most recent available </w:t>
            </w:r>
            <w:r w:rsidR="009A2120">
              <w:t xml:space="preserve">data are for </w:t>
            </w:r>
            <w:r w:rsidR="005C047E">
              <w:t>2016</w:t>
            </w:r>
            <w:r w:rsidRPr="00680847">
              <w:t xml:space="preserve">. Data are presented as three-year combined data due to the volatility of the small numbers involved. Single year data are reported for time series comparisons. </w:t>
            </w:r>
          </w:p>
          <w:p w14:paraId="4E4FF6AF" w14:textId="3B075FC2" w:rsidR="009D3762" w:rsidRDefault="009D3762" w:rsidP="009D3762">
            <w:pPr>
              <w:pStyle w:val="BoxListBullet"/>
            </w:pPr>
            <w:r>
              <w:t>R</w:t>
            </w:r>
            <w:r w:rsidRPr="009D3762">
              <w:t>ecords where Indigenous status was not stated were excluded from Indigenous and non-Indigenous analyses but were included in totals.</w:t>
            </w:r>
          </w:p>
          <w:p w14:paraId="464CB6EA" w14:textId="6CB770F6" w:rsidR="009A2120" w:rsidRDefault="009A2120" w:rsidP="009D3762">
            <w:pPr>
              <w:pStyle w:val="BoxListBullet"/>
            </w:pPr>
            <w:r w:rsidRPr="00680847">
              <w:t xml:space="preserve">Indigenous status of the baby </w:t>
            </w:r>
            <w:r>
              <w:t>was</w:t>
            </w:r>
            <w:r w:rsidRPr="00680847">
              <w:t xml:space="preserve"> </w:t>
            </w:r>
            <w:r w:rsidR="00815570">
              <w:t xml:space="preserve">added to the perinatal </w:t>
            </w:r>
            <w:r w:rsidRPr="00680847">
              <w:t xml:space="preserve">National </w:t>
            </w:r>
            <w:r w:rsidR="00815570">
              <w:t xml:space="preserve">Minimum </w:t>
            </w:r>
            <w:r w:rsidRPr="00680847">
              <w:t xml:space="preserve">Data </w:t>
            </w:r>
            <w:r w:rsidR="00FE22D4">
              <w:t xml:space="preserve">Set </w:t>
            </w:r>
            <w:r w:rsidRPr="00680847">
              <w:t>(</w:t>
            </w:r>
            <w:proofErr w:type="spellStart"/>
            <w:r w:rsidR="00FE22D4">
              <w:t>NMDS</w:t>
            </w:r>
            <w:proofErr w:type="spellEnd"/>
            <w:r w:rsidRPr="00680847">
              <w:t xml:space="preserve">) </w:t>
            </w:r>
            <w:r w:rsidR="00FE22D4">
              <w:t xml:space="preserve">for collection </w:t>
            </w:r>
            <w:r>
              <w:t xml:space="preserve">from </w:t>
            </w:r>
            <w:r w:rsidR="00FE22D4">
              <w:t xml:space="preserve">July </w:t>
            </w:r>
            <w:r>
              <w:t>2012</w:t>
            </w:r>
            <w:r w:rsidR="00FE22D4">
              <w:t>. Nationally standardised data about the Indige</w:t>
            </w:r>
            <w:r w:rsidR="00096D71">
              <w:t>n</w:t>
            </w:r>
            <w:r w:rsidR="00FE22D4">
              <w:t xml:space="preserve">ous status of the </w:t>
            </w:r>
            <w:r w:rsidR="004722E0">
              <w:t xml:space="preserve">infant </w:t>
            </w:r>
            <w:r w:rsidR="00FE22D4">
              <w:t xml:space="preserve">were supplied from all jurisdictions to the </w:t>
            </w:r>
            <w:proofErr w:type="spellStart"/>
            <w:r w:rsidR="00FE22D4">
              <w:t>NPDC</w:t>
            </w:r>
            <w:proofErr w:type="spellEnd"/>
            <w:r w:rsidR="00777063">
              <w:t xml:space="preserve"> with the first full year of reporting</w:t>
            </w:r>
            <w:r w:rsidR="00505774">
              <w:t xml:space="preserve"> against the standards for 2013 (p</w:t>
            </w:r>
            <w:r>
              <w:t>reviously</w:t>
            </w:r>
            <w:r w:rsidR="00FE22D4">
              <w:t>, non-standardised</w:t>
            </w:r>
            <w:r>
              <w:t xml:space="preserve"> data were </w:t>
            </w:r>
            <w:r w:rsidR="00995C2F">
              <w:t xml:space="preserve">available </w:t>
            </w:r>
            <w:r>
              <w:t>for limited jurisdictions</w:t>
            </w:r>
            <w:r w:rsidR="00864E10">
              <w:t xml:space="preserve"> only</w:t>
            </w:r>
            <w:r>
              <w:t>)</w:t>
            </w:r>
            <w:r w:rsidR="007F5D5F">
              <w:t>.</w:t>
            </w:r>
          </w:p>
          <w:p w14:paraId="08120015" w14:textId="102FE84E" w:rsidR="003109D3" w:rsidRDefault="003109D3" w:rsidP="009A2120">
            <w:pPr>
              <w:pStyle w:val="BoxListBullet"/>
              <w:keepLines/>
            </w:pPr>
            <w:r>
              <w:t>Supplementary data were reported for Indigenous status of the mother stratified by Indigenous status of the</w:t>
            </w:r>
            <w:r w:rsidR="008C5BAE">
              <w:t xml:space="preserve"> infant</w:t>
            </w:r>
            <w:r>
              <w:t xml:space="preserve"> (</w:t>
            </w:r>
            <w:r w:rsidR="0035536F">
              <w:t>three</w:t>
            </w:r>
            <w:r>
              <w:t xml:space="preserve"> full years of data</w:t>
            </w:r>
            <w:r w:rsidR="008D3BAF">
              <w:t>,</w:t>
            </w:r>
            <w:r>
              <w:t xml:space="preserve"> </w:t>
            </w:r>
            <w:r w:rsidR="005C047E">
              <w:t>2014</w:t>
            </w:r>
            <w:r w:rsidR="0035536F">
              <w:t>–</w:t>
            </w:r>
            <w:r w:rsidR="005C047E">
              <w:t xml:space="preserve">2016 </w:t>
            </w:r>
            <w:r>
              <w:t>combined</w:t>
            </w:r>
            <w:r w:rsidR="000B665F">
              <w:t>,</w:t>
            </w:r>
            <w:r>
              <w:t xml:space="preserve"> are available).</w:t>
            </w:r>
          </w:p>
          <w:p w14:paraId="3599EDA3" w14:textId="77777777" w:rsidR="00680847" w:rsidRDefault="009A2120" w:rsidP="00680847">
            <w:pPr>
              <w:pStyle w:val="BoxListBullet"/>
            </w:pPr>
            <w:r>
              <w:t xml:space="preserve">Data for </w:t>
            </w:r>
            <w:r w:rsidR="00370054">
              <w:t xml:space="preserve">Indigenous status are influenced by the quality of </w:t>
            </w:r>
            <w:r w:rsidR="00F80EE3">
              <w:t xml:space="preserve">Aboriginal and Torres Strait Islander </w:t>
            </w:r>
            <w:r w:rsidR="00370054">
              <w:t xml:space="preserve">identification of mothers and babies </w:t>
            </w:r>
            <w:r>
              <w:t xml:space="preserve">in the </w:t>
            </w:r>
            <w:proofErr w:type="spellStart"/>
            <w:r>
              <w:t>NPDC</w:t>
            </w:r>
            <w:proofErr w:type="spellEnd"/>
            <w:r w:rsidR="00995C2F">
              <w:t>,</w:t>
            </w:r>
            <w:r>
              <w:t xml:space="preserve"> </w:t>
            </w:r>
            <w:r w:rsidR="00370054">
              <w:t>which is likely to differ ac</w:t>
            </w:r>
            <w:r w:rsidR="003F6889">
              <w:t>ross jurisdictions.</w:t>
            </w:r>
          </w:p>
          <w:p w14:paraId="6D3E4F0B" w14:textId="202E884A" w:rsidR="00A413DD" w:rsidRDefault="00A413DD" w:rsidP="00217FEB">
            <w:pPr>
              <w:pStyle w:val="BoxListBullet"/>
            </w:pPr>
            <w:r>
              <w:t xml:space="preserve">Data are reported by remoteness </w:t>
            </w:r>
            <w:r w:rsidR="00995C2F">
              <w:t xml:space="preserve">and </w:t>
            </w:r>
            <w:r>
              <w:t xml:space="preserve">Indigenous status of </w:t>
            </w:r>
            <w:r w:rsidR="00995C2F">
              <w:t xml:space="preserve">both </w:t>
            </w:r>
            <w:r>
              <w:t>the mother and the infant. Remoteness data for 201</w:t>
            </w:r>
            <w:r w:rsidR="00223F13">
              <w:t>2</w:t>
            </w:r>
            <w:r w:rsidR="005666C1">
              <w:t xml:space="preserve"> </w:t>
            </w:r>
            <w:r w:rsidR="00223F13">
              <w:t>onwards are</w:t>
            </w:r>
            <w:r w:rsidR="005666C1">
              <w:t xml:space="preserve"> not directly comparable to </w:t>
            </w:r>
            <w:r w:rsidR="00223F13">
              <w:t>previous years</w:t>
            </w:r>
            <w:r w:rsidR="005666C1">
              <w:t xml:space="preserve">, </w:t>
            </w:r>
            <w:r>
              <w:t xml:space="preserve">due to the application of the new ABS remoteness areas </w:t>
            </w:r>
            <w:r w:rsidR="00D03091">
              <w:t xml:space="preserve">based </w:t>
            </w:r>
            <w:r>
              <w:t>on the 2011 Census.</w:t>
            </w:r>
          </w:p>
          <w:p w14:paraId="0A6B481E" w14:textId="77777777" w:rsidR="007F5D5F" w:rsidRPr="00680847" w:rsidRDefault="007F5D5F" w:rsidP="00680847">
            <w:pPr>
              <w:pStyle w:val="BoxListBullet"/>
            </w:pPr>
            <w:r w:rsidRPr="00680847">
              <w:t>Detailed explanatory notes are publicly available to assist in</w:t>
            </w:r>
            <w:r>
              <w:t xml:space="preserve"> the interpretation of results.</w:t>
            </w:r>
          </w:p>
          <w:p w14:paraId="50BA68C2" w14:textId="77777777" w:rsidR="00680847" w:rsidRPr="00680847" w:rsidRDefault="00680847" w:rsidP="00680847">
            <w:pPr>
              <w:pStyle w:val="BoxListBullet"/>
              <w:keepLines/>
            </w:pPr>
            <w:r w:rsidRPr="00680847">
              <w:t xml:space="preserve">Additional data from the data source are available online, and on request. </w:t>
            </w:r>
          </w:p>
          <w:p w14:paraId="1A51CDB8" w14:textId="77777777" w:rsidR="00680847" w:rsidRPr="00680847" w:rsidRDefault="00680847" w:rsidP="00680847">
            <w:pPr>
              <w:pStyle w:val="Box"/>
              <w:keepLines/>
            </w:pPr>
            <w:r w:rsidRPr="00680847">
              <w:t>The Steering Committee also notes the following issues:</w:t>
            </w:r>
          </w:p>
          <w:p w14:paraId="4F4DCD41" w14:textId="18EFA585" w:rsidR="00F85DF8" w:rsidRPr="00F85DF8" w:rsidRDefault="00F85DF8" w:rsidP="00504DA4">
            <w:pPr>
              <w:pStyle w:val="BoxListBullet"/>
              <w:rPr>
                <w:szCs w:val="24"/>
              </w:rPr>
            </w:pPr>
            <w:r>
              <w:t xml:space="preserve">The </w:t>
            </w:r>
            <w:proofErr w:type="spellStart"/>
            <w:r>
              <w:t>AIHW</w:t>
            </w:r>
            <w:proofErr w:type="spellEnd"/>
            <w:r>
              <w:t xml:space="preserve"> is working with jurisdictions on an ongoing basis to improve the capture, quality and timeliness of the data</w:t>
            </w:r>
            <w:r w:rsidR="00870441">
              <w:t>.</w:t>
            </w:r>
            <w:r w:rsidDel="00F144E1">
              <w:t xml:space="preserve"> </w:t>
            </w:r>
          </w:p>
          <w:p w14:paraId="76C82667" w14:textId="77777777" w:rsidR="00680847" w:rsidRPr="00680847" w:rsidRDefault="00680847" w:rsidP="00504DA4">
            <w:pPr>
              <w:pStyle w:val="BoxListBullet"/>
              <w:rPr>
                <w:szCs w:val="24"/>
              </w:rPr>
            </w:pPr>
            <w:r w:rsidRPr="00680847">
              <w:t xml:space="preserve">The </w:t>
            </w:r>
            <w:proofErr w:type="spellStart"/>
            <w:r w:rsidRPr="00680847">
              <w:t>NIRA</w:t>
            </w:r>
            <w:proofErr w:type="spellEnd"/>
            <w:r w:rsidR="00995C2F">
              <w:t xml:space="preserve"> </w:t>
            </w:r>
            <w:proofErr w:type="spellStart"/>
            <w:r w:rsidRPr="00680847">
              <w:t>PIMG</w:t>
            </w:r>
            <w:proofErr w:type="spellEnd"/>
            <w:r w:rsidRPr="00680847">
              <w:t xml:space="preserve"> has advised that single year data should only be used for time series </w:t>
            </w:r>
            <w:r w:rsidRPr="0049542F">
              <w:t>analysis</w:t>
            </w:r>
            <w:r w:rsidRPr="00680847">
              <w:t xml:space="preserve"> and reporting. Current period analysis should refer to the most recent aggregate year data.</w:t>
            </w:r>
          </w:p>
        </w:tc>
      </w:tr>
      <w:tr w:rsidR="00680847" w14:paraId="3AE6D939" w14:textId="77777777" w:rsidTr="004F04D8">
        <w:trPr>
          <w:cantSplit/>
        </w:trPr>
        <w:tc>
          <w:tcPr>
            <w:tcW w:w="8789" w:type="dxa"/>
            <w:tcBorders>
              <w:top w:val="nil"/>
              <w:left w:val="nil"/>
              <w:bottom w:val="single" w:sz="6" w:space="0" w:color="78A22F"/>
              <w:right w:val="nil"/>
            </w:tcBorders>
            <w:shd w:val="clear" w:color="auto" w:fill="F2F2F2"/>
          </w:tcPr>
          <w:p w14:paraId="0E324DFF" w14:textId="77777777" w:rsidR="00680847" w:rsidRDefault="00680847">
            <w:pPr>
              <w:pStyle w:val="Box"/>
              <w:spacing w:before="0" w:line="120" w:lineRule="exact"/>
            </w:pPr>
          </w:p>
        </w:tc>
      </w:tr>
      <w:tr w:rsidR="00680847" w:rsidRPr="000863A5" w14:paraId="321DAE14" w14:textId="77777777" w:rsidTr="004F04D8">
        <w:tc>
          <w:tcPr>
            <w:tcW w:w="8789" w:type="dxa"/>
            <w:tcBorders>
              <w:top w:val="single" w:sz="6" w:space="0" w:color="78A22F"/>
              <w:left w:val="nil"/>
              <w:bottom w:val="nil"/>
              <w:right w:val="nil"/>
            </w:tcBorders>
          </w:tcPr>
          <w:p w14:paraId="45283247" w14:textId="77777777" w:rsidR="00680847" w:rsidRPr="00626D32" w:rsidRDefault="00680847" w:rsidP="00680847">
            <w:pPr>
              <w:pStyle w:val="BoxSpaceBelow"/>
            </w:pPr>
          </w:p>
        </w:tc>
      </w:tr>
    </w:tbl>
    <w:p w14:paraId="37ABF867" w14:textId="77777777" w:rsidR="00CF2C3C" w:rsidRDefault="00CF2C3C" w:rsidP="00CF2C3C">
      <w:pPr>
        <w:pStyle w:val="BodyText"/>
        <w:rPr>
          <w:rFonts w:ascii="Arial" w:hAnsi="Arial"/>
          <w:sz w:val="26"/>
        </w:rPr>
      </w:pPr>
      <w:bookmarkStart w:id="14" w:name="_Ref341361556"/>
      <w:r>
        <w:br w:type="page"/>
      </w:r>
    </w:p>
    <w:p w14:paraId="5B6557AA" w14:textId="77777777" w:rsidR="00680847" w:rsidRPr="00D87AA9" w:rsidRDefault="00680847" w:rsidP="00680847">
      <w:pPr>
        <w:pStyle w:val="Heading3"/>
      </w:pPr>
      <w:bookmarkStart w:id="15" w:name="_Ref405202332"/>
      <w:r w:rsidRPr="00D87AA9">
        <w:lastRenderedPageBreak/>
        <w:t xml:space="preserve">Indicator 8: </w:t>
      </w:r>
      <w:r>
        <w:t>Tobacco smoking during pregnancy</w:t>
      </w:r>
      <w:bookmarkEnd w:id="14"/>
      <w:bookmarkEnd w:id="15"/>
    </w:p>
    <w:p w14:paraId="59E10333" w14:textId="77777777" w:rsidR="00680847" w:rsidRPr="00D87AA9" w:rsidRDefault="00680847" w:rsidP="00680847"/>
    <w:tbl>
      <w:tblPr>
        <w:tblW w:w="8789" w:type="dxa"/>
        <w:tblCellMar>
          <w:right w:w="0" w:type="dxa"/>
        </w:tblCellMar>
        <w:tblLook w:val="0000" w:firstRow="0" w:lastRow="0" w:firstColumn="0" w:lastColumn="0" w:noHBand="0" w:noVBand="0"/>
      </w:tblPr>
      <w:tblGrid>
        <w:gridCol w:w="2093"/>
        <w:gridCol w:w="6696"/>
      </w:tblGrid>
      <w:tr w:rsidR="00680847" w:rsidRPr="00D87AA9" w14:paraId="175E0329" w14:textId="77777777" w:rsidTr="004F04D8">
        <w:tc>
          <w:tcPr>
            <w:tcW w:w="2093" w:type="dxa"/>
          </w:tcPr>
          <w:p w14:paraId="6E6197EF" w14:textId="7F3F8058" w:rsidR="00680847" w:rsidRPr="00D87AA9" w:rsidRDefault="00680847" w:rsidP="00680847">
            <w:pPr>
              <w:pStyle w:val="TableBodyText"/>
              <w:jc w:val="left"/>
            </w:pPr>
            <w:r w:rsidRPr="00B82DC5">
              <w:t>Key amendments fr</w:t>
            </w:r>
            <w:r w:rsidR="00F50913">
              <w:t>om previous cycle of reporting:</w:t>
            </w:r>
          </w:p>
        </w:tc>
        <w:tc>
          <w:tcPr>
            <w:tcW w:w="6696" w:type="dxa"/>
          </w:tcPr>
          <w:p w14:paraId="310E945A" w14:textId="3130921D" w:rsidR="00680847" w:rsidRPr="004F1FEB" w:rsidRDefault="00760FAF" w:rsidP="00680847">
            <w:pPr>
              <w:pStyle w:val="TableBodyText"/>
              <w:jc w:val="left"/>
            </w:pPr>
            <w:r w:rsidRPr="005332B8">
              <w:t xml:space="preserve">This </w:t>
            </w:r>
            <w:r>
              <w:t xml:space="preserve">indicator is </w:t>
            </w:r>
            <w:r w:rsidRPr="005332B8">
              <w:t xml:space="preserve">unchanged from </w:t>
            </w:r>
            <w:r w:rsidR="00F8458B">
              <w:t xml:space="preserve">the </w:t>
            </w:r>
            <w:r w:rsidRPr="005332B8">
              <w:t xml:space="preserve">previous </w:t>
            </w:r>
            <w:proofErr w:type="spellStart"/>
            <w:r w:rsidR="00F555B6">
              <w:t>NIRA</w:t>
            </w:r>
            <w:proofErr w:type="spellEnd"/>
            <w:r w:rsidR="00F555B6">
              <w:t xml:space="preserve"> performance report</w:t>
            </w:r>
          </w:p>
        </w:tc>
      </w:tr>
      <w:tr w:rsidR="00680847" w:rsidRPr="00D87AA9" w14:paraId="6A6E9C6B" w14:textId="77777777" w:rsidTr="004F04D8">
        <w:tc>
          <w:tcPr>
            <w:tcW w:w="2093" w:type="dxa"/>
          </w:tcPr>
          <w:p w14:paraId="0CABF3CB" w14:textId="77777777" w:rsidR="00680847" w:rsidRPr="00D87AA9" w:rsidRDefault="00680847" w:rsidP="00F50913">
            <w:pPr>
              <w:pStyle w:val="TableBodyText"/>
              <w:spacing w:before="80"/>
              <w:jc w:val="left"/>
            </w:pPr>
            <w:r w:rsidRPr="00D87AA9">
              <w:t>Target:</w:t>
            </w:r>
          </w:p>
        </w:tc>
        <w:tc>
          <w:tcPr>
            <w:tcW w:w="6696" w:type="dxa"/>
          </w:tcPr>
          <w:p w14:paraId="15A80904" w14:textId="422BB7E4" w:rsidR="00680847" w:rsidRPr="004F1FEB" w:rsidRDefault="00680847" w:rsidP="00F50913">
            <w:pPr>
              <w:pStyle w:val="TableBodyText"/>
              <w:spacing w:before="80"/>
              <w:jc w:val="left"/>
            </w:pPr>
            <w:r w:rsidRPr="004F1FEB">
              <w:t>Halving the gap in mortality rates for Indigenous children under five within a decade (by 2018)</w:t>
            </w:r>
          </w:p>
        </w:tc>
      </w:tr>
      <w:tr w:rsidR="00680847" w:rsidRPr="00D87AA9" w14:paraId="777D97E9" w14:textId="77777777" w:rsidTr="004F04D8">
        <w:tc>
          <w:tcPr>
            <w:tcW w:w="2093" w:type="dxa"/>
          </w:tcPr>
          <w:p w14:paraId="30739707" w14:textId="77777777" w:rsidR="00680847" w:rsidRPr="00D87AA9" w:rsidRDefault="00680847" w:rsidP="00F50913">
            <w:pPr>
              <w:pStyle w:val="TableBodyText"/>
              <w:spacing w:before="80"/>
              <w:jc w:val="left"/>
            </w:pPr>
            <w:r w:rsidRPr="00D87AA9">
              <w:t>Measure:</w:t>
            </w:r>
          </w:p>
        </w:tc>
        <w:tc>
          <w:tcPr>
            <w:tcW w:w="6696" w:type="dxa"/>
          </w:tcPr>
          <w:p w14:paraId="5D75BF6F" w14:textId="77777777" w:rsidR="00680847" w:rsidRPr="004F1FEB" w:rsidRDefault="00680847" w:rsidP="00F50913">
            <w:pPr>
              <w:pStyle w:val="TableBodyText"/>
              <w:spacing w:before="80"/>
              <w:jc w:val="left"/>
            </w:pPr>
            <w:r w:rsidRPr="004F1FEB">
              <w:t>Proportion of mothers who smoked during pregnancy, by Indigenous status</w:t>
            </w:r>
          </w:p>
          <w:p w14:paraId="2605FBAA" w14:textId="77777777" w:rsidR="00680847" w:rsidRPr="004F1FEB" w:rsidRDefault="00680847" w:rsidP="00F50913">
            <w:pPr>
              <w:pStyle w:val="TableBodyText"/>
              <w:spacing w:before="80"/>
              <w:jc w:val="left"/>
            </w:pPr>
            <w:r w:rsidRPr="004F1FEB">
              <w:t>The measure is defined as:</w:t>
            </w:r>
          </w:p>
          <w:p w14:paraId="4E946D3E" w14:textId="77777777" w:rsidR="00680847" w:rsidRPr="004F1FEB" w:rsidRDefault="00680847" w:rsidP="00680847">
            <w:pPr>
              <w:pStyle w:val="TableBullet"/>
              <w:rPr>
                <w:szCs w:val="24"/>
              </w:rPr>
            </w:pPr>
            <w:r w:rsidRPr="004F1FEB">
              <w:rPr>
                <w:i/>
              </w:rPr>
              <w:t>Numerator</w:t>
            </w:r>
            <w:r w:rsidRPr="004F1FEB">
              <w:t xml:space="preserve"> — number of women who smoked during pregnancy</w:t>
            </w:r>
          </w:p>
          <w:p w14:paraId="2F2FBE1D" w14:textId="77777777" w:rsidR="00680847" w:rsidRPr="004F1FEB" w:rsidRDefault="00680847" w:rsidP="00680847">
            <w:pPr>
              <w:pStyle w:val="TableBullet"/>
              <w:rPr>
                <w:szCs w:val="24"/>
              </w:rPr>
            </w:pPr>
            <w:r w:rsidRPr="004F1FEB">
              <w:rPr>
                <w:i/>
              </w:rPr>
              <w:t>Denominator</w:t>
            </w:r>
            <w:r w:rsidRPr="004F1FEB">
              <w:t xml:space="preserve"> — total number of women who gave birth</w:t>
            </w:r>
          </w:p>
          <w:p w14:paraId="559D292A" w14:textId="77777777" w:rsidR="00680847" w:rsidRPr="004F1FEB" w:rsidRDefault="00680847" w:rsidP="00680847">
            <w:pPr>
              <w:pStyle w:val="TableBodyText"/>
              <w:jc w:val="left"/>
            </w:pPr>
            <w:r w:rsidRPr="004F1FEB">
              <w:t xml:space="preserve">presented as a </w:t>
            </w:r>
            <w:r w:rsidR="00F8458B">
              <w:rPr>
                <w:i/>
              </w:rPr>
              <w:t xml:space="preserve">percentage of the </w:t>
            </w:r>
            <w:r w:rsidRPr="004F1FEB">
              <w:rPr>
                <w:i/>
              </w:rPr>
              <w:t>relevant population</w:t>
            </w:r>
          </w:p>
          <w:p w14:paraId="1EAEB872" w14:textId="35CCE97B" w:rsidR="00C673A8" w:rsidRDefault="00815570" w:rsidP="00F50913">
            <w:pPr>
              <w:pStyle w:val="TableBodyText"/>
              <w:spacing w:before="80"/>
              <w:jc w:val="left"/>
            </w:pPr>
            <w:r>
              <w:t xml:space="preserve">Rate ratios and rate differences are calculated for comparisons between </w:t>
            </w:r>
            <w:r w:rsidR="00F80EE3">
              <w:t xml:space="preserve">Aboriginal and Torres Strait Islander </w:t>
            </w:r>
            <w:r>
              <w:t>and non-Indigenous Australians</w:t>
            </w:r>
            <w:r w:rsidR="00325B5A">
              <w:t>.</w:t>
            </w:r>
            <w:r w:rsidRPr="004F1FEB" w:rsidDel="00815570">
              <w:t xml:space="preserve"> </w:t>
            </w:r>
          </w:p>
          <w:p w14:paraId="41D32D2B" w14:textId="77777777" w:rsidR="00680847" w:rsidRPr="004F1FEB" w:rsidRDefault="00680847" w:rsidP="00F50913">
            <w:pPr>
              <w:pStyle w:val="TableBodyText"/>
              <w:spacing w:before="80"/>
              <w:jc w:val="left"/>
            </w:pPr>
            <w:r w:rsidRPr="004F1FEB">
              <w:t xml:space="preserve">The data exclude pregnant women whose smoking status during pregnancy is unknown or not stated. </w:t>
            </w:r>
          </w:p>
          <w:p w14:paraId="76672A43" w14:textId="77777777" w:rsidR="00680847" w:rsidRPr="004F1FEB" w:rsidRDefault="00680847" w:rsidP="00F50913">
            <w:pPr>
              <w:pStyle w:val="TableBodyText"/>
              <w:spacing w:before="80"/>
              <w:jc w:val="left"/>
            </w:pPr>
            <w:r w:rsidRPr="004F1FEB">
              <w:t xml:space="preserve">Age standardised rates are calculated for comparing </w:t>
            </w:r>
            <w:r w:rsidR="00F80EE3">
              <w:t>Aboriginal and Torres Strait Islander</w:t>
            </w:r>
            <w:r w:rsidR="00F80EE3" w:rsidRPr="004F1FEB">
              <w:t xml:space="preserve"> </w:t>
            </w:r>
            <w:r w:rsidRPr="004F1FEB">
              <w:t xml:space="preserve">and non-Indigenous Australians using: </w:t>
            </w:r>
          </w:p>
          <w:p w14:paraId="6ECD4DE3" w14:textId="77777777" w:rsidR="00680847" w:rsidRPr="004F1FEB" w:rsidRDefault="00680847" w:rsidP="00680847">
            <w:pPr>
              <w:pStyle w:val="TableBullet"/>
              <w:rPr>
                <w:szCs w:val="24"/>
              </w:rPr>
            </w:pPr>
            <w:r w:rsidRPr="004F1FEB">
              <w:t>the direct method</w:t>
            </w:r>
          </w:p>
          <w:p w14:paraId="5531FFEA" w14:textId="77777777" w:rsidR="00680847" w:rsidRPr="004F1FEB" w:rsidRDefault="00680847" w:rsidP="00680847">
            <w:pPr>
              <w:pStyle w:val="TableBullet"/>
              <w:rPr>
                <w:szCs w:val="24"/>
              </w:rPr>
            </w:pPr>
            <w:r w:rsidRPr="004F1FEB">
              <w:t xml:space="preserve">five year age groups from 15–19 years to 40–44 years </w:t>
            </w:r>
          </w:p>
          <w:p w14:paraId="28343FBA" w14:textId="4FF373CF" w:rsidR="00680847" w:rsidRPr="00F50913" w:rsidRDefault="00680847" w:rsidP="00680847">
            <w:pPr>
              <w:pStyle w:val="TableBullet"/>
              <w:rPr>
                <w:szCs w:val="24"/>
              </w:rPr>
            </w:pPr>
            <w:r w:rsidRPr="004F1FEB">
              <w:t>the</w:t>
            </w:r>
            <w:r>
              <w:t xml:space="preserve"> 30 June 2001 </w:t>
            </w:r>
            <w:r w:rsidRPr="004F1FEB">
              <w:t xml:space="preserve">Australian female </w:t>
            </w:r>
            <w:r>
              <w:t>Estimated Resident Population (ERP) based on the 2001 Census as the standard population.</w:t>
            </w:r>
          </w:p>
        </w:tc>
      </w:tr>
      <w:tr w:rsidR="00680847" w:rsidRPr="00D87AA9" w14:paraId="20499910" w14:textId="77777777" w:rsidTr="004F04D8">
        <w:tc>
          <w:tcPr>
            <w:tcW w:w="2093" w:type="dxa"/>
          </w:tcPr>
          <w:p w14:paraId="2839C194" w14:textId="77777777" w:rsidR="00680847" w:rsidRPr="00D87AA9" w:rsidRDefault="00680847" w:rsidP="00F50913">
            <w:pPr>
              <w:pStyle w:val="TableBodyText"/>
              <w:spacing w:before="80"/>
              <w:jc w:val="left"/>
            </w:pPr>
            <w:r w:rsidRPr="00D87AA9">
              <w:t>Data source:</w:t>
            </w:r>
          </w:p>
        </w:tc>
        <w:tc>
          <w:tcPr>
            <w:tcW w:w="6696" w:type="dxa"/>
          </w:tcPr>
          <w:p w14:paraId="5E81453A" w14:textId="49AE9B19" w:rsidR="00680847" w:rsidRPr="004F1FEB" w:rsidRDefault="00680847" w:rsidP="00F50913">
            <w:pPr>
              <w:pStyle w:val="TableBodyText"/>
              <w:spacing w:before="80"/>
              <w:jc w:val="left"/>
            </w:pPr>
            <w:r w:rsidRPr="004F1FEB">
              <w:rPr>
                <w:i/>
              </w:rPr>
              <w:t>Numerator and denominator</w:t>
            </w:r>
            <w:r w:rsidRPr="004F1FEB">
              <w:t xml:space="preserve"> — </w:t>
            </w:r>
            <w:proofErr w:type="spellStart"/>
            <w:r w:rsidRPr="004F1FEB">
              <w:t>AIHW</w:t>
            </w:r>
            <w:proofErr w:type="spellEnd"/>
            <w:r w:rsidRPr="004F1FEB">
              <w:t xml:space="preserve"> </w:t>
            </w:r>
            <w:r w:rsidRPr="004F1FEB">
              <w:rPr>
                <w:u w:val="single"/>
              </w:rPr>
              <w:t>National Perinatal Data Collection</w:t>
            </w:r>
            <w:r w:rsidRPr="004F1FEB">
              <w:t xml:space="preserve"> (</w:t>
            </w:r>
            <w:proofErr w:type="spellStart"/>
            <w:r w:rsidRPr="004F1FEB">
              <w:t>NPDC</w:t>
            </w:r>
            <w:proofErr w:type="spellEnd"/>
            <w:r w:rsidRPr="004F1FEB">
              <w:t>). Data are available annually</w:t>
            </w:r>
          </w:p>
        </w:tc>
      </w:tr>
      <w:tr w:rsidR="00680847" w:rsidRPr="00D87AA9" w14:paraId="67E75EE6" w14:textId="77777777" w:rsidTr="004F04D8">
        <w:tc>
          <w:tcPr>
            <w:tcW w:w="2093" w:type="dxa"/>
          </w:tcPr>
          <w:p w14:paraId="4281D03B" w14:textId="77777777" w:rsidR="00680847" w:rsidRPr="00D87AA9" w:rsidRDefault="00680847" w:rsidP="00F50913">
            <w:pPr>
              <w:pStyle w:val="TableBodyText"/>
              <w:spacing w:before="80"/>
              <w:jc w:val="left"/>
            </w:pPr>
            <w:r w:rsidRPr="00D87AA9">
              <w:t>Data provider:</w:t>
            </w:r>
          </w:p>
        </w:tc>
        <w:tc>
          <w:tcPr>
            <w:tcW w:w="6696" w:type="dxa"/>
          </w:tcPr>
          <w:p w14:paraId="69226772" w14:textId="4A80F230" w:rsidR="00680847" w:rsidRPr="004F1FEB" w:rsidRDefault="00680847" w:rsidP="00F50913">
            <w:pPr>
              <w:pStyle w:val="TableBodyText"/>
              <w:spacing w:before="80"/>
              <w:jc w:val="left"/>
            </w:pPr>
            <w:proofErr w:type="spellStart"/>
            <w:r w:rsidRPr="004F1FEB">
              <w:t>AIHW</w:t>
            </w:r>
            <w:proofErr w:type="spellEnd"/>
          </w:p>
        </w:tc>
      </w:tr>
      <w:tr w:rsidR="00680847" w:rsidRPr="00D87AA9" w14:paraId="25194DA5" w14:textId="77777777" w:rsidTr="004F04D8">
        <w:tc>
          <w:tcPr>
            <w:tcW w:w="2093" w:type="dxa"/>
            <w:shd w:val="clear" w:color="auto" w:fill="auto"/>
          </w:tcPr>
          <w:p w14:paraId="32307945" w14:textId="77777777" w:rsidR="00680847" w:rsidRPr="00D87AA9" w:rsidRDefault="00680847" w:rsidP="00F50913">
            <w:pPr>
              <w:pStyle w:val="TableBodyText"/>
              <w:spacing w:before="80"/>
              <w:jc w:val="left"/>
            </w:pPr>
            <w:r w:rsidRPr="00D87AA9">
              <w:t>Data availability:</w:t>
            </w:r>
          </w:p>
        </w:tc>
        <w:tc>
          <w:tcPr>
            <w:tcW w:w="6696" w:type="dxa"/>
            <w:shd w:val="clear" w:color="auto" w:fill="auto"/>
          </w:tcPr>
          <w:p w14:paraId="58433371" w14:textId="6CF0445E" w:rsidR="00680847" w:rsidRPr="004F1FEB" w:rsidRDefault="00BC0687" w:rsidP="00BC0687">
            <w:pPr>
              <w:pStyle w:val="TableBodyText"/>
              <w:spacing w:before="80"/>
              <w:jc w:val="left"/>
            </w:pPr>
            <w:r w:rsidRPr="004F1FEB">
              <w:t>201</w:t>
            </w:r>
            <w:r>
              <w:t>6</w:t>
            </w:r>
          </w:p>
        </w:tc>
      </w:tr>
      <w:tr w:rsidR="00680847" w:rsidRPr="00D87AA9" w14:paraId="454DD439" w14:textId="77777777" w:rsidTr="004F04D8">
        <w:tc>
          <w:tcPr>
            <w:tcW w:w="2093" w:type="dxa"/>
            <w:shd w:val="clear" w:color="auto" w:fill="auto"/>
          </w:tcPr>
          <w:p w14:paraId="56C47361" w14:textId="77777777" w:rsidR="00680847" w:rsidRPr="00D87AA9" w:rsidRDefault="00680847" w:rsidP="00F50913">
            <w:pPr>
              <w:pStyle w:val="TableBodyText"/>
              <w:spacing w:before="80"/>
              <w:jc w:val="left"/>
            </w:pPr>
            <w:r w:rsidRPr="00D87AA9">
              <w:t>Cross tabulations provided:</w:t>
            </w:r>
          </w:p>
        </w:tc>
        <w:tc>
          <w:tcPr>
            <w:tcW w:w="6696" w:type="dxa"/>
            <w:shd w:val="clear" w:color="auto" w:fill="auto"/>
          </w:tcPr>
          <w:p w14:paraId="498B322B" w14:textId="77777777" w:rsidR="00680847" w:rsidRPr="004F1FEB" w:rsidRDefault="00680847" w:rsidP="00F50913">
            <w:pPr>
              <w:pStyle w:val="TableBodyText"/>
              <w:spacing w:before="80"/>
              <w:jc w:val="left"/>
            </w:pPr>
            <w:r w:rsidRPr="004F1FEB">
              <w:t xml:space="preserve">State and Territory, </w:t>
            </w:r>
            <w:r w:rsidR="00F80EE3">
              <w:t>Aboriginal and Torres Strait Islander</w:t>
            </w:r>
            <w:r w:rsidR="00F80EE3" w:rsidRPr="004F1FEB">
              <w:t xml:space="preserve"> </w:t>
            </w:r>
            <w:r w:rsidRPr="004F1FEB">
              <w:t xml:space="preserve">(crude rates), by : </w:t>
            </w:r>
          </w:p>
          <w:p w14:paraId="7C1084F8" w14:textId="77777777" w:rsidR="00680847" w:rsidRPr="004F1FEB" w:rsidRDefault="00680847" w:rsidP="00680847">
            <w:pPr>
              <w:pStyle w:val="TableBullet"/>
              <w:rPr>
                <w:szCs w:val="24"/>
              </w:rPr>
            </w:pPr>
            <w:r w:rsidRPr="004F1FEB">
              <w:t xml:space="preserve">smoking status </w:t>
            </w:r>
          </w:p>
          <w:p w14:paraId="20CA06C5" w14:textId="6AEDC3E3" w:rsidR="00680847" w:rsidRPr="004F1FEB" w:rsidRDefault="00680847" w:rsidP="00680847">
            <w:pPr>
              <w:pStyle w:val="TableBullet"/>
              <w:rPr>
                <w:szCs w:val="24"/>
              </w:rPr>
            </w:pPr>
            <w:r w:rsidRPr="004F1FEB">
              <w:t xml:space="preserve">smoking status by remoteness (based on </w:t>
            </w:r>
            <w:r w:rsidR="004722E0">
              <w:t xml:space="preserve">2011 </w:t>
            </w:r>
            <w:proofErr w:type="spellStart"/>
            <w:r w:rsidRPr="004F1FEB">
              <w:t>ASGS</w:t>
            </w:r>
            <w:proofErr w:type="spellEnd"/>
            <w:r w:rsidRPr="004F1FEB">
              <w:t>)</w:t>
            </w:r>
          </w:p>
          <w:p w14:paraId="213D70C0" w14:textId="77777777" w:rsidR="00680847" w:rsidRPr="004F1FEB" w:rsidRDefault="00680847" w:rsidP="00F50913">
            <w:pPr>
              <w:pStyle w:val="TableBodyText"/>
              <w:spacing w:before="80"/>
              <w:jc w:val="left"/>
            </w:pPr>
            <w:r w:rsidRPr="004F1FEB">
              <w:t>State and Territory, by Indigenous status (age standardised rates), by:</w:t>
            </w:r>
          </w:p>
          <w:p w14:paraId="4D1B3D4F" w14:textId="77777777" w:rsidR="00680847" w:rsidRPr="004F1FEB" w:rsidRDefault="00680847" w:rsidP="00680847">
            <w:pPr>
              <w:pStyle w:val="TableBullet"/>
              <w:rPr>
                <w:szCs w:val="24"/>
              </w:rPr>
            </w:pPr>
            <w:r w:rsidRPr="004F1FEB">
              <w:t>smoking status</w:t>
            </w:r>
          </w:p>
          <w:p w14:paraId="290BD096" w14:textId="3E80D67F" w:rsidR="00680847" w:rsidRPr="004F1FEB" w:rsidRDefault="00680847" w:rsidP="00131CF9">
            <w:pPr>
              <w:pStyle w:val="TableBullet"/>
              <w:rPr>
                <w:szCs w:val="24"/>
              </w:rPr>
            </w:pPr>
            <w:r w:rsidRPr="004F1FEB">
              <w:t xml:space="preserve">smoking status by remoteness (based on </w:t>
            </w:r>
            <w:r w:rsidR="004722E0">
              <w:t xml:space="preserve">2011 </w:t>
            </w:r>
            <w:proofErr w:type="spellStart"/>
            <w:r w:rsidRPr="004F1FEB">
              <w:t>ASGS</w:t>
            </w:r>
            <w:proofErr w:type="spellEnd"/>
            <w:r w:rsidRPr="004F1FEB">
              <w:t>)</w:t>
            </w:r>
          </w:p>
        </w:tc>
      </w:tr>
    </w:tbl>
    <w:p w14:paraId="55D35E5B" w14:textId="77777777" w:rsidR="00680847" w:rsidRDefault="00680847">
      <w:pPr>
        <w:rPr>
          <w:rFonts w:ascii="Arial" w:hAnsi="Arial"/>
          <w:sz w:val="20"/>
          <w:szCs w:val="20"/>
        </w:rPr>
      </w:pPr>
      <w:r w:rsidRPr="00D87AA9">
        <w:br w:type="page"/>
      </w:r>
    </w:p>
    <w:p w14:paraId="28D7A61F" w14:textId="77777777" w:rsidR="00680847" w:rsidRDefault="00680847">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27D50AC3" w14:textId="77777777" w:rsidTr="004F04D8">
        <w:tc>
          <w:tcPr>
            <w:tcW w:w="8789" w:type="dxa"/>
            <w:tcBorders>
              <w:top w:val="single" w:sz="6" w:space="0" w:color="78A22F"/>
              <w:left w:val="nil"/>
              <w:bottom w:val="nil"/>
              <w:right w:val="nil"/>
            </w:tcBorders>
            <w:shd w:val="clear" w:color="auto" w:fill="F2F2F2"/>
          </w:tcPr>
          <w:p w14:paraId="740CBDAA" w14:textId="45070BDF" w:rsidR="00680847" w:rsidRDefault="00680847" w:rsidP="00291F8D">
            <w:pPr>
              <w:pStyle w:val="BoxTitle"/>
            </w:pPr>
            <w:r>
              <w:rPr>
                <w:b w:val="0"/>
              </w:rPr>
              <w:t>Box</w:t>
            </w:r>
            <w:r w:rsidR="00B1719E">
              <w:rPr>
                <w:b w:val="0"/>
              </w:rPr>
              <w:t xml:space="preserve"> </w:t>
            </w:r>
            <w:r w:rsidR="00A8151B">
              <w:rPr>
                <w:b w:val="0"/>
              </w:rPr>
              <w:t>2</w:t>
            </w:r>
            <w:r w:rsidR="00291F8D">
              <w:rPr>
                <w:b w:val="0"/>
              </w:rPr>
              <w:t>4</w:t>
            </w:r>
            <w:r>
              <w:tab/>
              <w:t>Results</w:t>
            </w:r>
          </w:p>
        </w:tc>
      </w:tr>
      <w:tr w:rsidR="00680847" w:rsidRPr="00680847" w14:paraId="3025AE1F" w14:textId="77777777" w:rsidTr="004F04D8">
        <w:trPr>
          <w:cantSplit/>
        </w:trPr>
        <w:tc>
          <w:tcPr>
            <w:tcW w:w="8789" w:type="dxa"/>
            <w:tcBorders>
              <w:top w:val="nil"/>
              <w:left w:val="nil"/>
              <w:bottom w:val="nil"/>
              <w:right w:val="nil"/>
            </w:tcBorders>
            <w:shd w:val="clear" w:color="auto" w:fill="F2F2F2"/>
          </w:tcPr>
          <w:p w14:paraId="330A92D0" w14:textId="7714C295" w:rsidR="00680847" w:rsidRPr="00680847" w:rsidRDefault="00680847" w:rsidP="00680847">
            <w:pPr>
              <w:pStyle w:val="Box"/>
            </w:pPr>
            <w:r w:rsidRPr="00680847">
              <w:t xml:space="preserve">For this report, new data for this indicator are available for </w:t>
            </w:r>
            <w:r w:rsidR="00BC0687" w:rsidRPr="00680847">
              <w:t>201</w:t>
            </w:r>
            <w:r w:rsidR="00BC0687">
              <w:t>6</w:t>
            </w:r>
            <w:r w:rsidRPr="00680847">
              <w:t>.</w:t>
            </w:r>
          </w:p>
          <w:p w14:paraId="37AF0357" w14:textId="77777777" w:rsidR="00680847" w:rsidRPr="00680847" w:rsidRDefault="00680847" w:rsidP="00680847">
            <w:pPr>
              <w:pStyle w:val="BoxListBullet"/>
            </w:pPr>
            <w:r w:rsidRPr="00680847">
              <w:t xml:space="preserve">Crude rates for </w:t>
            </w:r>
            <w:r w:rsidR="00F80EE3">
              <w:t>Aboriginal and Torres Strait Islander</w:t>
            </w:r>
            <w:r w:rsidR="00F80EE3" w:rsidRPr="00680847">
              <w:t xml:space="preserve"> </w:t>
            </w:r>
            <w:r w:rsidRPr="00680847">
              <w:t xml:space="preserve">females by State and Territory are presented in table </w:t>
            </w:r>
            <w:proofErr w:type="spellStart"/>
            <w:r w:rsidRPr="00680847">
              <w:t>NIRA.8.1</w:t>
            </w:r>
            <w:proofErr w:type="spellEnd"/>
          </w:p>
          <w:p w14:paraId="501FE8E9" w14:textId="77777777" w:rsidR="00680847" w:rsidRPr="00680847" w:rsidRDefault="00680847" w:rsidP="00680847">
            <w:pPr>
              <w:pStyle w:val="BoxListBullet"/>
            </w:pPr>
            <w:r w:rsidRPr="00680847">
              <w:t xml:space="preserve">Crude rates for </w:t>
            </w:r>
            <w:r w:rsidR="00F80EE3">
              <w:t>Aboriginal and Torres Strait Islander</w:t>
            </w:r>
            <w:r w:rsidR="00F80EE3" w:rsidRPr="00680847">
              <w:t xml:space="preserve"> </w:t>
            </w:r>
            <w:r w:rsidRPr="00680847">
              <w:t xml:space="preserve">females by State and Territory, by remoteness are presented in table </w:t>
            </w:r>
            <w:proofErr w:type="spellStart"/>
            <w:r w:rsidRPr="00680847">
              <w:t>NIRA.8.2</w:t>
            </w:r>
            <w:proofErr w:type="spellEnd"/>
          </w:p>
          <w:p w14:paraId="73371758" w14:textId="77777777" w:rsidR="00680847" w:rsidRPr="00680847" w:rsidRDefault="00680847" w:rsidP="00680847">
            <w:pPr>
              <w:pStyle w:val="BoxListBullet"/>
            </w:pPr>
            <w:r w:rsidRPr="00680847">
              <w:t>Age standardised rates, by State and Territory, by Indigenous status are presented in table</w:t>
            </w:r>
            <w:r w:rsidR="00995C2F">
              <w:t> </w:t>
            </w:r>
            <w:proofErr w:type="spellStart"/>
            <w:r w:rsidRPr="00680847">
              <w:t>NIRA.8.3</w:t>
            </w:r>
            <w:proofErr w:type="spellEnd"/>
            <w:r w:rsidRPr="00680847">
              <w:t>.</w:t>
            </w:r>
          </w:p>
          <w:p w14:paraId="23878FF8" w14:textId="77777777" w:rsidR="00680847" w:rsidRPr="00680847" w:rsidRDefault="00680847" w:rsidP="00680847">
            <w:pPr>
              <w:pStyle w:val="BoxListBullet"/>
            </w:pPr>
            <w:r w:rsidRPr="00680847">
              <w:t xml:space="preserve">Age standardised rates, by State and Territory, by Indigenous status, by remoteness are presented in table </w:t>
            </w:r>
            <w:proofErr w:type="spellStart"/>
            <w:r w:rsidRPr="00680847">
              <w:t>NIRA.8.4</w:t>
            </w:r>
            <w:proofErr w:type="spellEnd"/>
            <w:r w:rsidRPr="00680847">
              <w:t>.</w:t>
            </w:r>
          </w:p>
          <w:p w14:paraId="22AAE075" w14:textId="4AA60B9F" w:rsidR="008B36C7" w:rsidRDefault="00870441" w:rsidP="00DD7967">
            <w:pPr>
              <w:pStyle w:val="Box"/>
            </w:pPr>
            <w:r>
              <w:t>D</w:t>
            </w:r>
            <w:r w:rsidR="00BC0687">
              <w:t xml:space="preserve">ata for 2015 are available in the 2016-17 </w:t>
            </w:r>
            <w:proofErr w:type="spellStart"/>
            <w:r w:rsidR="00BC0687">
              <w:t>NIRA</w:t>
            </w:r>
            <w:proofErr w:type="spellEnd"/>
            <w:r w:rsidR="00BC0687">
              <w:t xml:space="preserve"> performance report</w:t>
            </w:r>
            <w:r w:rsidR="00082DB4">
              <w:t xml:space="preserve">, </w:t>
            </w:r>
            <w:r w:rsidR="00505FEE">
              <w:t xml:space="preserve">for 2014 are available in the 2015-16 </w:t>
            </w:r>
            <w:proofErr w:type="spellStart"/>
            <w:r w:rsidR="00505FEE">
              <w:t>NIRA</w:t>
            </w:r>
            <w:proofErr w:type="spellEnd"/>
            <w:r w:rsidR="00505FEE">
              <w:t xml:space="preserve"> performance report</w:t>
            </w:r>
            <w:r w:rsidR="00082DB4">
              <w:t xml:space="preserve"> and </w:t>
            </w:r>
            <w:r w:rsidR="008B36C7">
              <w:t xml:space="preserve">for 2013 are available in the 2014-15 </w:t>
            </w:r>
            <w:proofErr w:type="spellStart"/>
            <w:r w:rsidR="008B36C7">
              <w:t>NIRA</w:t>
            </w:r>
            <w:proofErr w:type="spellEnd"/>
            <w:r w:rsidR="008B36C7">
              <w:t xml:space="preserve"> performance report. </w:t>
            </w:r>
          </w:p>
          <w:p w14:paraId="1071A74C" w14:textId="5F18A57B" w:rsidR="00680847" w:rsidRPr="00680847" w:rsidRDefault="00870441" w:rsidP="00DD7967">
            <w:pPr>
              <w:pStyle w:val="Box"/>
            </w:pPr>
            <w:r>
              <w:t>D</w:t>
            </w:r>
            <w:r w:rsidR="00B9504F">
              <w:t>ata for a</w:t>
            </w:r>
            <w:r w:rsidR="00F40B3B">
              <w:t>ge standardised rates</w:t>
            </w:r>
            <w:r w:rsidR="00F40B3B" w:rsidRPr="00680847">
              <w:t xml:space="preserve"> </w:t>
            </w:r>
            <w:r w:rsidR="00680847" w:rsidRPr="00680847">
              <w:t xml:space="preserve">for </w:t>
            </w:r>
            <w:r w:rsidR="00C673A8">
              <w:t xml:space="preserve">2012, </w:t>
            </w:r>
            <w:r w:rsidR="00680847" w:rsidRPr="00680847">
              <w:t>2011, 2010, 2009, 2008 and 2007 by State and Territory are presented</w:t>
            </w:r>
            <w:r w:rsidR="007414FD">
              <w:t xml:space="preserve"> </w:t>
            </w:r>
            <w:r w:rsidR="00680847" w:rsidRPr="00680847">
              <w:t xml:space="preserve">in </w:t>
            </w:r>
            <w:r w:rsidR="00B9504F">
              <w:t xml:space="preserve">the 2013-14 </w:t>
            </w:r>
            <w:proofErr w:type="spellStart"/>
            <w:r w:rsidR="00B9504F">
              <w:t>NIRA</w:t>
            </w:r>
            <w:proofErr w:type="spellEnd"/>
            <w:r w:rsidR="00B9504F">
              <w:t xml:space="preserve"> </w:t>
            </w:r>
            <w:r w:rsidR="003661AB">
              <w:t xml:space="preserve">performance </w:t>
            </w:r>
            <w:r w:rsidR="00B9504F">
              <w:t>report</w:t>
            </w:r>
            <w:r w:rsidR="00680847" w:rsidRPr="00680847">
              <w:t>.</w:t>
            </w:r>
          </w:p>
          <w:p w14:paraId="71FDC96F" w14:textId="4F914DE7" w:rsidR="00680847" w:rsidRPr="00680847" w:rsidRDefault="00870441" w:rsidP="00680847">
            <w:pPr>
              <w:pStyle w:val="Box"/>
            </w:pPr>
            <w:r>
              <w:t>D</w:t>
            </w:r>
            <w:r w:rsidR="00680847" w:rsidRPr="00680847">
              <w:t xml:space="preserve">ata for </w:t>
            </w:r>
            <w:r w:rsidR="00C673A8">
              <w:t xml:space="preserve">2012 crude rates are available in the 2013-14 </w:t>
            </w:r>
            <w:proofErr w:type="spellStart"/>
            <w:r w:rsidR="00C673A8">
              <w:t>NIRA</w:t>
            </w:r>
            <w:proofErr w:type="spellEnd"/>
            <w:r w:rsidR="00C673A8">
              <w:t xml:space="preserve"> performance report. Data for </w:t>
            </w:r>
            <w:r w:rsidR="00680847" w:rsidRPr="00680847">
              <w:t xml:space="preserve">2011 crude rates are available in the 2012-13 </w:t>
            </w:r>
            <w:proofErr w:type="spellStart"/>
            <w:r w:rsidR="00680847" w:rsidRPr="00680847">
              <w:t>NIRA</w:t>
            </w:r>
            <w:proofErr w:type="spellEnd"/>
            <w:r w:rsidR="00680847" w:rsidRPr="00680847">
              <w:t xml:space="preserve"> performance report. Data for 2010 crude rates are available in the 2011-12 </w:t>
            </w:r>
            <w:proofErr w:type="spellStart"/>
            <w:r w:rsidR="00680847" w:rsidRPr="00680847">
              <w:t>NIRA</w:t>
            </w:r>
            <w:proofErr w:type="spellEnd"/>
            <w:r w:rsidR="00680847" w:rsidRPr="00680847">
              <w:t xml:space="preserve"> performance report. Data </w:t>
            </w:r>
            <w:r w:rsidR="009A1C19">
              <w:t xml:space="preserve">for 2009 crude rates are reported in the 2010-11 </w:t>
            </w:r>
            <w:proofErr w:type="spellStart"/>
            <w:r w:rsidR="009A1C19">
              <w:t>NIRA</w:t>
            </w:r>
            <w:proofErr w:type="spellEnd"/>
            <w:r w:rsidR="009A1C19">
              <w:t xml:space="preserve"> performance report and data </w:t>
            </w:r>
            <w:r w:rsidR="00680847" w:rsidRPr="00680847">
              <w:t xml:space="preserve">for </w:t>
            </w:r>
            <w:r w:rsidR="009A1C19">
              <w:t xml:space="preserve">2007 and </w:t>
            </w:r>
            <w:r w:rsidR="009A1C19" w:rsidRPr="00680847">
              <w:t xml:space="preserve">2008 </w:t>
            </w:r>
            <w:r w:rsidR="00680847" w:rsidRPr="00680847">
              <w:t xml:space="preserve">crude rates are reported in the 2009-10 </w:t>
            </w:r>
            <w:proofErr w:type="spellStart"/>
            <w:r w:rsidR="009A1C19">
              <w:t>NIRA</w:t>
            </w:r>
            <w:proofErr w:type="spellEnd"/>
            <w:r w:rsidR="009A1C19">
              <w:t xml:space="preserve"> performance report</w:t>
            </w:r>
            <w:r w:rsidR="00680847" w:rsidRPr="00680847">
              <w:t>.</w:t>
            </w:r>
          </w:p>
        </w:tc>
      </w:tr>
      <w:tr w:rsidR="00680847" w14:paraId="7904071E" w14:textId="77777777" w:rsidTr="004F04D8">
        <w:trPr>
          <w:cantSplit/>
        </w:trPr>
        <w:tc>
          <w:tcPr>
            <w:tcW w:w="8789" w:type="dxa"/>
            <w:tcBorders>
              <w:top w:val="nil"/>
              <w:left w:val="nil"/>
              <w:bottom w:val="single" w:sz="6" w:space="0" w:color="78A22F"/>
              <w:right w:val="nil"/>
            </w:tcBorders>
            <w:shd w:val="clear" w:color="auto" w:fill="F2F2F2"/>
          </w:tcPr>
          <w:p w14:paraId="3095AC69" w14:textId="77777777" w:rsidR="00680847" w:rsidRDefault="00680847">
            <w:pPr>
              <w:pStyle w:val="Box"/>
              <w:spacing w:before="0" w:line="120" w:lineRule="exact"/>
            </w:pPr>
          </w:p>
        </w:tc>
      </w:tr>
      <w:tr w:rsidR="00680847" w:rsidRPr="000863A5" w14:paraId="3C6FBDAA" w14:textId="77777777" w:rsidTr="004F04D8">
        <w:tc>
          <w:tcPr>
            <w:tcW w:w="8789" w:type="dxa"/>
            <w:tcBorders>
              <w:top w:val="single" w:sz="6" w:space="0" w:color="78A22F"/>
              <w:left w:val="nil"/>
              <w:bottom w:val="nil"/>
              <w:right w:val="nil"/>
            </w:tcBorders>
          </w:tcPr>
          <w:p w14:paraId="2A91F4F9" w14:textId="77777777" w:rsidR="00680847" w:rsidRPr="00626D32" w:rsidRDefault="00680847" w:rsidP="00421935">
            <w:pPr>
              <w:pStyle w:val="BoxSpaceBelow"/>
              <w:spacing w:before="0" w:after="0" w:line="20" w:lineRule="exact"/>
            </w:pPr>
          </w:p>
        </w:tc>
      </w:tr>
    </w:tbl>
    <w:p w14:paraId="25CBE7FE" w14:textId="77777777" w:rsidR="00680847" w:rsidRDefault="00680847">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80847" w14:paraId="19FE1613" w14:textId="77777777" w:rsidTr="004F04D8">
        <w:tc>
          <w:tcPr>
            <w:tcW w:w="8789" w:type="dxa"/>
            <w:tcBorders>
              <w:top w:val="single" w:sz="6" w:space="0" w:color="78A22F"/>
              <w:left w:val="nil"/>
              <w:bottom w:val="nil"/>
              <w:right w:val="nil"/>
            </w:tcBorders>
            <w:shd w:val="clear" w:color="auto" w:fill="F2F2F2"/>
          </w:tcPr>
          <w:p w14:paraId="1A8FCED2" w14:textId="764D1640" w:rsidR="00680847" w:rsidRDefault="00680847" w:rsidP="00291F8D">
            <w:pPr>
              <w:pStyle w:val="BoxTitle"/>
            </w:pPr>
            <w:r w:rsidRPr="00606B68">
              <w:rPr>
                <w:b w:val="0"/>
              </w:rPr>
              <w:t xml:space="preserve">Box </w:t>
            </w:r>
            <w:r w:rsidR="00A8151B" w:rsidRPr="00606B68">
              <w:rPr>
                <w:b w:val="0"/>
              </w:rPr>
              <w:t>2</w:t>
            </w:r>
            <w:r w:rsidR="00291F8D">
              <w:rPr>
                <w:b w:val="0"/>
              </w:rPr>
              <w:t>5</w:t>
            </w:r>
            <w:r w:rsidRPr="003C599F">
              <w:tab/>
            </w:r>
            <w:r w:rsidRPr="00606B68">
              <w:t>Comment on data quality</w:t>
            </w:r>
          </w:p>
        </w:tc>
      </w:tr>
      <w:tr w:rsidR="00680847" w:rsidRPr="00680847" w14:paraId="5522DFB1" w14:textId="77777777" w:rsidTr="004F04D8">
        <w:trPr>
          <w:cantSplit/>
        </w:trPr>
        <w:tc>
          <w:tcPr>
            <w:tcW w:w="8789" w:type="dxa"/>
            <w:tcBorders>
              <w:top w:val="nil"/>
              <w:left w:val="nil"/>
              <w:bottom w:val="nil"/>
              <w:right w:val="nil"/>
            </w:tcBorders>
            <w:shd w:val="clear" w:color="auto" w:fill="F2F2F2"/>
          </w:tcPr>
          <w:p w14:paraId="43A18AD4" w14:textId="77777777" w:rsidR="00680847" w:rsidRPr="00680847" w:rsidRDefault="00680847" w:rsidP="00680847">
            <w:pPr>
              <w:pStyle w:val="Box"/>
            </w:pPr>
            <w:r w:rsidRPr="00680847">
              <w:t>Key points on data quality for this indicator are summarised below.</w:t>
            </w:r>
          </w:p>
          <w:p w14:paraId="2757BC23" w14:textId="0623DD29" w:rsidR="00680847" w:rsidRPr="003E3EED" w:rsidRDefault="00680847" w:rsidP="005A3036">
            <w:pPr>
              <w:pStyle w:val="BoxListBullet"/>
            </w:pPr>
            <w:r w:rsidRPr="00680847">
              <w:t>Data provide relevant information on the rate of tobacco smoking of mothers during pregnancy. Data are available by State and Territory.</w:t>
            </w:r>
            <w:r w:rsidR="002549C4">
              <w:t xml:space="preserve"> </w:t>
            </w:r>
          </w:p>
          <w:p w14:paraId="6BD94B60" w14:textId="2A78C52D" w:rsidR="00680847" w:rsidRPr="00680847" w:rsidRDefault="00680847" w:rsidP="00680847">
            <w:pPr>
              <w:pStyle w:val="BoxListBullet"/>
            </w:pPr>
            <w:r w:rsidRPr="00680847">
              <w:t xml:space="preserve">Data for this indicator are available annually. The most recent available data are for </w:t>
            </w:r>
            <w:r w:rsidR="009D3762" w:rsidRPr="00680847">
              <w:t>201</w:t>
            </w:r>
            <w:r w:rsidR="009D3762">
              <w:t>6</w:t>
            </w:r>
            <w:r w:rsidRPr="00680847">
              <w:t>.</w:t>
            </w:r>
          </w:p>
          <w:p w14:paraId="0A2D98B7" w14:textId="61E02A46" w:rsidR="00680847" w:rsidRPr="00680847" w:rsidRDefault="00680847" w:rsidP="00680847">
            <w:pPr>
              <w:pStyle w:val="BoxListBullet"/>
            </w:pPr>
            <w:r w:rsidRPr="00680847">
              <w:t>Data on females who smoked during pregnancy includes those who quit smoking during pregnancy.</w:t>
            </w:r>
            <w:r w:rsidR="009D3762" w:rsidRPr="009D3762">
              <w:rPr>
                <w:rFonts w:ascii="Book Antiqua" w:hAnsi="Book Antiqua"/>
                <w:lang w:eastAsia="en-US"/>
              </w:rPr>
              <w:t xml:space="preserve"> </w:t>
            </w:r>
            <w:r w:rsidR="009D3762" w:rsidRPr="009D3762">
              <w:t>Data excludes women whose smoking status was not stated</w:t>
            </w:r>
            <w:r w:rsidR="009D3762">
              <w:t>.</w:t>
            </w:r>
          </w:p>
          <w:p w14:paraId="12485B42" w14:textId="77777777" w:rsidR="00217C29" w:rsidRDefault="00217C29" w:rsidP="00217C29">
            <w:pPr>
              <w:pStyle w:val="BoxListBullet"/>
            </w:pPr>
            <w:r>
              <w:t>From 2012</w:t>
            </w:r>
            <w:r w:rsidR="00DD7967">
              <w:t>,</w:t>
            </w:r>
            <w:r>
              <w:t xml:space="preserve"> all States and Territories reported against the standardised data items on smoking during pregnancy included </w:t>
            </w:r>
            <w:r w:rsidR="00F83F68">
              <w:t xml:space="preserve">in </w:t>
            </w:r>
            <w:r w:rsidRPr="00680847">
              <w:t>the Perinatal National Minimum Data Set</w:t>
            </w:r>
            <w:r>
              <w:t>.</w:t>
            </w:r>
            <w:r w:rsidRPr="00680847">
              <w:t xml:space="preserve"> For previous </w:t>
            </w:r>
            <w:r w:rsidR="000A6D48">
              <w:t>data</w:t>
            </w:r>
            <w:r w:rsidRPr="00680847">
              <w:t>, lack of consistent smoking questions affected comparability across jurisdictions.</w:t>
            </w:r>
          </w:p>
          <w:p w14:paraId="7CE19DFB" w14:textId="77777777" w:rsidR="00680847" w:rsidRPr="00680847" w:rsidRDefault="00680847" w:rsidP="00680847">
            <w:pPr>
              <w:pStyle w:val="BoxListBullet"/>
            </w:pPr>
            <w:r w:rsidRPr="00680847">
              <w:t xml:space="preserve">Changing levels of </w:t>
            </w:r>
            <w:r w:rsidR="00F80EE3">
              <w:t>Aboriginal and Torres Strait Islander</w:t>
            </w:r>
            <w:r w:rsidR="00F80EE3" w:rsidRPr="00680847">
              <w:t xml:space="preserve"> </w:t>
            </w:r>
            <w:r w:rsidRPr="00680847">
              <w:t>identification over time and across jurisdictions may affect the accuracy of time series data.</w:t>
            </w:r>
          </w:p>
          <w:p w14:paraId="7676B06C" w14:textId="01B538D0" w:rsidR="00A413DD" w:rsidRPr="00680847" w:rsidRDefault="00A413DD" w:rsidP="00217FEB">
            <w:pPr>
              <w:pStyle w:val="BoxListBullet"/>
            </w:pPr>
            <w:r>
              <w:t>Data are reported by remoteness</w:t>
            </w:r>
            <w:r w:rsidR="00172622">
              <w:t xml:space="preserve"> for this indicator</w:t>
            </w:r>
            <w:r>
              <w:t>. Remoteness data for 201</w:t>
            </w:r>
            <w:r w:rsidR="00223F13">
              <w:t>2 onwards</w:t>
            </w:r>
            <w:r w:rsidR="00217FEB">
              <w:t xml:space="preserve"> </w:t>
            </w:r>
            <w:r w:rsidR="005666C1">
              <w:t xml:space="preserve">are not directly comparable to </w:t>
            </w:r>
            <w:r w:rsidR="00223F13">
              <w:t>previous years</w:t>
            </w:r>
            <w:r w:rsidR="005666C1">
              <w:t xml:space="preserve">, </w:t>
            </w:r>
            <w:r>
              <w:t>due to the application of the new ABS remoteness areas on the 2011 Census base.</w:t>
            </w:r>
          </w:p>
          <w:p w14:paraId="425B2462" w14:textId="7F03D8D1" w:rsidR="00680847" w:rsidRPr="00680847" w:rsidRDefault="00680847" w:rsidP="00680847">
            <w:pPr>
              <w:pStyle w:val="BoxListBullet"/>
            </w:pPr>
            <w:r w:rsidRPr="00680847">
              <w:t>Detailed explanatory notes are publicly available to assist in the interpretation of results.</w:t>
            </w:r>
            <w:r w:rsidR="00FA7B55">
              <w:t xml:space="preserve"> </w:t>
            </w:r>
          </w:p>
          <w:p w14:paraId="3D8F94E6" w14:textId="77777777" w:rsidR="00680847" w:rsidRPr="00680847" w:rsidRDefault="00680847" w:rsidP="00680847">
            <w:pPr>
              <w:pStyle w:val="BoxListBullet"/>
            </w:pPr>
            <w:r w:rsidRPr="00680847">
              <w:t>Additional data from the data source are available on-line, and on request.</w:t>
            </w:r>
          </w:p>
          <w:p w14:paraId="48501877" w14:textId="1466782E" w:rsidR="00680847" w:rsidRPr="00680847" w:rsidRDefault="00680847" w:rsidP="00680847">
            <w:pPr>
              <w:pStyle w:val="Box"/>
            </w:pPr>
            <w:r w:rsidRPr="00680847">
              <w:t>The Steering Committee also notes the following issue:</w:t>
            </w:r>
          </w:p>
          <w:p w14:paraId="43C77010" w14:textId="77777777" w:rsidR="00680847" w:rsidRPr="00680847" w:rsidRDefault="00F85DF8" w:rsidP="00F85DF8">
            <w:pPr>
              <w:pStyle w:val="BoxListBullet"/>
              <w:rPr>
                <w:szCs w:val="24"/>
              </w:rPr>
            </w:pPr>
            <w:r>
              <w:t xml:space="preserve">The </w:t>
            </w:r>
            <w:proofErr w:type="spellStart"/>
            <w:r>
              <w:t>AIHW</w:t>
            </w:r>
            <w:proofErr w:type="spellEnd"/>
            <w:r>
              <w:t xml:space="preserve"> is working with jurisdictions on an ongoing basis to improve the capture, quality and timeliness of the data.</w:t>
            </w:r>
          </w:p>
        </w:tc>
      </w:tr>
      <w:tr w:rsidR="00680847" w14:paraId="4933E749" w14:textId="77777777" w:rsidTr="004F04D8">
        <w:trPr>
          <w:cantSplit/>
        </w:trPr>
        <w:tc>
          <w:tcPr>
            <w:tcW w:w="8789" w:type="dxa"/>
            <w:tcBorders>
              <w:top w:val="nil"/>
              <w:left w:val="nil"/>
              <w:bottom w:val="single" w:sz="6" w:space="0" w:color="78A22F"/>
              <w:right w:val="nil"/>
            </w:tcBorders>
            <w:shd w:val="clear" w:color="auto" w:fill="F2F2F2"/>
          </w:tcPr>
          <w:p w14:paraId="35EC66E3" w14:textId="77777777" w:rsidR="00680847" w:rsidRDefault="00680847">
            <w:pPr>
              <w:pStyle w:val="Box"/>
              <w:spacing w:before="0" w:line="120" w:lineRule="exact"/>
            </w:pPr>
          </w:p>
        </w:tc>
      </w:tr>
      <w:tr w:rsidR="00680847" w:rsidRPr="000863A5" w14:paraId="1CD2F572" w14:textId="77777777" w:rsidTr="004F04D8">
        <w:tc>
          <w:tcPr>
            <w:tcW w:w="8789" w:type="dxa"/>
            <w:tcBorders>
              <w:top w:val="single" w:sz="6" w:space="0" w:color="78A22F"/>
              <w:left w:val="nil"/>
              <w:bottom w:val="nil"/>
              <w:right w:val="nil"/>
            </w:tcBorders>
          </w:tcPr>
          <w:p w14:paraId="673CA6AC" w14:textId="77777777" w:rsidR="00680847" w:rsidRPr="00626D32" w:rsidRDefault="00680847" w:rsidP="00680847">
            <w:pPr>
              <w:pStyle w:val="BoxSpaceBelow"/>
            </w:pPr>
          </w:p>
        </w:tc>
      </w:tr>
    </w:tbl>
    <w:p w14:paraId="0C733EA9" w14:textId="77777777" w:rsidR="00680847" w:rsidRPr="00921D4D" w:rsidRDefault="00680847" w:rsidP="00680847">
      <w:pPr>
        <w:pStyle w:val="Heading3"/>
      </w:pPr>
      <w:bookmarkStart w:id="16" w:name="_Ref277842788"/>
      <w:bookmarkStart w:id="17" w:name="_Ref341361562"/>
      <w:r w:rsidRPr="00921D4D">
        <w:lastRenderedPageBreak/>
        <w:t xml:space="preserve">Indicator 9: </w:t>
      </w:r>
      <w:bookmarkEnd w:id="16"/>
      <w:r>
        <w:t>Antenatal care</w:t>
      </w:r>
      <w:bookmarkEnd w:id="17"/>
    </w:p>
    <w:p w14:paraId="3C377E7C" w14:textId="77777777" w:rsidR="00680847" w:rsidRPr="00D87AA9" w:rsidRDefault="00680847" w:rsidP="00680847">
      <w:pPr>
        <w:keepNext/>
      </w:pPr>
    </w:p>
    <w:tbl>
      <w:tblPr>
        <w:tblW w:w="8789" w:type="dxa"/>
        <w:tblCellMar>
          <w:right w:w="0" w:type="dxa"/>
        </w:tblCellMar>
        <w:tblLook w:val="0000" w:firstRow="0" w:lastRow="0" w:firstColumn="0" w:lastColumn="0" w:noHBand="0" w:noVBand="0"/>
      </w:tblPr>
      <w:tblGrid>
        <w:gridCol w:w="2093"/>
        <w:gridCol w:w="6696"/>
      </w:tblGrid>
      <w:tr w:rsidR="00D1545B" w:rsidRPr="00D87AA9" w14:paraId="1E5B09E4" w14:textId="77777777" w:rsidTr="004F04D8">
        <w:tc>
          <w:tcPr>
            <w:tcW w:w="2093" w:type="dxa"/>
          </w:tcPr>
          <w:p w14:paraId="26F2A92B" w14:textId="4DD189E9" w:rsidR="00D1545B" w:rsidRPr="00D87AA9" w:rsidRDefault="00D1545B" w:rsidP="00680847">
            <w:pPr>
              <w:pStyle w:val="TableBodyText"/>
              <w:jc w:val="left"/>
            </w:pPr>
            <w:r w:rsidRPr="00B82DC5">
              <w:t>Key amendments from previous cycle of reporting</w:t>
            </w:r>
            <w:r>
              <w:t>:</w:t>
            </w:r>
          </w:p>
        </w:tc>
        <w:tc>
          <w:tcPr>
            <w:tcW w:w="6696" w:type="dxa"/>
          </w:tcPr>
          <w:p w14:paraId="4650A1C6" w14:textId="10825EDB" w:rsidR="00D1545B" w:rsidRPr="00975B0A" w:rsidRDefault="00D1545B" w:rsidP="00870441">
            <w:pPr>
              <w:pStyle w:val="TableBodyText"/>
              <w:jc w:val="left"/>
            </w:pPr>
            <w:r w:rsidRPr="005332B8">
              <w:t xml:space="preserve">This </w:t>
            </w:r>
            <w:r>
              <w:t xml:space="preserve">indicator </w:t>
            </w:r>
            <w:r w:rsidR="00545A4B">
              <w:t>includes data from Victoria for the first time</w:t>
            </w:r>
            <w:r w:rsidR="00870441">
              <w:t xml:space="preserve"> for measure </w:t>
            </w:r>
            <w:proofErr w:type="spellStart"/>
            <w:r w:rsidR="00870441">
              <w:t>9b</w:t>
            </w:r>
            <w:proofErr w:type="spellEnd"/>
            <w:r w:rsidR="00870441">
              <w:t xml:space="preserve">. </w:t>
            </w:r>
          </w:p>
        </w:tc>
      </w:tr>
      <w:tr w:rsidR="00680847" w:rsidRPr="00D87AA9" w14:paraId="37FC4581" w14:textId="77777777" w:rsidTr="004F04D8">
        <w:tc>
          <w:tcPr>
            <w:tcW w:w="2093" w:type="dxa"/>
          </w:tcPr>
          <w:p w14:paraId="1E1A82E9" w14:textId="77777777" w:rsidR="00680847" w:rsidRPr="00D87AA9" w:rsidRDefault="00680847" w:rsidP="00D1545B">
            <w:pPr>
              <w:pStyle w:val="TableBodyText"/>
              <w:spacing w:before="80"/>
              <w:jc w:val="left"/>
            </w:pPr>
            <w:r w:rsidRPr="00D87AA9">
              <w:t>Target:</w:t>
            </w:r>
          </w:p>
        </w:tc>
        <w:tc>
          <w:tcPr>
            <w:tcW w:w="6696" w:type="dxa"/>
          </w:tcPr>
          <w:p w14:paraId="4402BC3D" w14:textId="0E14CB53" w:rsidR="00680847" w:rsidRPr="00D87AA9" w:rsidRDefault="00680847" w:rsidP="00D1545B">
            <w:pPr>
              <w:pStyle w:val="TableBodyText"/>
              <w:spacing w:before="80"/>
              <w:jc w:val="left"/>
            </w:pPr>
            <w:r w:rsidRPr="00975B0A">
              <w:t>Halving the gap in mortality rates for Indigenous children under five within a decade (by 2018)</w:t>
            </w:r>
          </w:p>
        </w:tc>
      </w:tr>
      <w:tr w:rsidR="00680847" w:rsidRPr="00D87AA9" w14:paraId="2CBA296A" w14:textId="77777777" w:rsidTr="004F04D8">
        <w:tc>
          <w:tcPr>
            <w:tcW w:w="2093" w:type="dxa"/>
          </w:tcPr>
          <w:p w14:paraId="64033B6E" w14:textId="77777777" w:rsidR="00680847" w:rsidRPr="00D87AA9" w:rsidRDefault="00680847" w:rsidP="00D1545B">
            <w:pPr>
              <w:pStyle w:val="TableBodyText"/>
              <w:spacing w:before="80"/>
              <w:jc w:val="left"/>
            </w:pPr>
            <w:r w:rsidRPr="00D87AA9">
              <w:t>Measure:</w:t>
            </w:r>
          </w:p>
        </w:tc>
        <w:tc>
          <w:tcPr>
            <w:tcW w:w="6696" w:type="dxa"/>
          </w:tcPr>
          <w:p w14:paraId="6B0BD56F" w14:textId="77777777" w:rsidR="00680847" w:rsidRDefault="00680847" w:rsidP="00D1545B">
            <w:pPr>
              <w:pStyle w:val="TableBodyText"/>
              <w:spacing w:before="80"/>
              <w:jc w:val="left"/>
            </w:pPr>
            <w:r>
              <w:t>There are two measures for this indicator, both to be reported by Indigenous status:</w:t>
            </w:r>
          </w:p>
          <w:p w14:paraId="09603E90" w14:textId="77777777" w:rsidR="00680847" w:rsidRDefault="00680847" w:rsidP="00D1545B">
            <w:pPr>
              <w:pStyle w:val="TableBodyText"/>
              <w:spacing w:before="80"/>
              <w:jc w:val="left"/>
            </w:pPr>
            <w:r>
              <w:t>Measure (</w:t>
            </w:r>
            <w:proofErr w:type="spellStart"/>
            <w:r>
              <w:t>9a</w:t>
            </w:r>
            <w:proofErr w:type="spellEnd"/>
            <w:r>
              <w:t>): Number of women who gave birth, where an antenatal visit was reported in the first trimester, as a proportion of women who gave birth</w:t>
            </w:r>
          </w:p>
          <w:p w14:paraId="38B938FB" w14:textId="77777777" w:rsidR="00680847" w:rsidRDefault="00680847" w:rsidP="00D1545B">
            <w:pPr>
              <w:pStyle w:val="TableBodyText"/>
              <w:spacing w:before="80"/>
              <w:jc w:val="left"/>
            </w:pPr>
            <w:r>
              <w:t>Measure (</w:t>
            </w:r>
            <w:proofErr w:type="spellStart"/>
            <w:r>
              <w:t>9b</w:t>
            </w:r>
            <w:proofErr w:type="spellEnd"/>
            <w:r>
              <w:t>): Number of women who gave birth, where five or more antenatal visits were reported, as a proportion of women who gave birth</w:t>
            </w:r>
          </w:p>
          <w:p w14:paraId="065F728F" w14:textId="36573F2C" w:rsidR="00680847" w:rsidRDefault="00680847" w:rsidP="00D1545B">
            <w:pPr>
              <w:pStyle w:val="TableBodyText"/>
              <w:spacing w:before="80"/>
              <w:jc w:val="left"/>
            </w:pPr>
            <w:r>
              <w:t xml:space="preserve">Age standardised rates are calculated for </w:t>
            </w:r>
            <w:r w:rsidR="00F80EE3">
              <w:t xml:space="preserve">Aboriginal and Torres Strait Islander </w:t>
            </w:r>
            <w:r>
              <w:t xml:space="preserve">and non−Indigenous Australians using: </w:t>
            </w:r>
          </w:p>
          <w:p w14:paraId="16BA8A27" w14:textId="77777777" w:rsidR="00680847" w:rsidRDefault="00680847" w:rsidP="00680847">
            <w:pPr>
              <w:pStyle w:val="TableBullet"/>
              <w:rPr>
                <w:szCs w:val="24"/>
              </w:rPr>
            </w:pPr>
            <w:r>
              <w:t>the direct method</w:t>
            </w:r>
          </w:p>
          <w:p w14:paraId="0D52C879" w14:textId="77777777" w:rsidR="00680847" w:rsidRDefault="00680847" w:rsidP="00680847">
            <w:pPr>
              <w:pStyle w:val="TableBullet"/>
              <w:rPr>
                <w:szCs w:val="24"/>
              </w:rPr>
            </w:pPr>
            <w:r>
              <w:t xml:space="preserve">five year age groups from 15–19 years to 40–44 years </w:t>
            </w:r>
          </w:p>
          <w:p w14:paraId="3BE17651" w14:textId="77777777" w:rsidR="00680847" w:rsidRPr="00734373" w:rsidRDefault="00680847" w:rsidP="00680847">
            <w:pPr>
              <w:pStyle w:val="TableBullet"/>
              <w:rPr>
                <w:szCs w:val="24"/>
              </w:rPr>
            </w:pPr>
            <w:r>
              <w:t xml:space="preserve">the 30 June 2001 Australian female Estimated Resident Population (ERP) based on the 2001 Census as the standard population. </w:t>
            </w:r>
          </w:p>
          <w:p w14:paraId="282AB06A" w14:textId="77777777" w:rsidR="00680847" w:rsidRDefault="00815570" w:rsidP="00D1545B">
            <w:pPr>
              <w:pStyle w:val="TableBodyText"/>
              <w:spacing w:before="80"/>
              <w:jc w:val="left"/>
            </w:pPr>
            <w:r>
              <w:t xml:space="preserve">Rate ratios and rate differences are calculated for comparisons between </w:t>
            </w:r>
            <w:r w:rsidR="00F80EE3">
              <w:t xml:space="preserve">Aboriginal and Torres Strait Islander </w:t>
            </w:r>
            <w:r>
              <w:t>and non-Indigenous Australians</w:t>
            </w:r>
            <w:r w:rsidRPr="004F1FEB" w:rsidDel="00815570">
              <w:t xml:space="preserve"> </w:t>
            </w:r>
          </w:p>
          <w:p w14:paraId="77B9C4A7" w14:textId="0A42797A" w:rsidR="00680847" w:rsidRPr="00D87AA9" w:rsidRDefault="00680847" w:rsidP="00D1545B">
            <w:pPr>
              <w:pStyle w:val="TableBodyText"/>
              <w:spacing w:before="80"/>
              <w:jc w:val="left"/>
            </w:pPr>
            <w:r>
              <w:t xml:space="preserve">Variability bands accompanying perinatal data should be used for the purposes of comparisons over time and for national estimates at a point in time for </w:t>
            </w:r>
            <w:r w:rsidR="00F80EE3">
              <w:t xml:space="preserve">Aboriginal and Torres Strait Islander </w:t>
            </w:r>
            <w:r>
              <w:t>/non-Indigenous comparisons.</w:t>
            </w:r>
          </w:p>
        </w:tc>
      </w:tr>
      <w:tr w:rsidR="00680847" w:rsidRPr="00D87AA9" w14:paraId="71ACACB2" w14:textId="77777777" w:rsidTr="004F04D8">
        <w:tc>
          <w:tcPr>
            <w:tcW w:w="2093" w:type="dxa"/>
          </w:tcPr>
          <w:p w14:paraId="7CD38CF7" w14:textId="77777777" w:rsidR="00680847" w:rsidRPr="00D87AA9" w:rsidRDefault="00680847" w:rsidP="00D1545B">
            <w:pPr>
              <w:pStyle w:val="TableBodyText"/>
              <w:spacing w:before="80"/>
              <w:jc w:val="left"/>
            </w:pPr>
            <w:r w:rsidRPr="00D87AA9">
              <w:t>Measure (</w:t>
            </w:r>
            <w:proofErr w:type="spellStart"/>
            <w:r w:rsidRPr="00D87AA9">
              <w:t>9a</w:t>
            </w:r>
            <w:proofErr w:type="spellEnd"/>
            <w:r w:rsidRPr="00D87AA9">
              <w:t>):</w:t>
            </w:r>
          </w:p>
        </w:tc>
        <w:tc>
          <w:tcPr>
            <w:tcW w:w="6696" w:type="dxa"/>
          </w:tcPr>
          <w:p w14:paraId="5AD3C82E" w14:textId="77777777" w:rsidR="00680847" w:rsidRDefault="00680847" w:rsidP="00D1545B">
            <w:pPr>
              <w:pStyle w:val="TableBodyText"/>
              <w:spacing w:before="80"/>
              <w:jc w:val="left"/>
            </w:pPr>
            <w:r>
              <w:t>Number of women who gave birth, where an antenatal visit was reported in the first trimester, as a proportion of women who gave birth, by Indigenous status</w:t>
            </w:r>
          </w:p>
          <w:p w14:paraId="43A872ED" w14:textId="77777777" w:rsidR="00680847" w:rsidRDefault="00680847" w:rsidP="00D1545B">
            <w:pPr>
              <w:pStyle w:val="TableBodyText"/>
              <w:spacing w:before="80"/>
              <w:jc w:val="left"/>
            </w:pPr>
            <w:r>
              <w:t>The measure is defined as:</w:t>
            </w:r>
          </w:p>
          <w:p w14:paraId="304DD6C6" w14:textId="77777777" w:rsidR="00680847" w:rsidRDefault="00680847" w:rsidP="00680847">
            <w:pPr>
              <w:pStyle w:val="TableBullet"/>
              <w:rPr>
                <w:szCs w:val="24"/>
              </w:rPr>
            </w:pPr>
            <w:r w:rsidRPr="004F1FEB">
              <w:rPr>
                <w:i/>
              </w:rPr>
              <w:t>Numerator</w:t>
            </w:r>
            <w:r>
              <w:t xml:space="preserve"> — number of women who gave birth who attended at least one antenatal visit in the first trimester (up to and including 13 completed weeks), for at least one live or stillborn baby.</w:t>
            </w:r>
          </w:p>
          <w:p w14:paraId="35353A41" w14:textId="77777777" w:rsidR="00680847" w:rsidRDefault="00680847" w:rsidP="00680847">
            <w:pPr>
              <w:pStyle w:val="TableBullet"/>
              <w:rPr>
                <w:szCs w:val="24"/>
              </w:rPr>
            </w:pPr>
            <w:r w:rsidRPr="004F1FEB">
              <w:rPr>
                <w:i/>
              </w:rPr>
              <w:t>Denominator</w:t>
            </w:r>
            <w:r>
              <w:t xml:space="preserve"> — total number of women who gave birth, for at least one live or still born baby (where gestation at first antenatal visit is known)</w:t>
            </w:r>
          </w:p>
          <w:p w14:paraId="23BBAB70" w14:textId="680A732A" w:rsidR="00680847" w:rsidRPr="00D87AA9" w:rsidRDefault="00680847" w:rsidP="00680847">
            <w:pPr>
              <w:pStyle w:val="TableBodyText"/>
              <w:jc w:val="left"/>
            </w:pPr>
            <w:r>
              <w:t xml:space="preserve">presented as a </w:t>
            </w:r>
            <w:r w:rsidR="00F8458B">
              <w:rPr>
                <w:i/>
              </w:rPr>
              <w:t xml:space="preserve">percentage of the </w:t>
            </w:r>
            <w:r w:rsidRPr="004F1FEB">
              <w:rPr>
                <w:i/>
              </w:rPr>
              <w:t>relevant population</w:t>
            </w:r>
          </w:p>
        </w:tc>
      </w:tr>
      <w:tr w:rsidR="00680847" w:rsidRPr="00D87AA9" w14:paraId="56BDEF6E" w14:textId="77777777" w:rsidTr="004F04D8">
        <w:tc>
          <w:tcPr>
            <w:tcW w:w="2093" w:type="dxa"/>
          </w:tcPr>
          <w:p w14:paraId="086A0DAC" w14:textId="73F1105C" w:rsidR="00680847" w:rsidRPr="00D87AA9" w:rsidRDefault="00F50913" w:rsidP="00D1545B">
            <w:pPr>
              <w:pStyle w:val="TableBodyText"/>
              <w:spacing w:before="80"/>
              <w:jc w:val="left"/>
            </w:pPr>
            <w:r>
              <w:rPr>
                <w:rFonts w:ascii="Times New Roman" w:hAnsi="Times New Roman"/>
                <w:sz w:val="24"/>
                <w:szCs w:val="24"/>
              </w:rPr>
              <w:br w:type="page"/>
            </w:r>
            <w:r w:rsidR="00680847" w:rsidRPr="00D87AA9">
              <w:t>Measure (</w:t>
            </w:r>
            <w:proofErr w:type="spellStart"/>
            <w:r w:rsidR="00680847" w:rsidRPr="00D87AA9">
              <w:t>9b</w:t>
            </w:r>
            <w:proofErr w:type="spellEnd"/>
            <w:r w:rsidR="00680847" w:rsidRPr="00D87AA9">
              <w:t>):</w:t>
            </w:r>
          </w:p>
        </w:tc>
        <w:tc>
          <w:tcPr>
            <w:tcW w:w="6696" w:type="dxa"/>
          </w:tcPr>
          <w:p w14:paraId="679B2D43" w14:textId="77777777" w:rsidR="00680847" w:rsidRDefault="00680847" w:rsidP="00D1545B">
            <w:pPr>
              <w:pStyle w:val="TableBodyText"/>
              <w:spacing w:before="80"/>
              <w:jc w:val="left"/>
            </w:pPr>
            <w:r>
              <w:t>Number of women who gave birth, where five or more antenatal visits were reported, as a proportion of women who gave birth, by Indigenous status</w:t>
            </w:r>
          </w:p>
          <w:p w14:paraId="59F1BE55" w14:textId="77777777" w:rsidR="00680847" w:rsidRDefault="00680847" w:rsidP="00D1545B">
            <w:pPr>
              <w:pStyle w:val="TableBodyText"/>
              <w:spacing w:before="80"/>
              <w:jc w:val="left"/>
            </w:pPr>
            <w:r>
              <w:t>The measure is defined as:</w:t>
            </w:r>
          </w:p>
          <w:p w14:paraId="2A1F9AFF" w14:textId="77777777" w:rsidR="00680847" w:rsidRDefault="00680847" w:rsidP="00680847">
            <w:pPr>
              <w:pStyle w:val="TableBullet"/>
              <w:rPr>
                <w:szCs w:val="24"/>
              </w:rPr>
            </w:pPr>
            <w:r w:rsidRPr="004F1FEB">
              <w:rPr>
                <w:i/>
              </w:rPr>
              <w:t xml:space="preserve">Numerator </w:t>
            </w:r>
            <w:r>
              <w:t>— number of women who gave birth who attended five or more antenatal visits for pregnancy of 32 or more weeks gestational age, for at least one live or stillborn baby</w:t>
            </w:r>
          </w:p>
          <w:p w14:paraId="1989F37E" w14:textId="77777777" w:rsidR="00680847" w:rsidRDefault="00680847" w:rsidP="00680847">
            <w:pPr>
              <w:pStyle w:val="TableBullet"/>
              <w:rPr>
                <w:szCs w:val="24"/>
              </w:rPr>
            </w:pPr>
            <w:r w:rsidRPr="004F1FEB">
              <w:rPr>
                <w:i/>
              </w:rPr>
              <w:t>Denominator</w:t>
            </w:r>
            <w:r>
              <w:t xml:space="preserve"> — total number of women who gave birth to a baby of 32 weeks or more gestation, for at least one live or still born baby (where number of antenatal visits is known)</w:t>
            </w:r>
          </w:p>
          <w:p w14:paraId="5B07D687" w14:textId="5E287B91" w:rsidR="00680847" w:rsidRPr="00D1545B" w:rsidRDefault="00680847" w:rsidP="00680847">
            <w:pPr>
              <w:pStyle w:val="TableBodyText"/>
              <w:jc w:val="left"/>
              <w:rPr>
                <w:i/>
              </w:rPr>
            </w:pPr>
            <w:r>
              <w:t xml:space="preserve">presented as a </w:t>
            </w:r>
            <w:r w:rsidR="00F8458B">
              <w:rPr>
                <w:i/>
              </w:rPr>
              <w:t xml:space="preserve">percentage of the </w:t>
            </w:r>
            <w:r w:rsidRPr="004F1FEB">
              <w:rPr>
                <w:i/>
              </w:rPr>
              <w:t>relevant population</w:t>
            </w:r>
          </w:p>
        </w:tc>
      </w:tr>
    </w:tbl>
    <w:p w14:paraId="302CC054" w14:textId="77777777" w:rsidR="004F04D8" w:rsidRDefault="004F04D8">
      <w:r>
        <w:br w:type="page"/>
      </w:r>
    </w:p>
    <w:tbl>
      <w:tblPr>
        <w:tblW w:w="8789" w:type="dxa"/>
        <w:tblCellMar>
          <w:right w:w="0" w:type="dxa"/>
        </w:tblCellMar>
        <w:tblLook w:val="0000" w:firstRow="0" w:lastRow="0" w:firstColumn="0" w:lastColumn="0" w:noHBand="0" w:noVBand="0"/>
      </w:tblPr>
      <w:tblGrid>
        <w:gridCol w:w="2093"/>
        <w:gridCol w:w="6696"/>
      </w:tblGrid>
      <w:tr w:rsidR="00680847" w:rsidRPr="00D87AA9" w14:paraId="2BC6EEDF" w14:textId="77777777" w:rsidTr="004F04D8">
        <w:tc>
          <w:tcPr>
            <w:tcW w:w="2093" w:type="dxa"/>
          </w:tcPr>
          <w:p w14:paraId="4F972880" w14:textId="133D427F" w:rsidR="00680847" w:rsidRPr="00D87AA9" w:rsidRDefault="00680847" w:rsidP="00680847">
            <w:pPr>
              <w:pStyle w:val="TableBodyText"/>
              <w:jc w:val="left"/>
            </w:pPr>
            <w:r w:rsidRPr="00D87AA9">
              <w:lastRenderedPageBreak/>
              <w:t>Data source (</w:t>
            </w:r>
            <w:proofErr w:type="spellStart"/>
            <w:r w:rsidRPr="00D87AA9">
              <w:t>9a</w:t>
            </w:r>
            <w:proofErr w:type="spellEnd"/>
            <w:r w:rsidRPr="00D87AA9">
              <w:t xml:space="preserve"> and </w:t>
            </w:r>
            <w:proofErr w:type="spellStart"/>
            <w:r w:rsidRPr="00D87AA9">
              <w:t>9b</w:t>
            </w:r>
            <w:proofErr w:type="spellEnd"/>
            <w:r w:rsidRPr="00D87AA9">
              <w:t>):</w:t>
            </w:r>
          </w:p>
        </w:tc>
        <w:tc>
          <w:tcPr>
            <w:tcW w:w="6696" w:type="dxa"/>
          </w:tcPr>
          <w:p w14:paraId="74F992A9" w14:textId="77777777" w:rsidR="00680847" w:rsidRDefault="00680847" w:rsidP="00680847">
            <w:pPr>
              <w:pStyle w:val="TableBodyText"/>
              <w:jc w:val="left"/>
            </w:pPr>
            <w:r w:rsidRPr="00975B0A">
              <w:t xml:space="preserve">Numerator and denominator — </w:t>
            </w:r>
            <w:proofErr w:type="spellStart"/>
            <w:r w:rsidRPr="00975B0A">
              <w:t>AIHW</w:t>
            </w:r>
            <w:proofErr w:type="spellEnd"/>
            <w:r w:rsidRPr="00975B0A">
              <w:t xml:space="preserve"> </w:t>
            </w:r>
            <w:r w:rsidRPr="004F1FEB">
              <w:rPr>
                <w:u w:val="single"/>
              </w:rPr>
              <w:t>National Perinatal Data Collection</w:t>
            </w:r>
            <w:r w:rsidRPr="00975B0A">
              <w:t xml:space="preserve"> (</w:t>
            </w:r>
            <w:proofErr w:type="spellStart"/>
            <w:r w:rsidRPr="00975B0A">
              <w:t>NPDC</w:t>
            </w:r>
            <w:proofErr w:type="spellEnd"/>
            <w:r w:rsidRPr="00975B0A">
              <w:t>)</w:t>
            </w:r>
          </w:p>
          <w:p w14:paraId="257C4745" w14:textId="77777777" w:rsidR="00680847" w:rsidRPr="00D87AA9" w:rsidRDefault="00680847" w:rsidP="00680847">
            <w:pPr>
              <w:pStyle w:val="TableBodyText"/>
              <w:jc w:val="left"/>
            </w:pPr>
          </w:p>
        </w:tc>
      </w:tr>
      <w:tr w:rsidR="00680847" w:rsidRPr="00D87AA9" w14:paraId="1CCFECE7" w14:textId="77777777" w:rsidTr="004F04D8">
        <w:tc>
          <w:tcPr>
            <w:tcW w:w="2093" w:type="dxa"/>
          </w:tcPr>
          <w:p w14:paraId="2346A50F" w14:textId="1B3E2BE5" w:rsidR="00680847" w:rsidRPr="00D87AA9" w:rsidRDefault="00680847" w:rsidP="00D1545B">
            <w:pPr>
              <w:pStyle w:val="TableBodyText"/>
              <w:spacing w:before="80"/>
              <w:jc w:val="left"/>
            </w:pPr>
            <w:r w:rsidRPr="00D87AA9">
              <w:t>Data provider (</w:t>
            </w:r>
            <w:proofErr w:type="spellStart"/>
            <w:r w:rsidRPr="00D87AA9">
              <w:t>9a</w:t>
            </w:r>
            <w:proofErr w:type="spellEnd"/>
            <w:r w:rsidRPr="00D87AA9">
              <w:t xml:space="preserve"> and </w:t>
            </w:r>
            <w:proofErr w:type="spellStart"/>
            <w:r w:rsidRPr="00D87AA9">
              <w:t>9b</w:t>
            </w:r>
            <w:proofErr w:type="spellEnd"/>
            <w:r w:rsidRPr="00D87AA9">
              <w:t>):</w:t>
            </w:r>
          </w:p>
        </w:tc>
        <w:tc>
          <w:tcPr>
            <w:tcW w:w="6696" w:type="dxa"/>
          </w:tcPr>
          <w:p w14:paraId="6836E3D9" w14:textId="77777777" w:rsidR="00680847" w:rsidRPr="00D87AA9" w:rsidRDefault="00680847" w:rsidP="00D1545B">
            <w:pPr>
              <w:pStyle w:val="TableBodyText"/>
              <w:spacing w:before="80"/>
              <w:jc w:val="left"/>
            </w:pPr>
            <w:proofErr w:type="spellStart"/>
            <w:r w:rsidRPr="00975B0A">
              <w:t>AIHW</w:t>
            </w:r>
            <w:proofErr w:type="spellEnd"/>
          </w:p>
        </w:tc>
      </w:tr>
      <w:tr w:rsidR="00680847" w:rsidRPr="00D87AA9" w14:paraId="7741A060" w14:textId="77777777" w:rsidTr="004F04D8">
        <w:tc>
          <w:tcPr>
            <w:tcW w:w="2093" w:type="dxa"/>
            <w:shd w:val="clear" w:color="auto" w:fill="auto"/>
          </w:tcPr>
          <w:p w14:paraId="365B8707" w14:textId="3B26B01B" w:rsidR="00680847" w:rsidRPr="00D87AA9" w:rsidRDefault="00680847" w:rsidP="00D1545B">
            <w:pPr>
              <w:pStyle w:val="TableBodyText"/>
              <w:spacing w:before="80"/>
              <w:jc w:val="left"/>
            </w:pPr>
            <w:r w:rsidRPr="00D87AA9">
              <w:t>Data availability (</w:t>
            </w:r>
            <w:proofErr w:type="spellStart"/>
            <w:r w:rsidRPr="00D87AA9">
              <w:t>9a</w:t>
            </w:r>
            <w:proofErr w:type="spellEnd"/>
            <w:r w:rsidRPr="00D87AA9">
              <w:t xml:space="preserve"> and </w:t>
            </w:r>
            <w:proofErr w:type="spellStart"/>
            <w:r w:rsidRPr="00D87AA9">
              <w:t>9b</w:t>
            </w:r>
            <w:proofErr w:type="spellEnd"/>
            <w:r w:rsidRPr="00D87AA9">
              <w:t>):</w:t>
            </w:r>
          </w:p>
        </w:tc>
        <w:tc>
          <w:tcPr>
            <w:tcW w:w="6696" w:type="dxa"/>
            <w:shd w:val="clear" w:color="auto" w:fill="auto"/>
          </w:tcPr>
          <w:p w14:paraId="7057E6E4" w14:textId="6DD74B45" w:rsidR="00680847" w:rsidRPr="00D87AA9" w:rsidRDefault="00545A4B" w:rsidP="00545A4B">
            <w:pPr>
              <w:pStyle w:val="TableBodyText"/>
              <w:spacing w:before="80"/>
              <w:jc w:val="left"/>
            </w:pPr>
            <w:r w:rsidRPr="00975B0A">
              <w:t>201</w:t>
            </w:r>
            <w:r>
              <w:t>6</w:t>
            </w:r>
          </w:p>
        </w:tc>
      </w:tr>
      <w:tr w:rsidR="00680847" w:rsidRPr="00D87AA9" w14:paraId="7D5957B5" w14:textId="77777777" w:rsidTr="004F04D8">
        <w:tc>
          <w:tcPr>
            <w:tcW w:w="2093" w:type="dxa"/>
            <w:shd w:val="clear" w:color="auto" w:fill="auto"/>
          </w:tcPr>
          <w:p w14:paraId="2BB28447" w14:textId="77777777" w:rsidR="00680847" w:rsidRPr="00D87AA9" w:rsidRDefault="00680847" w:rsidP="00D1545B">
            <w:pPr>
              <w:pStyle w:val="TableBodyText"/>
              <w:spacing w:before="80"/>
              <w:jc w:val="left"/>
            </w:pPr>
            <w:r w:rsidRPr="00D87AA9">
              <w:t>Cross tabulations provided (</w:t>
            </w:r>
            <w:proofErr w:type="spellStart"/>
            <w:r w:rsidRPr="00D87AA9">
              <w:t>9a</w:t>
            </w:r>
            <w:proofErr w:type="spellEnd"/>
            <w:r>
              <w:t xml:space="preserve"> and </w:t>
            </w:r>
            <w:proofErr w:type="spellStart"/>
            <w:r>
              <w:t>9b</w:t>
            </w:r>
            <w:proofErr w:type="spellEnd"/>
            <w:r w:rsidRPr="00D87AA9">
              <w:t>):</w:t>
            </w:r>
          </w:p>
        </w:tc>
        <w:tc>
          <w:tcPr>
            <w:tcW w:w="6696" w:type="dxa"/>
            <w:shd w:val="clear" w:color="auto" w:fill="auto"/>
          </w:tcPr>
          <w:p w14:paraId="7A8965F1" w14:textId="77777777" w:rsidR="00680847" w:rsidRDefault="00680847" w:rsidP="00D1545B">
            <w:pPr>
              <w:pStyle w:val="TableBodyText"/>
              <w:spacing w:before="80"/>
              <w:jc w:val="left"/>
            </w:pPr>
            <w:r>
              <w:t xml:space="preserve">State and Territory, by: </w:t>
            </w:r>
          </w:p>
          <w:p w14:paraId="0418B9B4" w14:textId="77777777" w:rsidR="00680847" w:rsidRDefault="00F80EE3" w:rsidP="00680847">
            <w:pPr>
              <w:pStyle w:val="TableBullet"/>
              <w:rPr>
                <w:szCs w:val="24"/>
              </w:rPr>
            </w:pPr>
            <w:r>
              <w:t xml:space="preserve">Aboriginal and Torres Strait Islander </w:t>
            </w:r>
            <w:r w:rsidR="00680847">
              <w:t>(crude rates)</w:t>
            </w:r>
          </w:p>
          <w:p w14:paraId="4398D847" w14:textId="5F6FF5D8" w:rsidR="00680847" w:rsidRDefault="00F80EE3" w:rsidP="00680847">
            <w:pPr>
              <w:pStyle w:val="TableBullet"/>
              <w:rPr>
                <w:szCs w:val="24"/>
              </w:rPr>
            </w:pPr>
            <w:r>
              <w:t xml:space="preserve">Aboriginal and Torres Strait Islander </w:t>
            </w:r>
            <w:r w:rsidR="00680847">
              <w:t xml:space="preserve">by </w:t>
            </w:r>
            <w:r w:rsidR="00680847" w:rsidRPr="00C02798">
              <w:t xml:space="preserve">remoteness (measure (a) only) (crude </w:t>
            </w:r>
            <w:r w:rsidR="00680847">
              <w:t xml:space="preserve">rates) (based on </w:t>
            </w:r>
            <w:r w:rsidR="00F26DCF">
              <w:t xml:space="preserve">2011 </w:t>
            </w:r>
            <w:proofErr w:type="spellStart"/>
            <w:r w:rsidR="00680847">
              <w:t>ASGS</w:t>
            </w:r>
            <w:proofErr w:type="spellEnd"/>
            <w:r w:rsidR="00680847">
              <w:t>)</w:t>
            </w:r>
          </w:p>
          <w:p w14:paraId="59ADE3DF" w14:textId="77777777" w:rsidR="00680847" w:rsidRDefault="00680847" w:rsidP="00680847">
            <w:pPr>
              <w:pStyle w:val="TableBullet"/>
              <w:rPr>
                <w:szCs w:val="24"/>
              </w:rPr>
            </w:pPr>
            <w:r>
              <w:t>Indigenous status (age standardised rates)</w:t>
            </w:r>
          </w:p>
          <w:p w14:paraId="0470FAFC" w14:textId="72DF8D95" w:rsidR="00680847" w:rsidRPr="00D1545B" w:rsidRDefault="00680847" w:rsidP="00680847">
            <w:pPr>
              <w:pStyle w:val="TableBullet"/>
              <w:rPr>
                <w:szCs w:val="24"/>
              </w:rPr>
            </w:pPr>
            <w:r>
              <w:t xml:space="preserve">Indigenous status by remoteness (age standardised rates) (based on </w:t>
            </w:r>
            <w:r w:rsidR="00F26DCF">
              <w:t xml:space="preserve">2011 </w:t>
            </w:r>
            <w:proofErr w:type="spellStart"/>
            <w:r>
              <w:t>ASGS</w:t>
            </w:r>
            <w:proofErr w:type="spellEnd"/>
            <w:r>
              <w:t>)</w:t>
            </w:r>
          </w:p>
        </w:tc>
      </w:tr>
    </w:tbl>
    <w:p w14:paraId="6786A380" w14:textId="77777777" w:rsidR="003C412A" w:rsidRDefault="003C412A">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C412A" w14:paraId="085D8034" w14:textId="77777777" w:rsidTr="004F04D8">
        <w:tc>
          <w:tcPr>
            <w:tcW w:w="8789" w:type="dxa"/>
            <w:tcBorders>
              <w:top w:val="single" w:sz="6" w:space="0" w:color="78A22F"/>
              <w:left w:val="nil"/>
              <w:bottom w:val="nil"/>
              <w:right w:val="nil"/>
            </w:tcBorders>
            <w:shd w:val="clear" w:color="auto" w:fill="F2F2F2"/>
          </w:tcPr>
          <w:p w14:paraId="333B634E" w14:textId="7EFD9D70" w:rsidR="003C412A" w:rsidRDefault="003C412A" w:rsidP="00291F8D">
            <w:pPr>
              <w:pStyle w:val="BoxTitle"/>
            </w:pPr>
            <w:r>
              <w:rPr>
                <w:b w:val="0"/>
              </w:rPr>
              <w:t>Box</w:t>
            </w:r>
            <w:r w:rsidR="00B1719E">
              <w:rPr>
                <w:b w:val="0"/>
              </w:rPr>
              <w:t xml:space="preserve"> </w:t>
            </w:r>
            <w:r w:rsidR="00A8151B">
              <w:rPr>
                <w:b w:val="0"/>
              </w:rPr>
              <w:t>2</w:t>
            </w:r>
            <w:r w:rsidR="00291F8D">
              <w:rPr>
                <w:b w:val="0"/>
              </w:rPr>
              <w:t>6</w:t>
            </w:r>
            <w:r>
              <w:tab/>
              <w:t>Results</w:t>
            </w:r>
          </w:p>
        </w:tc>
      </w:tr>
      <w:tr w:rsidR="003C412A" w:rsidRPr="003C412A" w14:paraId="7D83FE06" w14:textId="77777777" w:rsidTr="004F04D8">
        <w:trPr>
          <w:cantSplit/>
        </w:trPr>
        <w:tc>
          <w:tcPr>
            <w:tcW w:w="8789" w:type="dxa"/>
            <w:tcBorders>
              <w:top w:val="nil"/>
              <w:left w:val="nil"/>
              <w:bottom w:val="nil"/>
              <w:right w:val="nil"/>
            </w:tcBorders>
            <w:shd w:val="clear" w:color="auto" w:fill="F2F2F2"/>
          </w:tcPr>
          <w:p w14:paraId="060C0EB4" w14:textId="5CD89047" w:rsidR="003C412A" w:rsidRPr="003C412A" w:rsidRDefault="003C412A" w:rsidP="003C412A">
            <w:pPr>
              <w:pStyle w:val="Box"/>
            </w:pPr>
            <w:r w:rsidRPr="003C412A">
              <w:t xml:space="preserve">For this report, new data for this indicator are available for </w:t>
            </w:r>
            <w:r w:rsidR="00545A4B" w:rsidRPr="003C412A">
              <w:t>201</w:t>
            </w:r>
            <w:r w:rsidR="00545A4B">
              <w:t>6</w:t>
            </w:r>
            <w:r w:rsidRPr="003C412A">
              <w:t>.</w:t>
            </w:r>
          </w:p>
          <w:p w14:paraId="179CD1A1" w14:textId="39929CE2" w:rsidR="003C412A" w:rsidRPr="003C412A" w:rsidRDefault="003C412A" w:rsidP="003C412A">
            <w:pPr>
              <w:pStyle w:val="BoxListBullet"/>
            </w:pPr>
            <w:r w:rsidRPr="003C412A">
              <w:t xml:space="preserve">Crude data for </w:t>
            </w:r>
            <w:r w:rsidR="00F80EE3">
              <w:t>Aboriginal and Torres Strait Islander</w:t>
            </w:r>
            <w:r w:rsidR="00F80EE3" w:rsidRPr="003C412A">
              <w:t xml:space="preserve"> </w:t>
            </w:r>
            <w:r w:rsidRPr="003C412A">
              <w:t xml:space="preserve">women by State and Territory are presented in tables </w:t>
            </w:r>
            <w:proofErr w:type="spellStart"/>
            <w:r w:rsidRPr="003C412A">
              <w:t>NIRA.9.1</w:t>
            </w:r>
            <w:proofErr w:type="spellEnd"/>
            <w:r w:rsidRPr="003C412A">
              <w:t xml:space="preserve"> and </w:t>
            </w:r>
            <w:proofErr w:type="spellStart"/>
            <w:r w:rsidRPr="003C412A">
              <w:t>NIRA.9.3</w:t>
            </w:r>
            <w:proofErr w:type="spellEnd"/>
            <w:r w:rsidR="00870441">
              <w:t>.</w:t>
            </w:r>
          </w:p>
          <w:p w14:paraId="7622D6D7" w14:textId="48994E5C" w:rsidR="003C412A" w:rsidRPr="003C412A" w:rsidRDefault="003C412A" w:rsidP="003C412A">
            <w:pPr>
              <w:pStyle w:val="BoxListBullet"/>
            </w:pPr>
            <w:r w:rsidRPr="003C412A">
              <w:t xml:space="preserve">Crude data for </w:t>
            </w:r>
            <w:r w:rsidR="00F80EE3">
              <w:t>Aboriginal and Torres Strait Islander</w:t>
            </w:r>
            <w:r w:rsidR="00F80EE3" w:rsidRPr="003C412A">
              <w:t xml:space="preserve"> </w:t>
            </w:r>
            <w:r w:rsidRPr="003C412A">
              <w:t xml:space="preserve">women by State and Territory, by remoteness are presented in table </w:t>
            </w:r>
            <w:proofErr w:type="spellStart"/>
            <w:r w:rsidRPr="003C412A">
              <w:t>NIRA.9.2</w:t>
            </w:r>
            <w:proofErr w:type="spellEnd"/>
            <w:r w:rsidR="00870441">
              <w:t>.</w:t>
            </w:r>
          </w:p>
          <w:p w14:paraId="3198EFA4" w14:textId="4F61BEDC" w:rsidR="003C412A" w:rsidRPr="003C412A" w:rsidRDefault="003C412A" w:rsidP="003C412A">
            <w:pPr>
              <w:pStyle w:val="BoxListBullet"/>
            </w:pPr>
            <w:r w:rsidRPr="003C412A">
              <w:t>Age standardised data by State and Territory, by Indigenous status are presented in tables</w:t>
            </w:r>
            <w:r w:rsidR="00F40B3B">
              <w:t> </w:t>
            </w:r>
            <w:proofErr w:type="spellStart"/>
            <w:r w:rsidRPr="003C412A">
              <w:t>NIRA.9.4</w:t>
            </w:r>
            <w:proofErr w:type="spellEnd"/>
            <w:r w:rsidRPr="003C412A">
              <w:t xml:space="preserve"> and </w:t>
            </w:r>
            <w:proofErr w:type="spellStart"/>
            <w:r w:rsidRPr="003C412A">
              <w:t>NIRA.9.</w:t>
            </w:r>
            <w:r w:rsidR="00F60E5D">
              <w:t>5</w:t>
            </w:r>
            <w:proofErr w:type="spellEnd"/>
            <w:r w:rsidR="00545A4B">
              <w:t>. Table 9.5 includes data from Victoria</w:t>
            </w:r>
            <w:r w:rsidR="002E75A0">
              <w:t xml:space="preserve"> for the first time</w:t>
            </w:r>
            <w:r w:rsidR="00545A4B">
              <w:t>, and includes a total excluding Victoria for continuity of the time series.</w:t>
            </w:r>
          </w:p>
          <w:p w14:paraId="532E3208" w14:textId="70484FD3" w:rsidR="003C412A" w:rsidRPr="003C412A" w:rsidRDefault="003C412A" w:rsidP="003C412A">
            <w:pPr>
              <w:pStyle w:val="BoxListBullet"/>
            </w:pPr>
            <w:r w:rsidRPr="003C412A">
              <w:t xml:space="preserve">Age standardised data by State and Territory, by Indigenous status, by remoteness are presented in tables </w:t>
            </w:r>
            <w:proofErr w:type="spellStart"/>
            <w:r w:rsidRPr="003C412A">
              <w:t>NIRA.9.6</w:t>
            </w:r>
            <w:proofErr w:type="spellEnd"/>
            <w:r w:rsidRPr="003C412A">
              <w:t xml:space="preserve"> and </w:t>
            </w:r>
            <w:proofErr w:type="spellStart"/>
            <w:r w:rsidRPr="003C412A">
              <w:t>NIRA.9.</w:t>
            </w:r>
            <w:r w:rsidR="00F60E5D">
              <w:t>7</w:t>
            </w:r>
            <w:proofErr w:type="spellEnd"/>
            <w:r w:rsidRPr="003C412A">
              <w:t>.</w:t>
            </w:r>
            <w:r w:rsidR="00545A4B">
              <w:t xml:space="preserve"> Table 9.7 includes data from Victoria</w:t>
            </w:r>
            <w:r w:rsidR="002E75A0">
              <w:t xml:space="preserve"> for the first time</w:t>
            </w:r>
            <w:r w:rsidR="00545A4B">
              <w:t>, and includes a total excluding Victoria for continuity of the time series.</w:t>
            </w:r>
          </w:p>
          <w:p w14:paraId="2E423360" w14:textId="558D76CF" w:rsidR="00FC12CC" w:rsidRDefault="00870441" w:rsidP="003C412A">
            <w:pPr>
              <w:pStyle w:val="Box"/>
            </w:pPr>
            <w:r>
              <w:t>D</w:t>
            </w:r>
            <w:r w:rsidR="00545A4B">
              <w:t xml:space="preserve">ata for 2015 are available in the 2016-17 </w:t>
            </w:r>
            <w:proofErr w:type="spellStart"/>
            <w:r w:rsidR="00545A4B">
              <w:t>NIRA</w:t>
            </w:r>
            <w:proofErr w:type="spellEnd"/>
            <w:r w:rsidR="00545A4B">
              <w:t xml:space="preserve"> performance report</w:t>
            </w:r>
            <w:r w:rsidR="00082DB4">
              <w:t xml:space="preserve">, for </w:t>
            </w:r>
            <w:r w:rsidR="00505FEE">
              <w:t xml:space="preserve">2014 are available in the 2015-16 </w:t>
            </w:r>
            <w:proofErr w:type="spellStart"/>
            <w:r w:rsidR="00505FEE">
              <w:t>NIRA</w:t>
            </w:r>
            <w:proofErr w:type="spellEnd"/>
            <w:r w:rsidR="00505FEE">
              <w:t xml:space="preserve"> performance report</w:t>
            </w:r>
            <w:r w:rsidR="00082DB4">
              <w:t xml:space="preserve"> and for</w:t>
            </w:r>
            <w:r w:rsidR="00FC12CC">
              <w:t xml:space="preserve"> 201</w:t>
            </w:r>
            <w:r w:rsidR="005871DB">
              <w:t>3</w:t>
            </w:r>
            <w:r w:rsidR="00FC12CC">
              <w:t xml:space="preserve"> are </w:t>
            </w:r>
            <w:r w:rsidR="008D3BAF">
              <w:t xml:space="preserve">available </w:t>
            </w:r>
            <w:r w:rsidR="00FC12CC">
              <w:t xml:space="preserve">in the 2014-15 </w:t>
            </w:r>
            <w:proofErr w:type="spellStart"/>
            <w:r w:rsidR="00FC12CC">
              <w:t>NIRA</w:t>
            </w:r>
            <w:proofErr w:type="spellEnd"/>
            <w:r w:rsidR="00FC12CC">
              <w:t xml:space="preserve"> performance report. </w:t>
            </w:r>
          </w:p>
          <w:p w14:paraId="3CB9B4E1" w14:textId="2F13C4C2" w:rsidR="003C412A" w:rsidRPr="003C412A" w:rsidRDefault="00870441" w:rsidP="003C412A">
            <w:pPr>
              <w:pStyle w:val="Box"/>
            </w:pPr>
            <w:r>
              <w:t>A</w:t>
            </w:r>
            <w:r w:rsidR="004B53C9">
              <w:t>ge standardised</w:t>
            </w:r>
            <w:r w:rsidR="003C412A" w:rsidRPr="003C412A">
              <w:t xml:space="preserve"> data for </w:t>
            </w:r>
            <w:r w:rsidR="00841EFF">
              <w:t xml:space="preserve">2012, </w:t>
            </w:r>
            <w:r w:rsidR="003C412A" w:rsidRPr="003C412A">
              <w:t xml:space="preserve">2011, 2010, 2009, 2008 and 2007 are </w:t>
            </w:r>
            <w:r w:rsidR="008D3BAF">
              <w:t>available</w:t>
            </w:r>
            <w:r w:rsidR="008D3BAF" w:rsidRPr="003C412A">
              <w:t xml:space="preserve"> </w:t>
            </w:r>
            <w:r w:rsidR="003C412A" w:rsidRPr="003C412A">
              <w:t xml:space="preserve">in </w:t>
            </w:r>
            <w:r w:rsidR="00841EFF">
              <w:t xml:space="preserve">the 2013-14 </w:t>
            </w:r>
            <w:proofErr w:type="spellStart"/>
            <w:r w:rsidR="00841EFF">
              <w:t>NIRA</w:t>
            </w:r>
            <w:proofErr w:type="spellEnd"/>
            <w:r w:rsidR="00841EFF">
              <w:t xml:space="preserve"> </w:t>
            </w:r>
            <w:r w:rsidR="003661AB">
              <w:t xml:space="preserve">performance </w:t>
            </w:r>
            <w:r w:rsidR="00841EFF">
              <w:t>report.</w:t>
            </w:r>
          </w:p>
          <w:p w14:paraId="3B5CEEC2" w14:textId="30474AF4" w:rsidR="003C412A" w:rsidRPr="003C412A" w:rsidRDefault="00870441" w:rsidP="003C412A">
            <w:pPr>
              <w:pStyle w:val="Box"/>
            </w:pPr>
            <w:r>
              <w:t>C</w:t>
            </w:r>
            <w:r w:rsidR="003C412A" w:rsidRPr="003C412A">
              <w:t xml:space="preserve">rude rate data for </w:t>
            </w:r>
            <w:r w:rsidR="00664070">
              <w:t xml:space="preserve">2012 are </w:t>
            </w:r>
            <w:r w:rsidR="008D3BAF">
              <w:t xml:space="preserve">available </w:t>
            </w:r>
            <w:r w:rsidR="00664070">
              <w:t xml:space="preserve">in the 2013-14 </w:t>
            </w:r>
            <w:proofErr w:type="spellStart"/>
            <w:r w:rsidR="00664070">
              <w:t>NIRA</w:t>
            </w:r>
            <w:proofErr w:type="spellEnd"/>
            <w:r w:rsidR="00664070">
              <w:t xml:space="preserve"> performance report. </w:t>
            </w:r>
            <w:r>
              <w:t>C</w:t>
            </w:r>
            <w:r w:rsidR="00664070">
              <w:t xml:space="preserve">rude rate data for </w:t>
            </w:r>
            <w:r w:rsidR="003C412A" w:rsidRPr="003C412A">
              <w:t xml:space="preserve">2011 are </w:t>
            </w:r>
            <w:r w:rsidR="008D3BAF">
              <w:t>available</w:t>
            </w:r>
            <w:r w:rsidR="008D3BAF" w:rsidRPr="003C412A">
              <w:t xml:space="preserve"> </w:t>
            </w:r>
            <w:r w:rsidR="003C412A" w:rsidRPr="003C412A">
              <w:t xml:space="preserve">in the 2012-13 </w:t>
            </w:r>
            <w:proofErr w:type="spellStart"/>
            <w:r w:rsidR="003C412A" w:rsidRPr="003C412A">
              <w:t>NIRA</w:t>
            </w:r>
            <w:proofErr w:type="spellEnd"/>
            <w:r w:rsidR="003C412A" w:rsidRPr="003C412A">
              <w:t xml:space="preserve"> </w:t>
            </w:r>
            <w:r w:rsidR="003661AB">
              <w:t xml:space="preserve">performance </w:t>
            </w:r>
            <w:r w:rsidR="003C412A" w:rsidRPr="003C412A">
              <w:t xml:space="preserve">report and for 2010, 2009, 2008 and 2007 are </w:t>
            </w:r>
            <w:r w:rsidR="008D3BAF">
              <w:t>availabl</w:t>
            </w:r>
            <w:r w:rsidR="00EA4095">
              <w:t>e</w:t>
            </w:r>
            <w:r w:rsidR="008D3BAF" w:rsidRPr="003C412A">
              <w:t xml:space="preserve"> </w:t>
            </w:r>
            <w:r w:rsidR="003C412A" w:rsidRPr="003C412A">
              <w:t xml:space="preserve">in the 2011-12 </w:t>
            </w:r>
            <w:proofErr w:type="spellStart"/>
            <w:r w:rsidR="00F555B6">
              <w:t>NIRA</w:t>
            </w:r>
            <w:proofErr w:type="spellEnd"/>
            <w:r w:rsidR="00F555B6">
              <w:t xml:space="preserve"> performance report</w:t>
            </w:r>
            <w:r w:rsidR="003C412A" w:rsidRPr="003C412A">
              <w:t>.</w:t>
            </w:r>
          </w:p>
          <w:p w14:paraId="77406C34" w14:textId="77777777" w:rsidR="003C412A" w:rsidRPr="003C412A" w:rsidRDefault="003C412A" w:rsidP="003C412A">
            <w:pPr>
              <w:pStyle w:val="Box"/>
            </w:pPr>
            <w:r w:rsidRPr="003C412A">
              <w:t xml:space="preserve">The attachment table contents page provides a complete list of </w:t>
            </w:r>
            <w:r w:rsidR="004B53C9">
              <w:t>data tables for this indicator.</w:t>
            </w:r>
          </w:p>
        </w:tc>
      </w:tr>
      <w:tr w:rsidR="003C412A" w14:paraId="7F6089C3" w14:textId="77777777" w:rsidTr="004F04D8">
        <w:trPr>
          <w:cantSplit/>
        </w:trPr>
        <w:tc>
          <w:tcPr>
            <w:tcW w:w="8789" w:type="dxa"/>
            <w:tcBorders>
              <w:top w:val="nil"/>
              <w:left w:val="nil"/>
              <w:bottom w:val="single" w:sz="6" w:space="0" w:color="78A22F"/>
              <w:right w:val="nil"/>
            </w:tcBorders>
            <w:shd w:val="clear" w:color="auto" w:fill="F2F2F2"/>
          </w:tcPr>
          <w:p w14:paraId="4BB52530" w14:textId="77777777" w:rsidR="003C412A" w:rsidRDefault="003C412A">
            <w:pPr>
              <w:pStyle w:val="Box"/>
              <w:spacing w:before="0" w:line="120" w:lineRule="exact"/>
            </w:pPr>
          </w:p>
        </w:tc>
      </w:tr>
      <w:tr w:rsidR="003C412A" w:rsidRPr="000863A5" w14:paraId="39D20017" w14:textId="77777777" w:rsidTr="004F04D8">
        <w:tc>
          <w:tcPr>
            <w:tcW w:w="8789" w:type="dxa"/>
            <w:tcBorders>
              <w:top w:val="single" w:sz="6" w:space="0" w:color="78A22F"/>
              <w:left w:val="nil"/>
              <w:bottom w:val="nil"/>
              <w:right w:val="nil"/>
            </w:tcBorders>
          </w:tcPr>
          <w:p w14:paraId="3591EA30" w14:textId="77777777" w:rsidR="003C412A" w:rsidRPr="00626D32" w:rsidRDefault="003C412A" w:rsidP="004C6DAF">
            <w:pPr>
              <w:pStyle w:val="BoxSpaceBelow"/>
            </w:pPr>
          </w:p>
        </w:tc>
      </w:tr>
    </w:tbl>
    <w:p w14:paraId="485A453A" w14:textId="77777777" w:rsidR="003C412A" w:rsidRDefault="003C412A">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C412A" w14:paraId="12B4D24E" w14:textId="77777777" w:rsidTr="004F04D8">
        <w:tc>
          <w:tcPr>
            <w:tcW w:w="8789" w:type="dxa"/>
            <w:tcBorders>
              <w:top w:val="single" w:sz="6" w:space="0" w:color="78A22F"/>
              <w:left w:val="nil"/>
              <w:bottom w:val="nil"/>
              <w:right w:val="nil"/>
            </w:tcBorders>
            <w:shd w:val="clear" w:color="auto" w:fill="F2F2F2"/>
          </w:tcPr>
          <w:p w14:paraId="4A1E97DD" w14:textId="75948B54" w:rsidR="003C412A" w:rsidRDefault="003C412A" w:rsidP="00291F8D">
            <w:pPr>
              <w:pStyle w:val="BoxTitle"/>
            </w:pPr>
            <w:r>
              <w:rPr>
                <w:b w:val="0"/>
              </w:rPr>
              <w:t>Box</w:t>
            </w:r>
            <w:r w:rsidR="00B1719E">
              <w:rPr>
                <w:b w:val="0"/>
              </w:rPr>
              <w:t xml:space="preserve"> </w:t>
            </w:r>
            <w:r w:rsidR="00291F8D">
              <w:rPr>
                <w:b w:val="0"/>
              </w:rPr>
              <w:t>27</w:t>
            </w:r>
            <w:r>
              <w:tab/>
            </w:r>
            <w:r w:rsidRPr="00AB58A3">
              <w:t>Comment on data quality</w:t>
            </w:r>
          </w:p>
        </w:tc>
      </w:tr>
      <w:tr w:rsidR="003C412A" w:rsidRPr="003C412A" w14:paraId="3281FCC7" w14:textId="77777777" w:rsidTr="004F04D8">
        <w:trPr>
          <w:cantSplit/>
        </w:trPr>
        <w:tc>
          <w:tcPr>
            <w:tcW w:w="8789" w:type="dxa"/>
            <w:tcBorders>
              <w:top w:val="nil"/>
              <w:left w:val="nil"/>
              <w:bottom w:val="nil"/>
              <w:right w:val="nil"/>
            </w:tcBorders>
            <w:shd w:val="clear" w:color="auto" w:fill="F2F2F2"/>
          </w:tcPr>
          <w:p w14:paraId="3DF4A5B8" w14:textId="77777777" w:rsidR="003C412A" w:rsidRPr="003C412A" w:rsidRDefault="003C412A" w:rsidP="003C412A">
            <w:pPr>
              <w:pStyle w:val="Box"/>
            </w:pPr>
            <w:r w:rsidRPr="003C412A">
              <w:t>Key points on data quality for this indicator are summarised below.</w:t>
            </w:r>
          </w:p>
          <w:p w14:paraId="6D866433" w14:textId="77777777" w:rsidR="003C412A" w:rsidRPr="003C412A" w:rsidRDefault="003C412A" w:rsidP="003C412A">
            <w:pPr>
              <w:pStyle w:val="BoxListBullet"/>
            </w:pPr>
            <w:r w:rsidRPr="003C412A">
              <w:t xml:space="preserve">Data provide relevant information on the proportion of women who attended an antenatal visit in the first trimester (measure </w:t>
            </w:r>
            <w:proofErr w:type="spellStart"/>
            <w:r w:rsidRPr="003C412A">
              <w:t>9a</w:t>
            </w:r>
            <w:proofErr w:type="spellEnd"/>
            <w:r w:rsidRPr="003C412A">
              <w:t xml:space="preserve">) and the proportion of women who attended at least five antenatal visits (measure </w:t>
            </w:r>
            <w:proofErr w:type="spellStart"/>
            <w:r w:rsidRPr="003C412A">
              <w:t>9b</w:t>
            </w:r>
            <w:proofErr w:type="spellEnd"/>
            <w:r w:rsidRPr="003C412A">
              <w:t>).</w:t>
            </w:r>
          </w:p>
          <w:p w14:paraId="57BEE8FE" w14:textId="0F86F216" w:rsidR="003C412A" w:rsidRPr="003C412A" w:rsidRDefault="003C412A" w:rsidP="004306F6">
            <w:pPr>
              <w:pStyle w:val="BoxListBullet"/>
            </w:pPr>
            <w:r w:rsidRPr="003C412A">
              <w:t>Data for measure 9(a) are available for all states and territories</w:t>
            </w:r>
            <w:r w:rsidR="00A61B0E">
              <w:t xml:space="preserve"> from 2011</w:t>
            </w:r>
            <w:r w:rsidRPr="003C412A">
              <w:t>. For measure 9(b), data are available for Victoria</w:t>
            </w:r>
            <w:r w:rsidR="00365846">
              <w:t xml:space="preserve"> for the first time in 2016</w:t>
            </w:r>
            <w:r w:rsidR="00082DB4">
              <w:t xml:space="preserve"> and included in the </w:t>
            </w:r>
            <w:r w:rsidR="00870441">
              <w:t>national total. An additional total excluding</w:t>
            </w:r>
            <w:r w:rsidR="00CA00CE">
              <w:t xml:space="preserve"> Victoria </w:t>
            </w:r>
            <w:r w:rsidR="00870441">
              <w:t xml:space="preserve">is provided </w:t>
            </w:r>
            <w:r w:rsidR="00CA00CE">
              <w:t>to facilitate historical comparisons</w:t>
            </w:r>
            <w:r w:rsidRPr="003C412A">
              <w:t>.</w:t>
            </w:r>
            <w:r w:rsidR="00DB0792">
              <w:t xml:space="preserve"> </w:t>
            </w:r>
          </w:p>
          <w:p w14:paraId="51FD4AD7" w14:textId="61E66EFA" w:rsidR="003C412A" w:rsidRPr="003E3EED" w:rsidRDefault="003C412A" w:rsidP="005A3036">
            <w:pPr>
              <w:pStyle w:val="BoxListBullet"/>
            </w:pPr>
            <w:r w:rsidRPr="003C412A">
              <w:t>Annual data are available. The most recent available data</w:t>
            </w:r>
            <w:r w:rsidR="00F81C5D">
              <w:t xml:space="preserve"> are for </w:t>
            </w:r>
            <w:r w:rsidR="00365846">
              <w:t>2016</w:t>
            </w:r>
            <w:r w:rsidRPr="003C412A">
              <w:t>.</w:t>
            </w:r>
          </w:p>
          <w:p w14:paraId="7D2CE987" w14:textId="77777777" w:rsidR="003C412A" w:rsidRPr="003C412A" w:rsidRDefault="003C412A" w:rsidP="003C412A">
            <w:pPr>
              <w:pStyle w:val="BoxListBullet"/>
            </w:pPr>
            <w:r w:rsidRPr="003C412A">
              <w:t xml:space="preserve">Antenatal care definitions and response rates differ across jurisdictions and comparisons should be made with caution. </w:t>
            </w:r>
          </w:p>
          <w:p w14:paraId="3F07CE90" w14:textId="2C2EC8FC" w:rsidR="003C412A" w:rsidRPr="003C412A" w:rsidRDefault="003C412A" w:rsidP="003C412A">
            <w:pPr>
              <w:pStyle w:val="BoxListBullet"/>
            </w:pPr>
            <w:r w:rsidRPr="003C412A">
              <w:t xml:space="preserve">Changing levels of </w:t>
            </w:r>
            <w:r w:rsidR="00F80EE3">
              <w:t>Aboriginal and Torres Strait Islander</w:t>
            </w:r>
            <w:r w:rsidR="00F80EE3" w:rsidRPr="003C412A">
              <w:t xml:space="preserve"> </w:t>
            </w:r>
            <w:r w:rsidRPr="003C412A">
              <w:t>identification over time and across jurisdictions may affect the accuracy of time series data.</w:t>
            </w:r>
            <w:r w:rsidR="009D3762">
              <w:t xml:space="preserve"> R</w:t>
            </w:r>
            <w:r w:rsidR="009D3762" w:rsidRPr="009D3762">
              <w:t>ecords where Indigenous status was not stated were excluded from analyses.</w:t>
            </w:r>
          </w:p>
          <w:p w14:paraId="298C4128" w14:textId="64D7E431" w:rsidR="007E14F1" w:rsidRPr="00680847" w:rsidRDefault="007E14F1" w:rsidP="00217FEB">
            <w:pPr>
              <w:pStyle w:val="BoxListBullet"/>
            </w:pPr>
            <w:r>
              <w:t>Data are reported by remoteness for t</w:t>
            </w:r>
            <w:r w:rsidR="005666C1">
              <w:t>his indicator. Remoteness data for</w:t>
            </w:r>
            <w:r>
              <w:t xml:space="preserve"> 201</w:t>
            </w:r>
            <w:r w:rsidR="00223F13">
              <w:t>2</w:t>
            </w:r>
            <w:r>
              <w:t xml:space="preserve"> </w:t>
            </w:r>
            <w:r w:rsidR="00801236">
              <w:t>onwards</w:t>
            </w:r>
            <w:r w:rsidR="005666C1">
              <w:t xml:space="preserve"> </w:t>
            </w:r>
            <w:r w:rsidR="00801236">
              <w:t xml:space="preserve">are not </w:t>
            </w:r>
            <w:r w:rsidR="005666C1">
              <w:t xml:space="preserve">directly </w:t>
            </w:r>
            <w:r w:rsidR="00801236">
              <w:t xml:space="preserve">comparable to </w:t>
            </w:r>
            <w:r w:rsidR="005666C1">
              <w:t xml:space="preserve">data for </w:t>
            </w:r>
            <w:r w:rsidR="00223F13">
              <w:t>previous years</w:t>
            </w:r>
            <w:r w:rsidR="005666C1">
              <w:t xml:space="preserve">, </w:t>
            </w:r>
            <w:r>
              <w:t>due to the application of the new ABS remoteness areas on the 2011 Census base.</w:t>
            </w:r>
          </w:p>
          <w:p w14:paraId="04AC6304" w14:textId="776B8093" w:rsidR="003C412A" w:rsidRPr="003C412A" w:rsidRDefault="000B665F" w:rsidP="003C412A">
            <w:pPr>
              <w:pStyle w:val="BoxListBullet"/>
            </w:pPr>
            <w:r w:rsidRPr="00680847">
              <w:t>Detailed explanatory notes are publicly available to assist in the interpretation of results.</w:t>
            </w:r>
            <w:r w:rsidR="003C412A" w:rsidRPr="003C412A">
              <w:t xml:space="preserve"> </w:t>
            </w:r>
          </w:p>
          <w:p w14:paraId="645F4EDE" w14:textId="4701EAD1" w:rsidR="003C412A" w:rsidRPr="003C412A" w:rsidRDefault="003C412A" w:rsidP="00DB0792">
            <w:pPr>
              <w:pStyle w:val="Box"/>
            </w:pPr>
            <w:r w:rsidRPr="003C412A">
              <w:t>The Steering Committee a</w:t>
            </w:r>
            <w:r w:rsidR="00DB0792">
              <w:t>lso notes the following issue:</w:t>
            </w:r>
          </w:p>
          <w:p w14:paraId="37618041" w14:textId="77777777" w:rsidR="003C412A" w:rsidRPr="003C412A" w:rsidRDefault="00F85DF8" w:rsidP="00E11A4A">
            <w:pPr>
              <w:pStyle w:val="BoxListBullet"/>
            </w:pPr>
            <w:r>
              <w:t xml:space="preserve">The </w:t>
            </w:r>
            <w:proofErr w:type="spellStart"/>
            <w:r>
              <w:t>AIHW</w:t>
            </w:r>
            <w:proofErr w:type="spellEnd"/>
            <w:r>
              <w:t xml:space="preserve"> is working with jurisdictions on an ongoing basis to improve the capture, quality and timeliness of the data</w:t>
            </w:r>
          </w:p>
        </w:tc>
      </w:tr>
      <w:tr w:rsidR="003C412A" w14:paraId="72EA59E0" w14:textId="77777777" w:rsidTr="004F04D8">
        <w:trPr>
          <w:cantSplit/>
        </w:trPr>
        <w:tc>
          <w:tcPr>
            <w:tcW w:w="8789" w:type="dxa"/>
            <w:tcBorders>
              <w:top w:val="nil"/>
              <w:left w:val="nil"/>
              <w:bottom w:val="single" w:sz="6" w:space="0" w:color="78A22F"/>
              <w:right w:val="nil"/>
            </w:tcBorders>
            <w:shd w:val="clear" w:color="auto" w:fill="F2F2F2"/>
          </w:tcPr>
          <w:p w14:paraId="3FCB3CDA" w14:textId="77777777" w:rsidR="003C412A" w:rsidRDefault="003C412A">
            <w:pPr>
              <w:pStyle w:val="Box"/>
              <w:spacing w:before="0" w:line="120" w:lineRule="exact"/>
            </w:pPr>
          </w:p>
        </w:tc>
      </w:tr>
      <w:tr w:rsidR="003C412A" w:rsidRPr="000863A5" w14:paraId="04CDA10B" w14:textId="77777777" w:rsidTr="004F04D8">
        <w:tc>
          <w:tcPr>
            <w:tcW w:w="8789" w:type="dxa"/>
            <w:tcBorders>
              <w:top w:val="single" w:sz="6" w:space="0" w:color="78A22F"/>
              <w:left w:val="nil"/>
              <w:bottom w:val="nil"/>
              <w:right w:val="nil"/>
            </w:tcBorders>
          </w:tcPr>
          <w:p w14:paraId="2386C8AF" w14:textId="77777777" w:rsidR="003C412A" w:rsidRPr="00626D32" w:rsidRDefault="003C412A" w:rsidP="004C6DAF">
            <w:pPr>
              <w:pStyle w:val="BoxSpaceBelow"/>
            </w:pPr>
          </w:p>
        </w:tc>
      </w:tr>
    </w:tbl>
    <w:p w14:paraId="5FA7D0B3" w14:textId="77777777" w:rsidR="003C412A" w:rsidRDefault="003C412A" w:rsidP="003C412A">
      <w:pPr>
        <w:pStyle w:val="BodyText"/>
        <w:rPr>
          <w:rFonts w:ascii="Arial" w:hAnsi="Arial"/>
          <w:sz w:val="20"/>
        </w:rPr>
      </w:pPr>
      <w:r>
        <w:br w:type="page"/>
      </w:r>
    </w:p>
    <w:p w14:paraId="43FE5B96" w14:textId="2C2782CA" w:rsidR="003C412A" w:rsidRDefault="003C412A" w:rsidP="007F3549">
      <w:pPr>
        <w:pStyle w:val="Heading3"/>
        <w:spacing w:after="240"/>
      </w:pPr>
      <w:bookmarkStart w:id="18" w:name="_Ref277842812"/>
      <w:bookmarkStart w:id="19" w:name="_Ref341361573"/>
      <w:bookmarkStart w:id="20" w:name="_Ref466928113"/>
      <w:r w:rsidRPr="00921D4D">
        <w:lastRenderedPageBreak/>
        <w:t>Indicator 10:</w:t>
      </w:r>
      <w:bookmarkEnd w:id="18"/>
      <w:r>
        <w:t xml:space="preserve"> The proportion of Indigenous children, who are enrolled in (and attending, where possible to measure) a preschool program in the year before</w:t>
      </w:r>
      <w:r w:rsidR="000B665F">
        <w:t xml:space="preserve"> formal</w:t>
      </w:r>
      <w:r>
        <w:t xml:space="preserve"> schooling</w:t>
      </w:r>
      <w:bookmarkEnd w:id="19"/>
      <w:r w:rsidR="00BF443C">
        <w:t xml:space="preserve"> </w:t>
      </w:r>
      <w:bookmarkEnd w:id="20"/>
    </w:p>
    <w:tbl>
      <w:tblPr>
        <w:tblW w:w="8789" w:type="dxa"/>
        <w:tblCellMar>
          <w:right w:w="0" w:type="dxa"/>
        </w:tblCellMar>
        <w:tblLook w:val="0000" w:firstRow="0" w:lastRow="0" w:firstColumn="0" w:lastColumn="0" w:noHBand="0" w:noVBand="0"/>
      </w:tblPr>
      <w:tblGrid>
        <w:gridCol w:w="2093"/>
        <w:gridCol w:w="6696"/>
      </w:tblGrid>
      <w:tr w:rsidR="00185AE7" w:rsidRPr="00185AE7" w14:paraId="6570908F" w14:textId="77777777" w:rsidTr="004F04D8">
        <w:tc>
          <w:tcPr>
            <w:tcW w:w="2093" w:type="dxa"/>
          </w:tcPr>
          <w:p w14:paraId="43AA4E16" w14:textId="56CE527B"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Key amendments fr</w:t>
            </w:r>
            <w:r w:rsidR="00356183">
              <w:rPr>
                <w:rFonts w:ascii="Arial" w:hAnsi="Arial"/>
                <w:sz w:val="18"/>
                <w:szCs w:val="18"/>
              </w:rPr>
              <w:t>om previous cycle of reporting:</w:t>
            </w:r>
          </w:p>
        </w:tc>
        <w:tc>
          <w:tcPr>
            <w:tcW w:w="6696" w:type="dxa"/>
          </w:tcPr>
          <w:p w14:paraId="7782868C" w14:textId="6C570C28" w:rsidR="00185AE7" w:rsidRPr="00185AE7" w:rsidRDefault="001622C8" w:rsidP="00221F4B">
            <w:pPr>
              <w:keepNext/>
              <w:keepLines/>
              <w:spacing w:after="40" w:line="220" w:lineRule="atLeast"/>
              <w:ind w:left="6" w:right="113"/>
              <w:jc w:val="both"/>
              <w:rPr>
                <w:rFonts w:ascii="Arial" w:hAnsi="Arial"/>
                <w:sz w:val="18"/>
                <w:szCs w:val="18"/>
              </w:rPr>
            </w:pPr>
            <w:r w:rsidRPr="00221F4B">
              <w:rPr>
                <w:rStyle w:val="TableBodyTextChar"/>
              </w:rPr>
              <w:t xml:space="preserve">This indicator is unchanged from the previous </w:t>
            </w:r>
            <w:proofErr w:type="spellStart"/>
            <w:r w:rsidRPr="00221F4B">
              <w:rPr>
                <w:rStyle w:val="TableBodyTextChar"/>
              </w:rPr>
              <w:t>NIRA</w:t>
            </w:r>
            <w:proofErr w:type="spellEnd"/>
            <w:r w:rsidRPr="00221F4B">
              <w:rPr>
                <w:rStyle w:val="TableBodyTextChar"/>
              </w:rPr>
              <w:t xml:space="preserve"> performance report</w:t>
            </w:r>
          </w:p>
        </w:tc>
      </w:tr>
      <w:tr w:rsidR="00185AE7" w:rsidRPr="00185AE7" w14:paraId="77E0AB18" w14:textId="77777777" w:rsidTr="004F04D8">
        <w:tc>
          <w:tcPr>
            <w:tcW w:w="2093" w:type="dxa"/>
          </w:tcPr>
          <w:p w14:paraId="2A66A6C7"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Target:</w:t>
            </w:r>
          </w:p>
        </w:tc>
        <w:tc>
          <w:tcPr>
            <w:tcW w:w="6696" w:type="dxa"/>
          </w:tcPr>
          <w:p w14:paraId="372A969C" w14:textId="440C80F6"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95 per cent of all Indigenous four-year-olds enrolled in earl</w:t>
            </w:r>
            <w:r w:rsidR="00356183">
              <w:rPr>
                <w:rFonts w:ascii="Arial" w:hAnsi="Arial"/>
                <w:sz w:val="18"/>
                <w:szCs w:val="18"/>
              </w:rPr>
              <w:t>y childhood education (by 2025)</w:t>
            </w:r>
          </w:p>
        </w:tc>
      </w:tr>
      <w:tr w:rsidR="00185AE7" w:rsidRPr="00185AE7" w14:paraId="5F7CD7D9" w14:textId="77777777" w:rsidTr="004F04D8">
        <w:tc>
          <w:tcPr>
            <w:tcW w:w="2093" w:type="dxa"/>
          </w:tcPr>
          <w:p w14:paraId="0110C26A"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Measure:</w:t>
            </w:r>
          </w:p>
        </w:tc>
        <w:tc>
          <w:tcPr>
            <w:tcW w:w="6696" w:type="dxa"/>
          </w:tcPr>
          <w:p w14:paraId="7AFF185F"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There are two measures for this indicator:</w:t>
            </w:r>
          </w:p>
          <w:p w14:paraId="4EB78507"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 xml:space="preserve">Measure (a): the proportion of children enrolled in a preschool program in the year before full time schooling. </w:t>
            </w:r>
          </w:p>
          <w:p w14:paraId="0D285621" w14:textId="06CC905A"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Measure (b): the proportion of children attending a preschool program in the ye</w:t>
            </w:r>
            <w:r w:rsidR="00356183">
              <w:rPr>
                <w:rFonts w:ascii="Arial" w:hAnsi="Arial"/>
                <w:sz w:val="18"/>
                <w:szCs w:val="18"/>
              </w:rPr>
              <w:t xml:space="preserve">ar before full time schooling. </w:t>
            </w:r>
          </w:p>
        </w:tc>
      </w:tr>
      <w:tr w:rsidR="00185AE7" w:rsidRPr="00185AE7" w14:paraId="421F6218" w14:textId="77777777" w:rsidTr="004F04D8">
        <w:tc>
          <w:tcPr>
            <w:tcW w:w="2093" w:type="dxa"/>
          </w:tcPr>
          <w:p w14:paraId="537191F2"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Measure (</w:t>
            </w:r>
            <w:proofErr w:type="spellStart"/>
            <w:r w:rsidRPr="00185AE7">
              <w:rPr>
                <w:rFonts w:ascii="Arial" w:hAnsi="Arial"/>
                <w:sz w:val="18"/>
                <w:szCs w:val="18"/>
              </w:rPr>
              <w:t>10a</w:t>
            </w:r>
            <w:proofErr w:type="spellEnd"/>
            <w:r w:rsidRPr="00185AE7">
              <w:rPr>
                <w:rFonts w:ascii="Arial" w:hAnsi="Arial"/>
                <w:sz w:val="18"/>
                <w:szCs w:val="18"/>
              </w:rPr>
              <w:t>)</w:t>
            </w:r>
          </w:p>
        </w:tc>
        <w:tc>
          <w:tcPr>
            <w:tcW w:w="6696" w:type="dxa"/>
          </w:tcPr>
          <w:p w14:paraId="46F8E341"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 xml:space="preserve">Measure (a): the proportion of children enrolled in a preschool program in the year before full time schooling. </w:t>
            </w:r>
          </w:p>
          <w:p w14:paraId="23CC7DA8"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The measure is defined as</w:t>
            </w:r>
          </w:p>
          <w:p w14:paraId="76FD6BAC" w14:textId="7ED67CE4" w:rsidR="00185AE7" w:rsidRPr="00185AE7" w:rsidRDefault="00185AE7" w:rsidP="00185AE7">
            <w:pPr>
              <w:pStyle w:val="TableBullet"/>
              <w:spacing w:line="220" w:lineRule="atLeast"/>
              <w:rPr>
                <w:szCs w:val="18"/>
              </w:rPr>
            </w:pPr>
            <w:r w:rsidRPr="00185AE7">
              <w:rPr>
                <w:i/>
                <w:szCs w:val="18"/>
              </w:rPr>
              <w:t>Numerator</w:t>
            </w:r>
            <w:r w:rsidRPr="00185AE7">
              <w:rPr>
                <w:szCs w:val="18"/>
              </w:rPr>
              <w:t xml:space="preserve"> – </w:t>
            </w:r>
            <w:r w:rsidR="00533AF5">
              <w:rPr>
                <w:szCs w:val="18"/>
              </w:rPr>
              <w:t>e</w:t>
            </w:r>
            <w:r w:rsidR="00AD2E5A">
              <w:rPr>
                <w:szCs w:val="18"/>
              </w:rPr>
              <w:t xml:space="preserve">stimated </w:t>
            </w:r>
            <w:r w:rsidRPr="00185AE7">
              <w:rPr>
                <w:szCs w:val="18"/>
              </w:rPr>
              <w:t>number of children enrolled in a preschool program in the year before full time schooling.</w:t>
            </w:r>
          </w:p>
          <w:p w14:paraId="731896EC" w14:textId="77777777" w:rsidR="00185AE7" w:rsidRPr="00185AE7" w:rsidRDefault="00185AE7" w:rsidP="00185AE7">
            <w:pPr>
              <w:pStyle w:val="TableBullet"/>
              <w:spacing w:line="220" w:lineRule="atLeast"/>
              <w:rPr>
                <w:szCs w:val="18"/>
              </w:rPr>
            </w:pPr>
            <w:r w:rsidRPr="00185AE7">
              <w:rPr>
                <w:i/>
                <w:szCs w:val="18"/>
              </w:rPr>
              <w:t>Denominator</w:t>
            </w:r>
            <w:r w:rsidRPr="00185AE7">
              <w:rPr>
                <w:szCs w:val="18"/>
              </w:rPr>
              <w:t xml:space="preserve"> – Estimated number of children in the year before full time school (based on adjusted potential population* age in months relating to school starting provisions in each state/territory).</w:t>
            </w:r>
          </w:p>
          <w:p w14:paraId="1162DC17"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presented as a percentage.</w:t>
            </w:r>
          </w:p>
          <w:p w14:paraId="1D731FF7"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u w:val="single"/>
              </w:rPr>
              <w:t>*Potential population</w:t>
            </w:r>
            <w:r w:rsidRPr="00185AE7">
              <w:rPr>
                <w:rFonts w:ascii="Arial" w:hAnsi="Arial"/>
                <w:sz w:val="18"/>
                <w:szCs w:val="18"/>
              </w:rPr>
              <w:t xml:space="preserve">: </w:t>
            </w:r>
          </w:p>
          <w:p w14:paraId="649E1195" w14:textId="0A28B95C" w:rsidR="00185AE7" w:rsidRPr="00185AE7" w:rsidRDefault="00185AE7" w:rsidP="00185AE7">
            <w:pPr>
              <w:pStyle w:val="TableBullet"/>
              <w:spacing w:line="220" w:lineRule="atLeast"/>
              <w:rPr>
                <w:szCs w:val="18"/>
              </w:rPr>
            </w:pPr>
            <w:r w:rsidRPr="00185AE7">
              <w:rPr>
                <w:i/>
                <w:szCs w:val="18"/>
              </w:rPr>
              <w:t>Jurisdictions with wider age cohorts of children in the ‘year’ before full time school</w:t>
            </w:r>
            <w:r w:rsidRPr="00185AE7">
              <w:rPr>
                <w:szCs w:val="18"/>
              </w:rPr>
              <w:t xml:space="preserve"> —the number of children already in full time school has been subtracted from the revised population estimates to create a cohort of children who could be in an </w:t>
            </w:r>
            <w:r w:rsidR="00AD3E06">
              <w:rPr>
                <w:szCs w:val="18"/>
              </w:rPr>
              <w:t>Early Childhood Education Program</w:t>
            </w:r>
            <w:r w:rsidR="00AD3E06" w:rsidRPr="00185AE7">
              <w:rPr>
                <w:szCs w:val="18"/>
              </w:rPr>
              <w:t xml:space="preserve"> </w:t>
            </w:r>
            <w:r w:rsidRPr="00185AE7">
              <w:rPr>
                <w:szCs w:val="18"/>
              </w:rPr>
              <w:t xml:space="preserve">prior to attending school the following year. </w:t>
            </w:r>
          </w:p>
          <w:p w14:paraId="1F156C94" w14:textId="77777777" w:rsidR="00185AE7" w:rsidRPr="00185AE7" w:rsidRDefault="00185AE7" w:rsidP="00185AE7">
            <w:pPr>
              <w:pStyle w:val="TableBullet"/>
              <w:spacing w:line="220" w:lineRule="atLeast"/>
              <w:rPr>
                <w:szCs w:val="18"/>
              </w:rPr>
            </w:pPr>
            <w:r w:rsidRPr="00185AE7">
              <w:rPr>
                <w:i/>
                <w:szCs w:val="18"/>
              </w:rPr>
              <w:t>Jurisdictions with early school starters</w:t>
            </w:r>
            <w:r w:rsidRPr="00185AE7">
              <w:rPr>
                <w:szCs w:val="18"/>
              </w:rPr>
              <w:t xml:space="preserve"> — counts of children aged 4 years who are enrolled in school (early starters) have been subtracted from the population denominator.</w:t>
            </w:r>
          </w:p>
          <w:p w14:paraId="736D45E5" w14:textId="107923BB" w:rsidR="00185AE7" w:rsidRPr="00974FB4" w:rsidRDefault="00185AE7" w:rsidP="00B44A37">
            <w:pPr>
              <w:pStyle w:val="TableBodyText"/>
              <w:jc w:val="left"/>
            </w:pPr>
            <w:r w:rsidRPr="00F069CB">
              <w:rPr>
                <w:i/>
                <w:szCs w:val="18"/>
              </w:rPr>
              <w:t>Adjusted population</w:t>
            </w:r>
            <w:r w:rsidRPr="00F069CB">
              <w:rPr>
                <w:szCs w:val="18"/>
              </w:rPr>
              <w:t xml:space="preserve"> — </w:t>
            </w:r>
            <w:r w:rsidR="005031F0" w:rsidRPr="00F069CB">
              <w:t>2017</w:t>
            </w:r>
            <w:r w:rsidR="0016023F" w:rsidRPr="00F069CB">
              <w:t xml:space="preserve"> </w:t>
            </w:r>
            <w:r w:rsidR="005031F0" w:rsidRPr="00F069CB">
              <w:t>population projections (based on 2011 Census) for Indigenous population</w:t>
            </w:r>
            <w:r w:rsidR="00B44A37" w:rsidRPr="00F069CB">
              <w:t xml:space="preserve"> </w:t>
            </w:r>
          </w:p>
        </w:tc>
      </w:tr>
      <w:tr w:rsidR="004F04D8" w:rsidRPr="00185AE7" w14:paraId="64D3E69A" w14:textId="77777777" w:rsidTr="004F04D8">
        <w:tc>
          <w:tcPr>
            <w:tcW w:w="2093" w:type="dxa"/>
          </w:tcPr>
          <w:p w14:paraId="4A851411" w14:textId="7061A32B" w:rsidR="004F04D8" w:rsidRPr="00185AE7" w:rsidRDefault="004F04D8" w:rsidP="00356183">
            <w:pPr>
              <w:keepNext/>
              <w:keepLines/>
              <w:spacing w:before="80" w:after="40" w:line="220" w:lineRule="atLeast"/>
              <w:ind w:left="6" w:right="113"/>
              <w:rPr>
                <w:rFonts w:ascii="Arial" w:hAnsi="Arial"/>
                <w:sz w:val="18"/>
                <w:szCs w:val="18"/>
              </w:rPr>
            </w:pPr>
            <w:r w:rsidRPr="00185AE7">
              <w:rPr>
                <w:rFonts w:ascii="Arial" w:hAnsi="Arial"/>
                <w:sz w:val="18"/>
                <w:szCs w:val="18"/>
              </w:rPr>
              <w:t>Measure (</w:t>
            </w:r>
            <w:proofErr w:type="spellStart"/>
            <w:r w:rsidRPr="00185AE7">
              <w:rPr>
                <w:rFonts w:ascii="Arial" w:hAnsi="Arial"/>
                <w:sz w:val="18"/>
                <w:szCs w:val="18"/>
              </w:rPr>
              <w:t>10b</w:t>
            </w:r>
            <w:proofErr w:type="spellEnd"/>
            <w:r w:rsidRPr="00185AE7">
              <w:rPr>
                <w:rFonts w:ascii="Arial" w:hAnsi="Arial"/>
                <w:sz w:val="18"/>
                <w:szCs w:val="18"/>
              </w:rPr>
              <w:t>)</w:t>
            </w:r>
          </w:p>
        </w:tc>
        <w:tc>
          <w:tcPr>
            <w:tcW w:w="6696" w:type="dxa"/>
          </w:tcPr>
          <w:p w14:paraId="010AF296" w14:textId="77777777" w:rsidR="004F04D8" w:rsidRPr="00185AE7" w:rsidRDefault="004F04D8" w:rsidP="00356183">
            <w:pPr>
              <w:keepNext/>
              <w:keepLines/>
              <w:spacing w:before="80" w:after="40" w:line="220" w:lineRule="atLeast"/>
              <w:ind w:left="6" w:right="113"/>
              <w:rPr>
                <w:rFonts w:ascii="Arial" w:hAnsi="Arial"/>
                <w:sz w:val="18"/>
                <w:szCs w:val="18"/>
              </w:rPr>
            </w:pPr>
            <w:r w:rsidRPr="00185AE7">
              <w:rPr>
                <w:rFonts w:ascii="Arial" w:hAnsi="Arial"/>
                <w:sz w:val="18"/>
                <w:szCs w:val="18"/>
              </w:rPr>
              <w:t xml:space="preserve">Measure (b): the proportion of children attending a preschool program in the year before full time schooling. </w:t>
            </w:r>
          </w:p>
          <w:p w14:paraId="004A255D" w14:textId="77777777" w:rsidR="004F04D8" w:rsidRPr="00185AE7" w:rsidRDefault="004F04D8" w:rsidP="00356183">
            <w:pPr>
              <w:keepNext/>
              <w:keepLines/>
              <w:spacing w:before="80" w:after="40" w:line="220" w:lineRule="atLeast"/>
              <w:ind w:left="6" w:right="113"/>
              <w:rPr>
                <w:rFonts w:ascii="Arial" w:hAnsi="Arial"/>
                <w:sz w:val="18"/>
                <w:szCs w:val="18"/>
              </w:rPr>
            </w:pPr>
            <w:r w:rsidRPr="00185AE7">
              <w:rPr>
                <w:rFonts w:ascii="Arial" w:hAnsi="Arial"/>
                <w:sz w:val="18"/>
                <w:szCs w:val="18"/>
              </w:rPr>
              <w:t>The measure is defined as:</w:t>
            </w:r>
          </w:p>
          <w:p w14:paraId="3788105E" w14:textId="77777777" w:rsidR="004F04D8" w:rsidRPr="00185AE7" w:rsidRDefault="004F04D8" w:rsidP="004F04D8">
            <w:pPr>
              <w:pStyle w:val="TableBullet"/>
              <w:spacing w:line="220" w:lineRule="atLeast"/>
              <w:rPr>
                <w:szCs w:val="18"/>
              </w:rPr>
            </w:pPr>
            <w:r w:rsidRPr="00185AE7">
              <w:rPr>
                <w:i/>
                <w:szCs w:val="18"/>
              </w:rPr>
              <w:t>Numerator</w:t>
            </w:r>
            <w:r w:rsidRPr="00185AE7">
              <w:rPr>
                <w:szCs w:val="18"/>
              </w:rPr>
              <w:t xml:space="preserve"> —</w:t>
            </w:r>
            <w:r>
              <w:rPr>
                <w:szCs w:val="18"/>
              </w:rPr>
              <w:t xml:space="preserve"> the</w:t>
            </w:r>
            <w:r w:rsidRPr="00185AE7">
              <w:rPr>
                <w:szCs w:val="18"/>
              </w:rPr>
              <w:t xml:space="preserve"> number of children attending a preschool program (for at least one hour in the reference week) in the year before full time schooling.</w:t>
            </w:r>
          </w:p>
          <w:p w14:paraId="79E8A6BC" w14:textId="77777777" w:rsidR="004F04D8" w:rsidRPr="00185AE7" w:rsidRDefault="004F04D8" w:rsidP="004F04D8">
            <w:pPr>
              <w:pStyle w:val="TableBullet"/>
              <w:spacing w:line="220" w:lineRule="atLeast"/>
              <w:rPr>
                <w:szCs w:val="18"/>
              </w:rPr>
            </w:pPr>
            <w:r w:rsidRPr="00185AE7">
              <w:rPr>
                <w:i/>
                <w:szCs w:val="18"/>
              </w:rPr>
              <w:t>Denominator</w:t>
            </w:r>
            <w:r w:rsidRPr="00185AE7">
              <w:rPr>
                <w:szCs w:val="18"/>
              </w:rPr>
              <w:t xml:space="preserve"> —</w:t>
            </w:r>
            <w:r>
              <w:rPr>
                <w:szCs w:val="18"/>
              </w:rPr>
              <w:t xml:space="preserve"> estimated</w:t>
            </w:r>
            <w:r w:rsidRPr="00185AE7">
              <w:rPr>
                <w:szCs w:val="18"/>
              </w:rPr>
              <w:t xml:space="preserve"> number of children enrolled in a preschool program in the year before full time schooling</w:t>
            </w:r>
          </w:p>
          <w:p w14:paraId="6E5F9B40" w14:textId="6D51788C" w:rsidR="004F04D8" w:rsidRPr="00185AE7" w:rsidRDefault="004F04D8" w:rsidP="004F04D8">
            <w:pPr>
              <w:keepNext/>
              <w:keepLines/>
              <w:spacing w:after="40" w:line="220" w:lineRule="atLeast"/>
              <w:ind w:left="6" w:right="113"/>
              <w:rPr>
                <w:rFonts w:ascii="Arial" w:hAnsi="Arial"/>
                <w:sz w:val="18"/>
                <w:szCs w:val="18"/>
              </w:rPr>
            </w:pPr>
            <w:r w:rsidRPr="00185AE7">
              <w:rPr>
                <w:rFonts w:ascii="Arial" w:hAnsi="Arial"/>
                <w:sz w:val="18"/>
                <w:szCs w:val="18"/>
              </w:rPr>
              <w:t>presented as a percentage.</w:t>
            </w:r>
          </w:p>
        </w:tc>
      </w:tr>
    </w:tbl>
    <w:p w14:paraId="537ECC1B" w14:textId="77777777" w:rsidR="004F04D8" w:rsidRDefault="004F04D8">
      <w:r>
        <w:br w:type="page"/>
      </w:r>
    </w:p>
    <w:tbl>
      <w:tblPr>
        <w:tblW w:w="8789" w:type="dxa"/>
        <w:tblCellMar>
          <w:right w:w="0" w:type="dxa"/>
        </w:tblCellMar>
        <w:tblLook w:val="0000" w:firstRow="0" w:lastRow="0" w:firstColumn="0" w:lastColumn="0" w:noHBand="0" w:noVBand="0"/>
      </w:tblPr>
      <w:tblGrid>
        <w:gridCol w:w="2093"/>
        <w:gridCol w:w="6696"/>
      </w:tblGrid>
      <w:tr w:rsidR="00185AE7" w:rsidRPr="00185AE7" w14:paraId="14000515" w14:textId="77777777" w:rsidTr="004F04D8">
        <w:tc>
          <w:tcPr>
            <w:tcW w:w="2093" w:type="dxa"/>
          </w:tcPr>
          <w:p w14:paraId="6BEEEDB6" w14:textId="210C0838" w:rsidR="00185AE7" w:rsidRPr="00185AE7" w:rsidRDefault="00185AE7" w:rsidP="00356183">
            <w:pPr>
              <w:keepNext/>
              <w:keepLines/>
              <w:spacing w:after="40" w:line="220" w:lineRule="atLeast"/>
              <w:ind w:left="6" w:right="113"/>
              <w:rPr>
                <w:rFonts w:ascii="Arial" w:hAnsi="Arial"/>
                <w:sz w:val="18"/>
                <w:szCs w:val="18"/>
              </w:rPr>
            </w:pPr>
            <w:r w:rsidRPr="00185AE7">
              <w:rPr>
                <w:rFonts w:ascii="Arial" w:hAnsi="Arial"/>
                <w:sz w:val="18"/>
                <w:szCs w:val="18"/>
              </w:rPr>
              <w:lastRenderedPageBreak/>
              <w:t>Data source (</w:t>
            </w:r>
            <w:proofErr w:type="spellStart"/>
            <w:r w:rsidRPr="00185AE7">
              <w:rPr>
                <w:rFonts w:ascii="Arial" w:hAnsi="Arial"/>
                <w:sz w:val="18"/>
                <w:szCs w:val="18"/>
              </w:rPr>
              <w:t>10a</w:t>
            </w:r>
            <w:proofErr w:type="spellEnd"/>
            <w:r w:rsidRPr="00185AE7">
              <w:rPr>
                <w:rFonts w:ascii="Arial" w:hAnsi="Arial"/>
                <w:sz w:val="18"/>
                <w:szCs w:val="18"/>
              </w:rPr>
              <w:t>):</w:t>
            </w:r>
          </w:p>
        </w:tc>
        <w:tc>
          <w:tcPr>
            <w:tcW w:w="6696" w:type="dxa"/>
          </w:tcPr>
          <w:p w14:paraId="48224EAF"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i/>
                <w:sz w:val="18"/>
                <w:szCs w:val="18"/>
              </w:rPr>
              <w:t xml:space="preserve">Numerator </w:t>
            </w:r>
            <w:r w:rsidRPr="00185AE7">
              <w:rPr>
                <w:rFonts w:ascii="Arial" w:hAnsi="Arial"/>
                <w:sz w:val="18"/>
                <w:szCs w:val="18"/>
              </w:rPr>
              <w:t>— ABS National Early Childhood Education and Care Collection (</w:t>
            </w:r>
            <w:proofErr w:type="spellStart"/>
            <w:r w:rsidRPr="00185AE7">
              <w:rPr>
                <w:rFonts w:ascii="Arial" w:hAnsi="Arial"/>
                <w:sz w:val="18"/>
                <w:szCs w:val="18"/>
              </w:rPr>
              <w:t>NECECC</w:t>
            </w:r>
            <w:proofErr w:type="spellEnd"/>
            <w:r w:rsidRPr="00185AE7">
              <w:rPr>
                <w:rFonts w:ascii="Arial" w:hAnsi="Arial"/>
                <w:sz w:val="18"/>
                <w:szCs w:val="18"/>
              </w:rPr>
              <w:t>)</w:t>
            </w:r>
          </w:p>
          <w:p w14:paraId="7051FA66" w14:textId="6049B013" w:rsidR="00185AE7" w:rsidRPr="00185AE7" w:rsidRDefault="00185AE7">
            <w:pPr>
              <w:keepNext/>
              <w:keepLines/>
              <w:spacing w:before="80" w:after="40" w:line="220" w:lineRule="atLeast"/>
              <w:ind w:left="6" w:right="113"/>
              <w:rPr>
                <w:rFonts w:ascii="Arial" w:hAnsi="Arial"/>
                <w:sz w:val="18"/>
                <w:szCs w:val="18"/>
              </w:rPr>
            </w:pPr>
            <w:r w:rsidRPr="00185AE7">
              <w:rPr>
                <w:rFonts w:ascii="Arial" w:hAnsi="Arial"/>
                <w:i/>
                <w:sz w:val="18"/>
                <w:szCs w:val="18"/>
              </w:rPr>
              <w:t>Denominator</w:t>
            </w:r>
            <w:r w:rsidRPr="00185AE7">
              <w:rPr>
                <w:rFonts w:ascii="Arial" w:hAnsi="Arial"/>
                <w:sz w:val="18"/>
                <w:szCs w:val="18"/>
              </w:rPr>
              <w:t xml:space="preserve"> — ABS Estimates and Projections for the Indigenous population. Non-Indigenous population estimates are calculated by subtracting Indigenous population projections from total population estimates (ERP). Denominator includes deductions for children in the target age ranges who are enrolled in school from ABS Schools, Au</w:t>
            </w:r>
            <w:r w:rsidR="00356183">
              <w:rPr>
                <w:rFonts w:ascii="Arial" w:hAnsi="Arial"/>
                <w:sz w:val="18"/>
                <w:szCs w:val="18"/>
              </w:rPr>
              <w:t>stralia; ABS Births, Australia</w:t>
            </w:r>
          </w:p>
        </w:tc>
      </w:tr>
      <w:tr w:rsidR="00185AE7" w:rsidRPr="00185AE7" w14:paraId="11F56890" w14:textId="77777777" w:rsidTr="004F04D8">
        <w:tc>
          <w:tcPr>
            <w:tcW w:w="2093" w:type="dxa"/>
          </w:tcPr>
          <w:p w14:paraId="5FCFAB01" w14:textId="6097224F" w:rsidR="00185AE7" w:rsidRPr="00185AE7" w:rsidRDefault="00356183" w:rsidP="00356183">
            <w:pPr>
              <w:keepNext/>
              <w:keepLines/>
              <w:spacing w:before="80" w:after="40" w:line="220" w:lineRule="atLeast"/>
              <w:ind w:left="6" w:right="113"/>
              <w:rPr>
                <w:rFonts w:ascii="Arial" w:hAnsi="Arial"/>
                <w:sz w:val="18"/>
                <w:szCs w:val="18"/>
              </w:rPr>
            </w:pPr>
            <w:r>
              <w:rPr>
                <w:rFonts w:ascii="Arial" w:hAnsi="Arial"/>
                <w:sz w:val="18"/>
                <w:szCs w:val="18"/>
              </w:rPr>
              <w:t>Data source (</w:t>
            </w:r>
            <w:proofErr w:type="spellStart"/>
            <w:r>
              <w:rPr>
                <w:rFonts w:ascii="Arial" w:hAnsi="Arial"/>
                <w:sz w:val="18"/>
                <w:szCs w:val="18"/>
              </w:rPr>
              <w:t>10b</w:t>
            </w:r>
            <w:proofErr w:type="spellEnd"/>
            <w:r>
              <w:rPr>
                <w:rFonts w:ascii="Arial" w:hAnsi="Arial"/>
                <w:sz w:val="18"/>
                <w:szCs w:val="18"/>
              </w:rPr>
              <w:t>)</w:t>
            </w:r>
            <w:r w:rsidR="00185AE7" w:rsidRPr="00185AE7">
              <w:rPr>
                <w:rFonts w:ascii="Arial" w:hAnsi="Arial"/>
                <w:sz w:val="18"/>
                <w:szCs w:val="18"/>
              </w:rPr>
              <w:t>:</w:t>
            </w:r>
          </w:p>
        </w:tc>
        <w:tc>
          <w:tcPr>
            <w:tcW w:w="6696" w:type="dxa"/>
          </w:tcPr>
          <w:p w14:paraId="7CE901C2" w14:textId="698A959B"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i/>
                <w:sz w:val="18"/>
                <w:szCs w:val="18"/>
              </w:rPr>
              <w:t xml:space="preserve">Numerator and denominator </w:t>
            </w:r>
            <w:r w:rsidRPr="00185AE7">
              <w:rPr>
                <w:rFonts w:ascii="Arial" w:hAnsi="Arial"/>
                <w:sz w:val="18"/>
                <w:szCs w:val="18"/>
              </w:rPr>
              <w:t xml:space="preserve">— ABS </w:t>
            </w:r>
            <w:proofErr w:type="spellStart"/>
            <w:r w:rsidRPr="00185AE7">
              <w:rPr>
                <w:rFonts w:ascii="Arial" w:hAnsi="Arial"/>
                <w:sz w:val="18"/>
                <w:szCs w:val="18"/>
              </w:rPr>
              <w:t>NECECC</w:t>
            </w:r>
            <w:proofErr w:type="spellEnd"/>
          </w:p>
        </w:tc>
      </w:tr>
      <w:tr w:rsidR="00185AE7" w:rsidRPr="00185AE7" w14:paraId="30B391C6" w14:textId="77777777" w:rsidTr="004F04D8">
        <w:tc>
          <w:tcPr>
            <w:tcW w:w="2093" w:type="dxa"/>
          </w:tcPr>
          <w:p w14:paraId="0EB9242C" w14:textId="70B7580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Data provider</w:t>
            </w:r>
            <w:r w:rsidR="00C82CBF">
              <w:rPr>
                <w:rFonts w:ascii="Arial" w:hAnsi="Arial"/>
                <w:sz w:val="18"/>
                <w:szCs w:val="18"/>
              </w:rPr>
              <w:t>:</w:t>
            </w:r>
            <w:r w:rsidRPr="00185AE7">
              <w:rPr>
                <w:rFonts w:ascii="Arial" w:hAnsi="Arial"/>
                <w:sz w:val="18"/>
                <w:szCs w:val="18"/>
              </w:rPr>
              <w:t xml:space="preserve"> </w:t>
            </w:r>
          </w:p>
        </w:tc>
        <w:tc>
          <w:tcPr>
            <w:tcW w:w="6696" w:type="dxa"/>
          </w:tcPr>
          <w:p w14:paraId="6A5096BC" w14:textId="7ABEC2EF" w:rsidR="00185AE7" w:rsidRPr="00185AE7" w:rsidRDefault="00356183" w:rsidP="00356183">
            <w:pPr>
              <w:keepNext/>
              <w:keepLines/>
              <w:spacing w:before="80" w:after="40" w:line="220" w:lineRule="atLeast"/>
              <w:ind w:left="6" w:right="113"/>
              <w:rPr>
                <w:rFonts w:ascii="Arial" w:hAnsi="Arial"/>
                <w:sz w:val="18"/>
                <w:szCs w:val="18"/>
              </w:rPr>
            </w:pPr>
            <w:r>
              <w:rPr>
                <w:rFonts w:ascii="Arial" w:hAnsi="Arial"/>
                <w:sz w:val="18"/>
                <w:szCs w:val="18"/>
              </w:rPr>
              <w:t>ABS</w:t>
            </w:r>
          </w:p>
        </w:tc>
      </w:tr>
      <w:tr w:rsidR="00185AE7" w:rsidRPr="00185AE7" w14:paraId="56F34BFA" w14:textId="77777777" w:rsidTr="004F04D8">
        <w:tc>
          <w:tcPr>
            <w:tcW w:w="2093" w:type="dxa"/>
            <w:shd w:val="clear" w:color="auto" w:fill="auto"/>
          </w:tcPr>
          <w:p w14:paraId="73EC2CD9" w14:textId="44B90532"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Data availability</w:t>
            </w:r>
            <w:r w:rsidR="00C82CBF">
              <w:rPr>
                <w:rFonts w:ascii="Arial" w:hAnsi="Arial"/>
                <w:sz w:val="18"/>
                <w:szCs w:val="18"/>
              </w:rPr>
              <w:t>:</w:t>
            </w:r>
          </w:p>
        </w:tc>
        <w:tc>
          <w:tcPr>
            <w:tcW w:w="6696" w:type="dxa"/>
            <w:shd w:val="clear" w:color="auto" w:fill="auto"/>
          </w:tcPr>
          <w:p w14:paraId="010B861E" w14:textId="77777777" w:rsidR="0016023F" w:rsidRDefault="002E75A0" w:rsidP="0016023F">
            <w:pPr>
              <w:pStyle w:val="TableBodyText"/>
              <w:jc w:val="left"/>
            </w:pPr>
            <w:r w:rsidRPr="00185AE7">
              <w:t>201</w:t>
            </w:r>
            <w:r>
              <w:t>7</w:t>
            </w:r>
            <w:r w:rsidRPr="00185AE7">
              <w:t xml:space="preserve"> </w:t>
            </w:r>
            <w:proofErr w:type="spellStart"/>
            <w:r w:rsidR="00185AE7" w:rsidRPr="00185AE7">
              <w:t>NECECC</w:t>
            </w:r>
            <w:proofErr w:type="spellEnd"/>
          </w:p>
          <w:p w14:paraId="6E042D42" w14:textId="3224D390" w:rsidR="00185AE7" w:rsidRPr="00974FB4" w:rsidRDefault="00974FB4" w:rsidP="0016023F">
            <w:pPr>
              <w:pStyle w:val="TableBodyText"/>
              <w:jc w:val="left"/>
            </w:pPr>
            <w:r w:rsidRPr="00974FB4">
              <w:t>2017</w:t>
            </w:r>
            <w:r w:rsidR="002E75A0" w:rsidRPr="00974FB4">
              <w:t xml:space="preserve"> </w:t>
            </w:r>
            <w:r w:rsidR="00185AE7" w:rsidRPr="00974FB4">
              <w:t xml:space="preserve">population projections (based on 2011 Census) for Indigenous </w:t>
            </w:r>
            <w:r w:rsidR="00AD2E5A" w:rsidRPr="00974FB4">
              <w:t xml:space="preserve">population. </w:t>
            </w:r>
          </w:p>
          <w:p w14:paraId="625AF845" w14:textId="3B3759FA" w:rsidR="00185AE7" w:rsidRPr="00185AE7" w:rsidRDefault="002E75A0" w:rsidP="0016023F">
            <w:pPr>
              <w:pStyle w:val="TableBodyText"/>
              <w:jc w:val="left"/>
            </w:pPr>
            <w:r w:rsidRPr="00185AE7">
              <w:t>201</w:t>
            </w:r>
            <w:r>
              <w:t>7</w:t>
            </w:r>
            <w:r w:rsidRPr="00185AE7">
              <w:t xml:space="preserve"> </w:t>
            </w:r>
            <w:r w:rsidR="00185AE7" w:rsidRPr="00185AE7">
              <w:t xml:space="preserve">estimated resident population (based on 2011 Census) for calculating </w:t>
            </w:r>
            <w:r w:rsidR="00AD2E5A">
              <w:br/>
            </w:r>
            <w:r w:rsidR="00185AE7" w:rsidRPr="00185AE7">
              <w:t>non-Indigenous population</w:t>
            </w:r>
            <w:r w:rsidR="00AD2E5A">
              <w:t>.</w:t>
            </w:r>
          </w:p>
        </w:tc>
      </w:tr>
      <w:tr w:rsidR="00185AE7" w:rsidRPr="00185AE7" w14:paraId="1853C073" w14:textId="77777777" w:rsidTr="004F04D8">
        <w:tc>
          <w:tcPr>
            <w:tcW w:w="2093" w:type="dxa"/>
            <w:shd w:val="clear" w:color="auto" w:fill="auto"/>
          </w:tcPr>
          <w:p w14:paraId="4EB698A6" w14:textId="0909245C"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 xml:space="preserve">Cross tabulations provided </w:t>
            </w:r>
            <w:proofErr w:type="spellStart"/>
            <w:r w:rsidRPr="00185AE7">
              <w:rPr>
                <w:rFonts w:ascii="Arial" w:hAnsi="Arial"/>
                <w:sz w:val="18"/>
                <w:szCs w:val="18"/>
              </w:rPr>
              <w:t>10a</w:t>
            </w:r>
            <w:proofErr w:type="spellEnd"/>
            <w:r w:rsidR="00C82CBF">
              <w:rPr>
                <w:rFonts w:ascii="Arial" w:hAnsi="Arial"/>
                <w:sz w:val="18"/>
                <w:szCs w:val="18"/>
              </w:rPr>
              <w:t>:</w:t>
            </w:r>
          </w:p>
        </w:tc>
        <w:tc>
          <w:tcPr>
            <w:tcW w:w="6696" w:type="dxa"/>
            <w:shd w:val="clear" w:color="auto" w:fill="auto"/>
          </w:tcPr>
          <w:p w14:paraId="4E0B088C" w14:textId="77777777"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State and Territory, and nationally by Indigenous status</w:t>
            </w:r>
          </w:p>
        </w:tc>
      </w:tr>
      <w:tr w:rsidR="00185AE7" w:rsidRPr="00185AE7" w14:paraId="3A182C0B" w14:textId="77777777" w:rsidTr="004F04D8">
        <w:tc>
          <w:tcPr>
            <w:tcW w:w="2093" w:type="dxa"/>
            <w:shd w:val="clear" w:color="auto" w:fill="auto"/>
          </w:tcPr>
          <w:p w14:paraId="600AAA3B" w14:textId="3EC4A50E" w:rsidR="00185AE7" w:rsidRPr="00185AE7" w:rsidRDefault="00185AE7" w:rsidP="00356183">
            <w:pPr>
              <w:keepNext/>
              <w:keepLines/>
              <w:spacing w:before="80" w:after="40" w:line="220" w:lineRule="atLeast"/>
              <w:ind w:left="6" w:right="113"/>
              <w:rPr>
                <w:rFonts w:ascii="Arial" w:hAnsi="Arial"/>
                <w:sz w:val="18"/>
                <w:szCs w:val="18"/>
              </w:rPr>
            </w:pPr>
            <w:r w:rsidRPr="00185AE7">
              <w:rPr>
                <w:rFonts w:ascii="Arial" w:hAnsi="Arial"/>
                <w:sz w:val="18"/>
                <w:szCs w:val="18"/>
              </w:rPr>
              <w:t xml:space="preserve">Cross tabulations provided </w:t>
            </w:r>
            <w:proofErr w:type="spellStart"/>
            <w:r w:rsidRPr="00185AE7">
              <w:rPr>
                <w:rFonts w:ascii="Arial" w:hAnsi="Arial"/>
                <w:sz w:val="18"/>
                <w:szCs w:val="18"/>
              </w:rPr>
              <w:t>10b</w:t>
            </w:r>
            <w:proofErr w:type="spellEnd"/>
            <w:r w:rsidR="00C82CBF">
              <w:rPr>
                <w:rFonts w:ascii="Arial" w:hAnsi="Arial"/>
                <w:sz w:val="18"/>
                <w:szCs w:val="18"/>
              </w:rPr>
              <w:t>:</w:t>
            </w:r>
            <w:r w:rsidRPr="00185AE7">
              <w:rPr>
                <w:rFonts w:ascii="Arial" w:hAnsi="Arial"/>
                <w:sz w:val="18"/>
                <w:szCs w:val="18"/>
              </w:rPr>
              <w:t xml:space="preserve"> </w:t>
            </w:r>
          </w:p>
        </w:tc>
        <w:tc>
          <w:tcPr>
            <w:tcW w:w="6696" w:type="dxa"/>
            <w:shd w:val="clear" w:color="auto" w:fill="auto"/>
          </w:tcPr>
          <w:p w14:paraId="14318AF4" w14:textId="77777777" w:rsidR="00185AE7" w:rsidRPr="00185AE7" w:rsidRDefault="00185AE7" w:rsidP="002F4271">
            <w:pPr>
              <w:pStyle w:val="TableBullet"/>
              <w:numPr>
                <w:ilvl w:val="0"/>
                <w:numId w:val="0"/>
              </w:numPr>
              <w:spacing w:before="80" w:line="220" w:lineRule="atLeast"/>
              <w:ind w:left="6"/>
              <w:rPr>
                <w:szCs w:val="18"/>
              </w:rPr>
            </w:pPr>
            <w:r w:rsidRPr="00185AE7">
              <w:rPr>
                <w:szCs w:val="18"/>
              </w:rPr>
              <w:t>State and Territory and nationally, by Indigenous status</w:t>
            </w:r>
          </w:p>
          <w:p w14:paraId="30E77249" w14:textId="7A32D693" w:rsidR="00185AE7" w:rsidRPr="00356183" w:rsidRDefault="00185AE7" w:rsidP="002F4271">
            <w:pPr>
              <w:pStyle w:val="TableBullet"/>
              <w:numPr>
                <w:ilvl w:val="0"/>
                <w:numId w:val="0"/>
              </w:numPr>
              <w:spacing w:line="220" w:lineRule="atLeast"/>
              <w:rPr>
                <w:i/>
                <w:szCs w:val="18"/>
              </w:rPr>
            </w:pPr>
            <w:r w:rsidRPr="00185AE7">
              <w:rPr>
                <w:szCs w:val="18"/>
              </w:rPr>
              <w:t>Nationally by remoteness</w:t>
            </w:r>
            <w:r w:rsidR="00F26DCF">
              <w:rPr>
                <w:szCs w:val="18"/>
              </w:rPr>
              <w:t xml:space="preserve"> (based on 2011 </w:t>
            </w:r>
            <w:proofErr w:type="spellStart"/>
            <w:r w:rsidR="00F26DCF">
              <w:rPr>
                <w:szCs w:val="18"/>
              </w:rPr>
              <w:t>ASGS</w:t>
            </w:r>
            <w:proofErr w:type="spellEnd"/>
            <w:r w:rsidR="00F26DCF">
              <w:rPr>
                <w:szCs w:val="18"/>
              </w:rPr>
              <w:t>)</w:t>
            </w:r>
            <w:r w:rsidR="00725461">
              <w:rPr>
                <w:szCs w:val="18"/>
              </w:rPr>
              <w:t>, by Indigenous status</w:t>
            </w:r>
          </w:p>
        </w:tc>
      </w:tr>
    </w:tbl>
    <w:p w14:paraId="7A68FB8F" w14:textId="59DD3FE1" w:rsidR="00185AE7" w:rsidRDefault="00185AE7" w:rsidP="00356183">
      <w:pPr>
        <w:keepNext/>
        <w:keepLines/>
        <w:spacing w:before="200" w:after="40" w:line="220" w:lineRule="atLeast"/>
        <w:ind w:left="6" w:right="113"/>
        <w:rPr>
          <w:rFonts w:ascii="Arial" w:hAnsi="Arial"/>
          <w:sz w:val="20"/>
          <w:szCs w:val="20"/>
        </w:rPr>
      </w:pPr>
      <w:r w:rsidRPr="00522E39">
        <w:rPr>
          <w:rFonts w:ascii="Arial" w:hAnsi="Arial"/>
          <w:sz w:val="20"/>
          <w:szCs w:val="20"/>
          <w:u w:val="single"/>
        </w:rPr>
        <w:t>Additional note</w:t>
      </w:r>
      <w:r>
        <w:rPr>
          <w:rFonts w:ascii="Arial" w:hAnsi="Arial"/>
          <w:sz w:val="20"/>
          <w:szCs w:val="20"/>
        </w:rPr>
        <w:t>:</w:t>
      </w:r>
    </w:p>
    <w:p w14:paraId="28879416" w14:textId="77777777" w:rsidR="00185AE7" w:rsidRDefault="00185AE7" w:rsidP="00221F4B">
      <w:pPr>
        <w:pStyle w:val="TableBodyText"/>
        <w:jc w:val="left"/>
      </w:pPr>
      <w:r>
        <w:t>Collection of data involves alignment of the numerator and denominator by:</w:t>
      </w:r>
    </w:p>
    <w:p w14:paraId="7448E27C" w14:textId="17E879D3" w:rsidR="00185AE7" w:rsidRDefault="00185AE7" w:rsidP="007F3549">
      <w:pPr>
        <w:pStyle w:val="TableBullet"/>
        <w:spacing w:line="220" w:lineRule="atLeast"/>
      </w:pPr>
      <w:r>
        <w:t xml:space="preserve">for </w:t>
      </w:r>
      <w:r w:rsidRPr="00221F4B">
        <w:rPr>
          <w:u w:val="single"/>
        </w:rPr>
        <w:t>attendance and enrolment</w:t>
      </w:r>
      <w:r>
        <w:t xml:space="preserve"> place of residence – child is counted where they reside, not by where the provider is located</w:t>
      </w:r>
    </w:p>
    <w:p w14:paraId="2484A1B7" w14:textId="3BDE0158" w:rsidR="00185AE7" w:rsidRPr="00185AE7" w:rsidRDefault="00185AE7" w:rsidP="007F3549">
      <w:pPr>
        <w:pStyle w:val="TableBullet"/>
      </w:pPr>
      <w:r>
        <w:t xml:space="preserve">for </w:t>
      </w:r>
      <w:r w:rsidRPr="002652F4">
        <w:rPr>
          <w:u w:val="single"/>
        </w:rPr>
        <w:t>enrolment only</w:t>
      </w:r>
      <w:r>
        <w:t xml:space="preserve"> treatment of not stated Indigenous status – Indigenous count includes addition of a share of children enrolled with a not stated Indigenous status in proportion to the ratio of children enrolled with known Indigenous status. (For attendance not stated Indigenous status is excluded from the numerator)</w:t>
      </w:r>
      <w:r w:rsidR="001622C8">
        <w:t>.</w:t>
      </w:r>
    </w:p>
    <w:p w14:paraId="100C6D4D" w14:textId="77777777" w:rsidR="003C412A" w:rsidRDefault="003C412A">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C454A6" w14:paraId="790FE238" w14:textId="77777777" w:rsidTr="004F04D8">
        <w:tc>
          <w:tcPr>
            <w:tcW w:w="8789" w:type="dxa"/>
            <w:tcBorders>
              <w:top w:val="single" w:sz="6" w:space="0" w:color="78A22F"/>
              <w:left w:val="nil"/>
              <w:bottom w:val="nil"/>
              <w:right w:val="nil"/>
            </w:tcBorders>
            <w:shd w:val="clear" w:color="auto" w:fill="F2F2F2"/>
          </w:tcPr>
          <w:p w14:paraId="6CA10A2A" w14:textId="6F853659" w:rsidR="00C454A6" w:rsidRDefault="00C454A6" w:rsidP="00291F8D">
            <w:pPr>
              <w:pStyle w:val="BoxTitle"/>
            </w:pPr>
            <w:r>
              <w:rPr>
                <w:b w:val="0"/>
              </w:rPr>
              <w:t xml:space="preserve">Box </w:t>
            </w:r>
            <w:r w:rsidR="00291F8D">
              <w:rPr>
                <w:b w:val="0"/>
              </w:rPr>
              <w:t>28</w:t>
            </w:r>
            <w:r>
              <w:tab/>
              <w:t>Results</w:t>
            </w:r>
          </w:p>
        </w:tc>
      </w:tr>
      <w:tr w:rsidR="00C454A6" w:rsidRPr="003C412A" w14:paraId="0170F0DF" w14:textId="77777777" w:rsidTr="004F04D8">
        <w:trPr>
          <w:cantSplit/>
        </w:trPr>
        <w:tc>
          <w:tcPr>
            <w:tcW w:w="8789" w:type="dxa"/>
            <w:tcBorders>
              <w:top w:val="nil"/>
              <w:left w:val="nil"/>
              <w:bottom w:val="nil"/>
              <w:right w:val="nil"/>
            </w:tcBorders>
            <w:shd w:val="clear" w:color="auto" w:fill="F2F2F2"/>
          </w:tcPr>
          <w:p w14:paraId="57AE9331" w14:textId="26708870" w:rsidR="00C454A6" w:rsidRDefault="00185AE7" w:rsidP="00217FEB">
            <w:pPr>
              <w:pStyle w:val="Box"/>
            </w:pPr>
            <w:r>
              <w:t xml:space="preserve">For this report, new data for this indicator are available for </w:t>
            </w:r>
            <w:r w:rsidR="002E75A0">
              <w:t>2017</w:t>
            </w:r>
            <w:r>
              <w:t xml:space="preserve">. </w:t>
            </w:r>
          </w:p>
          <w:p w14:paraId="5C504F99" w14:textId="6566ECA4" w:rsidR="00185AE7" w:rsidRDefault="00185AE7" w:rsidP="00217FEB">
            <w:pPr>
              <w:pStyle w:val="BoxListBullet"/>
            </w:pPr>
            <w:r>
              <w:t xml:space="preserve">Data for children </w:t>
            </w:r>
            <w:r w:rsidR="003D0190">
              <w:t xml:space="preserve">enrolled </w:t>
            </w:r>
            <w:r>
              <w:t xml:space="preserve">in a preschool program in the year before full time schooling, </w:t>
            </w:r>
            <w:r w:rsidR="00EB514C">
              <w:t xml:space="preserve">by State and Territory, </w:t>
            </w:r>
            <w:r>
              <w:t xml:space="preserve">by Indigenous status are presented in table </w:t>
            </w:r>
            <w:proofErr w:type="spellStart"/>
            <w:r>
              <w:t>NIRA.10.1</w:t>
            </w:r>
            <w:proofErr w:type="spellEnd"/>
            <w:r>
              <w:t>.</w:t>
            </w:r>
          </w:p>
          <w:p w14:paraId="4B9AD258" w14:textId="491C2AA2" w:rsidR="00185AE7" w:rsidRDefault="00185AE7" w:rsidP="00217FEB">
            <w:pPr>
              <w:pStyle w:val="BoxListBullet"/>
            </w:pPr>
            <w:r>
              <w:t xml:space="preserve">Data for children attending a preschool program in the year before full time schooling, by </w:t>
            </w:r>
            <w:r w:rsidR="00EB514C">
              <w:t xml:space="preserve">State and Territory, by </w:t>
            </w:r>
            <w:r>
              <w:t>Indigenous sta</w:t>
            </w:r>
            <w:r w:rsidR="00EB514C">
              <w:t xml:space="preserve">tus are presented in table </w:t>
            </w:r>
            <w:proofErr w:type="spellStart"/>
            <w:r w:rsidR="00EB514C">
              <w:t>NIRA.</w:t>
            </w:r>
            <w:r>
              <w:t>10.2</w:t>
            </w:r>
            <w:proofErr w:type="spellEnd"/>
            <w:r>
              <w:t>.</w:t>
            </w:r>
          </w:p>
          <w:p w14:paraId="3149FED4" w14:textId="77777777" w:rsidR="00185AE7" w:rsidRDefault="00EB514C" w:rsidP="00217FEB">
            <w:pPr>
              <w:pStyle w:val="BoxListBullet"/>
            </w:pPr>
            <w:r>
              <w:t xml:space="preserve">Data for children attending a preschool program in the year before full time schooling, by Indigenous status, by remoteness are presented in table </w:t>
            </w:r>
            <w:proofErr w:type="spellStart"/>
            <w:r>
              <w:t>NIRA.10.3</w:t>
            </w:r>
            <w:proofErr w:type="spellEnd"/>
            <w:r>
              <w:t>.</w:t>
            </w:r>
          </w:p>
          <w:p w14:paraId="71666D03" w14:textId="2D67C189" w:rsidR="0003738F" w:rsidRPr="003C412A" w:rsidRDefault="00082DB4" w:rsidP="00082DB4">
            <w:pPr>
              <w:pStyle w:val="BoxListBullet"/>
              <w:numPr>
                <w:ilvl w:val="0"/>
                <w:numId w:val="0"/>
              </w:numPr>
            </w:pPr>
            <w:r>
              <w:t>D</w:t>
            </w:r>
            <w:r w:rsidR="002E75A0" w:rsidRPr="0003738F">
              <w:t>ata for 201</w:t>
            </w:r>
            <w:r w:rsidR="002E75A0">
              <w:t>6</w:t>
            </w:r>
            <w:r w:rsidR="002E75A0" w:rsidRPr="0003738F">
              <w:t xml:space="preserve"> are available in the 201</w:t>
            </w:r>
            <w:r w:rsidR="002E75A0">
              <w:t>6</w:t>
            </w:r>
            <w:r w:rsidR="002E75A0" w:rsidRPr="0003738F">
              <w:t>-1</w:t>
            </w:r>
            <w:r w:rsidR="002E75A0">
              <w:t>7</w:t>
            </w:r>
            <w:r w:rsidR="002E75A0" w:rsidRPr="0003738F">
              <w:t xml:space="preserve"> </w:t>
            </w:r>
            <w:proofErr w:type="spellStart"/>
            <w:r w:rsidR="002E75A0" w:rsidRPr="0003738F">
              <w:t>NIRA</w:t>
            </w:r>
            <w:proofErr w:type="spellEnd"/>
            <w:r w:rsidR="002E75A0" w:rsidRPr="0003738F">
              <w:t xml:space="preserve"> performance report</w:t>
            </w:r>
            <w:r>
              <w:t xml:space="preserve"> and for </w:t>
            </w:r>
            <w:r w:rsidR="0003738F" w:rsidRPr="0003738F">
              <w:t xml:space="preserve">2015 are available in the 2015-16 </w:t>
            </w:r>
            <w:proofErr w:type="spellStart"/>
            <w:r w:rsidR="0003738F" w:rsidRPr="0003738F">
              <w:t>NIRA</w:t>
            </w:r>
            <w:proofErr w:type="spellEnd"/>
            <w:r w:rsidR="0003738F" w:rsidRPr="0003738F">
              <w:t xml:space="preserve"> performance report.</w:t>
            </w:r>
          </w:p>
        </w:tc>
      </w:tr>
      <w:tr w:rsidR="00C454A6" w14:paraId="67F70EA6" w14:textId="77777777" w:rsidTr="004F04D8">
        <w:trPr>
          <w:cantSplit/>
        </w:trPr>
        <w:tc>
          <w:tcPr>
            <w:tcW w:w="8789" w:type="dxa"/>
            <w:tcBorders>
              <w:top w:val="nil"/>
              <w:left w:val="nil"/>
              <w:bottom w:val="single" w:sz="6" w:space="0" w:color="78A22F"/>
              <w:right w:val="nil"/>
            </w:tcBorders>
            <w:shd w:val="clear" w:color="auto" w:fill="F2F2F2"/>
          </w:tcPr>
          <w:p w14:paraId="64D55A53" w14:textId="77777777" w:rsidR="00C454A6" w:rsidRDefault="00C454A6" w:rsidP="00C454A6">
            <w:pPr>
              <w:pStyle w:val="Box"/>
              <w:spacing w:before="0" w:line="120" w:lineRule="exact"/>
            </w:pPr>
          </w:p>
        </w:tc>
      </w:tr>
      <w:tr w:rsidR="00C454A6" w:rsidRPr="000863A5" w14:paraId="0B81B84C" w14:textId="77777777" w:rsidTr="004F04D8">
        <w:tc>
          <w:tcPr>
            <w:tcW w:w="8789" w:type="dxa"/>
            <w:tcBorders>
              <w:top w:val="single" w:sz="6" w:space="0" w:color="78A22F"/>
              <w:left w:val="nil"/>
              <w:bottom w:val="nil"/>
              <w:right w:val="nil"/>
            </w:tcBorders>
          </w:tcPr>
          <w:p w14:paraId="0BF9DC36" w14:textId="77777777" w:rsidR="00C454A6" w:rsidRPr="00626D32" w:rsidRDefault="00C454A6" w:rsidP="00C454A6">
            <w:pPr>
              <w:pStyle w:val="BoxSpaceBelow"/>
            </w:pPr>
          </w:p>
        </w:tc>
      </w:tr>
    </w:tbl>
    <w:p w14:paraId="07AD1942" w14:textId="77777777" w:rsidR="003C412A" w:rsidRDefault="003C412A">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C412A" w14:paraId="44406527" w14:textId="77777777" w:rsidTr="004F04D8">
        <w:tc>
          <w:tcPr>
            <w:tcW w:w="8789" w:type="dxa"/>
            <w:tcBorders>
              <w:top w:val="single" w:sz="6" w:space="0" w:color="78A22F"/>
              <w:left w:val="nil"/>
              <w:bottom w:val="nil"/>
              <w:right w:val="nil"/>
            </w:tcBorders>
            <w:shd w:val="clear" w:color="auto" w:fill="F2F2F2"/>
          </w:tcPr>
          <w:p w14:paraId="16AEA018" w14:textId="0A5FD1F9" w:rsidR="003C412A" w:rsidRDefault="003C412A" w:rsidP="00291F8D">
            <w:pPr>
              <w:pStyle w:val="BoxTitle"/>
            </w:pPr>
            <w:r>
              <w:rPr>
                <w:b w:val="0"/>
              </w:rPr>
              <w:t>Box</w:t>
            </w:r>
            <w:r w:rsidR="00B1719E">
              <w:rPr>
                <w:b w:val="0"/>
              </w:rPr>
              <w:t xml:space="preserve"> </w:t>
            </w:r>
            <w:r w:rsidR="00291F8D">
              <w:rPr>
                <w:b w:val="0"/>
              </w:rPr>
              <w:t>29</w:t>
            </w:r>
            <w:r>
              <w:tab/>
            </w:r>
            <w:r w:rsidRPr="00CA0D19">
              <w:t>Comment on data quality</w:t>
            </w:r>
            <w:r w:rsidR="00BF443C">
              <w:t xml:space="preserve"> </w:t>
            </w:r>
          </w:p>
        </w:tc>
      </w:tr>
      <w:tr w:rsidR="003C412A" w:rsidRPr="003C412A" w14:paraId="31BD8869" w14:textId="77777777" w:rsidTr="004F04D8">
        <w:trPr>
          <w:cantSplit/>
        </w:trPr>
        <w:tc>
          <w:tcPr>
            <w:tcW w:w="8789" w:type="dxa"/>
            <w:tcBorders>
              <w:top w:val="nil"/>
              <w:left w:val="nil"/>
              <w:bottom w:val="nil"/>
              <w:right w:val="nil"/>
            </w:tcBorders>
            <w:shd w:val="clear" w:color="auto" w:fill="F2F2F2"/>
          </w:tcPr>
          <w:p w14:paraId="6C7587AB" w14:textId="1507B7C2" w:rsidR="00493383" w:rsidRDefault="0003196B" w:rsidP="00AD2E5A">
            <w:pPr>
              <w:pStyle w:val="Box"/>
            </w:pPr>
            <w:r>
              <w:t xml:space="preserve">Key points on data quality for this indicator are summarised below. </w:t>
            </w:r>
          </w:p>
          <w:p w14:paraId="2A669AD8" w14:textId="5FE29D26" w:rsidR="0003196B" w:rsidRDefault="0003196B" w:rsidP="00AD2E5A">
            <w:pPr>
              <w:pStyle w:val="BoxListBullet"/>
            </w:pPr>
            <w:r>
              <w:t xml:space="preserve">Data provide relevant information on the proportion of </w:t>
            </w:r>
            <w:r w:rsidR="005A3036">
              <w:t>Aboriginal and Torres Strait Islander</w:t>
            </w:r>
            <w:r>
              <w:t xml:space="preserve"> children enrolled in, and attending</w:t>
            </w:r>
            <w:r w:rsidR="00725461">
              <w:t>,</w:t>
            </w:r>
            <w:r>
              <w:t xml:space="preserve"> a preschool program in the year before full time schooling</w:t>
            </w:r>
            <w:r w:rsidR="009168E8">
              <w:t>.</w:t>
            </w:r>
          </w:p>
          <w:p w14:paraId="5C046D9B" w14:textId="64262FDB" w:rsidR="0003196B" w:rsidRDefault="0003196B" w:rsidP="00AD2E5A">
            <w:pPr>
              <w:pStyle w:val="BoxListBullet"/>
            </w:pPr>
            <w:r>
              <w:t xml:space="preserve">Data are available annually from the ABS National Early Childhood Education and Care Collection, with the most recent data </w:t>
            </w:r>
            <w:r w:rsidR="00EE3FD5">
              <w:t xml:space="preserve">for </w:t>
            </w:r>
            <w:r w:rsidR="009D3762">
              <w:t>2017</w:t>
            </w:r>
            <w:r>
              <w:t xml:space="preserve">. </w:t>
            </w:r>
          </w:p>
          <w:p w14:paraId="6D0B8CCC" w14:textId="6F2571D5" w:rsidR="009168E8" w:rsidRDefault="009168E8" w:rsidP="00AD2E5A">
            <w:pPr>
              <w:pStyle w:val="BoxListBullet"/>
            </w:pPr>
            <w:r>
              <w:t xml:space="preserve">Data are provided for both enrolment and attendance rates, by State and Territory. </w:t>
            </w:r>
          </w:p>
          <w:p w14:paraId="0C44F337" w14:textId="22E813BD" w:rsidR="0003196B" w:rsidRDefault="0003196B" w:rsidP="00AD2E5A">
            <w:pPr>
              <w:pStyle w:val="BoxListBullet"/>
            </w:pPr>
            <w:r>
              <w:t xml:space="preserve">Attendance rate data are available nationally by remoteness. Currently data are not available for enrolment rates by remoteness, due to the lack of reliable method for calculating the potential population </w:t>
            </w:r>
            <w:r w:rsidR="00D060D1">
              <w:t xml:space="preserve">estimates </w:t>
            </w:r>
            <w:r>
              <w:t xml:space="preserve">by remoteness. </w:t>
            </w:r>
          </w:p>
          <w:p w14:paraId="5F658FD1" w14:textId="267C494E" w:rsidR="0003196B" w:rsidRDefault="0003196B" w:rsidP="00AD2E5A">
            <w:pPr>
              <w:pStyle w:val="BoxListBullet"/>
            </w:pPr>
            <w:r>
              <w:t>Additional information is available on-line or on request</w:t>
            </w:r>
            <w:r w:rsidR="00EE3FD5">
              <w:t xml:space="preserve"> from the ABS</w:t>
            </w:r>
            <w:r>
              <w:t xml:space="preserve">. </w:t>
            </w:r>
          </w:p>
          <w:p w14:paraId="506FAD0F" w14:textId="346B6F87" w:rsidR="001622C8" w:rsidRDefault="001622C8" w:rsidP="00E047E0">
            <w:pPr>
              <w:pStyle w:val="Box"/>
            </w:pPr>
            <w:r>
              <w:t>The Steering Committee also notes the following:</w:t>
            </w:r>
          </w:p>
          <w:p w14:paraId="1C62CAB8" w14:textId="4F83F036" w:rsidR="006728CD" w:rsidRDefault="001622C8" w:rsidP="0071084C">
            <w:pPr>
              <w:pStyle w:val="BoxListBullet"/>
            </w:pPr>
            <w:r>
              <w:t xml:space="preserve">Direct comparisons of 2016 </w:t>
            </w:r>
            <w:r w:rsidR="009D3762">
              <w:t xml:space="preserve">and 2017 </w:t>
            </w:r>
            <w:r>
              <w:t>data cannot be made with 2015 data.</w:t>
            </w:r>
            <w:r w:rsidR="006728CD">
              <w:t xml:space="preserve"> Whilst the method for deriving data for these measures remai</w:t>
            </w:r>
            <w:r w:rsidR="005D6036">
              <w:t xml:space="preserve">ns unchanged </w:t>
            </w:r>
            <w:r w:rsidR="00082DB4">
              <w:t>from 2015</w:t>
            </w:r>
            <w:r w:rsidR="006728CD">
              <w:t xml:space="preserve">, for the 2016 </w:t>
            </w:r>
            <w:proofErr w:type="spellStart"/>
            <w:r w:rsidR="006728CD">
              <w:t>NECECC</w:t>
            </w:r>
            <w:proofErr w:type="spellEnd"/>
            <w:r w:rsidR="006728CD">
              <w:t xml:space="preserve"> the ABS:</w:t>
            </w:r>
          </w:p>
          <w:p w14:paraId="5EAB66D4" w14:textId="22E780C8" w:rsidR="00366220" w:rsidRDefault="006728CD" w:rsidP="00976731">
            <w:pPr>
              <w:pStyle w:val="BoxListBullet2"/>
            </w:pPr>
            <w:r>
              <w:t>improved its data linkage approach to enhance the accuracy of child counts, resulting in a lower count of preschool enrolments</w:t>
            </w:r>
          </w:p>
          <w:p w14:paraId="757557FD" w14:textId="0CF4EF80" w:rsidR="006728CD" w:rsidRPr="003C412A" w:rsidRDefault="006728CD" w:rsidP="00976731">
            <w:pPr>
              <w:pStyle w:val="BoxListBullet2"/>
            </w:pPr>
            <w:r>
              <w:t>incorporated data from an expanded child identification strategy in the Child Care Management System (</w:t>
            </w:r>
            <w:proofErr w:type="spellStart"/>
            <w:r>
              <w:t>CCMS</w:t>
            </w:r>
            <w:proofErr w:type="spellEnd"/>
            <w:r>
              <w:t xml:space="preserve"> – an input to the </w:t>
            </w:r>
            <w:proofErr w:type="spellStart"/>
            <w:r>
              <w:t>NECECC</w:t>
            </w:r>
            <w:proofErr w:type="spellEnd"/>
            <w:r>
              <w:t xml:space="preserve">), resulting in </w:t>
            </w:r>
            <w:r w:rsidR="005D6036">
              <w:t>a higher</w:t>
            </w:r>
            <w:r>
              <w:t xml:space="preserve"> count of preschool enrolments from the </w:t>
            </w:r>
            <w:proofErr w:type="spellStart"/>
            <w:r>
              <w:t>CCMS</w:t>
            </w:r>
            <w:proofErr w:type="spellEnd"/>
            <w:r>
              <w:t xml:space="preserve"> data.</w:t>
            </w:r>
          </w:p>
        </w:tc>
      </w:tr>
      <w:tr w:rsidR="003C412A" w14:paraId="24A88CB5" w14:textId="77777777" w:rsidTr="004F04D8">
        <w:trPr>
          <w:cantSplit/>
        </w:trPr>
        <w:tc>
          <w:tcPr>
            <w:tcW w:w="8789" w:type="dxa"/>
            <w:tcBorders>
              <w:top w:val="nil"/>
              <w:left w:val="nil"/>
              <w:bottom w:val="single" w:sz="6" w:space="0" w:color="78A22F"/>
              <w:right w:val="nil"/>
            </w:tcBorders>
            <w:shd w:val="clear" w:color="auto" w:fill="F2F2F2"/>
          </w:tcPr>
          <w:p w14:paraId="4F26F597" w14:textId="77777777" w:rsidR="003C412A" w:rsidRDefault="003C412A">
            <w:pPr>
              <w:pStyle w:val="Box"/>
              <w:spacing w:before="0" w:line="120" w:lineRule="exact"/>
            </w:pPr>
          </w:p>
        </w:tc>
      </w:tr>
      <w:tr w:rsidR="003C412A" w:rsidRPr="000863A5" w14:paraId="0DADFAD1" w14:textId="77777777" w:rsidTr="004F04D8">
        <w:tc>
          <w:tcPr>
            <w:tcW w:w="8789" w:type="dxa"/>
            <w:tcBorders>
              <w:top w:val="single" w:sz="6" w:space="0" w:color="78A22F"/>
              <w:left w:val="nil"/>
              <w:bottom w:val="nil"/>
              <w:right w:val="nil"/>
            </w:tcBorders>
          </w:tcPr>
          <w:p w14:paraId="712AAFFA" w14:textId="77777777" w:rsidR="003C412A" w:rsidRPr="00626D32" w:rsidRDefault="003C412A" w:rsidP="004C6DAF">
            <w:pPr>
              <w:pStyle w:val="BoxSpaceBelow"/>
            </w:pPr>
          </w:p>
        </w:tc>
      </w:tr>
    </w:tbl>
    <w:p w14:paraId="667BD41A" w14:textId="77777777" w:rsidR="00680847" w:rsidRDefault="00680847" w:rsidP="00680847">
      <w:pPr>
        <w:pStyle w:val="BodyText"/>
        <w:rPr>
          <w:rFonts w:ascii="Arial" w:hAnsi="Arial"/>
          <w:sz w:val="20"/>
        </w:rPr>
      </w:pPr>
      <w:r>
        <w:br w:type="page"/>
      </w:r>
    </w:p>
    <w:p w14:paraId="3784E1C8" w14:textId="77777777" w:rsidR="003C412A" w:rsidRPr="00921D4D" w:rsidRDefault="003C412A" w:rsidP="003C412A">
      <w:pPr>
        <w:pStyle w:val="Heading3"/>
        <w:spacing w:after="360"/>
      </w:pPr>
      <w:bookmarkStart w:id="21" w:name="_Ref341361583"/>
      <w:r w:rsidRPr="00921D4D">
        <w:lastRenderedPageBreak/>
        <w:t xml:space="preserve">Indicator 11: </w:t>
      </w:r>
      <w:r>
        <w:t>Percentage of students at or above the national minimum standard in reading, writing and numeracy for years 3, 5, 7 and 9</w:t>
      </w:r>
      <w:bookmarkEnd w:id="21"/>
    </w:p>
    <w:tbl>
      <w:tblPr>
        <w:tblW w:w="8789" w:type="dxa"/>
        <w:tblCellMar>
          <w:right w:w="0" w:type="dxa"/>
        </w:tblCellMar>
        <w:tblLook w:val="0000" w:firstRow="0" w:lastRow="0" w:firstColumn="0" w:lastColumn="0" w:noHBand="0" w:noVBand="0"/>
      </w:tblPr>
      <w:tblGrid>
        <w:gridCol w:w="2093"/>
        <w:gridCol w:w="6696"/>
      </w:tblGrid>
      <w:tr w:rsidR="003C412A" w:rsidRPr="00D87AA9" w14:paraId="4DA0837A" w14:textId="77777777" w:rsidTr="004F04D8">
        <w:tc>
          <w:tcPr>
            <w:tcW w:w="2093" w:type="dxa"/>
          </w:tcPr>
          <w:p w14:paraId="63A81FB0" w14:textId="0FA16902" w:rsidR="003C412A" w:rsidRPr="00D87AA9" w:rsidRDefault="003C412A" w:rsidP="004F04D8">
            <w:pPr>
              <w:pStyle w:val="TableBodyText"/>
              <w:jc w:val="left"/>
            </w:pPr>
            <w:r w:rsidRPr="00B82DC5">
              <w:t>Key amendments from previous cycle of reporting:</w:t>
            </w:r>
          </w:p>
        </w:tc>
        <w:tc>
          <w:tcPr>
            <w:tcW w:w="6696" w:type="dxa"/>
          </w:tcPr>
          <w:p w14:paraId="43D4968D" w14:textId="2C7E54D1" w:rsidR="003C412A" w:rsidRPr="00D87AA9" w:rsidRDefault="003C412A" w:rsidP="00510C07">
            <w:pPr>
              <w:pStyle w:val="TableBodyText"/>
              <w:jc w:val="left"/>
            </w:pPr>
            <w:r w:rsidRPr="00C44109">
              <w:t xml:space="preserve">This indicator is unchanged from the previous </w:t>
            </w:r>
            <w:proofErr w:type="spellStart"/>
            <w:r w:rsidR="00F555B6">
              <w:t>NIRA</w:t>
            </w:r>
            <w:proofErr w:type="spellEnd"/>
            <w:r w:rsidR="00F555B6">
              <w:t xml:space="preserve"> performance report</w:t>
            </w:r>
          </w:p>
        </w:tc>
      </w:tr>
      <w:tr w:rsidR="003C412A" w:rsidRPr="00D87AA9" w14:paraId="5461850D" w14:textId="77777777" w:rsidTr="004F04D8">
        <w:tc>
          <w:tcPr>
            <w:tcW w:w="2093" w:type="dxa"/>
          </w:tcPr>
          <w:p w14:paraId="21E0BA83" w14:textId="77777777" w:rsidR="003C412A" w:rsidRPr="00D87AA9" w:rsidRDefault="003C412A" w:rsidP="00356183">
            <w:pPr>
              <w:pStyle w:val="TableBodyText"/>
              <w:spacing w:before="80"/>
              <w:jc w:val="left"/>
            </w:pPr>
            <w:r w:rsidRPr="00D87AA9">
              <w:t>Target:</w:t>
            </w:r>
          </w:p>
        </w:tc>
        <w:tc>
          <w:tcPr>
            <w:tcW w:w="6696" w:type="dxa"/>
          </w:tcPr>
          <w:p w14:paraId="0B83A51A" w14:textId="1252DAD2" w:rsidR="003C412A" w:rsidRPr="00D87AA9" w:rsidRDefault="003C412A" w:rsidP="00356183">
            <w:pPr>
              <w:pStyle w:val="TableBodyText"/>
              <w:spacing w:before="80"/>
              <w:jc w:val="left"/>
            </w:pPr>
            <w:r w:rsidRPr="00C44109">
              <w:t>Halving the gap for Indigenous students in reading, writing and numeracy within a decade (by 2018)</w:t>
            </w:r>
          </w:p>
        </w:tc>
      </w:tr>
      <w:tr w:rsidR="003C412A" w:rsidRPr="00D87AA9" w14:paraId="233748FD" w14:textId="77777777" w:rsidTr="004F04D8">
        <w:tc>
          <w:tcPr>
            <w:tcW w:w="2093" w:type="dxa"/>
          </w:tcPr>
          <w:p w14:paraId="3C3A1CD0" w14:textId="77777777" w:rsidR="003C412A" w:rsidRPr="00D87AA9" w:rsidRDefault="003C412A" w:rsidP="00356183">
            <w:pPr>
              <w:pStyle w:val="TableBodyText"/>
              <w:spacing w:before="80"/>
              <w:jc w:val="left"/>
            </w:pPr>
            <w:r w:rsidRPr="00D87AA9">
              <w:t>Measure:</w:t>
            </w:r>
          </w:p>
        </w:tc>
        <w:tc>
          <w:tcPr>
            <w:tcW w:w="6696" w:type="dxa"/>
          </w:tcPr>
          <w:p w14:paraId="1C703048" w14:textId="77777777" w:rsidR="003C412A" w:rsidRDefault="003C412A" w:rsidP="00356183">
            <w:pPr>
              <w:pStyle w:val="TableBodyText"/>
              <w:spacing w:before="80"/>
              <w:jc w:val="left"/>
            </w:pPr>
            <w:r>
              <w:t>There are two measures for this indicator:</w:t>
            </w:r>
          </w:p>
          <w:p w14:paraId="671D2D62" w14:textId="77777777" w:rsidR="003C412A" w:rsidRDefault="003C412A" w:rsidP="00356183">
            <w:pPr>
              <w:pStyle w:val="TableBodyText"/>
              <w:spacing w:before="80"/>
              <w:jc w:val="left"/>
            </w:pPr>
            <w:r>
              <w:t>Measure (</w:t>
            </w:r>
            <w:proofErr w:type="spellStart"/>
            <w:r>
              <w:t>11a</w:t>
            </w:r>
            <w:proofErr w:type="spellEnd"/>
            <w:r>
              <w:t>): the proportion of students at or above the national minimum standard for reading, writing and numeracy, in years 3, 5, 7 and 9, by Indigenous status</w:t>
            </w:r>
          </w:p>
          <w:p w14:paraId="128569C4" w14:textId="11FF830A" w:rsidR="003C412A" w:rsidRPr="00D87AA9" w:rsidRDefault="003C412A" w:rsidP="00356183">
            <w:pPr>
              <w:pStyle w:val="TableBodyText"/>
              <w:spacing w:before="80"/>
              <w:jc w:val="left"/>
            </w:pPr>
            <w:r>
              <w:t>Measure (</w:t>
            </w:r>
            <w:proofErr w:type="spellStart"/>
            <w:r>
              <w:t>11b</w:t>
            </w:r>
            <w:proofErr w:type="spellEnd"/>
            <w:r>
              <w:t>): the rates of participation in NAPLAN reading, writing and numeracy tests — years 3, 5, 7 and 9 , by Indigenous status</w:t>
            </w:r>
          </w:p>
        </w:tc>
      </w:tr>
      <w:tr w:rsidR="003C412A" w:rsidRPr="00D87AA9" w14:paraId="1E943BEB" w14:textId="77777777" w:rsidTr="004F04D8">
        <w:tc>
          <w:tcPr>
            <w:tcW w:w="2093" w:type="dxa"/>
          </w:tcPr>
          <w:p w14:paraId="1AF7E203" w14:textId="77777777" w:rsidR="003C412A" w:rsidRPr="00D87AA9" w:rsidRDefault="003C412A" w:rsidP="00356183">
            <w:pPr>
              <w:pStyle w:val="TableBodyText"/>
              <w:spacing w:before="80"/>
              <w:jc w:val="left"/>
            </w:pPr>
            <w:r>
              <w:t>Measure (</w:t>
            </w:r>
            <w:proofErr w:type="spellStart"/>
            <w:r>
              <w:t>11a</w:t>
            </w:r>
            <w:proofErr w:type="spellEnd"/>
            <w:r>
              <w:t>):</w:t>
            </w:r>
          </w:p>
        </w:tc>
        <w:tc>
          <w:tcPr>
            <w:tcW w:w="6696" w:type="dxa"/>
          </w:tcPr>
          <w:p w14:paraId="32A6473C" w14:textId="77777777" w:rsidR="003C412A" w:rsidRDefault="003C412A" w:rsidP="00356183">
            <w:pPr>
              <w:pStyle w:val="TableBodyText"/>
              <w:spacing w:before="80"/>
              <w:jc w:val="left"/>
            </w:pPr>
            <w:r>
              <w:t>Percentage of students at or above the national minimum standard for reading, writing and numeracy, in years 3, 5, 7 and 9, by Indigenous status</w:t>
            </w:r>
          </w:p>
          <w:p w14:paraId="5EE8A87A" w14:textId="57A28CC7" w:rsidR="003C412A" w:rsidRPr="00D87AA9" w:rsidRDefault="003C412A" w:rsidP="00356183">
            <w:pPr>
              <w:pStyle w:val="TableBodyText"/>
              <w:spacing w:before="80"/>
              <w:jc w:val="left"/>
            </w:pPr>
            <w:r w:rsidRPr="00D651EC">
              <w:t xml:space="preserve">[Note: NAPLAN reports the percentage of students who achieved at or above the national minimum standard. The complex process by which student scores are arrived at and distributed across the national achievement bands (using the </w:t>
            </w:r>
            <w:proofErr w:type="spellStart"/>
            <w:r w:rsidRPr="00D651EC">
              <w:t>Rasch</w:t>
            </w:r>
            <w:proofErr w:type="spellEnd"/>
            <w:r w:rsidRPr="00D651EC">
              <w:t xml:space="preserve"> model, a recognised analysis model for educational measurement) are agreed by states, territories and the Australian Government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tc>
      </w:tr>
      <w:tr w:rsidR="003C412A" w:rsidRPr="00D87AA9" w14:paraId="577E8F5E" w14:textId="77777777" w:rsidTr="004F04D8">
        <w:tc>
          <w:tcPr>
            <w:tcW w:w="2093" w:type="dxa"/>
          </w:tcPr>
          <w:p w14:paraId="37CB79EB" w14:textId="77777777" w:rsidR="003C412A" w:rsidRPr="00D87AA9" w:rsidRDefault="003C412A" w:rsidP="00356183">
            <w:pPr>
              <w:pStyle w:val="TableBodyText"/>
              <w:spacing w:before="80"/>
              <w:jc w:val="left"/>
            </w:pPr>
            <w:r>
              <w:t>Measure (</w:t>
            </w:r>
            <w:proofErr w:type="spellStart"/>
            <w:r>
              <w:t>11b</w:t>
            </w:r>
            <w:proofErr w:type="spellEnd"/>
            <w:r>
              <w:t>):</w:t>
            </w:r>
          </w:p>
        </w:tc>
        <w:tc>
          <w:tcPr>
            <w:tcW w:w="6696" w:type="dxa"/>
          </w:tcPr>
          <w:p w14:paraId="1410F428" w14:textId="77777777" w:rsidR="003C412A" w:rsidRDefault="003C412A" w:rsidP="00356183">
            <w:pPr>
              <w:pStyle w:val="TableBodyText"/>
              <w:spacing w:before="80"/>
              <w:jc w:val="left"/>
            </w:pPr>
            <w:r>
              <w:t>Rates of participation in NAPLAN reading writing and numeracy tests — years 3, 5, 7 and 9, by Indigenous status</w:t>
            </w:r>
          </w:p>
          <w:p w14:paraId="08C89BA0" w14:textId="77777777" w:rsidR="003C412A" w:rsidRDefault="003C412A" w:rsidP="00356183">
            <w:pPr>
              <w:pStyle w:val="TableBodyText"/>
              <w:spacing w:before="80"/>
              <w:jc w:val="left"/>
            </w:pPr>
            <w:r>
              <w:t>The measure is defined as:</w:t>
            </w:r>
          </w:p>
          <w:p w14:paraId="130709CB" w14:textId="77777777" w:rsidR="003C412A" w:rsidRDefault="003C412A" w:rsidP="004C6DAF">
            <w:pPr>
              <w:pStyle w:val="TableBullet"/>
              <w:rPr>
                <w:szCs w:val="24"/>
              </w:rPr>
            </w:pPr>
            <w:r w:rsidRPr="00EA1E9C">
              <w:rPr>
                <w:i/>
              </w:rPr>
              <w:t>Numerator</w:t>
            </w:r>
            <w:r>
              <w:t xml:space="preserve"> — number of assessed and exempt students in years 3, 5, 7 and 9, by Indigenous status</w:t>
            </w:r>
          </w:p>
          <w:p w14:paraId="100F5ADC" w14:textId="77777777" w:rsidR="003C412A" w:rsidRDefault="003C412A" w:rsidP="004C6DAF">
            <w:pPr>
              <w:pStyle w:val="TableBullet"/>
              <w:rPr>
                <w:szCs w:val="24"/>
              </w:rPr>
            </w:pPr>
            <w:r w:rsidRPr="00EA1E9C">
              <w:rPr>
                <w:i/>
              </w:rPr>
              <w:t>Denominator</w:t>
            </w:r>
            <w:r>
              <w:t xml:space="preserve"> — total number of students (including those absent and withdrawn) in years 3, 5, 7 and 9, by Indigenous status</w:t>
            </w:r>
          </w:p>
          <w:p w14:paraId="5A0D9E4B" w14:textId="6D6505F5" w:rsidR="003C412A" w:rsidRPr="00D87AA9" w:rsidRDefault="003C412A" w:rsidP="004F04D8">
            <w:pPr>
              <w:pStyle w:val="TableBodyText"/>
              <w:jc w:val="left"/>
            </w:pPr>
            <w:r>
              <w:t xml:space="preserve">and is presented as a </w:t>
            </w:r>
            <w:r w:rsidR="00F8458B">
              <w:rPr>
                <w:i/>
              </w:rPr>
              <w:t>percentage</w:t>
            </w:r>
          </w:p>
        </w:tc>
      </w:tr>
      <w:tr w:rsidR="003C412A" w:rsidRPr="00D87AA9" w14:paraId="01F98DB3" w14:textId="77777777" w:rsidTr="004F04D8">
        <w:tc>
          <w:tcPr>
            <w:tcW w:w="2093" w:type="dxa"/>
          </w:tcPr>
          <w:p w14:paraId="2D4EE71C" w14:textId="77777777" w:rsidR="003C412A" w:rsidRPr="00D87AA9" w:rsidRDefault="003C412A" w:rsidP="00356183">
            <w:pPr>
              <w:pStyle w:val="TableBodyText"/>
              <w:spacing w:before="80"/>
              <w:jc w:val="left"/>
            </w:pPr>
            <w:r w:rsidRPr="00D87AA9">
              <w:t>Data source</w:t>
            </w:r>
            <w:r>
              <w:t xml:space="preserve"> (</w:t>
            </w:r>
            <w:proofErr w:type="spellStart"/>
            <w:r>
              <w:t>11a</w:t>
            </w:r>
            <w:proofErr w:type="spellEnd"/>
            <w:r>
              <w:t xml:space="preserve"> and </w:t>
            </w:r>
            <w:proofErr w:type="spellStart"/>
            <w:r>
              <w:t>11b</w:t>
            </w:r>
            <w:proofErr w:type="spellEnd"/>
            <w:r>
              <w:t>)</w:t>
            </w:r>
          </w:p>
        </w:tc>
        <w:tc>
          <w:tcPr>
            <w:tcW w:w="6696" w:type="dxa"/>
          </w:tcPr>
          <w:p w14:paraId="233D4E82" w14:textId="1A91FB5E" w:rsidR="003C412A" w:rsidRPr="00D87AA9" w:rsidRDefault="00C71A0E" w:rsidP="00356183">
            <w:pPr>
              <w:pStyle w:val="TableBodyText"/>
              <w:spacing w:before="80"/>
              <w:jc w:val="left"/>
            </w:pPr>
            <w:r w:rsidRPr="006A6DE7">
              <w:t xml:space="preserve">ACARA </w:t>
            </w:r>
            <w:r w:rsidR="003C412A" w:rsidRPr="00EA1E9C">
              <w:rPr>
                <w:u w:val="single"/>
              </w:rPr>
              <w:t>National Assessment Program — Literacy and Numeracy</w:t>
            </w:r>
            <w:r w:rsidR="003C412A" w:rsidRPr="00C44109">
              <w:t xml:space="preserve"> (NAPLAN). Data are collected annually</w:t>
            </w:r>
          </w:p>
        </w:tc>
      </w:tr>
      <w:tr w:rsidR="003C412A" w:rsidRPr="00D87AA9" w14:paraId="10C57E3B" w14:textId="77777777" w:rsidTr="004F04D8">
        <w:tc>
          <w:tcPr>
            <w:tcW w:w="2093" w:type="dxa"/>
          </w:tcPr>
          <w:p w14:paraId="51044515" w14:textId="4D24DF29" w:rsidR="003C412A" w:rsidRPr="00D87AA9" w:rsidRDefault="003C412A" w:rsidP="00356183">
            <w:pPr>
              <w:pStyle w:val="TableBodyText"/>
              <w:spacing w:before="80"/>
              <w:jc w:val="left"/>
            </w:pPr>
            <w:r w:rsidRPr="00D87AA9">
              <w:t>Data provider</w:t>
            </w:r>
            <w:r>
              <w:t xml:space="preserve"> (</w:t>
            </w:r>
            <w:proofErr w:type="spellStart"/>
            <w:r>
              <w:t>11a</w:t>
            </w:r>
            <w:proofErr w:type="spellEnd"/>
            <w:r>
              <w:t xml:space="preserve"> and </w:t>
            </w:r>
            <w:proofErr w:type="spellStart"/>
            <w:r>
              <w:t>11b</w:t>
            </w:r>
            <w:proofErr w:type="spellEnd"/>
            <w:r>
              <w:t>)</w:t>
            </w:r>
            <w:r w:rsidRPr="00D87AA9">
              <w:t>:</w:t>
            </w:r>
          </w:p>
        </w:tc>
        <w:tc>
          <w:tcPr>
            <w:tcW w:w="6696" w:type="dxa"/>
          </w:tcPr>
          <w:p w14:paraId="2BDB2274" w14:textId="77777777" w:rsidR="003C412A" w:rsidRPr="00D87AA9" w:rsidRDefault="003C412A" w:rsidP="00356183">
            <w:pPr>
              <w:pStyle w:val="TableBodyText"/>
              <w:spacing w:before="80"/>
              <w:jc w:val="left"/>
            </w:pPr>
            <w:r w:rsidRPr="00C44109">
              <w:t>ACARA</w:t>
            </w:r>
          </w:p>
        </w:tc>
      </w:tr>
      <w:tr w:rsidR="004F04D8" w:rsidRPr="00D87AA9" w14:paraId="41BEE76D" w14:textId="77777777" w:rsidTr="004F04D8">
        <w:tc>
          <w:tcPr>
            <w:tcW w:w="2093" w:type="dxa"/>
          </w:tcPr>
          <w:p w14:paraId="1CD82ED8" w14:textId="20CB4CB1" w:rsidR="004F04D8" w:rsidRPr="00D87AA9" w:rsidRDefault="004F04D8" w:rsidP="00356183">
            <w:pPr>
              <w:pStyle w:val="TableBodyText"/>
              <w:spacing w:before="80"/>
              <w:jc w:val="left"/>
            </w:pPr>
            <w:r w:rsidRPr="00D87AA9">
              <w:t>Data availability</w:t>
            </w:r>
            <w:r>
              <w:t xml:space="preserve"> (</w:t>
            </w:r>
            <w:proofErr w:type="spellStart"/>
            <w:r>
              <w:t>11a</w:t>
            </w:r>
            <w:proofErr w:type="spellEnd"/>
            <w:r>
              <w:t xml:space="preserve"> and </w:t>
            </w:r>
            <w:proofErr w:type="spellStart"/>
            <w:r>
              <w:t>11b</w:t>
            </w:r>
            <w:proofErr w:type="spellEnd"/>
            <w:r>
              <w:t>)</w:t>
            </w:r>
            <w:r w:rsidRPr="00D87AA9">
              <w:t>:</w:t>
            </w:r>
          </w:p>
        </w:tc>
        <w:tc>
          <w:tcPr>
            <w:tcW w:w="6696" w:type="dxa"/>
          </w:tcPr>
          <w:p w14:paraId="2C89E910" w14:textId="7310E524" w:rsidR="004F04D8" w:rsidRPr="00C44109" w:rsidRDefault="00620913" w:rsidP="002E75A0">
            <w:pPr>
              <w:pStyle w:val="TableBodyText"/>
              <w:spacing w:before="80"/>
              <w:jc w:val="left"/>
            </w:pPr>
            <w:r>
              <w:t>No new data are available for this report.</w:t>
            </w:r>
          </w:p>
        </w:tc>
      </w:tr>
      <w:tr w:rsidR="004F04D8" w:rsidRPr="00D87AA9" w14:paraId="2EE3D53A" w14:textId="77777777" w:rsidTr="004F04D8">
        <w:tc>
          <w:tcPr>
            <w:tcW w:w="2093" w:type="dxa"/>
          </w:tcPr>
          <w:p w14:paraId="4E48AFCF" w14:textId="7577E995" w:rsidR="004F04D8" w:rsidRPr="00D87AA9" w:rsidRDefault="004F04D8" w:rsidP="00356183">
            <w:pPr>
              <w:pStyle w:val="TableBodyText"/>
              <w:spacing w:before="80"/>
              <w:jc w:val="left"/>
            </w:pPr>
            <w:r>
              <w:t>Cross tabulations provided:</w:t>
            </w:r>
          </w:p>
        </w:tc>
        <w:tc>
          <w:tcPr>
            <w:tcW w:w="6696" w:type="dxa"/>
          </w:tcPr>
          <w:p w14:paraId="558D758F" w14:textId="0BB09FCC" w:rsidR="004F04D8" w:rsidRPr="00C44109" w:rsidRDefault="00DD4235" w:rsidP="00356183">
            <w:pPr>
              <w:pStyle w:val="TableBodyText"/>
              <w:spacing w:before="80"/>
              <w:jc w:val="left"/>
            </w:pPr>
            <w:r>
              <w:t>Nil</w:t>
            </w:r>
          </w:p>
        </w:tc>
      </w:tr>
    </w:tbl>
    <w:p w14:paraId="3C9577E2" w14:textId="77777777" w:rsidR="004F04D8" w:rsidRDefault="004F04D8">
      <w:r>
        <w:br w:type="page"/>
      </w:r>
    </w:p>
    <w:p w14:paraId="788CB7F4" w14:textId="77777777" w:rsidR="003C412A" w:rsidRDefault="003C412A">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C412A" w14:paraId="69283A98" w14:textId="77777777" w:rsidTr="004F04D8">
        <w:tc>
          <w:tcPr>
            <w:tcW w:w="8789" w:type="dxa"/>
            <w:tcBorders>
              <w:top w:val="single" w:sz="6" w:space="0" w:color="78A22F"/>
              <w:left w:val="nil"/>
              <w:bottom w:val="nil"/>
              <w:right w:val="nil"/>
            </w:tcBorders>
            <w:shd w:val="clear" w:color="auto" w:fill="F2F2F2"/>
          </w:tcPr>
          <w:p w14:paraId="497A0540" w14:textId="3983FBF0" w:rsidR="003C412A" w:rsidRDefault="003C412A" w:rsidP="00291F8D">
            <w:pPr>
              <w:pStyle w:val="BoxTitle"/>
            </w:pPr>
            <w:r>
              <w:rPr>
                <w:b w:val="0"/>
              </w:rPr>
              <w:t xml:space="preserve">Box </w:t>
            </w:r>
            <w:r w:rsidR="00A8151B">
              <w:rPr>
                <w:b w:val="0"/>
              </w:rPr>
              <w:t>3</w:t>
            </w:r>
            <w:r w:rsidR="00291F8D">
              <w:rPr>
                <w:b w:val="0"/>
              </w:rPr>
              <w:t>0</w:t>
            </w:r>
            <w:r>
              <w:tab/>
            </w:r>
            <w:r w:rsidR="00DD4235">
              <w:t>Comment on data availability</w:t>
            </w:r>
          </w:p>
        </w:tc>
      </w:tr>
      <w:tr w:rsidR="003C412A" w:rsidRPr="003C412A" w14:paraId="46D4F91B" w14:textId="77777777" w:rsidTr="004F04D8">
        <w:trPr>
          <w:cantSplit/>
        </w:trPr>
        <w:tc>
          <w:tcPr>
            <w:tcW w:w="8789" w:type="dxa"/>
            <w:tcBorders>
              <w:top w:val="nil"/>
              <w:left w:val="nil"/>
              <w:bottom w:val="nil"/>
              <w:right w:val="nil"/>
            </w:tcBorders>
            <w:shd w:val="clear" w:color="auto" w:fill="F2F2F2"/>
          </w:tcPr>
          <w:p w14:paraId="26F92E32" w14:textId="77777777" w:rsidR="00DD4235" w:rsidRPr="004F00F4" w:rsidRDefault="00DD4235" w:rsidP="00DD4235">
            <w:pPr>
              <w:pStyle w:val="Box"/>
            </w:pPr>
            <w:r>
              <w:t>No</w:t>
            </w:r>
            <w:r w:rsidRPr="004F00F4">
              <w:t xml:space="preserve"> new data </w:t>
            </w:r>
            <w:r>
              <w:t>were available for this report. The 2018 NAPLAN data were not available in time for inclusion.</w:t>
            </w:r>
          </w:p>
          <w:p w14:paraId="4F0325FB" w14:textId="1BC82B21" w:rsidR="003C412A" w:rsidRPr="003C412A" w:rsidRDefault="00283339" w:rsidP="003C412A">
            <w:pPr>
              <w:pStyle w:val="Box"/>
            </w:pPr>
            <w:r>
              <w:t xml:space="preserve">Data for </w:t>
            </w:r>
            <w:r w:rsidR="002E75A0">
              <w:t xml:space="preserve">2017 </w:t>
            </w:r>
            <w:r>
              <w:t xml:space="preserve">are available in the </w:t>
            </w:r>
            <w:r w:rsidR="002E75A0">
              <w:t>2016</w:t>
            </w:r>
            <w:r>
              <w:t>-</w:t>
            </w:r>
            <w:r w:rsidR="002E75A0">
              <w:t xml:space="preserve">17 </w:t>
            </w:r>
            <w:proofErr w:type="spellStart"/>
            <w:r w:rsidR="00F555B6">
              <w:t>NIRA</w:t>
            </w:r>
            <w:proofErr w:type="spellEnd"/>
            <w:r w:rsidR="00F555B6">
              <w:t xml:space="preserve"> performance report</w:t>
            </w:r>
            <w:r>
              <w:t xml:space="preserve">, </w:t>
            </w:r>
            <w:r w:rsidR="002E75A0">
              <w:t xml:space="preserve">for 2016 in the 2015-16 report, </w:t>
            </w:r>
            <w:r w:rsidR="008B42A7">
              <w:t xml:space="preserve">for 2015 in the 2014-15 report, </w:t>
            </w:r>
            <w:r w:rsidR="00441699">
              <w:t xml:space="preserve">for 2014 in the 2013-14 </w:t>
            </w:r>
            <w:proofErr w:type="spellStart"/>
            <w:r w:rsidR="00F555B6">
              <w:t>NIRA</w:t>
            </w:r>
            <w:proofErr w:type="spellEnd"/>
            <w:r w:rsidR="00F555B6">
              <w:t xml:space="preserve"> performance report</w:t>
            </w:r>
            <w:r w:rsidR="00441699">
              <w:t xml:space="preserve">, </w:t>
            </w:r>
            <w:r w:rsidR="003C412A" w:rsidRPr="003C412A">
              <w:t xml:space="preserve">for 2013 in the 2012-13 </w:t>
            </w:r>
            <w:proofErr w:type="spellStart"/>
            <w:r w:rsidR="00F555B6">
              <w:t>NIRA</w:t>
            </w:r>
            <w:proofErr w:type="spellEnd"/>
            <w:r w:rsidR="00F555B6">
              <w:t xml:space="preserve"> performance report</w:t>
            </w:r>
            <w:r w:rsidR="003C412A" w:rsidRPr="003C412A">
              <w:t>, for 2012 in the 2011</w:t>
            </w:r>
            <w:r w:rsidR="00F40B3B">
              <w:noBreakHyphen/>
            </w:r>
            <w:r w:rsidR="003C412A" w:rsidRPr="003C412A">
              <w:t xml:space="preserve">12 </w:t>
            </w:r>
            <w:proofErr w:type="spellStart"/>
            <w:r w:rsidR="00F555B6">
              <w:t>NIRA</w:t>
            </w:r>
            <w:proofErr w:type="spellEnd"/>
            <w:r w:rsidR="00F555B6">
              <w:t xml:space="preserve"> performance report</w:t>
            </w:r>
            <w:r w:rsidR="003C412A" w:rsidRPr="003C412A">
              <w:t xml:space="preserve">, for 2011 and 2010 in the 2010-11 </w:t>
            </w:r>
            <w:proofErr w:type="spellStart"/>
            <w:r w:rsidR="00F555B6">
              <w:t>NIRA</w:t>
            </w:r>
            <w:proofErr w:type="spellEnd"/>
            <w:r w:rsidR="00F555B6">
              <w:t xml:space="preserve"> performance report</w:t>
            </w:r>
            <w:r w:rsidR="003C412A" w:rsidRPr="003C412A">
              <w:t xml:space="preserve"> and for 2009 and 2008 in the 2009-10 </w:t>
            </w:r>
            <w:proofErr w:type="spellStart"/>
            <w:r w:rsidR="00F555B6">
              <w:t>NIRA</w:t>
            </w:r>
            <w:proofErr w:type="spellEnd"/>
            <w:r w:rsidR="00F555B6">
              <w:t xml:space="preserve"> performance report</w:t>
            </w:r>
            <w:r w:rsidR="003C412A" w:rsidRPr="003C412A">
              <w:t>.</w:t>
            </w:r>
          </w:p>
        </w:tc>
      </w:tr>
      <w:tr w:rsidR="003C412A" w14:paraId="137B76A9" w14:textId="77777777" w:rsidTr="004F04D8">
        <w:trPr>
          <w:cantSplit/>
        </w:trPr>
        <w:tc>
          <w:tcPr>
            <w:tcW w:w="8789" w:type="dxa"/>
            <w:tcBorders>
              <w:top w:val="nil"/>
              <w:left w:val="nil"/>
              <w:bottom w:val="single" w:sz="6" w:space="0" w:color="78A22F"/>
              <w:right w:val="nil"/>
            </w:tcBorders>
            <w:shd w:val="clear" w:color="auto" w:fill="F2F2F2"/>
          </w:tcPr>
          <w:p w14:paraId="7365625D" w14:textId="77777777" w:rsidR="003C412A" w:rsidRDefault="003C412A" w:rsidP="002E28E5">
            <w:pPr>
              <w:pStyle w:val="Box"/>
              <w:spacing w:before="0" w:line="60" w:lineRule="exact"/>
            </w:pPr>
          </w:p>
        </w:tc>
      </w:tr>
      <w:tr w:rsidR="003C412A" w:rsidRPr="000863A5" w14:paraId="1882D59A" w14:textId="77777777" w:rsidTr="004F04D8">
        <w:tc>
          <w:tcPr>
            <w:tcW w:w="8789" w:type="dxa"/>
            <w:tcBorders>
              <w:top w:val="single" w:sz="6" w:space="0" w:color="78A22F"/>
              <w:left w:val="nil"/>
              <w:bottom w:val="nil"/>
              <w:right w:val="nil"/>
            </w:tcBorders>
          </w:tcPr>
          <w:p w14:paraId="0283E207" w14:textId="77777777" w:rsidR="003C412A" w:rsidRPr="00626D32" w:rsidRDefault="003C412A" w:rsidP="002E28E5">
            <w:pPr>
              <w:pStyle w:val="BoxSpaceBelow"/>
              <w:spacing w:before="0" w:after="0" w:line="40" w:lineRule="exact"/>
            </w:pPr>
          </w:p>
        </w:tc>
      </w:tr>
    </w:tbl>
    <w:p w14:paraId="4AAF675C" w14:textId="77777777" w:rsidR="003C412A" w:rsidRPr="00921D4D" w:rsidRDefault="003C412A" w:rsidP="003C412A">
      <w:pPr>
        <w:pStyle w:val="Heading3"/>
      </w:pPr>
      <w:bookmarkStart w:id="22" w:name="_Ref277842862"/>
      <w:bookmarkStart w:id="23" w:name="_Ref341361590"/>
      <w:r w:rsidRPr="00921D4D">
        <w:lastRenderedPageBreak/>
        <w:t xml:space="preserve">Indicator 12: </w:t>
      </w:r>
      <w:bookmarkEnd w:id="22"/>
      <w:r>
        <w:t>Attainment of Year 12 or equivalent</w:t>
      </w:r>
      <w:bookmarkEnd w:id="23"/>
    </w:p>
    <w:p w14:paraId="461D1275" w14:textId="77777777" w:rsidR="003C412A" w:rsidRPr="00263492" w:rsidRDefault="003C412A" w:rsidP="003C412A">
      <w:pPr>
        <w:keepNext/>
      </w:pPr>
    </w:p>
    <w:tbl>
      <w:tblPr>
        <w:tblW w:w="0" w:type="auto"/>
        <w:tblCellMar>
          <w:right w:w="0" w:type="dxa"/>
        </w:tblCellMar>
        <w:tblLook w:val="0000" w:firstRow="0" w:lastRow="0" w:firstColumn="0" w:lastColumn="0" w:noHBand="0" w:noVBand="0"/>
      </w:tblPr>
      <w:tblGrid>
        <w:gridCol w:w="2080"/>
        <w:gridCol w:w="6709"/>
      </w:tblGrid>
      <w:tr w:rsidR="003C412A" w:rsidRPr="00D87AA9" w14:paraId="33D90510" w14:textId="77777777" w:rsidTr="004F04D8">
        <w:tc>
          <w:tcPr>
            <w:tcW w:w="2080" w:type="dxa"/>
          </w:tcPr>
          <w:p w14:paraId="6890605B" w14:textId="66E3A0A4" w:rsidR="003C412A" w:rsidRPr="00D87AA9" w:rsidRDefault="003C412A" w:rsidP="004C6DAF">
            <w:pPr>
              <w:pStyle w:val="TableBodyText"/>
              <w:jc w:val="left"/>
            </w:pPr>
            <w:r w:rsidRPr="00B82DC5">
              <w:t>Key amendments fr</w:t>
            </w:r>
            <w:r w:rsidR="004F04D8">
              <w:t>om previous cycle of reporting:</w:t>
            </w:r>
          </w:p>
        </w:tc>
        <w:tc>
          <w:tcPr>
            <w:tcW w:w="6709" w:type="dxa"/>
          </w:tcPr>
          <w:p w14:paraId="05CD6644" w14:textId="621F1F82" w:rsidR="003C412A" w:rsidRPr="00D87AA9" w:rsidRDefault="00365846" w:rsidP="00365846">
            <w:pPr>
              <w:pStyle w:val="TableBodyText"/>
              <w:jc w:val="left"/>
            </w:pPr>
            <w:r w:rsidRPr="00365846">
              <w:t xml:space="preserve">This indicator is unchanged from the previous </w:t>
            </w:r>
            <w:proofErr w:type="spellStart"/>
            <w:r w:rsidRPr="00365846">
              <w:t>NIRA</w:t>
            </w:r>
            <w:proofErr w:type="spellEnd"/>
            <w:r w:rsidRPr="00365846">
              <w:t xml:space="preserve"> performance report</w:t>
            </w:r>
            <w:r>
              <w:t>.</w:t>
            </w:r>
          </w:p>
        </w:tc>
      </w:tr>
      <w:tr w:rsidR="003C412A" w:rsidRPr="00D87AA9" w14:paraId="70F6893D" w14:textId="77777777" w:rsidTr="004F04D8">
        <w:tc>
          <w:tcPr>
            <w:tcW w:w="2080" w:type="dxa"/>
          </w:tcPr>
          <w:p w14:paraId="27A3FFCB" w14:textId="77777777" w:rsidR="003C412A" w:rsidRPr="00D87AA9" w:rsidRDefault="003C412A" w:rsidP="00356183">
            <w:pPr>
              <w:pStyle w:val="TableBodyText"/>
              <w:spacing w:before="80"/>
              <w:jc w:val="left"/>
            </w:pPr>
            <w:r w:rsidRPr="00D87AA9">
              <w:t>Target:</w:t>
            </w:r>
          </w:p>
        </w:tc>
        <w:tc>
          <w:tcPr>
            <w:tcW w:w="6709" w:type="dxa"/>
          </w:tcPr>
          <w:p w14:paraId="59A6D998" w14:textId="4596AADD" w:rsidR="003C412A" w:rsidRPr="00D87AA9" w:rsidRDefault="003C412A" w:rsidP="00356183">
            <w:pPr>
              <w:pStyle w:val="TableBodyText"/>
              <w:spacing w:before="80"/>
              <w:jc w:val="left"/>
            </w:pPr>
            <w:r w:rsidRPr="00C44109">
              <w:t>Halving the gap for Indigenous people aged 20</w:t>
            </w:r>
            <w:r w:rsidR="00F8458B">
              <w:t>–</w:t>
            </w:r>
            <w:r w:rsidRPr="00C44109">
              <w:t>24 in Year 12 attainment or equivalent attainment rates (by 2020)</w:t>
            </w:r>
          </w:p>
        </w:tc>
      </w:tr>
      <w:tr w:rsidR="003C412A" w:rsidRPr="00D87AA9" w14:paraId="1BEDF86A" w14:textId="77777777" w:rsidTr="004F04D8">
        <w:tc>
          <w:tcPr>
            <w:tcW w:w="2080" w:type="dxa"/>
          </w:tcPr>
          <w:p w14:paraId="3CFBCE04" w14:textId="77777777" w:rsidR="003C412A" w:rsidRPr="00D87AA9" w:rsidRDefault="003C412A" w:rsidP="00356183">
            <w:pPr>
              <w:pStyle w:val="TableBodyText"/>
              <w:spacing w:before="80"/>
              <w:jc w:val="left"/>
            </w:pPr>
            <w:r w:rsidRPr="00D87AA9">
              <w:t>Measure:</w:t>
            </w:r>
          </w:p>
        </w:tc>
        <w:tc>
          <w:tcPr>
            <w:tcW w:w="6709" w:type="dxa"/>
          </w:tcPr>
          <w:p w14:paraId="231B35D0" w14:textId="77777777" w:rsidR="003C412A" w:rsidRDefault="003C412A" w:rsidP="00356183">
            <w:pPr>
              <w:pStyle w:val="TableBodyText"/>
              <w:spacing w:before="80"/>
              <w:jc w:val="left"/>
            </w:pPr>
            <w:r>
              <w:t>There are two measures for this indicator:</w:t>
            </w:r>
          </w:p>
          <w:p w14:paraId="31CEEC30" w14:textId="77777777" w:rsidR="003C412A" w:rsidRDefault="003C412A" w:rsidP="00356183">
            <w:pPr>
              <w:pStyle w:val="TableBodyText"/>
              <w:spacing w:before="80"/>
              <w:jc w:val="left"/>
            </w:pPr>
            <w:r>
              <w:t>Measure 12(a): Proportion of the 20−24 year old population having attained at least a Year 12 or equivalent or Australian Qualifications Framework (</w:t>
            </w:r>
            <w:proofErr w:type="spellStart"/>
            <w:r>
              <w:t>AQF</w:t>
            </w:r>
            <w:proofErr w:type="spellEnd"/>
            <w:r>
              <w:t>) Certificate level II or above, by Indigenous status</w:t>
            </w:r>
          </w:p>
          <w:p w14:paraId="3B8FEFC4" w14:textId="035F23EC" w:rsidR="003C412A" w:rsidRPr="00D87AA9" w:rsidRDefault="003C412A" w:rsidP="00356183">
            <w:pPr>
              <w:pStyle w:val="TableBodyText"/>
              <w:spacing w:before="80"/>
              <w:jc w:val="left"/>
            </w:pPr>
            <w:r>
              <w:t>Measure 12(b): Year 12 certification, by Indigenous st</w:t>
            </w:r>
            <w:r w:rsidR="004F04D8">
              <w:t>atus</w:t>
            </w:r>
          </w:p>
        </w:tc>
      </w:tr>
      <w:tr w:rsidR="003C412A" w:rsidRPr="00D87AA9" w14:paraId="7BD2531D" w14:textId="77777777" w:rsidTr="004F04D8">
        <w:tc>
          <w:tcPr>
            <w:tcW w:w="2080" w:type="dxa"/>
          </w:tcPr>
          <w:p w14:paraId="135FB58E" w14:textId="77777777" w:rsidR="003C412A" w:rsidRPr="00D87AA9" w:rsidRDefault="003C412A" w:rsidP="00356183">
            <w:pPr>
              <w:pStyle w:val="TableBodyText"/>
              <w:spacing w:before="80"/>
              <w:jc w:val="left"/>
            </w:pPr>
            <w:r w:rsidRPr="006B76DE">
              <w:t>Measure 12(a)</w:t>
            </w:r>
          </w:p>
        </w:tc>
        <w:tc>
          <w:tcPr>
            <w:tcW w:w="6709" w:type="dxa"/>
          </w:tcPr>
          <w:p w14:paraId="59C4C128" w14:textId="77777777" w:rsidR="003C412A" w:rsidRDefault="003C412A" w:rsidP="00356183">
            <w:pPr>
              <w:pStyle w:val="TableBodyText"/>
              <w:spacing w:before="80"/>
              <w:jc w:val="left"/>
            </w:pPr>
            <w:r>
              <w:t xml:space="preserve">Proportion of the 20–24 year old population having attained at least a Year 12 or equivalent or </w:t>
            </w:r>
            <w:proofErr w:type="spellStart"/>
            <w:r>
              <w:t>AQF</w:t>
            </w:r>
            <w:proofErr w:type="spellEnd"/>
            <w:r>
              <w:t xml:space="preserve"> Certificate II or above, by Indigenous status</w:t>
            </w:r>
          </w:p>
          <w:p w14:paraId="7AC82600" w14:textId="77777777" w:rsidR="003C412A" w:rsidRDefault="003C412A" w:rsidP="00356183">
            <w:pPr>
              <w:pStyle w:val="TableBodyText"/>
              <w:spacing w:before="80"/>
              <w:jc w:val="left"/>
            </w:pPr>
            <w:r>
              <w:t>The measure is defined as:</w:t>
            </w:r>
          </w:p>
          <w:p w14:paraId="6B66B5C6" w14:textId="77777777" w:rsidR="003C412A" w:rsidRDefault="003C412A" w:rsidP="004C6DAF">
            <w:pPr>
              <w:pStyle w:val="TableBullet"/>
              <w:rPr>
                <w:szCs w:val="24"/>
              </w:rPr>
            </w:pPr>
            <w:r w:rsidRPr="00FF30DB">
              <w:rPr>
                <w:i/>
              </w:rPr>
              <w:t>Numerator</w:t>
            </w:r>
            <w:r>
              <w:t xml:space="preserve"> — people aged 20–24 years who have completed year 12 or equivalent or whose level of highest non-school qualification is at </w:t>
            </w:r>
            <w:proofErr w:type="spellStart"/>
            <w:r>
              <w:t>AQF</w:t>
            </w:r>
            <w:proofErr w:type="spellEnd"/>
            <w:r>
              <w:t xml:space="preserve"> Certificate II or equivalent or above</w:t>
            </w:r>
          </w:p>
          <w:p w14:paraId="5E585CCC" w14:textId="77777777" w:rsidR="003C412A" w:rsidRDefault="003C412A" w:rsidP="004C6DAF">
            <w:pPr>
              <w:pStyle w:val="TableBullet"/>
              <w:rPr>
                <w:szCs w:val="24"/>
              </w:rPr>
            </w:pPr>
            <w:r w:rsidRPr="00FF30DB">
              <w:rPr>
                <w:i/>
              </w:rPr>
              <w:t>Denominator</w:t>
            </w:r>
            <w:r>
              <w:t xml:space="preserve"> — total population of people aged 20–24 years </w:t>
            </w:r>
          </w:p>
          <w:p w14:paraId="7EECDF4A" w14:textId="77777777" w:rsidR="003C412A" w:rsidRDefault="003C412A" w:rsidP="004C6DAF">
            <w:pPr>
              <w:pStyle w:val="TableBodyText"/>
              <w:jc w:val="left"/>
            </w:pPr>
            <w:r>
              <w:t xml:space="preserve">and is presented as a </w:t>
            </w:r>
            <w:r w:rsidR="00F8458B">
              <w:rPr>
                <w:i/>
              </w:rPr>
              <w:t>percentage</w:t>
            </w:r>
          </w:p>
          <w:p w14:paraId="6D7A0AF3" w14:textId="77777777" w:rsidR="003C412A" w:rsidRDefault="003C412A" w:rsidP="00356183">
            <w:pPr>
              <w:pStyle w:val="TableBodyText"/>
              <w:spacing w:before="80"/>
              <w:jc w:val="left"/>
            </w:pPr>
            <w:r w:rsidRPr="00AE6ED6">
              <w:rPr>
                <w:u w:val="single"/>
              </w:rPr>
              <w:t>Census and SEW data:</w:t>
            </w:r>
            <w:r>
              <w:t xml:space="preserve"> People whose level of attainment is determined to be certificate level but is not able to be further defined (</w:t>
            </w:r>
            <w:proofErr w:type="spellStart"/>
            <w:r>
              <w:t>ie</w:t>
            </w:r>
            <w:proofErr w:type="spellEnd"/>
            <w:r>
              <w:t xml:space="preserve">, Certificate </w:t>
            </w:r>
            <w:proofErr w:type="spellStart"/>
            <w:r>
              <w:t>nfd</w:t>
            </w:r>
            <w:proofErr w:type="spellEnd"/>
            <w:r>
              <w:t>) are assumed to have attained below Certificate level II and are therefore excluded from the numerator</w:t>
            </w:r>
          </w:p>
          <w:p w14:paraId="5405D365" w14:textId="77777777" w:rsidR="003C412A" w:rsidRDefault="003C412A" w:rsidP="00356183">
            <w:pPr>
              <w:pStyle w:val="TableBodyText"/>
              <w:spacing w:before="80"/>
              <w:jc w:val="left"/>
            </w:pPr>
            <w:r w:rsidRPr="00AE6ED6">
              <w:rPr>
                <w:u w:val="single"/>
              </w:rPr>
              <w:t>SEW data:</w:t>
            </w:r>
            <w:r>
              <w:t xml:space="preserve"> people whose highest level of attainment cannot be determined are assumed to have attained below Certificate II and are therefore not included in the numerator</w:t>
            </w:r>
          </w:p>
          <w:p w14:paraId="6F611E3F" w14:textId="1AEE7012" w:rsidR="003C412A" w:rsidRPr="00D87AA9" w:rsidRDefault="003C412A" w:rsidP="00356183">
            <w:pPr>
              <w:pStyle w:val="TableBodyText"/>
              <w:spacing w:before="80"/>
              <w:jc w:val="left"/>
            </w:pPr>
            <w:r w:rsidRPr="00AE6ED6">
              <w:rPr>
                <w:u w:val="single"/>
              </w:rPr>
              <w:t>Census data:</w:t>
            </w:r>
            <w:r>
              <w:t xml:space="preserve"> People who did not state if they had a non-school qualification (or whose level of education was inadequately described) and did not have Year 12, are excluded from the calculation (numerator and denominator). People who did not state their highest year of school and did not have a qualification at certificate II leve</w:t>
            </w:r>
            <w:r w:rsidR="004F04D8">
              <w:t xml:space="preserve">l or above, are also excluded. </w:t>
            </w:r>
          </w:p>
        </w:tc>
      </w:tr>
      <w:tr w:rsidR="003C412A" w:rsidRPr="00D87AA9" w14:paraId="040A1D5E" w14:textId="77777777" w:rsidTr="004F04D8">
        <w:tc>
          <w:tcPr>
            <w:tcW w:w="2080" w:type="dxa"/>
          </w:tcPr>
          <w:p w14:paraId="4ECB8608" w14:textId="77777777" w:rsidR="003C412A" w:rsidRPr="00D87AA9" w:rsidRDefault="003C412A" w:rsidP="00356183">
            <w:pPr>
              <w:pStyle w:val="TableBodyText"/>
              <w:spacing w:before="80"/>
              <w:jc w:val="left"/>
            </w:pPr>
            <w:r w:rsidRPr="006B76DE">
              <w:t>Measure 12(b)</w:t>
            </w:r>
          </w:p>
        </w:tc>
        <w:tc>
          <w:tcPr>
            <w:tcW w:w="6709" w:type="dxa"/>
          </w:tcPr>
          <w:p w14:paraId="1F0AFFF5" w14:textId="484E2B4B" w:rsidR="003C412A" w:rsidRPr="00595A34" w:rsidRDefault="003C412A" w:rsidP="00356183">
            <w:pPr>
              <w:pStyle w:val="TableBodyText"/>
              <w:spacing w:before="80"/>
              <w:jc w:val="left"/>
              <w:rPr>
                <w:u w:val="single"/>
              </w:rPr>
            </w:pPr>
            <w:r w:rsidRPr="006F41BD">
              <w:rPr>
                <w:u w:val="single"/>
              </w:rPr>
              <w:t>Measure yet to be developed</w:t>
            </w:r>
          </w:p>
        </w:tc>
      </w:tr>
      <w:tr w:rsidR="003C412A" w:rsidRPr="00D87AA9" w14:paraId="741C4896" w14:textId="77777777" w:rsidTr="004F04D8">
        <w:tc>
          <w:tcPr>
            <w:tcW w:w="2080" w:type="dxa"/>
          </w:tcPr>
          <w:p w14:paraId="13155DF1" w14:textId="77777777" w:rsidR="003C412A" w:rsidRPr="00D87AA9" w:rsidRDefault="003C412A" w:rsidP="00356183">
            <w:pPr>
              <w:pStyle w:val="TableBodyText"/>
              <w:spacing w:before="80"/>
              <w:jc w:val="left"/>
            </w:pPr>
            <w:r w:rsidRPr="00D87AA9">
              <w:t>Data source</w:t>
            </w:r>
            <w:r>
              <w:t xml:space="preserve"> </w:t>
            </w:r>
            <w:r>
              <w:br/>
              <w:t>(Measure 12(a)):</w:t>
            </w:r>
          </w:p>
        </w:tc>
        <w:tc>
          <w:tcPr>
            <w:tcW w:w="6709" w:type="dxa"/>
          </w:tcPr>
          <w:p w14:paraId="35C1A245" w14:textId="77777777" w:rsidR="003C412A" w:rsidRPr="00FF30DB" w:rsidRDefault="003C412A" w:rsidP="00356183">
            <w:pPr>
              <w:pStyle w:val="TableBodyText"/>
              <w:spacing w:before="80"/>
              <w:jc w:val="left"/>
              <w:rPr>
                <w:u w:val="single"/>
              </w:rPr>
            </w:pPr>
            <w:r w:rsidRPr="00FF30DB">
              <w:rPr>
                <w:u w:val="single"/>
              </w:rPr>
              <w:t>Main data collection</w:t>
            </w:r>
          </w:p>
          <w:p w14:paraId="607B01FD" w14:textId="77777777" w:rsidR="003C412A" w:rsidRDefault="003C412A" w:rsidP="004C6DAF">
            <w:pPr>
              <w:pStyle w:val="TableBodyText"/>
              <w:jc w:val="left"/>
            </w:pPr>
            <w:r w:rsidRPr="00FF30DB">
              <w:rPr>
                <w:i/>
              </w:rPr>
              <w:t>Numerator and denominator</w:t>
            </w:r>
            <w:r>
              <w:t xml:space="preserve"> — (Indigenous status</w:t>
            </w:r>
            <w:r w:rsidR="00454758">
              <w:t>) ABS</w:t>
            </w:r>
            <w:r>
              <w:t xml:space="preserve"> </w:t>
            </w:r>
            <w:r w:rsidRPr="00FF30DB">
              <w:rPr>
                <w:u w:val="single"/>
              </w:rPr>
              <w:t>Census of Population and Housing</w:t>
            </w:r>
            <w:r>
              <w:t xml:space="preserve"> (Census count of population). Data are available every 5 years.</w:t>
            </w:r>
          </w:p>
          <w:p w14:paraId="55DA2C0A" w14:textId="77777777" w:rsidR="003C412A" w:rsidRPr="00FF30DB" w:rsidRDefault="003C412A" w:rsidP="00356183">
            <w:pPr>
              <w:pStyle w:val="TableBodyText"/>
              <w:spacing w:before="80"/>
              <w:jc w:val="left"/>
              <w:rPr>
                <w:u w:val="single"/>
              </w:rPr>
            </w:pPr>
            <w:r w:rsidRPr="00FF30DB">
              <w:rPr>
                <w:u w:val="single"/>
              </w:rPr>
              <w:t>Supplementary data collection</w:t>
            </w:r>
          </w:p>
          <w:p w14:paraId="2DD86A01" w14:textId="77777777" w:rsidR="003C412A" w:rsidRDefault="003C412A" w:rsidP="004C6DAF">
            <w:pPr>
              <w:pStyle w:val="TableBodyText"/>
              <w:jc w:val="left"/>
            </w:pPr>
            <w:r w:rsidRPr="00FF30DB">
              <w:rPr>
                <w:i/>
              </w:rPr>
              <w:t>Numerator and denominator</w:t>
            </w:r>
            <w:r>
              <w:t xml:space="preserve"> — </w:t>
            </w:r>
          </w:p>
          <w:p w14:paraId="62677131" w14:textId="77777777" w:rsidR="003C412A" w:rsidRDefault="003C412A" w:rsidP="00356183">
            <w:pPr>
              <w:pStyle w:val="TableBodyText"/>
              <w:spacing w:before="80"/>
              <w:jc w:val="left"/>
            </w:pPr>
            <w:r>
              <w:t>(</w:t>
            </w:r>
            <w:r w:rsidR="00A51293">
              <w:t>Aboriginal and Torres Strait Islander</w:t>
            </w:r>
            <w:r>
              <w:t xml:space="preserve">) ABS </w:t>
            </w:r>
            <w:r w:rsidRPr="00FF30DB">
              <w:rPr>
                <w:u w:val="single"/>
              </w:rPr>
              <w:t>National Aboriginal and Torres Strait Islander Social Survey</w:t>
            </w:r>
            <w:r>
              <w:t xml:space="preserve"> (</w:t>
            </w:r>
            <w:proofErr w:type="spellStart"/>
            <w:r>
              <w:t>NATSISS</w:t>
            </w:r>
            <w:proofErr w:type="spellEnd"/>
            <w:r>
              <w:t xml:space="preserve">) and the core </w:t>
            </w:r>
            <w:r w:rsidR="007A117B">
              <w:t xml:space="preserve">component </w:t>
            </w:r>
            <w:r>
              <w:t>(</w:t>
            </w:r>
            <w:proofErr w:type="spellStart"/>
            <w:r>
              <w:t>NATSIHS</w:t>
            </w:r>
            <w:proofErr w:type="spellEnd"/>
            <w:r>
              <w:t xml:space="preserve"> plus </w:t>
            </w:r>
            <w:proofErr w:type="spellStart"/>
            <w:r>
              <w:t>NATSINPAS</w:t>
            </w:r>
            <w:proofErr w:type="spellEnd"/>
            <w:r>
              <w:t xml:space="preserve">) of the </w:t>
            </w:r>
            <w:r w:rsidRPr="00FF30DB">
              <w:rPr>
                <w:u w:val="single"/>
              </w:rPr>
              <w:t>Australian Aboriginal and Torres Strait Islander Health Survey</w:t>
            </w:r>
            <w:r>
              <w:t xml:space="preserve"> (</w:t>
            </w:r>
            <w:proofErr w:type="spellStart"/>
            <w:r>
              <w:t>AATSIHS</w:t>
            </w:r>
            <w:proofErr w:type="spellEnd"/>
            <w:r>
              <w:t xml:space="preserve">) – Data are available on a rotating 3-yearly cycle. </w:t>
            </w:r>
          </w:p>
          <w:p w14:paraId="64964685" w14:textId="250E13FC" w:rsidR="003C412A" w:rsidRPr="00D87AA9" w:rsidRDefault="003C412A" w:rsidP="00356183">
            <w:pPr>
              <w:pStyle w:val="TableBodyText"/>
              <w:spacing w:before="80"/>
              <w:jc w:val="left"/>
            </w:pPr>
            <w:r>
              <w:t xml:space="preserve">(Non-Indigenous) ABS </w:t>
            </w:r>
            <w:r w:rsidRPr="00FF30DB">
              <w:rPr>
                <w:u w:val="single"/>
              </w:rPr>
              <w:t>Survey of Education and Work</w:t>
            </w:r>
            <w:r>
              <w:t xml:space="preserve"> (SEW) — Data are available annually.</w:t>
            </w:r>
          </w:p>
        </w:tc>
      </w:tr>
      <w:tr w:rsidR="003C412A" w:rsidRPr="00D87AA9" w14:paraId="3CB87213" w14:textId="77777777" w:rsidTr="004F04D8">
        <w:tc>
          <w:tcPr>
            <w:tcW w:w="2080" w:type="dxa"/>
          </w:tcPr>
          <w:p w14:paraId="7B785B61" w14:textId="6041EA07" w:rsidR="003C412A" w:rsidRPr="00D87AA9" w:rsidRDefault="003C412A" w:rsidP="00356183">
            <w:pPr>
              <w:pStyle w:val="TableBodyText"/>
              <w:spacing w:before="80"/>
              <w:jc w:val="left"/>
            </w:pPr>
            <w:r w:rsidRPr="00D87AA9">
              <w:t>Data provider</w:t>
            </w:r>
            <w:r>
              <w:t xml:space="preserve"> (measure 12(a))</w:t>
            </w:r>
            <w:r w:rsidRPr="00D87AA9">
              <w:t>:</w:t>
            </w:r>
          </w:p>
        </w:tc>
        <w:tc>
          <w:tcPr>
            <w:tcW w:w="6709" w:type="dxa"/>
          </w:tcPr>
          <w:p w14:paraId="53569C56" w14:textId="77777777" w:rsidR="003C412A" w:rsidRPr="00D87AA9" w:rsidRDefault="003C412A" w:rsidP="00356183">
            <w:pPr>
              <w:pStyle w:val="TableBodyText"/>
              <w:spacing w:before="80"/>
              <w:jc w:val="left"/>
            </w:pPr>
            <w:r w:rsidRPr="006F41BD">
              <w:t>ABS</w:t>
            </w:r>
          </w:p>
        </w:tc>
      </w:tr>
      <w:tr w:rsidR="003C412A" w:rsidRPr="00D87AA9" w14:paraId="223CF4FB" w14:textId="77777777" w:rsidTr="004F04D8">
        <w:trPr>
          <w:trHeight w:val="635"/>
        </w:trPr>
        <w:tc>
          <w:tcPr>
            <w:tcW w:w="2080" w:type="dxa"/>
            <w:shd w:val="clear" w:color="auto" w:fill="auto"/>
          </w:tcPr>
          <w:p w14:paraId="0AFD0CC9" w14:textId="77777777" w:rsidR="003C412A" w:rsidRPr="00D87AA9" w:rsidRDefault="003C412A" w:rsidP="00356183">
            <w:pPr>
              <w:pStyle w:val="TableBodyText"/>
              <w:spacing w:before="80"/>
              <w:jc w:val="left"/>
            </w:pPr>
            <w:r w:rsidRPr="00D87AA9">
              <w:t>Data availability</w:t>
            </w:r>
            <w:r>
              <w:br/>
              <w:t>(measure 12(a))</w:t>
            </w:r>
            <w:r w:rsidRPr="00D87AA9">
              <w:t>:</w:t>
            </w:r>
          </w:p>
        </w:tc>
        <w:tc>
          <w:tcPr>
            <w:tcW w:w="6709" w:type="dxa"/>
            <w:shd w:val="clear" w:color="auto" w:fill="auto"/>
          </w:tcPr>
          <w:p w14:paraId="28E0323E" w14:textId="77777777" w:rsidR="00F5111A" w:rsidRPr="00FF30DB" w:rsidRDefault="00F5111A" w:rsidP="00356183">
            <w:pPr>
              <w:pStyle w:val="TableBodyText"/>
              <w:spacing w:before="80"/>
              <w:jc w:val="left"/>
              <w:rPr>
                <w:u w:val="single"/>
              </w:rPr>
            </w:pPr>
            <w:r w:rsidRPr="00FF30DB">
              <w:rPr>
                <w:u w:val="single"/>
              </w:rPr>
              <w:t>Main data collection</w:t>
            </w:r>
          </w:p>
          <w:p w14:paraId="3BF44958" w14:textId="68FF9352" w:rsidR="00F5111A" w:rsidRDefault="005E53F1" w:rsidP="00F5111A">
            <w:pPr>
              <w:pStyle w:val="TableBodyText"/>
              <w:jc w:val="left"/>
            </w:pPr>
            <w:r>
              <w:t>2016</w:t>
            </w:r>
            <w:r w:rsidR="00F5111A">
              <w:t xml:space="preserve"> — Census (</w:t>
            </w:r>
            <w:r>
              <w:t>remoteness</w:t>
            </w:r>
            <w:r w:rsidR="00A93B96">
              <w:t xml:space="preserve"> data</w:t>
            </w:r>
            <w:r w:rsidR="00197A39">
              <w:t>)</w:t>
            </w:r>
            <w:r w:rsidR="002E75A0">
              <w:t>.</w:t>
            </w:r>
            <w:r w:rsidR="00197A39">
              <w:t xml:space="preserve"> </w:t>
            </w:r>
          </w:p>
          <w:p w14:paraId="32760638" w14:textId="77777777" w:rsidR="00F5111A" w:rsidRDefault="00F5111A" w:rsidP="004F04D8">
            <w:pPr>
              <w:pStyle w:val="TableBodyText"/>
              <w:spacing w:before="80"/>
              <w:jc w:val="left"/>
              <w:rPr>
                <w:u w:val="single"/>
              </w:rPr>
            </w:pPr>
            <w:r w:rsidRPr="00FF30DB">
              <w:rPr>
                <w:u w:val="single"/>
              </w:rPr>
              <w:t>Supplementary data collection</w:t>
            </w:r>
          </w:p>
          <w:p w14:paraId="35874A5F" w14:textId="59F68925" w:rsidR="003C412A" w:rsidRPr="00D87AA9" w:rsidRDefault="00197A39" w:rsidP="004F04D8">
            <w:pPr>
              <w:pStyle w:val="TableBodyText"/>
              <w:jc w:val="left"/>
            </w:pPr>
            <w:r w:rsidRPr="006B33E9">
              <w:t xml:space="preserve">No new data </w:t>
            </w:r>
            <w:r w:rsidR="004B3D0D">
              <w:t>available.</w:t>
            </w:r>
          </w:p>
        </w:tc>
      </w:tr>
      <w:tr w:rsidR="003C412A" w:rsidRPr="00D87AA9" w14:paraId="637D2087" w14:textId="77777777" w:rsidTr="004F04D8">
        <w:tc>
          <w:tcPr>
            <w:tcW w:w="2080" w:type="dxa"/>
            <w:shd w:val="clear" w:color="auto" w:fill="auto"/>
          </w:tcPr>
          <w:p w14:paraId="178F0C31" w14:textId="77777777" w:rsidR="003C412A" w:rsidRPr="00D87AA9" w:rsidRDefault="003C412A" w:rsidP="00356183">
            <w:pPr>
              <w:pStyle w:val="TableBodyText"/>
              <w:spacing w:before="80"/>
              <w:jc w:val="left"/>
            </w:pPr>
            <w:r w:rsidRPr="00D87AA9">
              <w:t>Cross tabulations provided</w:t>
            </w:r>
            <w:r>
              <w:br/>
              <w:t>(measure 12(a))</w:t>
            </w:r>
            <w:r w:rsidRPr="00D87AA9">
              <w:t>:</w:t>
            </w:r>
          </w:p>
        </w:tc>
        <w:tc>
          <w:tcPr>
            <w:tcW w:w="6709" w:type="dxa"/>
            <w:shd w:val="clear" w:color="auto" w:fill="auto"/>
          </w:tcPr>
          <w:p w14:paraId="65D36075" w14:textId="31A16DDA" w:rsidR="00F93782" w:rsidRDefault="00F93782" w:rsidP="00356183">
            <w:pPr>
              <w:pStyle w:val="TableBodyText"/>
              <w:spacing w:before="80"/>
              <w:jc w:val="left"/>
            </w:pPr>
            <w:r>
              <w:t xml:space="preserve">State and Territory, </w:t>
            </w:r>
            <w:r w:rsidR="00325B5A">
              <w:t xml:space="preserve">and national, </w:t>
            </w:r>
            <w:r>
              <w:t>by:</w:t>
            </w:r>
          </w:p>
          <w:p w14:paraId="79284C3B" w14:textId="2E586DB4" w:rsidR="00F93782" w:rsidRDefault="00F93782" w:rsidP="00F93782">
            <w:pPr>
              <w:pStyle w:val="TableBullet"/>
              <w:spacing w:line="220" w:lineRule="atLeast"/>
              <w:rPr>
                <w:szCs w:val="24"/>
              </w:rPr>
            </w:pPr>
            <w:r>
              <w:t>Indigenous status</w:t>
            </w:r>
            <w:r w:rsidR="002E75A0">
              <w:t xml:space="preserve"> by remoteness.</w:t>
            </w:r>
          </w:p>
          <w:p w14:paraId="3B5FC108" w14:textId="1AF30987" w:rsidR="003C412A" w:rsidRPr="00D87AA9" w:rsidRDefault="003C412A" w:rsidP="006B33E9">
            <w:pPr>
              <w:pStyle w:val="TableBullet"/>
              <w:numPr>
                <w:ilvl w:val="0"/>
                <w:numId w:val="0"/>
              </w:numPr>
              <w:spacing w:line="220" w:lineRule="atLeast"/>
              <w:rPr>
                <w:i/>
                <w:szCs w:val="24"/>
              </w:rPr>
            </w:pPr>
          </w:p>
        </w:tc>
      </w:tr>
    </w:tbl>
    <w:p w14:paraId="5255C5F7" w14:textId="77777777" w:rsidR="003C412A" w:rsidRDefault="003C412A">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C412A" w14:paraId="56FEBB64" w14:textId="77777777" w:rsidTr="004F04D8">
        <w:tc>
          <w:tcPr>
            <w:tcW w:w="8789" w:type="dxa"/>
            <w:tcBorders>
              <w:top w:val="single" w:sz="6" w:space="0" w:color="78A22F"/>
              <w:left w:val="nil"/>
              <w:bottom w:val="nil"/>
              <w:right w:val="nil"/>
            </w:tcBorders>
            <w:shd w:val="clear" w:color="auto" w:fill="F2F2F2"/>
          </w:tcPr>
          <w:p w14:paraId="3F98764A" w14:textId="17C4C978" w:rsidR="003C412A" w:rsidRDefault="003C412A" w:rsidP="00291F8D">
            <w:pPr>
              <w:pStyle w:val="BoxTitle"/>
            </w:pPr>
            <w:r w:rsidRPr="00BC48C3">
              <w:rPr>
                <w:b w:val="0"/>
              </w:rPr>
              <w:t>Box</w:t>
            </w:r>
            <w:r w:rsidR="00B1719E" w:rsidRPr="00BE6154">
              <w:rPr>
                <w:b w:val="0"/>
              </w:rPr>
              <w:t xml:space="preserve"> </w:t>
            </w:r>
            <w:r w:rsidR="00A8151B" w:rsidRPr="00BE6154">
              <w:rPr>
                <w:b w:val="0"/>
              </w:rPr>
              <w:t>3</w:t>
            </w:r>
            <w:r w:rsidR="00291F8D">
              <w:rPr>
                <w:b w:val="0"/>
              </w:rPr>
              <w:t>1</w:t>
            </w:r>
            <w:r w:rsidRPr="00BC48C3">
              <w:tab/>
            </w:r>
            <w:r w:rsidR="00135E93">
              <w:t>Results</w:t>
            </w:r>
          </w:p>
        </w:tc>
      </w:tr>
      <w:tr w:rsidR="003C412A" w:rsidRPr="003C412A" w14:paraId="566BB43E" w14:textId="77777777" w:rsidTr="004F04D8">
        <w:trPr>
          <w:cantSplit/>
        </w:trPr>
        <w:tc>
          <w:tcPr>
            <w:tcW w:w="8789" w:type="dxa"/>
            <w:tcBorders>
              <w:top w:val="nil"/>
              <w:left w:val="nil"/>
              <w:bottom w:val="nil"/>
              <w:right w:val="nil"/>
            </w:tcBorders>
            <w:shd w:val="clear" w:color="auto" w:fill="F2F2F2"/>
          </w:tcPr>
          <w:p w14:paraId="0567C240" w14:textId="0D1D984E" w:rsidR="00135E93" w:rsidRPr="00135E93" w:rsidRDefault="00135E93" w:rsidP="00135E93">
            <w:pPr>
              <w:pStyle w:val="Box"/>
            </w:pPr>
            <w:r w:rsidRPr="00135E93">
              <w:t xml:space="preserve">For this report, new data are available </w:t>
            </w:r>
            <w:r w:rsidR="004B3D0D">
              <w:t xml:space="preserve">from the main data source (Census) </w:t>
            </w:r>
            <w:r w:rsidRPr="00135E93">
              <w:t>for measure (a</w:t>
            </w:r>
            <w:r>
              <w:t>)</w:t>
            </w:r>
            <w:r w:rsidRPr="00135E93">
              <w:t>.</w:t>
            </w:r>
          </w:p>
          <w:p w14:paraId="7893B955" w14:textId="45AF6065" w:rsidR="00135E93" w:rsidRPr="00135E93" w:rsidRDefault="00135E93" w:rsidP="00135E93">
            <w:pPr>
              <w:pStyle w:val="BoxListBullet"/>
            </w:pPr>
            <w:r w:rsidRPr="00135E93">
              <w:t>Data by State and territory, by Indigenous status</w:t>
            </w:r>
            <w:r w:rsidR="00082DB4">
              <w:t xml:space="preserve"> by remoteness</w:t>
            </w:r>
            <w:r w:rsidRPr="00135E93">
              <w:t xml:space="preserve"> are presented in table </w:t>
            </w:r>
            <w:proofErr w:type="spellStart"/>
            <w:r w:rsidRPr="00135E93">
              <w:t>NIRA.12.1</w:t>
            </w:r>
            <w:proofErr w:type="spellEnd"/>
            <w:r w:rsidR="00AD2E5A">
              <w:t>.</w:t>
            </w:r>
          </w:p>
          <w:p w14:paraId="279CA2BC" w14:textId="064A9765" w:rsidR="004B3D0D" w:rsidRDefault="004B3D0D" w:rsidP="0093133F">
            <w:pPr>
              <w:pStyle w:val="Box"/>
            </w:pPr>
            <w:r w:rsidRPr="003C412A">
              <w:t xml:space="preserve">Data </w:t>
            </w:r>
            <w:r>
              <w:t>from the main data source</w:t>
            </w:r>
            <w:r w:rsidRPr="003C412A">
              <w:t xml:space="preserve"> </w:t>
            </w:r>
            <w:r w:rsidR="009824F7">
              <w:t xml:space="preserve"> were reported in the 2016-17 </w:t>
            </w:r>
            <w:proofErr w:type="spellStart"/>
            <w:r w:rsidR="009824F7">
              <w:t>NIRA</w:t>
            </w:r>
            <w:proofErr w:type="spellEnd"/>
            <w:r w:rsidR="009824F7">
              <w:t xml:space="preserve"> performance report</w:t>
            </w:r>
            <w:r w:rsidR="00605004">
              <w:t xml:space="preserve"> (2016 Census), </w:t>
            </w:r>
            <w:r w:rsidRPr="003C412A">
              <w:t xml:space="preserve">the 2011-12 </w:t>
            </w:r>
            <w:proofErr w:type="spellStart"/>
            <w:r w:rsidRPr="003C412A">
              <w:t>NIRA</w:t>
            </w:r>
            <w:proofErr w:type="spellEnd"/>
            <w:r w:rsidRPr="003C412A">
              <w:t xml:space="preserve"> performance report</w:t>
            </w:r>
            <w:r>
              <w:t xml:space="preserve"> (2011 Census) and baseline 2008-09 </w:t>
            </w:r>
            <w:proofErr w:type="spellStart"/>
            <w:r>
              <w:t>NIRA</w:t>
            </w:r>
            <w:proofErr w:type="spellEnd"/>
            <w:r>
              <w:t xml:space="preserve"> performance report (2006 Census), with </w:t>
            </w:r>
            <w:proofErr w:type="spellStart"/>
            <w:r>
              <w:t>disaggregations</w:t>
            </w:r>
            <w:proofErr w:type="spellEnd"/>
            <w:r>
              <w:t xml:space="preserve"> by remoteness </w:t>
            </w:r>
            <w:r w:rsidR="00605004">
              <w:t xml:space="preserve">(2011 and 2006) </w:t>
            </w:r>
            <w:r>
              <w:t xml:space="preserve">reported in the 2012-13 </w:t>
            </w:r>
            <w:proofErr w:type="spellStart"/>
            <w:r>
              <w:t>NIRA</w:t>
            </w:r>
            <w:proofErr w:type="spellEnd"/>
            <w:r>
              <w:t xml:space="preserve"> performance report. </w:t>
            </w:r>
          </w:p>
          <w:p w14:paraId="0AC58428" w14:textId="769EB835" w:rsidR="003C412A" w:rsidRPr="003C412A" w:rsidRDefault="0093133F" w:rsidP="00454758">
            <w:pPr>
              <w:pStyle w:val="Box"/>
            </w:pPr>
            <w:r>
              <w:t xml:space="preserve">Historical supplementary data </w:t>
            </w:r>
            <w:r w:rsidR="004B3D0D">
              <w:t xml:space="preserve">from the 2014-15 </w:t>
            </w:r>
            <w:proofErr w:type="spellStart"/>
            <w:r w:rsidR="004B3D0D">
              <w:t>NATSISS</w:t>
            </w:r>
            <w:proofErr w:type="spellEnd"/>
            <w:r w:rsidR="004B3D0D">
              <w:t xml:space="preserve"> and </w:t>
            </w:r>
            <w:r w:rsidR="00A93B96">
              <w:t>2014 SEW</w:t>
            </w:r>
            <w:r w:rsidR="00197A39">
              <w:t xml:space="preserve"> were reported in the 2015</w:t>
            </w:r>
            <w:r w:rsidR="004B3D0D">
              <w:noBreakHyphen/>
            </w:r>
            <w:r w:rsidR="00197A39">
              <w:t xml:space="preserve">16 </w:t>
            </w:r>
            <w:proofErr w:type="spellStart"/>
            <w:r w:rsidR="00197A39">
              <w:t>NIRA</w:t>
            </w:r>
            <w:proofErr w:type="spellEnd"/>
            <w:r w:rsidR="00197A39">
              <w:t xml:space="preserve"> performance report</w:t>
            </w:r>
            <w:r w:rsidR="00605004">
              <w:t>, and</w:t>
            </w:r>
            <w:r w:rsidR="00197A39">
              <w:t xml:space="preserve"> data </w:t>
            </w:r>
            <w:r w:rsidR="004B3D0D">
              <w:t xml:space="preserve">from the 2012-13 </w:t>
            </w:r>
            <w:proofErr w:type="spellStart"/>
            <w:r w:rsidR="004B3D0D">
              <w:t>AATSIHS</w:t>
            </w:r>
            <w:proofErr w:type="spellEnd"/>
            <w:r w:rsidR="004B3D0D">
              <w:t xml:space="preserve"> and </w:t>
            </w:r>
            <w:r w:rsidR="00A93B96">
              <w:t>2012 SEW</w:t>
            </w:r>
            <w:r>
              <w:t xml:space="preserve"> </w:t>
            </w:r>
            <w:r w:rsidR="00454758">
              <w:t>were reported</w:t>
            </w:r>
            <w:r>
              <w:t xml:space="preserve"> in the 2013-14 </w:t>
            </w:r>
            <w:proofErr w:type="spellStart"/>
            <w:r>
              <w:t>NIRA</w:t>
            </w:r>
            <w:proofErr w:type="spellEnd"/>
            <w:r>
              <w:t xml:space="preserve"> performance report. Supplementary data for 2008 were reported in the 2008-09 baseline </w:t>
            </w:r>
            <w:proofErr w:type="spellStart"/>
            <w:r w:rsidR="00F555B6">
              <w:t>NIRA</w:t>
            </w:r>
            <w:proofErr w:type="spellEnd"/>
            <w:r w:rsidR="00F555B6">
              <w:t xml:space="preserve"> performance report</w:t>
            </w:r>
            <w:r>
              <w:t xml:space="preserve">, with disaggregation by remoteness reported in the 2012-13 </w:t>
            </w:r>
            <w:proofErr w:type="spellStart"/>
            <w:r w:rsidR="00F555B6">
              <w:t>NIRA</w:t>
            </w:r>
            <w:proofErr w:type="spellEnd"/>
            <w:r w:rsidR="00F555B6">
              <w:t xml:space="preserve"> performance report</w:t>
            </w:r>
            <w:r>
              <w:t xml:space="preserve"> (</w:t>
            </w:r>
            <w:r w:rsidR="00A51293">
              <w:t>Aboriginal and Torres Strait Islander</w:t>
            </w:r>
            <w:r w:rsidR="004B3D0D">
              <w:t xml:space="preserve"> people</w:t>
            </w:r>
            <w:r w:rsidR="00A51293">
              <w:t xml:space="preserve"> </w:t>
            </w:r>
            <w:r>
              <w:t>only).</w:t>
            </w:r>
          </w:p>
        </w:tc>
      </w:tr>
      <w:tr w:rsidR="003C412A" w14:paraId="67A9F5AB" w14:textId="77777777" w:rsidTr="004F04D8">
        <w:trPr>
          <w:cantSplit/>
        </w:trPr>
        <w:tc>
          <w:tcPr>
            <w:tcW w:w="8789" w:type="dxa"/>
            <w:tcBorders>
              <w:top w:val="nil"/>
              <w:left w:val="nil"/>
              <w:bottom w:val="single" w:sz="6" w:space="0" w:color="78A22F"/>
              <w:right w:val="nil"/>
            </w:tcBorders>
            <w:shd w:val="clear" w:color="auto" w:fill="F2F2F2"/>
          </w:tcPr>
          <w:p w14:paraId="7CEE93D3" w14:textId="77777777" w:rsidR="003C412A" w:rsidRDefault="003C412A">
            <w:pPr>
              <w:pStyle w:val="Box"/>
              <w:spacing w:before="0" w:line="120" w:lineRule="exact"/>
            </w:pPr>
          </w:p>
        </w:tc>
      </w:tr>
      <w:tr w:rsidR="003C412A" w:rsidRPr="000863A5" w14:paraId="5AA45C4F" w14:textId="77777777" w:rsidTr="004F04D8">
        <w:tc>
          <w:tcPr>
            <w:tcW w:w="8789" w:type="dxa"/>
            <w:tcBorders>
              <w:top w:val="single" w:sz="6" w:space="0" w:color="78A22F"/>
              <w:left w:val="nil"/>
              <w:bottom w:val="nil"/>
              <w:right w:val="nil"/>
            </w:tcBorders>
          </w:tcPr>
          <w:p w14:paraId="7E42903C" w14:textId="77777777" w:rsidR="003C412A" w:rsidRPr="00626D32" w:rsidRDefault="003C412A" w:rsidP="004C6DAF">
            <w:pPr>
              <w:pStyle w:val="BoxSpaceBelow"/>
            </w:pPr>
          </w:p>
        </w:tc>
      </w:tr>
      <w:tr w:rsidR="003E3EED" w14:paraId="46FA8BBB" w14:textId="77777777" w:rsidTr="004F04D8">
        <w:tc>
          <w:tcPr>
            <w:tcW w:w="8789" w:type="dxa"/>
            <w:tcBorders>
              <w:top w:val="single" w:sz="6" w:space="0" w:color="78A22F"/>
              <w:left w:val="nil"/>
              <w:bottom w:val="nil"/>
              <w:right w:val="nil"/>
            </w:tcBorders>
            <w:shd w:val="clear" w:color="auto" w:fill="F2F2F2"/>
          </w:tcPr>
          <w:p w14:paraId="6E762F1E" w14:textId="6E017218" w:rsidR="003E3EED" w:rsidRDefault="00026629" w:rsidP="00291F8D">
            <w:pPr>
              <w:pStyle w:val="BoxTitle"/>
            </w:pPr>
            <w:r>
              <w:rPr>
                <w:b w:val="0"/>
              </w:rPr>
              <w:lastRenderedPageBreak/>
              <w:t xml:space="preserve">Box </w:t>
            </w:r>
            <w:r w:rsidR="00A8151B">
              <w:rPr>
                <w:b w:val="0"/>
              </w:rPr>
              <w:t>3</w:t>
            </w:r>
            <w:r w:rsidR="00291F8D">
              <w:rPr>
                <w:b w:val="0"/>
              </w:rPr>
              <w:t>2</w:t>
            </w:r>
            <w:r w:rsidR="003E3EED">
              <w:tab/>
              <w:t>Comment on data quality</w:t>
            </w:r>
          </w:p>
        </w:tc>
      </w:tr>
      <w:tr w:rsidR="003E3EED" w:rsidRPr="003C412A" w14:paraId="76B14D7A" w14:textId="77777777" w:rsidTr="004F04D8">
        <w:trPr>
          <w:cantSplit/>
        </w:trPr>
        <w:tc>
          <w:tcPr>
            <w:tcW w:w="8789" w:type="dxa"/>
            <w:tcBorders>
              <w:top w:val="nil"/>
              <w:left w:val="nil"/>
              <w:bottom w:val="nil"/>
              <w:right w:val="nil"/>
            </w:tcBorders>
            <w:shd w:val="clear" w:color="auto" w:fill="F2F2F2"/>
          </w:tcPr>
          <w:p w14:paraId="14CF6C43" w14:textId="77777777" w:rsidR="00E64616" w:rsidRPr="003C412A" w:rsidRDefault="00E64616" w:rsidP="00E64616">
            <w:pPr>
              <w:pStyle w:val="Box"/>
              <w:keepLines/>
            </w:pPr>
            <w:r w:rsidRPr="003C412A">
              <w:t>Key points on data quality for this indicator are summarised below.</w:t>
            </w:r>
          </w:p>
          <w:p w14:paraId="74790C52" w14:textId="77777777" w:rsidR="00E64616" w:rsidRPr="003C412A" w:rsidRDefault="00E64616" w:rsidP="00E64616">
            <w:pPr>
              <w:pStyle w:val="BoxListBullet"/>
              <w:keepLines/>
            </w:pPr>
            <w:r w:rsidRPr="003C412A">
              <w:t xml:space="preserve">Data provide relevant information on the proportion of 20–24 year olds who have completed year 12 or equivalent or </w:t>
            </w:r>
            <w:proofErr w:type="spellStart"/>
            <w:r w:rsidRPr="003C412A">
              <w:t>AQF</w:t>
            </w:r>
            <w:proofErr w:type="spellEnd"/>
            <w:r w:rsidRPr="003C412A">
              <w:t xml:space="preserve"> Certificate II or above (measure (a)). Data are available by State and Territory.</w:t>
            </w:r>
          </w:p>
          <w:p w14:paraId="557489EB" w14:textId="1275E2F4" w:rsidR="004F1B9E" w:rsidRDefault="00074D31" w:rsidP="00976731">
            <w:pPr>
              <w:pStyle w:val="BoxListBullet"/>
              <w:keepLines/>
            </w:pPr>
            <w:r>
              <w:t>The most recent available data are from the main data source (</w:t>
            </w:r>
            <w:r w:rsidR="004B3D0D">
              <w:t>Census</w:t>
            </w:r>
            <w:r>
              <w:t>), with the data in respect of 2016</w:t>
            </w:r>
            <w:r w:rsidR="00197A39">
              <w:t>.</w:t>
            </w:r>
            <w:r w:rsidR="00E64616" w:rsidRPr="003C412A">
              <w:t xml:space="preserve"> </w:t>
            </w:r>
          </w:p>
          <w:p w14:paraId="5109363E" w14:textId="73A4D026" w:rsidR="00546B5B" w:rsidRPr="003C412A" w:rsidRDefault="00546B5B" w:rsidP="00976731">
            <w:pPr>
              <w:pStyle w:val="BoxListBullet"/>
              <w:keepLines/>
            </w:pPr>
            <w:r w:rsidRPr="00546B5B">
              <w:t>The Indigenous status item is used to ascertain Indigenous status of persons. The non-response rate for this variable was 6.0% (</w:t>
            </w:r>
            <w:r w:rsidR="004F1B9E">
              <w:t>up</w:t>
            </w:r>
            <w:r w:rsidRPr="00546B5B">
              <w:t xml:space="preserve"> from 4.9% in </w:t>
            </w:r>
            <w:r w:rsidR="006E2D55">
              <w:t xml:space="preserve">the </w:t>
            </w:r>
            <w:r w:rsidRPr="00546B5B">
              <w:t>2011</w:t>
            </w:r>
            <w:r w:rsidR="006E2D55">
              <w:t xml:space="preserve"> Census</w:t>
            </w:r>
            <w:r w:rsidRPr="00546B5B">
              <w:t>).</w:t>
            </w:r>
          </w:p>
          <w:p w14:paraId="2E0D1F28" w14:textId="6BB322DF" w:rsidR="004B3D0D" w:rsidRDefault="004B3D0D" w:rsidP="00E64616">
            <w:pPr>
              <w:pStyle w:val="BoxListBullet"/>
              <w:keepLines/>
            </w:pPr>
            <w:r>
              <w:t>The accuracy of the data provided is affected by the level of non-response on required data items.</w:t>
            </w:r>
            <w:r w:rsidR="0071084C">
              <w:t xml:space="preserve"> Non-response for ‘highest year of school completed’ (used to capture year 12 completions) was 8.6 per cent; and for ‘level of education’ (used to chapter </w:t>
            </w:r>
            <w:proofErr w:type="spellStart"/>
            <w:r w:rsidR="0071084C">
              <w:t>AQF</w:t>
            </w:r>
            <w:proofErr w:type="spellEnd"/>
            <w:r w:rsidR="0071084C">
              <w:t xml:space="preserve"> certificate level II or above completions) was 2.8 per cent (similar to the 2011 Census non-response for these items).</w:t>
            </w:r>
          </w:p>
          <w:p w14:paraId="71B18F5B" w14:textId="51557C27" w:rsidR="00E64616" w:rsidRPr="003C412A" w:rsidRDefault="006E2D55">
            <w:pPr>
              <w:pStyle w:val="BoxListBullet"/>
              <w:keepLines/>
            </w:pPr>
            <w:r w:rsidRPr="003C412A">
              <w:t>Detailed explanatory notes are publicly available to assist in the interpretation of results.</w:t>
            </w:r>
            <w:r>
              <w:t xml:space="preserve"> Additional data from</w:t>
            </w:r>
            <w:r w:rsidR="00E64616" w:rsidRPr="003C412A">
              <w:t xml:space="preserve"> the data source are available on-line, and on request.</w:t>
            </w:r>
          </w:p>
          <w:p w14:paraId="43D59596" w14:textId="77777777" w:rsidR="00E64616" w:rsidRPr="003C412A" w:rsidRDefault="00E64616" w:rsidP="00E64616">
            <w:pPr>
              <w:pStyle w:val="Box"/>
              <w:keepLines/>
            </w:pPr>
            <w:r w:rsidRPr="003C412A">
              <w:t>The Steering Committee also notes the following issues:</w:t>
            </w:r>
          </w:p>
          <w:p w14:paraId="73D886B6" w14:textId="77777777" w:rsidR="00E64616" w:rsidRPr="003C412A" w:rsidRDefault="00E64616" w:rsidP="00E64616">
            <w:pPr>
              <w:pStyle w:val="BoxListBullet"/>
              <w:keepLines/>
            </w:pPr>
            <w:r w:rsidRPr="003C412A">
              <w:t xml:space="preserve">The wording of the indicator in the </w:t>
            </w:r>
            <w:proofErr w:type="spellStart"/>
            <w:r w:rsidRPr="003C412A">
              <w:t>NIRA</w:t>
            </w:r>
            <w:proofErr w:type="spellEnd"/>
            <w:r w:rsidRPr="003C412A">
              <w:t xml:space="preserve"> lists the qualifications to be considered as year 12 or equivalent or </w:t>
            </w:r>
            <w:proofErr w:type="spellStart"/>
            <w:r w:rsidRPr="003C412A">
              <w:t>AQF</w:t>
            </w:r>
            <w:proofErr w:type="spellEnd"/>
            <w:r w:rsidRPr="003C412A">
              <w:t xml:space="preserve"> Certificate II. The Steering Committee received advice from the </w:t>
            </w:r>
            <w:r w:rsidR="004345ED">
              <w:t>relevant education committees</w:t>
            </w:r>
            <w:r w:rsidRPr="003C412A">
              <w:t xml:space="preserve"> that the intention of the indicator was to consider the proportion of people with year 12 or equivalent or </w:t>
            </w:r>
            <w:proofErr w:type="spellStart"/>
            <w:r w:rsidRPr="003C412A">
              <w:t>AQF</w:t>
            </w:r>
            <w:proofErr w:type="spellEnd"/>
            <w:r w:rsidRPr="003C412A">
              <w:t xml:space="preserve"> Certificate II </w:t>
            </w:r>
            <w:r w:rsidRPr="004A075D">
              <w:rPr>
                <w:u w:val="single"/>
              </w:rPr>
              <w:t>or above</w:t>
            </w:r>
            <w:r w:rsidRPr="003C412A">
              <w:t xml:space="preserve"> (the intention being to determine the proportion of the population with at least (but not limited to) year 12 or equivalent). The reported data support this interpretation of the measure.</w:t>
            </w:r>
          </w:p>
          <w:p w14:paraId="218609A6" w14:textId="7893B4E2" w:rsidR="006A68DE" w:rsidRDefault="006A68DE">
            <w:pPr>
              <w:pStyle w:val="BoxListBullet"/>
              <w:keepLines/>
            </w:pPr>
            <w:r>
              <w:t xml:space="preserve">The 2016 Census includes Norfolk Island for the first time, which is counted under ‘other territories’ and the Australian total. </w:t>
            </w:r>
            <w:r w:rsidR="00523B4E">
              <w:t>This</w:t>
            </w:r>
            <w:r>
              <w:t xml:space="preserve"> addition </w:t>
            </w:r>
            <w:r w:rsidR="00523B4E">
              <w:t xml:space="preserve">has had no </w:t>
            </w:r>
            <w:r w:rsidR="009B231E">
              <w:t xml:space="preserve">material impact </w:t>
            </w:r>
            <w:r w:rsidR="00523B4E">
              <w:t xml:space="preserve">on </w:t>
            </w:r>
            <w:r w:rsidR="006E2D55">
              <w:t xml:space="preserve">the national proportions, and therefore </w:t>
            </w:r>
            <w:r w:rsidR="00B47DEB">
              <w:t>does not</w:t>
            </w:r>
            <w:r w:rsidR="006E2D55">
              <w:t xml:space="preserve"> </w:t>
            </w:r>
            <w:r w:rsidR="009B231E">
              <w:t xml:space="preserve">affect </w:t>
            </w:r>
            <w:r w:rsidR="00523B4E">
              <w:t>time series comparisons</w:t>
            </w:r>
            <w:r>
              <w:t>.</w:t>
            </w:r>
            <w:r w:rsidR="006E47D4" w:rsidRPr="006E47D4">
              <w:t xml:space="preserve"> Norfolk Island has a remoteness category of Very remote. Analysis has confirmed that for </w:t>
            </w:r>
            <w:r w:rsidR="006E47D4">
              <w:t>remoteness data</w:t>
            </w:r>
            <w:r w:rsidR="006E47D4" w:rsidRPr="006E47D4">
              <w:t>, there is no material impact caused by the inclusion of Norfolk Island in relation to the time series (equal to or less than 0.1 per cent for very remote data at the national level).</w:t>
            </w:r>
          </w:p>
          <w:p w14:paraId="634F5D0B" w14:textId="14AEB966" w:rsidR="00E64616" w:rsidRPr="003C412A" w:rsidRDefault="006A68DE">
            <w:pPr>
              <w:pStyle w:val="BoxListBullet"/>
              <w:keepLines/>
            </w:pPr>
            <w:r>
              <w:t>Census</w:t>
            </w:r>
            <w:r w:rsidRPr="003C412A">
              <w:t xml:space="preserve"> </w:t>
            </w:r>
            <w:r w:rsidR="00E64616" w:rsidRPr="003C412A">
              <w:t xml:space="preserve">data are generally not directly comparable to </w:t>
            </w:r>
            <w:r>
              <w:t>survey</w:t>
            </w:r>
            <w:r w:rsidRPr="003C412A">
              <w:t xml:space="preserve"> </w:t>
            </w:r>
            <w:r w:rsidR="00E64616" w:rsidRPr="003C412A">
              <w:t xml:space="preserve">data when measuring change over time. </w:t>
            </w:r>
          </w:p>
        </w:tc>
      </w:tr>
      <w:tr w:rsidR="003E3EED" w14:paraId="2484601F" w14:textId="77777777" w:rsidTr="004F04D8">
        <w:trPr>
          <w:cantSplit/>
        </w:trPr>
        <w:tc>
          <w:tcPr>
            <w:tcW w:w="8789" w:type="dxa"/>
            <w:tcBorders>
              <w:top w:val="nil"/>
              <w:left w:val="nil"/>
              <w:bottom w:val="single" w:sz="6" w:space="0" w:color="78A22F"/>
              <w:right w:val="nil"/>
            </w:tcBorders>
            <w:shd w:val="clear" w:color="auto" w:fill="F2F2F2"/>
          </w:tcPr>
          <w:p w14:paraId="0AF64366" w14:textId="77777777" w:rsidR="003E3EED" w:rsidRDefault="003E3EED" w:rsidP="003E3EED">
            <w:pPr>
              <w:pStyle w:val="Box"/>
              <w:spacing w:before="0" w:line="120" w:lineRule="exact"/>
            </w:pPr>
          </w:p>
        </w:tc>
      </w:tr>
      <w:tr w:rsidR="003E3EED" w:rsidRPr="000863A5" w14:paraId="0C13084A" w14:textId="77777777" w:rsidTr="004F04D8">
        <w:tc>
          <w:tcPr>
            <w:tcW w:w="8789" w:type="dxa"/>
            <w:tcBorders>
              <w:top w:val="single" w:sz="6" w:space="0" w:color="78A22F"/>
              <w:left w:val="nil"/>
              <w:bottom w:val="nil"/>
              <w:right w:val="nil"/>
            </w:tcBorders>
          </w:tcPr>
          <w:p w14:paraId="0568445B" w14:textId="77777777" w:rsidR="003E3EED" w:rsidRPr="00626D32" w:rsidRDefault="003E3EED" w:rsidP="003E3EED">
            <w:pPr>
              <w:pStyle w:val="BoxSpaceBelow"/>
            </w:pPr>
          </w:p>
        </w:tc>
      </w:tr>
    </w:tbl>
    <w:p w14:paraId="241DE933" w14:textId="42856D0C" w:rsidR="00365748" w:rsidRPr="00921D4D" w:rsidRDefault="003C412A" w:rsidP="00365748">
      <w:pPr>
        <w:pStyle w:val="Heading3"/>
        <w:spacing w:after="360"/>
      </w:pPr>
      <w:bookmarkStart w:id="24" w:name="_Ref277842876"/>
      <w:bookmarkStart w:id="25" w:name="_Ref341361602"/>
      <w:r w:rsidRPr="00921D4D">
        <w:lastRenderedPageBreak/>
        <w:t xml:space="preserve">Indicator 13: </w:t>
      </w:r>
      <w:bookmarkEnd w:id="24"/>
      <w:r>
        <w:t xml:space="preserve">Attendance rates year 1 to year </w:t>
      </w:r>
      <w:bookmarkEnd w:id="25"/>
      <w:r w:rsidR="00365748">
        <w:t>10</w:t>
      </w:r>
    </w:p>
    <w:tbl>
      <w:tblPr>
        <w:tblW w:w="8789" w:type="dxa"/>
        <w:tblCellMar>
          <w:right w:w="0" w:type="dxa"/>
        </w:tblCellMar>
        <w:tblLook w:val="0000" w:firstRow="0" w:lastRow="0" w:firstColumn="0" w:lastColumn="0" w:noHBand="0" w:noVBand="0"/>
      </w:tblPr>
      <w:tblGrid>
        <w:gridCol w:w="2093"/>
        <w:gridCol w:w="6696"/>
      </w:tblGrid>
      <w:tr w:rsidR="005D75B8" w:rsidRPr="00D87AA9" w14:paraId="6789AEC5" w14:textId="77777777" w:rsidTr="004F04D8">
        <w:trPr>
          <w:trHeight w:val="745"/>
        </w:trPr>
        <w:tc>
          <w:tcPr>
            <w:tcW w:w="2093" w:type="dxa"/>
          </w:tcPr>
          <w:p w14:paraId="4BE3CAA0" w14:textId="0DD8CA74" w:rsidR="005D75B8" w:rsidRPr="00D87AA9" w:rsidRDefault="005D75B8" w:rsidP="00454758">
            <w:pPr>
              <w:pStyle w:val="TableBodyText"/>
              <w:jc w:val="left"/>
            </w:pPr>
            <w:r w:rsidRPr="00B82DC5">
              <w:t>Key amendments f</w:t>
            </w:r>
            <w:r w:rsidR="00356183">
              <w:t>rom previous cycle of reporting:</w:t>
            </w:r>
          </w:p>
        </w:tc>
        <w:tc>
          <w:tcPr>
            <w:tcW w:w="6696" w:type="dxa"/>
          </w:tcPr>
          <w:p w14:paraId="7CE13A62" w14:textId="695F3EFA" w:rsidR="005D75B8" w:rsidRPr="00D87AA9" w:rsidRDefault="006A68DE" w:rsidP="00F57F7B">
            <w:pPr>
              <w:pStyle w:val="TableBodyText"/>
              <w:jc w:val="left"/>
            </w:pPr>
            <w:r w:rsidRPr="00C44109">
              <w:t xml:space="preserve">This indicator is unchanged from the previous </w:t>
            </w:r>
            <w:proofErr w:type="spellStart"/>
            <w:r>
              <w:t>NIRA</w:t>
            </w:r>
            <w:proofErr w:type="spellEnd"/>
            <w:r>
              <w:t xml:space="preserve"> performance report</w:t>
            </w:r>
          </w:p>
        </w:tc>
      </w:tr>
      <w:tr w:rsidR="005D75B8" w:rsidRPr="00D87AA9" w14:paraId="753C0A5A" w14:textId="77777777" w:rsidTr="004F04D8">
        <w:tc>
          <w:tcPr>
            <w:tcW w:w="2093" w:type="dxa"/>
          </w:tcPr>
          <w:p w14:paraId="2802AE6F" w14:textId="77777777" w:rsidR="005D75B8" w:rsidRPr="00D87AA9" w:rsidRDefault="005D75B8" w:rsidP="00356183">
            <w:pPr>
              <w:pStyle w:val="TableBodyText"/>
              <w:spacing w:before="80"/>
              <w:jc w:val="left"/>
            </w:pPr>
            <w:r w:rsidRPr="00D87AA9">
              <w:t>Target:</w:t>
            </w:r>
          </w:p>
        </w:tc>
        <w:tc>
          <w:tcPr>
            <w:tcW w:w="6696" w:type="dxa"/>
          </w:tcPr>
          <w:p w14:paraId="089FCB04" w14:textId="1184764B" w:rsidR="005D75B8" w:rsidRPr="00D87AA9" w:rsidRDefault="005D75B8" w:rsidP="00356183">
            <w:pPr>
              <w:pStyle w:val="TableBodyText"/>
              <w:spacing w:before="80"/>
              <w:jc w:val="left"/>
            </w:pPr>
            <w:r>
              <w:t>C</w:t>
            </w:r>
            <w:r w:rsidRPr="00C21B9A">
              <w:t xml:space="preserve">lose the gap between </w:t>
            </w:r>
            <w:r w:rsidR="00A51293">
              <w:t>Aboriginal and Torres Strait Islander</w:t>
            </w:r>
            <w:r w:rsidR="00A51293" w:rsidRPr="00C21B9A">
              <w:t xml:space="preserve"> </w:t>
            </w:r>
            <w:r w:rsidRPr="00C21B9A">
              <w:t xml:space="preserve">and non-Indigenous school attendance within five years (by </w:t>
            </w:r>
            <w:r>
              <w:t xml:space="preserve">the end of </w:t>
            </w:r>
            <w:r w:rsidRPr="00C21B9A">
              <w:t>2018)</w:t>
            </w:r>
            <w:r w:rsidR="004F04D8">
              <w:t>.</w:t>
            </w:r>
          </w:p>
        </w:tc>
      </w:tr>
      <w:tr w:rsidR="005D75B8" w:rsidRPr="00D87AA9" w14:paraId="0A0DB220" w14:textId="77777777" w:rsidTr="004F04D8">
        <w:tc>
          <w:tcPr>
            <w:tcW w:w="2093" w:type="dxa"/>
          </w:tcPr>
          <w:p w14:paraId="1B661DDA" w14:textId="77777777" w:rsidR="005D75B8" w:rsidRPr="00D87AA9" w:rsidRDefault="005D75B8" w:rsidP="00356183">
            <w:pPr>
              <w:pStyle w:val="TableBodyText"/>
              <w:spacing w:before="80"/>
              <w:jc w:val="left"/>
            </w:pPr>
            <w:r w:rsidRPr="00D87AA9">
              <w:t>Measure:</w:t>
            </w:r>
          </w:p>
        </w:tc>
        <w:tc>
          <w:tcPr>
            <w:tcW w:w="6696" w:type="dxa"/>
          </w:tcPr>
          <w:p w14:paraId="4195B2DD" w14:textId="163A8526" w:rsidR="005D75B8" w:rsidRDefault="005D75B8" w:rsidP="00356183">
            <w:pPr>
              <w:pStyle w:val="TableBodyText"/>
              <w:spacing w:before="80"/>
              <w:jc w:val="left"/>
            </w:pPr>
            <w:r>
              <w:t>There are three measures for</w:t>
            </w:r>
            <w:r w:rsidR="004F04D8">
              <w:t xml:space="preserve"> this indicator:</w:t>
            </w:r>
          </w:p>
          <w:p w14:paraId="26FB8D25" w14:textId="77777777" w:rsidR="005D75B8" w:rsidRDefault="005D75B8" w:rsidP="00356183">
            <w:pPr>
              <w:pStyle w:val="TableBodyText"/>
              <w:spacing w:before="80"/>
              <w:jc w:val="left"/>
            </w:pPr>
            <w:r>
              <w:t>Measure 13(a) (main measure): Overall attendance rates for students in years 1 to 10, by Indigenous status</w:t>
            </w:r>
            <w:r w:rsidR="000E5284">
              <w:t xml:space="preserve"> [</w:t>
            </w:r>
            <w:r w:rsidR="000E5284" w:rsidRPr="000E5284">
              <w:rPr>
                <w:i/>
              </w:rPr>
              <w:t>student attendance rate</w:t>
            </w:r>
            <w:r w:rsidR="000E5284">
              <w:t>]</w:t>
            </w:r>
          </w:p>
          <w:p w14:paraId="34A8AD74" w14:textId="73B53683" w:rsidR="005D75B8" w:rsidRDefault="005D75B8" w:rsidP="00356183">
            <w:pPr>
              <w:pStyle w:val="TableBodyText"/>
              <w:spacing w:before="80"/>
              <w:jc w:val="left"/>
            </w:pPr>
            <w:r>
              <w:t>Measure 13(b) (supplementary measure): Proportion of students who attend school 90 per cent or more of the time, by Indigenous status</w:t>
            </w:r>
            <w:r w:rsidR="000E5284">
              <w:t xml:space="preserve"> [</w:t>
            </w:r>
            <w:r w:rsidR="000E5284" w:rsidRPr="000E5284">
              <w:rPr>
                <w:i/>
              </w:rPr>
              <w:t>student attendance level</w:t>
            </w:r>
            <w:r w:rsidR="000E5284">
              <w:t>]</w:t>
            </w:r>
          </w:p>
          <w:p w14:paraId="61475ED3" w14:textId="3B6C0DE4" w:rsidR="005D75B8" w:rsidRPr="00D87AA9" w:rsidRDefault="005D75B8" w:rsidP="00356183">
            <w:pPr>
              <w:pStyle w:val="TableBodyText"/>
              <w:spacing w:before="80"/>
              <w:jc w:val="left"/>
            </w:pPr>
            <w:r>
              <w:t>Measure 13(c) (supplementary measure): Number and proportion of schools achieving 90 per cent or greater average school attendance</w:t>
            </w:r>
            <w:r w:rsidR="00F8458B">
              <w:t>,</w:t>
            </w:r>
            <w:r w:rsidR="000E5284">
              <w:t xml:space="preserve"> by Indigenous status </w:t>
            </w:r>
          </w:p>
        </w:tc>
      </w:tr>
      <w:tr w:rsidR="005D75B8" w:rsidRPr="00D87AA9" w14:paraId="0A061686" w14:textId="77777777" w:rsidTr="004F04D8">
        <w:tc>
          <w:tcPr>
            <w:tcW w:w="2093" w:type="dxa"/>
          </w:tcPr>
          <w:p w14:paraId="4A773790" w14:textId="77777777" w:rsidR="005D75B8" w:rsidRPr="00D87AA9" w:rsidRDefault="005D75B8" w:rsidP="00356183">
            <w:pPr>
              <w:pStyle w:val="TableBodyText"/>
              <w:spacing w:before="80"/>
              <w:jc w:val="left"/>
            </w:pPr>
            <w:r>
              <w:t>Measure (</w:t>
            </w:r>
            <w:proofErr w:type="spellStart"/>
            <w:r>
              <w:t>13a</w:t>
            </w:r>
            <w:proofErr w:type="spellEnd"/>
            <w:r>
              <w:t>)</w:t>
            </w:r>
          </w:p>
        </w:tc>
        <w:tc>
          <w:tcPr>
            <w:tcW w:w="6696" w:type="dxa"/>
          </w:tcPr>
          <w:p w14:paraId="5A9B6328" w14:textId="77777777" w:rsidR="005D75B8" w:rsidRDefault="005D75B8" w:rsidP="00356183">
            <w:pPr>
              <w:pStyle w:val="TableBodyText"/>
              <w:spacing w:before="80"/>
              <w:jc w:val="left"/>
            </w:pPr>
            <w:r w:rsidRPr="0033163A">
              <w:t xml:space="preserve">The </w:t>
            </w:r>
            <w:r>
              <w:t>rate of attendance for students in years 1 to 10, by Indigenous status</w:t>
            </w:r>
          </w:p>
          <w:p w14:paraId="7793D03D" w14:textId="77777777" w:rsidR="005D75B8" w:rsidRDefault="005D75B8" w:rsidP="004F04D8">
            <w:pPr>
              <w:pStyle w:val="TableBodyText"/>
              <w:spacing w:before="80"/>
              <w:jc w:val="left"/>
            </w:pPr>
            <w:r>
              <w:t>The measure is defined as:</w:t>
            </w:r>
          </w:p>
          <w:p w14:paraId="7CA8B123" w14:textId="77777777" w:rsidR="005D75B8" w:rsidRDefault="005D75B8" w:rsidP="00F57F7B">
            <w:pPr>
              <w:pStyle w:val="TableBullet"/>
            </w:pPr>
            <w:r w:rsidRPr="0069483D">
              <w:rPr>
                <w:i/>
              </w:rPr>
              <w:t>Numerator</w:t>
            </w:r>
            <w:r>
              <w:t xml:space="preserve"> — aggregate number of actual days in attendance in the collection period, for children in years 1–10 (children enrolled full time only</w:t>
            </w:r>
            <w:r w:rsidRPr="0056628E">
              <w:rPr>
                <w:rStyle w:val="NoteLabel"/>
                <w:b w:val="0"/>
              </w:rPr>
              <w:footnoteReference w:id="4"/>
            </w:r>
            <w:r>
              <w:t>)</w:t>
            </w:r>
          </w:p>
          <w:p w14:paraId="6EA08B04" w14:textId="267C4700" w:rsidR="005D75B8" w:rsidRDefault="005D75B8" w:rsidP="00F57F7B">
            <w:pPr>
              <w:pStyle w:val="TableBullet"/>
            </w:pPr>
            <w:r w:rsidRPr="0069483D">
              <w:rPr>
                <w:i/>
              </w:rPr>
              <w:t>Denominator</w:t>
            </w:r>
            <w:r>
              <w:t xml:space="preserve"> — aggregate number of possible days for attendance in the collection period, for children in years 1–10 (children enrolled full time only</w:t>
            </w:r>
            <w:r w:rsidR="00166285" w:rsidRPr="00166285">
              <w:rPr>
                <w:rStyle w:val="NoteLabel"/>
                <w:b w:val="0"/>
              </w:rPr>
              <w:t>4</w:t>
            </w:r>
            <w:r w:rsidR="00143713">
              <w:t>)</w:t>
            </w:r>
          </w:p>
          <w:p w14:paraId="0939D0A6" w14:textId="413495D7" w:rsidR="005D75B8" w:rsidRPr="0033163A" w:rsidRDefault="005D75B8" w:rsidP="004F04D8">
            <w:pPr>
              <w:pStyle w:val="TableBodyText"/>
              <w:jc w:val="left"/>
            </w:pPr>
            <w:r>
              <w:t>presented as</w:t>
            </w:r>
            <w:r w:rsidR="00454758">
              <w:t xml:space="preserve"> a</w:t>
            </w:r>
            <w:r>
              <w:t xml:space="preserve"> </w:t>
            </w:r>
            <w:r w:rsidRPr="0033163A">
              <w:rPr>
                <w:i/>
              </w:rPr>
              <w:t>percent</w:t>
            </w:r>
            <w:r w:rsidR="00F8458B">
              <w:rPr>
                <w:i/>
              </w:rPr>
              <w:t>age</w:t>
            </w:r>
            <w:r w:rsidRPr="0033163A">
              <w:rPr>
                <w:i/>
              </w:rPr>
              <w:t xml:space="preserve"> of</w:t>
            </w:r>
            <w:r w:rsidRPr="0012388B">
              <w:rPr>
                <w:i/>
              </w:rPr>
              <w:t xml:space="preserve"> possible days of attendance</w:t>
            </w:r>
          </w:p>
        </w:tc>
      </w:tr>
      <w:tr w:rsidR="005D75B8" w:rsidRPr="00D87AA9" w14:paraId="7FE1CC40" w14:textId="77777777" w:rsidTr="004F04D8">
        <w:tc>
          <w:tcPr>
            <w:tcW w:w="2093" w:type="dxa"/>
          </w:tcPr>
          <w:p w14:paraId="269AB838" w14:textId="77777777" w:rsidR="005D75B8" w:rsidRPr="00D87AA9" w:rsidRDefault="005D75B8" w:rsidP="00356183">
            <w:pPr>
              <w:pStyle w:val="TableBodyText"/>
              <w:spacing w:before="80"/>
              <w:jc w:val="left"/>
            </w:pPr>
            <w:r>
              <w:t>Measure (</w:t>
            </w:r>
            <w:proofErr w:type="spellStart"/>
            <w:r>
              <w:t>13b</w:t>
            </w:r>
            <w:proofErr w:type="spellEnd"/>
            <w:r>
              <w:t>)</w:t>
            </w:r>
          </w:p>
        </w:tc>
        <w:tc>
          <w:tcPr>
            <w:tcW w:w="6696" w:type="dxa"/>
          </w:tcPr>
          <w:p w14:paraId="189A1643" w14:textId="77777777" w:rsidR="005D75B8" w:rsidRDefault="005D75B8" w:rsidP="00356183">
            <w:pPr>
              <w:pStyle w:val="TableBodyText"/>
              <w:spacing w:before="80"/>
              <w:jc w:val="left"/>
            </w:pPr>
            <w:r w:rsidRPr="004A5D98">
              <w:t xml:space="preserve">The </w:t>
            </w:r>
            <w:r>
              <w:t>proportion of students who attend school 90 per cent or more of possible attendance for students in years 1 to 10, by Indigenous status</w:t>
            </w:r>
          </w:p>
          <w:p w14:paraId="4F8814AB" w14:textId="77777777" w:rsidR="005D75B8" w:rsidRDefault="005D75B8" w:rsidP="004F04D8">
            <w:pPr>
              <w:pStyle w:val="TableBodyText"/>
              <w:spacing w:before="80"/>
              <w:jc w:val="left"/>
            </w:pPr>
            <w:r>
              <w:t>The measure is defined as:</w:t>
            </w:r>
          </w:p>
          <w:p w14:paraId="328DB2B9" w14:textId="48515D43" w:rsidR="005D75B8" w:rsidRDefault="005D75B8" w:rsidP="00F57F7B">
            <w:pPr>
              <w:pStyle w:val="TableBullet"/>
            </w:pPr>
            <w:r w:rsidRPr="0069483D">
              <w:rPr>
                <w:i/>
              </w:rPr>
              <w:t>Numerator</w:t>
            </w:r>
            <w:r w:rsidR="00610154">
              <w:t xml:space="preserve"> — sum of possible school days for students attending more than or equal to 90 per cent of possible days in the collection period</w:t>
            </w:r>
            <w:r>
              <w:t>, for children in years 1–10 (children enrolled full time only)</w:t>
            </w:r>
            <w:r w:rsidR="00166285">
              <w:rPr>
                <w:rStyle w:val="NoteLabel"/>
                <w:b w:val="0"/>
              </w:rPr>
              <w:t>4</w:t>
            </w:r>
          </w:p>
          <w:p w14:paraId="010E2B71" w14:textId="14457976" w:rsidR="005D75B8" w:rsidRDefault="005D75B8" w:rsidP="00F57F7B">
            <w:pPr>
              <w:pStyle w:val="TableBullet"/>
            </w:pPr>
            <w:r w:rsidRPr="0069483D">
              <w:rPr>
                <w:i/>
              </w:rPr>
              <w:t>Denominator</w:t>
            </w:r>
            <w:r>
              <w:t xml:space="preserve"> — </w:t>
            </w:r>
            <w:r w:rsidR="00610154">
              <w:t xml:space="preserve">sum of possible school days (the days each student is expected to attend) for all students </w:t>
            </w:r>
            <w:r>
              <w:t>in the collection period, for children in years 1–10 (children enrolled full time only</w:t>
            </w:r>
            <w:r w:rsidR="00166285" w:rsidRPr="00166285">
              <w:rPr>
                <w:rStyle w:val="NoteLabel"/>
                <w:b w:val="0"/>
              </w:rPr>
              <w:t>4</w:t>
            </w:r>
            <w:r>
              <w:t>)</w:t>
            </w:r>
          </w:p>
          <w:p w14:paraId="17A5456D" w14:textId="77777777" w:rsidR="005D75B8" w:rsidRDefault="005D75B8" w:rsidP="00454758">
            <w:pPr>
              <w:pStyle w:val="TableBodyText"/>
              <w:jc w:val="left"/>
              <w:rPr>
                <w:i/>
              </w:rPr>
            </w:pPr>
            <w:r>
              <w:t xml:space="preserve">presented as a </w:t>
            </w:r>
            <w:r w:rsidR="00F8458B">
              <w:rPr>
                <w:i/>
              </w:rPr>
              <w:t xml:space="preserve">percentage </w:t>
            </w:r>
          </w:p>
          <w:p w14:paraId="6B1781F7" w14:textId="7DD82427" w:rsidR="005D75B8" w:rsidRPr="004A5D98" w:rsidRDefault="00610154" w:rsidP="004F04D8">
            <w:pPr>
              <w:pStyle w:val="TableBodyText"/>
              <w:spacing w:before="80"/>
              <w:jc w:val="left"/>
            </w:pPr>
            <w:r>
              <w:t>Data are comp</w:t>
            </w:r>
            <w:r w:rsidR="00A51293">
              <w:t>i</w:t>
            </w:r>
            <w:r>
              <w:t>led using this formula based on the National Standard for S</w:t>
            </w:r>
            <w:r w:rsidR="0067541F">
              <w:t>tudent Attendance Reporting</w:t>
            </w:r>
            <w:r>
              <w:t xml:space="preserve">. </w:t>
            </w:r>
          </w:p>
        </w:tc>
      </w:tr>
      <w:tr w:rsidR="005D75B8" w:rsidRPr="00D87AA9" w14:paraId="6D1F9CCF" w14:textId="77777777" w:rsidTr="004F04D8">
        <w:tc>
          <w:tcPr>
            <w:tcW w:w="2093" w:type="dxa"/>
          </w:tcPr>
          <w:p w14:paraId="1465A645" w14:textId="77777777" w:rsidR="005D75B8" w:rsidRPr="00D87AA9" w:rsidRDefault="005D75B8" w:rsidP="00356183">
            <w:pPr>
              <w:pStyle w:val="TableBodyText"/>
              <w:spacing w:before="80"/>
              <w:jc w:val="left"/>
            </w:pPr>
            <w:r>
              <w:t>Measure (</w:t>
            </w:r>
            <w:proofErr w:type="spellStart"/>
            <w:r>
              <w:t>13c</w:t>
            </w:r>
            <w:proofErr w:type="spellEnd"/>
            <w:r>
              <w:t>)</w:t>
            </w:r>
          </w:p>
        </w:tc>
        <w:tc>
          <w:tcPr>
            <w:tcW w:w="6696" w:type="dxa"/>
          </w:tcPr>
          <w:p w14:paraId="1AA851A7" w14:textId="77777777" w:rsidR="005D75B8" w:rsidRDefault="005D75B8" w:rsidP="00356183">
            <w:pPr>
              <w:pStyle w:val="TableBodyText"/>
              <w:spacing w:before="80"/>
              <w:jc w:val="left"/>
            </w:pPr>
            <w:r w:rsidRPr="004A5D98">
              <w:t xml:space="preserve">The </w:t>
            </w:r>
            <w:r>
              <w:t xml:space="preserve">number and proportion of schools achieving 90 per cent attendance on average by Indigenous status. </w:t>
            </w:r>
          </w:p>
          <w:p w14:paraId="32C7A312" w14:textId="77777777" w:rsidR="005D75B8" w:rsidRDefault="005D75B8" w:rsidP="004F04D8">
            <w:pPr>
              <w:pStyle w:val="TableBodyText"/>
              <w:spacing w:before="80"/>
              <w:jc w:val="left"/>
            </w:pPr>
            <w:r>
              <w:t>The measure is defined as:</w:t>
            </w:r>
          </w:p>
          <w:p w14:paraId="2FC7BBA9" w14:textId="77777777" w:rsidR="005D75B8" w:rsidRPr="0033163A" w:rsidRDefault="005D75B8" w:rsidP="00F57F7B">
            <w:pPr>
              <w:pStyle w:val="TableBullet"/>
            </w:pPr>
            <w:r w:rsidRPr="0069483D">
              <w:rPr>
                <w:i/>
              </w:rPr>
              <w:t>Numerator</w:t>
            </w:r>
            <w:r>
              <w:t xml:space="preserve"> 1 — aggregate number of schools for which the average attendance rate (measure </w:t>
            </w:r>
            <w:proofErr w:type="spellStart"/>
            <w:r>
              <w:t>13</w:t>
            </w:r>
            <w:r w:rsidR="00D96608">
              <w:t>a</w:t>
            </w:r>
            <w:proofErr w:type="spellEnd"/>
            <w:r>
              <w:t xml:space="preserve">) for </w:t>
            </w:r>
            <w:r w:rsidR="00A51293">
              <w:t xml:space="preserve">Aboriginal and Torres Strait Islander </w:t>
            </w:r>
            <w:r>
              <w:t>students in years 1-10 is 90 per cent or more.</w:t>
            </w:r>
          </w:p>
          <w:p w14:paraId="1C771F3C" w14:textId="77777777" w:rsidR="005D75B8" w:rsidRDefault="005D75B8" w:rsidP="00F57F7B">
            <w:pPr>
              <w:pStyle w:val="TableBullet"/>
            </w:pPr>
            <w:r w:rsidRPr="0069483D">
              <w:rPr>
                <w:i/>
              </w:rPr>
              <w:t>Denominator</w:t>
            </w:r>
            <w:r>
              <w:t xml:space="preserve"> 1 — aggregate number of schools reporting </w:t>
            </w:r>
            <w:r w:rsidR="00A51293">
              <w:t xml:space="preserve">Aboriginal and Torres Strait Islander </w:t>
            </w:r>
            <w:r>
              <w:t xml:space="preserve">student attendance rates for years 1–10 </w:t>
            </w:r>
          </w:p>
          <w:p w14:paraId="20F5F64C" w14:textId="77777777" w:rsidR="005D75B8" w:rsidRPr="00E32F44" w:rsidRDefault="005D75B8" w:rsidP="00F57F7B">
            <w:pPr>
              <w:pStyle w:val="TableBullet"/>
            </w:pPr>
            <w:r w:rsidRPr="0069483D">
              <w:rPr>
                <w:i/>
              </w:rPr>
              <w:t>Numerator</w:t>
            </w:r>
            <w:r>
              <w:t xml:space="preserve"> 2 — aggregate number of schools for which the average attendance rate (measure </w:t>
            </w:r>
            <w:proofErr w:type="spellStart"/>
            <w:r>
              <w:t>13</w:t>
            </w:r>
            <w:r w:rsidR="00D96608">
              <w:t>a</w:t>
            </w:r>
            <w:proofErr w:type="spellEnd"/>
            <w:r>
              <w:t>) for non-Indigenous students in years 1-10 is 90 per cent or more.</w:t>
            </w:r>
          </w:p>
          <w:p w14:paraId="16F68F9D" w14:textId="77777777" w:rsidR="005D75B8" w:rsidRDefault="005D75B8" w:rsidP="00F57F7B">
            <w:pPr>
              <w:pStyle w:val="TableBullet"/>
            </w:pPr>
            <w:r w:rsidRPr="0069483D">
              <w:rPr>
                <w:i/>
              </w:rPr>
              <w:t>Denominator</w:t>
            </w:r>
            <w:r>
              <w:t xml:space="preserve"> 2 — aggregate number of schools reporting non-Indigenous student attendance rates for years 1–10 </w:t>
            </w:r>
          </w:p>
          <w:p w14:paraId="18902672" w14:textId="221B36A8" w:rsidR="005D75B8" w:rsidRPr="004A5D98" w:rsidRDefault="005D75B8" w:rsidP="00F57F7B">
            <w:pPr>
              <w:pStyle w:val="TableBodyText"/>
              <w:jc w:val="left"/>
            </w:pPr>
            <w:r>
              <w:t xml:space="preserve">presented as </w:t>
            </w:r>
            <w:r w:rsidRPr="0033163A">
              <w:rPr>
                <w:i/>
              </w:rPr>
              <w:t>number and</w:t>
            </w:r>
            <w:r>
              <w:t xml:space="preserve"> </w:t>
            </w:r>
            <w:r>
              <w:rPr>
                <w:i/>
              </w:rPr>
              <w:t>proportion of schools</w:t>
            </w:r>
          </w:p>
        </w:tc>
      </w:tr>
      <w:tr w:rsidR="005D75B8" w:rsidRPr="00D87AA9" w14:paraId="153FFAC1" w14:textId="77777777" w:rsidTr="004F04D8">
        <w:tc>
          <w:tcPr>
            <w:tcW w:w="2093" w:type="dxa"/>
          </w:tcPr>
          <w:p w14:paraId="70CF9048" w14:textId="77777777" w:rsidR="005D75B8" w:rsidRPr="00D87AA9" w:rsidRDefault="005D75B8" w:rsidP="00356183">
            <w:pPr>
              <w:pStyle w:val="TableBodyText"/>
              <w:spacing w:before="80"/>
              <w:jc w:val="left"/>
            </w:pPr>
            <w:r w:rsidRPr="00D87AA9">
              <w:t>Data source</w:t>
            </w:r>
            <w:r>
              <w:t xml:space="preserve"> (</w:t>
            </w:r>
            <w:proofErr w:type="spellStart"/>
            <w:r>
              <w:t>13a</w:t>
            </w:r>
            <w:proofErr w:type="spellEnd"/>
            <w:r>
              <w:t xml:space="preserve">, </w:t>
            </w:r>
            <w:proofErr w:type="spellStart"/>
            <w:r>
              <w:t>13b</w:t>
            </w:r>
            <w:proofErr w:type="spellEnd"/>
            <w:r>
              <w:t xml:space="preserve">, </w:t>
            </w:r>
            <w:proofErr w:type="spellStart"/>
            <w:r>
              <w:t>13c</w:t>
            </w:r>
            <w:proofErr w:type="spellEnd"/>
            <w:r>
              <w:t>)</w:t>
            </w:r>
            <w:r w:rsidRPr="00D87AA9">
              <w:t>:</w:t>
            </w:r>
          </w:p>
        </w:tc>
        <w:tc>
          <w:tcPr>
            <w:tcW w:w="6696" w:type="dxa"/>
          </w:tcPr>
          <w:p w14:paraId="3828EE05" w14:textId="286A78AC" w:rsidR="005D75B8" w:rsidRPr="00D87AA9" w:rsidRDefault="005D75B8" w:rsidP="00356183">
            <w:pPr>
              <w:pStyle w:val="TableBodyText"/>
              <w:spacing w:before="80"/>
              <w:jc w:val="left"/>
            </w:pPr>
            <w:r w:rsidRPr="0012388B">
              <w:rPr>
                <w:i/>
              </w:rPr>
              <w:t xml:space="preserve">Numerator and denominator </w:t>
            </w:r>
            <w:r w:rsidRPr="006F41BD">
              <w:t xml:space="preserve">— National </w:t>
            </w:r>
            <w:r>
              <w:t>Student</w:t>
            </w:r>
            <w:r w:rsidRPr="006F41BD">
              <w:t xml:space="preserve"> Attendance Collection. Data are collected annually</w:t>
            </w:r>
          </w:p>
        </w:tc>
      </w:tr>
    </w:tbl>
    <w:p w14:paraId="4E2AD5B5" w14:textId="5C556B3A" w:rsidR="00356183" w:rsidRPr="00356183" w:rsidRDefault="00356183">
      <w:pPr>
        <w:rPr>
          <w:sz w:val="16"/>
          <w:szCs w:val="16"/>
        </w:rPr>
      </w:pPr>
    </w:p>
    <w:tbl>
      <w:tblPr>
        <w:tblW w:w="8789" w:type="dxa"/>
        <w:tblCellMar>
          <w:right w:w="0" w:type="dxa"/>
        </w:tblCellMar>
        <w:tblLook w:val="0000" w:firstRow="0" w:lastRow="0" w:firstColumn="0" w:lastColumn="0" w:noHBand="0" w:noVBand="0"/>
      </w:tblPr>
      <w:tblGrid>
        <w:gridCol w:w="2093"/>
        <w:gridCol w:w="6696"/>
      </w:tblGrid>
      <w:tr w:rsidR="00365748" w:rsidRPr="00D87AA9" w14:paraId="7F5271D3" w14:textId="77777777" w:rsidTr="00242978">
        <w:tc>
          <w:tcPr>
            <w:tcW w:w="2093" w:type="dxa"/>
          </w:tcPr>
          <w:p w14:paraId="7DE95E95" w14:textId="0FF4377D" w:rsidR="00365748" w:rsidRPr="00D87AA9" w:rsidRDefault="00365748" w:rsidP="00365748">
            <w:pPr>
              <w:pStyle w:val="TableBodyText"/>
              <w:spacing w:before="80"/>
              <w:jc w:val="left"/>
            </w:pPr>
            <w:r w:rsidRPr="00D87AA9">
              <w:lastRenderedPageBreak/>
              <w:t>Data provider</w:t>
            </w:r>
            <w:r>
              <w:t xml:space="preserve"> (</w:t>
            </w:r>
            <w:proofErr w:type="spellStart"/>
            <w:r>
              <w:t>13a</w:t>
            </w:r>
            <w:proofErr w:type="spellEnd"/>
            <w:r>
              <w:t xml:space="preserve">, </w:t>
            </w:r>
            <w:proofErr w:type="spellStart"/>
            <w:r>
              <w:t>13b</w:t>
            </w:r>
            <w:proofErr w:type="spellEnd"/>
            <w:r>
              <w:t xml:space="preserve">, </w:t>
            </w:r>
            <w:proofErr w:type="spellStart"/>
            <w:r>
              <w:t>13c</w:t>
            </w:r>
            <w:proofErr w:type="spellEnd"/>
            <w:r>
              <w:t>)</w:t>
            </w:r>
            <w:r w:rsidRPr="00D87AA9">
              <w:t>:</w:t>
            </w:r>
          </w:p>
        </w:tc>
        <w:tc>
          <w:tcPr>
            <w:tcW w:w="6696" w:type="dxa"/>
          </w:tcPr>
          <w:p w14:paraId="27016A0A" w14:textId="77777777" w:rsidR="00365748" w:rsidRDefault="00365748" w:rsidP="00365748">
            <w:pPr>
              <w:pStyle w:val="TableBodyText"/>
              <w:spacing w:before="80"/>
              <w:jc w:val="left"/>
            </w:pPr>
            <w:r w:rsidRPr="006F41BD">
              <w:t>ACARA</w:t>
            </w:r>
          </w:p>
          <w:p w14:paraId="7CDE82F2" w14:textId="77777777" w:rsidR="00365748" w:rsidRPr="006F41BD" w:rsidRDefault="00365748" w:rsidP="00365748">
            <w:pPr>
              <w:pStyle w:val="TableBodyText"/>
              <w:spacing w:before="80"/>
              <w:jc w:val="left"/>
            </w:pPr>
          </w:p>
        </w:tc>
      </w:tr>
      <w:tr w:rsidR="005D75B8" w:rsidRPr="00D87AA9" w14:paraId="14B9AB3B" w14:textId="77777777" w:rsidTr="004F04D8">
        <w:tc>
          <w:tcPr>
            <w:tcW w:w="2093" w:type="dxa"/>
            <w:shd w:val="clear" w:color="auto" w:fill="auto"/>
          </w:tcPr>
          <w:p w14:paraId="79E6E8A3" w14:textId="7A4F4584" w:rsidR="005D75B8" w:rsidRPr="00D87AA9" w:rsidRDefault="005D75B8" w:rsidP="00356183">
            <w:pPr>
              <w:pStyle w:val="TableBodyText"/>
              <w:spacing w:before="80"/>
              <w:jc w:val="left"/>
            </w:pPr>
            <w:r w:rsidRPr="00D87AA9">
              <w:t>Data availability</w:t>
            </w:r>
            <w:r>
              <w:t xml:space="preserve"> (</w:t>
            </w:r>
            <w:proofErr w:type="spellStart"/>
            <w:r>
              <w:t>13a</w:t>
            </w:r>
            <w:proofErr w:type="spellEnd"/>
            <w:r w:rsidR="00607F03">
              <w:t xml:space="preserve">, </w:t>
            </w:r>
            <w:proofErr w:type="spellStart"/>
            <w:r w:rsidR="00607F03">
              <w:t>13b</w:t>
            </w:r>
            <w:proofErr w:type="spellEnd"/>
            <w:r w:rsidR="00607F03">
              <w:t xml:space="preserve">, </w:t>
            </w:r>
            <w:proofErr w:type="spellStart"/>
            <w:r w:rsidR="00607F03">
              <w:t>13c</w:t>
            </w:r>
            <w:proofErr w:type="spellEnd"/>
            <w:r>
              <w:t>)</w:t>
            </w:r>
            <w:r w:rsidRPr="00D87AA9">
              <w:t>:</w:t>
            </w:r>
          </w:p>
        </w:tc>
        <w:tc>
          <w:tcPr>
            <w:tcW w:w="6696" w:type="dxa"/>
            <w:shd w:val="clear" w:color="auto" w:fill="auto"/>
          </w:tcPr>
          <w:p w14:paraId="2A77A48F" w14:textId="0C35ACF7" w:rsidR="005D75B8" w:rsidRDefault="009824F7" w:rsidP="00356183">
            <w:pPr>
              <w:pStyle w:val="TableBodyText"/>
              <w:spacing w:before="80"/>
              <w:jc w:val="left"/>
            </w:pPr>
            <w:r w:rsidRPr="006F41BD">
              <w:t>201</w:t>
            </w:r>
            <w:r>
              <w:t xml:space="preserve">8 </w:t>
            </w:r>
            <w:r w:rsidR="005D75B8">
              <w:t>(Semester 1)</w:t>
            </w:r>
          </w:p>
          <w:p w14:paraId="4AF0D8CA" w14:textId="77777777" w:rsidR="005D75B8" w:rsidRPr="00D87AA9" w:rsidRDefault="005D75B8" w:rsidP="00607F03">
            <w:pPr>
              <w:pStyle w:val="TableBodyText"/>
              <w:jc w:val="left"/>
            </w:pPr>
          </w:p>
        </w:tc>
      </w:tr>
      <w:tr w:rsidR="005D75B8" w:rsidRPr="00D87AA9" w14:paraId="581845DE" w14:textId="77777777" w:rsidTr="004F04D8">
        <w:tc>
          <w:tcPr>
            <w:tcW w:w="2093" w:type="dxa"/>
            <w:shd w:val="clear" w:color="auto" w:fill="auto"/>
          </w:tcPr>
          <w:p w14:paraId="31EAB4DA" w14:textId="77777777" w:rsidR="005D75B8" w:rsidRPr="00D87AA9" w:rsidRDefault="005D75B8" w:rsidP="00356183">
            <w:pPr>
              <w:pStyle w:val="TableBodyText"/>
              <w:spacing w:before="80"/>
              <w:jc w:val="left"/>
            </w:pPr>
            <w:r w:rsidRPr="00D87AA9">
              <w:t>Cross tabulations provided</w:t>
            </w:r>
            <w:r>
              <w:t xml:space="preserve"> </w:t>
            </w:r>
            <w:proofErr w:type="spellStart"/>
            <w:r>
              <w:t>13a</w:t>
            </w:r>
            <w:proofErr w:type="spellEnd"/>
          </w:p>
        </w:tc>
        <w:tc>
          <w:tcPr>
            <w:tcW w:w="6696" w:type="dxa"/>
            <w:shd w:val="clear" w:color="auto" w:fill="auto"/>
          </w:tcPr>
          <w:p w14:paraId="1428CE70" w14:textId="77777777" w:rsidR="005D75B8" w:rsidRDefault="005D75B8" w:rsidP="00356183">
            <w:pPr>
              <w:pStyle w:val="TableBodyText"/>
              <w:spacing w:before="80"/>
              <w:jc w:val="left"/>
            </w:pPr>
            <w:r>
              <w:t>State and Territory and nationally, by Indigenous status, by</w:t>
            </w:r>
          </w:p>
          <w:p w14:paraId="7C845DD9" w14:textId="77777777" w:rsidR="005D75B8" w:rsidRDefault="005D75B8" w:rsidP="005D75B8">
            <w:pPr>
              <w:pStyle w:val="TableBullet"/>
              <w:spacing w:line="220" w:lineRule="atLeast"/>
              <w:rPr>
                <w:i/>
              </w:rPr>
            </w:pPr>
            <w:r>
              <w:t>Combined year levels and sectors, by remoteness</w:t>
            </w:r>
          </w:p>
          <w:p w14:paraId="1CA098F2" w14:textId="05094BB6" w:rsidR="005D75B8" w:rsidRPr="004F04D8" w:rsidRDefault="005D75B8" w:rsidP="00F57F7B">
            <w:pPr>
              <w:pStyle w:val="TableBullet"/>
              <w:spacing w:line="220" w:lineRule="atLeast"/>
              <w:rPr>
                <w:i/>
              </w:rPr>
            </w:pPr>
            <w:r>
              <w:t xml:space="preserve">Year level (1–10 individually), by </w:t>
            </w:r>
            <w:r w:rsidR="00F8458B">
              <w:t>s</w:t>
            </w:r>
            <w:r>
              <w:t>chool sector (government, Catholic, independent</w:t>
            </w:r>
            <w:r w:rsidR="00C3645B">
              <w:t xml:space="preserve"> and non-government</w:t>
            </w:r>
            <w:r>
              <w:t>)</w:t>
            </w:r>
          </w:p>
        </w:tc>
      </w:tr>
      <w:tr w:rsidR="005D75B8" w:rsidRPr="00D87AA9" w14:paraId="36EA918A" w14:textId="77777777" w:rsidTr="004F04D8">
        <w:tc>
          <w:tcPr>
            <w:tcW w:w="2093" w:type="dxa"/>
            <w:shd w:val="clear" w:color="auto" w:fill="auto"/>
          </w:tcPr>
          <w:p w14:paraId="363D3A34" w14:textId="77777777" w:rsidR="005D75B8" w:rsidRPr="00D87AA9" w:rsidRDefault="005D75B8" w:rsidP="00356183">
            <w:pPr>
              <w:pStyle w:val="TableBodyText"/>
              <w:spacing w:before="80"/>
              <w:jc w:val="left"/>
            </w:pPr>
            <w:r>
              <w:t xml:space="preserve">Cross tabulations provided </w:t>
            </w:r>
            <w:proofErr w:type="spellStart"/>
            <w:r>
              <w:t>13b</w:t>
            </w:r>
            <w:proofErr w:type="spellEnd"/>
          </w:p>
        </w:tc>
        <w:tc>
          <w:tcPr>
            <w:tcW w:w="6696" w:type="dxa"/>
            <w:shd w:val="clear" w:color="auto" w:fill="auto"/>
          </w:tcPr>
          <w:p w14:paraId="65EEAD96" w14:textId="77777777" w:rsidR="005D75B8" w:rsidRDefault="005D75B8" w:rsidP="00356183">
            <w:pPr>
              <w:pStyle w:val="TableBodyText"/>
              <w:spacing w:before="80"/>
              <w:jc w:val="left"/>
            </w:pPr>
            <w:r>
              <w:t>State and Territory and nationally, by Indigenous status, by</w:t>
            </w:r>
          </w:p>
          <w:p w14:paraId="10864563" w14:textId="77777777" w:rsidR="005D75B8" w:rsidRPr="000E5284" w:rsidRDefault="00B21127" w:rsidP="005D75B8">
            <w:pPr>
              <w:pStyle w:val="TableBullet"/>
              <w:spacing w:line="220" w:lineRule="atLeast"/>
              <w:rPr>
                <w:i/>
              </w:rPr>
            </w:pPr>
            <w:r>
              <w:t xml:space="preserve">Combined year levels </w:t>
            </w:r>
            <w:r w:rsidR="00DE73C9">
              <w:t xml:space="preserve">for government </w:t>
            </w:r>
            <w:r>
              <w:t xml:space="preserve">sector, by </w:t>
            </w:r>
            <w:r w:rsidR="005D75B8">
              <w:t>remoteness</w:t>
            </w:r>
          </w:p>
          <w:p w14:paraId="0A209E0A" w14:textId="77777777" w:rsidR="00DE73C9" w:rsidRDefault="00DE73C9" w:rsidP="005D75B8">
            <w:pPr>
              <w:pStyle w:val="TableBullet"/>
              <w:spacing w:line="220" w:lineRule="atLeast"/>
              <w:rPr>
                <w:i/>
              </w:rPr>
            </w:pPr>
            <w:r>
              <w:t>Combined year levels for non-government sector, by remoteness</w:t>
            </w:r>
            <w:r w:rsidR="00935DAF">
              <w:t xml:space="preserve"> </w:t>
            </w:r>
          </w:p>
          <w:p w14:paraId="77F61758" w14:textId="102D7463" w:rsidR="00935DAF" w:rsidRDefault="00935DAF" w:rsidP="004F04D8">
            <w:pPr>
              <w:pStyle w:val="TableBodyText"/>
              <w:spacing w:before="80"/>
              <w:jc w:val="left"/>
            </w:pPr>
            <w:r>
              <w:t>Data are reported for ABS remoteness categories from 201</w:t>
            </w:r>
            <w:r w:rsidR="002703C5">
              <w:t>6</w:t>
            </w:r>
            <w:r>
              <w:t>, previously by geolocation.</w:t>
            </w:r>
          </w:p>
        </w:tc>
      </w:tr>
      <w:tr w:rsidR="005D75B8" w:rsidRPr="00D87AA9" w14:paraId="43D4AD91" w14:textId="77777777" w:rsidTr="004F04D8">
        <w:tc>
          <w:tcPr>
            <w:tcW w:w="2093" w:type="dxa"/>
            <w:shd w:val="clear" w:color="auto" w:fill="auto"/>
          </w:tcPr>
          <w:p w14:paraId="5FDE3DA9" w14:textId="77777777" w:rsidR="005D75B8" w:rsidRDefault="005D75B8" w:rsidP="00356183">
            <w:pPr>
              <w:pStyle w:val="TableBodyText"/>
              <w:spacing w:before="80"/>
              <w:jc w:val="left"/>
            </w:pPr>
            <w:r>
              <w:t xml:space="preserve">Cross tabulations provided </w:t>
            </w:r>
            <w:proofErr w:type="spellStart"/>
            <w:r>
              <w:t>13c</w:t>
            </w:r>
            <w:proofErr w:type="spellEnd"/>
          </w:p>
        </w:tc>
        <w:tc>
          <w:tcPr>
            <w:tcW w:w="6696" w:type="dxa"/>
            <w:shd w:val="clear" w:color="auto" w:fill="auto"/>
          </w:tcPr>
          <w:p w14:paraId="6BF07720" w14:textId="77777777" w:rsidR="005D75B8" w:rsidRDefault="005D75B8" w:rsidP="00356183">
            <w:pPr>
              <w:pStyle w:val="TableBodyText"/>
              <w:spacing w:before="80"/>
              <w:jc w:val="left"/>
            </w:pPr>
            <w:r>
              <w:t>State and Territory and nationally, by</w:t>
            </w:r>
            <w:r w:rsidR="00B21127">
              <w:t xml:space="preserve"> Indigenous status, by </w:t>
            </w:r>
          </w:p>
          <w:p w14:paraId="409233A9" w14:textId="33A50C42" w:rsidR="00935DAF" w:rsidRPr="00935DAF" w:rsidRDefault="00B21127" w:rsidP="004F04D8">
            <w:pPr>
              <w:pStyle w:val="TableBullet"/>
              <w:spacing w:line="220" w:lineRule="atLeast"/>
            </w:pPr>
            <w:r>
              <w:t xml:space="preserve">Combined year levels and sectors, by </w:t>
            </w:r>
            <w:r w:rsidR="005D75B8">
              <w:t>remoteness</w:t>
            </w:r>
            <w:r w:rsidR="00BE01E0">
              <w:t xml:space="preserve"> </w:t>
            </w:r>
            <w:r w:rsidR="00325B5A">
              <w:t>(based on</w:t>
            </w:r>
            <w:r w:rsidR="006A68DE">
              <w:t xml:space="preserve"> </w:t>
            </w:r>
            <w:proofErr w:type="spellStart"/>
            <w:r w:rsidR="00325B5A">
              <w:t>ASGS</w:t>
            </w:r>
            <w:proofErr w:type="spellEnd"/>
            <w:r w:rsidR="00325B5A">
              <w:t xml:space="preserve"> 2011 since 2016)</w:t>
            </w:r>
            <w:r w:rsidR="00935DAF">
              <w:t xml:space="preserve"> </w:t>
            </w:r>
          </w:p>
        </w:tc>
      </w:tr>
    </w:tbl>
    <w:p w14:paraId="171C6F62" w14:textId="77777777" w:rsidR="00E50EF9" w:rsidRDefault="00E50EF9" w:rsidP="00620F1F">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620F1F" w14:paraId="0E0FBEBB" w14:textId="77777777" w:rsidTr="00944F80">
        <w:tc>
          <w:tcPr>
            <w:tcW w:w="8789" w:type="dxa"/>
            <w:tcBorders>
              <w:top w:val="single" w:sz="6" w:space="0" w:color="78A22F"/>
              <w:left w:val="nil"/>
              <w:bottom w:val="nil"/>
              <w:right w:val="nil"/>
            </w:tcBorders>
            <w:shd w:val="clear" w:color="auto" w:fill="F2F2F2"/>
          </w:tcPr>
          <w:p w14:paraId="6F2F8BB6" w14:textId="62E64292" w:rsidR="00620F1F" w:rsidRDefault="00620F1F" w:rsidP="00291F8D">
            <w:pPr>
              <w:pStyle w:val="BoxTitle"/>
            </w:pPr>
            <w:r>
              <w:rPr>
                <w:b w:val="0"/>
              </w:rPr>
              <w:t xml:space="preserve">Box </w:t>
            </w:r>
            <w:r w:rsidR="00A8151B">
              <w:rPr>
                <w:b w:val="0"/>
              </w:rPr>
              <w:t>3</w:t>
            </w:r>
            <w:r w:rsidR="00291F8D">
              <w:rPr>
                <w:b w:val="0"/>
              </w:rPr>
              <w:t>3</w:t>
            </w:r>
            <w:r>
              <w:tab/>
              <w:t>Results</w:t>
            </w:r>
            <w:r w:rsidR="00B6173B">
              <w:t xml:space="preserve"> </w:t>
            </w:r>
          </w:p>
        </w:tc>
      </w:tr>
      <w:tr w:rsidR="00620F1F" w:rsidRPr="003C412A" w14:paraId="6EE07DBF" w14:textId="77777777" w:rsidTr="00944F80">
        <w:trPr>
          <w:cantSplit/>
        </w:trPr>
        <w:tc>
          <w:tcPr>
            <w:tcW w:w="8789" w:type="dxa"/>
            <w:tcBorders>
              <w:top w:val="nil"/>
              <w:left w:val="nil"/>
              <w:bottom w:val="nil"/>
              <w:right w:val="nil"/>
            </w:tcBorders>
            <w:shd w:val="clear" w:color="auto" w:fill="F2F2F2"/>
          </w:tcPr>
          <w:p w14:paraId="7CA4AFA0" w14:textId="65A2F4F5" w:rsidR="005106A6" w:rsidRPr="00107185" w:rsidRDefault="008D7EDA" w:rsidP="00217FEB">
            <w:pPr>
              <w:pStyle w:val="Box"/>
              <w:rPr>
                <w:rStyle w:val="DraftingNote"/>
                <w:b w:val="0"/>
                <w:color w:val="auto"/>
                <w:sz w:val="20"/>
                <w:u w:val="none"/>
              </w:rPr>
            </w:pPr>
            <w:r w:rsidRPr="00107185">
              <w:rPr>
                <w:rStyle w:val="DraftingNote"/>
                <w:b w:val="0"/>
                <w:color w:val="auto"/>
                <w:sz w:val="20"/>
                <w:u w:val="none"/>
              </w:rPr>
              <w:t>For this report, new data for this indic</w:t>
            </w:r>
            <w:r w:rsidR="005106A6" w:rsidRPr="00107185">
              <w:rPr>
                <w:rStyle w:val="DraftingNote"/>
                <w:b w:val="0"/>
                <w:color w:val="auto"/>
                <w:sz w:val="20"/>
                <w:u w:val="none"/>
              </w:rPr>
              <w:t xml:space="preserve">ator are reported for </w:t>
            </w:r>
            <w:r w:rsidR="009824F7" w:rsidRPr="00107185">
              <w:rPr>
                <w:rStyle w:val="DraftingNote"/>
                <w:b w:val="0"/>
                <w:color w:val="auto"/>
                <w:sz w:val="20"/>
                <w:u w:val="none"/>
              </w:rPr>
              <w:t>201</w:t>
            </w:r>
            <w:r w:rsidR="009824F7">
              <w:rPr>
                <w:rStyle w:val="DraftingNote"/>
                <w:b w:val="0"/>
                <w:color w:val="auto"/>
                <w:sz w:val="20"/>
                <w:u w:val="none"/>
              </w:rPr>
              <w:t>8</w:t>
            </w:r>
            <w:r w:rsidR="005106A6" w:rsidRPr="00107185">
              <w:rPr>
                <w:rStyle w:val="DraftingNote"/>
                <w:b w:val="0"/>
                <w:color w:val="auto"/>
                <w:sz w:val="20"/>
                <w:u w:val="none"/>
              </w:rPr>
              <w:t xml:space="preserve">. </w:t>
            </w:r>
          </w:p>
          <w:p w14:paraId="076975CB" w14:textId="66C7F9C1" w:rsidR="005106A6" w:rsidRDefault="005106A6" w:rsidP="00217FEB">
            <w:pPr>
              <w:pStyle w:val="BoxListBullet"/>
              <w:rPr>
                <w:rStyle w:val="DraftingNote"/>
                <w:b w:val="0"/>
                <w:color w:val="auto"/>
                <w:sz w:val="20"/>
                <w:u w:val="none"/>
              </w:rPr>
            </w:pPr>
            <w:r w:rsidRPr="00107185">
              <w:rPr>
                <w:rStyle w:val="DraftingNote"/>
                <w:b w:val="0"/>
                <w:color w:val="auto"/>
                <w:sz w:val="20"/>
                <w:u w:val="none"/>
              </w:rPr>
              <w:t xml:space="preserve">Data on student attendance </w:t>
            </w:r>
            <w:r w:rsidR="005E1EA3" w:rsidRPr="00107185">
              <w:rPr>
                <w:rStyle w:val="DraftingNote"/>
                <w:b w:val="0"/>
                <w:color w:val="auto"/>
                <w:sz w:val="20"/>
                <w:u w:val="none"/>
              </w:rPr>
              <w:t xml:space="preserve">rates </w:t>
            </w:r>
            <w:r w:rsidR="00481920">
              <w:rPr>
                <w:rStyle w:val="DraftingNote"/>
                <w:b w:val="0"/>
                <w:color w:val="auto"/>
                <w:sz w:val="20"/>
                <w:u w:val="none"/>
              </w:rPr>
              <w:t xml:space="preserve">(combined year level and combined sectors) </w:t>
            </w:r>
            <w:r w:rsidRPr="00107185">
              <w:rPr>
                <w:rStyle w:val="DraftingNote"/>
                <w:b w:val="0"/>
                <w:color w:val="auto"/>
                <w:sz w:val="20"/>
                <w:u w:val="none"/>
              </w:rPr>
              <w:t xml:space="preserve">by State and Territory, by Indigenous status are presented in table </w:t>
            </w:r>
            <w:proofErr w:type="spellStart"/>
            <w:r w:rsidRPr="00107185">
              <w:rPr>
                <w:rStyle w:val="DraftingNote"/>
                <w:b w:val="0"/>
                <w:color w:val="auto"/>
                <w:sz w:val="20"/>
                <w:u w:val="none"/>
              </w:rPr>
              <w:t>NIRA.13.1</w:t>
            </w:r>
            <w:proofErr w:type="spellEnd"/>
            <w:r w:rsidRPr="00107185">
              <w:rPr>
                <w:rStyle w:val="DraftingNote"/>
                <w:b w:val="0"/>
                <w:color w:val="auto"/>
                <w:sz w:val="20"/>
                <w:u w:val="none"/>
              </w:rPr>
              <w:t xml:space="preserve"> and </w:t>
            </w:r>
            <w:r w:rsidR="00481920">
              <w:rPr>
                <w:rStyle w:val="DraftingNote"/>
                <w:b w:val="0"/>
                <w:color w:val="auto"/>
                <w:sz w:val="20"/>
                <w:u w:val="none"/>
              </w:rPr>
              <w:t xml:space="preserve">by remoteness in </w:t>
            </w:r>
            <w:r w:rsidRPr="00107185">
              <w:rPr>
                <w:rStyle w:val="DraftingNote"/>
                <w:b w:val="0"/>
                <w:color w:val="auto"/>
                <w:sz w:val="20"/>
                <w:u w:val="none"/>
              </w:rPr>
              <w:t xml:space="preserve">table </w:t>
            </w:r>
            <w:proofErr w:type="spellStart"/>
            <w:r w:rsidRPr="00107185">
              <w:rPr>
                <w:rStyle w:val="DraftingNote"/>
                <w:b w:val="0"/>
                <w:color w:val="auto"/>
                <w:sz w:val="20"/>
                <w:u w:val="none"/>
              </w:rPr>
              <w:t>NIRA.13.</w:t>
            </w:r>
            <w:r w:rsidR="00481920">
              <w:rPr>
                <w:rStyle w:val="DraftingNote"/>
                <w:b w:val="0"/>
                <w:color w:val="auto"/>
                <w:sz w:val="20"/>
                <w:u w:val="none"/>
              </w:rPr>
              <w:t>2</w:t>
            </w:r>
            <w:proofErr w:type="spellEnd"/>
            <w:r w:rsidR="00E50EF9">
              <w:rPr>
                <w:rStyle w:val="DraftingNote"/>
                <w:b w:val="0"/>
                <w:color w:val="auto"/>
                <w:sz w:val="20"/>
                <w:u w:val="none"/>
              </w:rPr>
              <w:t>.</w:t>
            </w:r>
          </w:p>
          <w:p w14:paraId="3DF902CB" w14:textId="48AE5BC2" w:rsidR="00481920" w:rsidRDefault="00481920" w:rsidP="00217FEB">
            <w:pPr>
              <w:pStyle w:val="BoxListBullet"/>
              <w:rPr>
                <w:rStyle w:val="DraftingNote"/>
                <w:b w:val="0"/>
                <w:color w:val="auto"/>
                <w:sz w:val="20"/>
                <w:u w:val="none"/>
              </w:rPr>
            </w:pPr>
            <w:r>
              <w:rPr>
                <w:rStyle w:val="DraftingNote"/>
                <w:b w:val="0"/>
                <w:color w:val="auto"/>
                <w:sz w:val="20"/>
                <w:u w:val="none"/>
              </w:rPr>
              <w:t xml:space="preserve">Data on student attendance rates (individual year levels; combined and individual sectors) by State and Territory, by Indigenous status are presented in tables </w:t>
            </w:r>
            <w:proofErr w:type="spellStart"/>
            <w:r>
              <w:rPr>
                <w:rStyle w:val="DraftingNote"/>
                <w:b w:val="0"/>
                <w:color w:val="auto"/>
                <w:sz w:val="20"/>
                <w:u w:val="none"/>
              </w:rPr>
              <w:t>NIRA.13.</w:t>
            </w:r>
            <w:r w:rsidR="00E14798">
              <w:rPr>
                <w:rStyle w:val="DraftingNote"/>
                <w:b w:val="0"/>
                <w:color w:val="auto"/>
                <w:sz w:val="20"/>
                <w:u w:val="none"/>
              </w:rPr>
              <w:t>3</w:t>
            </w:r>
            <w:proofErr w:type="spellEnd"/>
            <w:r w:rsidR="00183022">
              <w:rPr>
                <w:rStyle w:val="DraftingNote"/>
                <w:b w:val="0"/>
                <w:color w:val="auto"/>
                <w:sz w:val="20"/>
                <w:u w:val="none"/>
              </w:rPr>
              <w:t>–</w:t>
            </w:r>
            <w:r>
              <w:rPr>
                <w:rStyle w:val="DraftingNote"/>
                <w:b w:val="0"/>
                <w:color w:val="auto"/>
                <w:sz w:val="20"/>
                <w:u w:val="none"/>
              </w:rPr>
              <w:t>13.7.</w:t>
            </w:r>
          </w:p>
          <w:p w14:paraId="2125DF80" w14:textId="1995FBBE" w:rsidR="005E1EA3" w:rsidRPr="00107185" w:rsidRDefault="005E1EA3" w:rsidP="00217FEB">
            <w:pPr>
              <w:pStyle w:val="BoxListBullet"/>
              <w:rPr>
                <w:rStyle w:val="DraftingNote"/>
                <w:b w:val="0"/>
                <w:color w:val="auto"/>
                <w:sz w:val="20"/>
                <w:u w:val="none"/>
              </w:rPr>
            </w:pPr>
            <w:r w:rsidRPr="00107185">
              <w:rPr>
                <w:rStyle w:val="DraftingNote"/>
                <w:b w:val="0"/>
                <w:color w:val="auto"/>
                <w:sz w:val="20"/>
                <w:u w:val="none"/>
              </w:rPr>
              <w:t xml:space="preserve">Data on student attendance level </w:t>
            </w:r>
            <w:r w:rsidR="00481920">
              <w:rPr>
                <w:rStyle w:val="DraftingNote"/>
                <w:b w:val="0"/>
                <w:color w:val="auto"/>
                <w:sz w:val="20"/>
                <w:u w:val="none"/>
              </w:rPr>
              <w:t xml:space="preserve">(combined year levels) </w:t>
            </w:r>
            <w:r w:rsidRPr="00107185">
              <w:rPr>
                <w:rStyle w:val="DraftingNote"/>
                <w:b w:val="0"/>
                <w:color w:val="auto"/>
                <w:sz w:val="20"/>
                <w:u w:val="none"/>
              </w:rPr>
              <w:t xml:space="preserve">by State and Territory, by Indigenous status are presented in tables </w:t>
            </w:r>
            <w:proofErr w:type="spellStart"/>
            <w:r w:rsidRPr="00107185">
              <w:rPr>
                <w:rStyle w:val="DraftingNote"/>
                <w:b w:val="0"/>
                <w:color w:val="auto"/>
                <w:sz w:val="20"/>
                <w:u w:val="none"/>
              </w:rPr>
              <w:t>NIRA.13.8</w:t>
            </w:r>
            <w:proofErr w:type="spellEnd"/>
            <w:r w:rsidRPr="00107185">
              <w:rPr>
                <w:rStyle w:val="DraftingNote"/>
                <w:b w:val="0"/>
                <w:color w:val="auto"/>
                <w:sz w:val="20"/>
                <w:u w:val="none"/>
              </w:rPr>
              <w:t xml:space="preserve"> (government schools) and </w:t>
            </w:r>
            <w:proofErr w:type="spellStart"/>
            <w:r w:rsidRPr="00107185">
              <w:rPr>
                <w:rStyle w:val="DraftingNote"/>
                <w:b w:val="0"/>
                <w:color w:val="auto"/>
                <w:sz w:val="20"/>
                <w:u w:val="none"/>
              </w:rPr>
              <w:t>NIRA.13.9</w:t>
            </w:r>
            <w:proofErr w:type="spellEnd"/>
            <w:r w:rsidRPr="00107185">
              <w:rPr>
                <w:rStyle w:val="DraftingNote"/>
                <w:b w:val="0"/>
                <w:color w:val="auto"/>
                <w:sz w:val="20"/>
                <w:u w:val="none"/>
              </w:rPr>
              <w:t xml:space="preserve"> (non-government schools)</w:t>
            </w:r>
            <w:r w:rsidR="00E50EF9">
              <w:rPr>
                <w:rStyle w:val="DraftingNote"/>
                <w:b w:val="0"/>
                <w:color w:val="auto"/>
                <w:sz w:val="20"/>
                <w:u w:val="none"/>
              </w:rPr>
              <w:t>,</w:t>
            </w:r>
            <w:r w:rsidRPr="00107185">
              <w:rPr>
                <w:rStyle w:val="DraftingNote"/>
                <w:b w:val="0"/>
                <w:color w:val="auto"/>
                <w:sz w:val="20"/>
                <w:u w:val="none"/>
              </w:rPr>
              <w:t xml:space="preserve"> and by remoteness in table</w:t>
            </w:r>
            <w:r w:rsidR="00481920">
              <w:rPr>
                <w:rStyle w:val="DraftingNote"/>
                <w:b w:val="0"/>
                <w:color w:val="auto"/>
                <w:sz w:val="20"/>
                <w:u w:val="none"/>
              </w:rPr>
              <w:t>s</w:t>
            </w:r>
            <w:r w:rsidRPr="00107185">
              <w:rPr>
                <w:rStyle w:val="DraftingNote"/>
                <w:b w:val="0"/>
                <w:color w:val="auto"/>
                <w:sz w:val="20"/>
                <w:u w:val="none"/>
              </w:rPr>
              <w:t xml:space="preserve"> </w:t>
            </w:r>
            <w:proofErr w:type="spellStart"/>
            <w:r w:rsidRPr="00107185">
              <w:rPr>
                <w:rStyle w:val="DraftingNote"/>
                <w:b w:val="0"/>
                <w:color w:val="auto"/>
                <w:sz w:val="20"/>
                <w:u w:val="none"/>
              </w:rPr>
              <w:t>NIRA.13.10</w:t>
            </w:r>
            <w:proofErr w:type="spellEnd"/>
            <w:r w:rsidRPr="00107185">
              <w:rPr>
                <w:rStyle w:val="DraftingNote"/>
                <w:b w:val="0"/>
                <w:color w:val="auto"/>
                <w:sz w:val="20"/>
                <w:u w:val="none"/>
              </w:rPr>
              <w:t xml:space="preserve"> (government schools) and </w:t>
            </w:r>
            <w:proofErr w:type="spellStart"/>
            <w:r w:rsidRPr="00107185">
              <w:rPr>
                <w:rStyle w:val="DraftingNote"/>
                <w:b w:val="0"/>
                <w:color w:val="auto"/>
                <w:sz w:val="20"/>
                <w:u w:val="none"/>
              </w:rPr>
              <w:t>NIRA.13.11</w:t>
            </w:r>
            <w:proofErr w:type="spellEnd"/>
            <w:r w:rsidRPr="00107185">
              <w:rPr>
                <w:rStyle w:val="DraftingNote"/>
                <w:b w:val="0"/>
                <w:color w:val="auto"/>
                <w:sz w:val="20"/>
                <w:u w:val="none"/>
              </w:rPr>
              <w:t xml:space="preserve"> (non-government schools). </w:t>
            </w:r>
          </w:p>
          <w:p w14:paraId="0C4C5B39" w14:textId="3DBDD550" w:rsidR="005E1EA3" w:rsidRPr="00BB6791" w:rsidRDefault="005E1EA3" w:rsidP="00217FEB">
            <w:pPr>
              <w:pStyle w:val="BoxListBullet"/>
              <w:rPr>
                <w:rStyle w:val="DraftingNote"/>
                <w:rFonts w:ascii="Times New Roman" w:hAnsi="Times New Roman"/>
                <w:color w:val="auto"/>
              </w:rPr>
            </w:pPr>
            <w:r w:rsidRPr="00BB6791">
              <w:rPr>
                <w:rStyle w:val="DraftingNote"/>
                <w:b w:val="0"/>
                <w:color w:val="auto"/>
                <w:sz w:val="20"/>
                <w:u w:val="none"/>
              </w:rPr>
              <w:t xml:space="preserve">Data on school attendance level </w:t>
            </w:r>
            <w:r w:rsidR="00481920" w:rsidRPr="00BB6791">
              <w:rPr>
                <w:rStyle w:val="DraftingNote"/>
                <w:b w:val="0"/>
                <w:color w:val="auto"/>
                <w:sz w:val="20"/>
                <w:u w:val="none"/>
              </w:rPr>
              <w:t xml:space="preserve">(combined year levels and combined sectors) </w:t>
            </w:r>
            <w:r w:rsidRPr="00BB6791">
              <w:rPr>
                <w:rStyle w:val="DraftingNote"/>
                <w:b w:val="0"/>
                <w:color w:val="auto"/>
                <w:sz w:val="20"/>
                <w:u w:val="none"/>
              </w:rPr>
              <w:t xml:space="preserve">by State and Territory, by Indigenous status are presented in table </w:t>
            </w:r>
            <w:proofErr w:type="spellStart"/>
            <w:r w:rsidRPr="00BB6791">
              <w:rPr>
                <w:rStyle w:val="DraftingNote"/>
                <w:b w:val="0"/>
                <w:color w:val="auto"/>
                <w:sz w:val="20"/>
                <w:u w:val="none"/>
              </w:rPr>
              <w:t>NIRA.13.12</w:t>
            </w:r>
            <w:proofErr w:type="spellEnd"/>
            <w:r w:rsidRPr="00BB6791">
              <w:rPr>
                <w:rStyle w:val="DraftingNote"/>
                <w:b w:val="0"/>
                <w:color w:val="auto"/>
                <w:sz w:val="20"/>
                <w:u w:val="none"/>
              </w:rPr>
              <w:t xml:space="preserve"> and by </w:t>
            </w:r>
            <w:r w:rsidR="00107185" w:rsidRPr="00BB6791">
              <w:rPr>
                <w:rStyle w:val="DraftingNote"/>
                <w:b w:val="0"/>
                <w:color w:val="auto"/>
                <w:sz w:val="20"/>
                <w:u w:val="none"/>
              </w:rPr>
              <w:t xml:space="preserve">remoteness in table </w:t>
            </w:r>
            <w:proofErr w:type="spellStart"/>
            <w:r w:rsidR="00107185" w:rsidRPr="00BB6791">
              <w:rPr>
                <w:rStyle w:val="DraftingNote"/>
                <w:b w:val="0"/>
                <w:color w:val="auto"/>
                <w:sz w:val="20"/>
                <w:u w:val="none"/>
              </w:rPr>
              <w:t>NIRA.13.13</w:t>
            </w:r>
            <w:proofErr w:type="spellEnd"/>
            <w:r w:rsidR="00BB6791" w:rsidRPr="00BB6791">
              <w:rPr>
                <w:rStyle w:val="DraftingNote"/>
                <w:b w:val="0"/>
                <w:color w:val="auto"/>
                <w:sz w:val="20"/>
                <w:u w:val="none"/>
              </w:rPr>
              <w:t>.</w:t>
            </w:r>
          </w:p>
          <w:p w14:paraId="0D14B7EC" w14:textId="0435D400" w:rsidR="00481920" w:rsidRPr="00107185" w:rsidRDefault="00C2757E" w:rsidP="00C2757E">
            <w:pPr>
              <w:pStyle w:val="Box"/>
              <w:rPr>
                <w:rStyle w:val="DraftingNote"/>
                <w:b w:val="0"/>
                <w:color w:val="auto"/>
                <w:sz w:val="20"/>
                <w:u w:val="none"/>
              </w:rPr>
            </w:pPr>
            <w:r w:rsidRPr="00C2757E">
              <w:t xml:space="preserve">Historical data for </w:t>
            </w:r>
            <w:r w:rsidR="00605004">
              <w:t xml:space="preserve">2017 were reported in the 2016-17 </w:t>
            </w:r>
            <w:proofErr w:type="spellStart"/>
            <w:r w:rsidR="00605004">
              <w:t>NIRA</w:t>
            </w:r>
            <w:proofErr w:type="spellEnd"/>
            <w:r w:rsidR="00605004">
              <w:t xml:space="preserve"> performance report, and for </w:t>
            </w:r>
            <w:r>
              <w:t>2016</w:t>
            </w:r>
            <w:r w:rsidRPr="00C2757E">
              <w:t xml:space="preserve"> were reported in the 201</w:t>
            </w:r>
            <w:r>
              <w:t>5</w:t>
            </w:r>
            <w:r w:rsidRPr="00C2757E">
              <w:t>-1</w:t>
            </w:r>
            <w:r>
              <w:t>6</w:t>
            </w:r>
            <w:r w:rsidRPr="00C2757E">
              <w:t xml:space="preserve"> </w:t>
            </w:r>
            <w:proofErr w:type="spellStart"/>
            <w:r w:rsidRPr="00C2757E">
              <w:t>NIRA</w:t>
            </w:r>
            <w:proofErr w:type="spellEnd"/>
            <w:r w:rsidRPr="00C2757E">
              <w:t xml:space="preserve"> </w:t>
            </w:r>
            <w:r>
              <w:t xml:space="preserve">performance </w:t>
            </w:r>
            <w:r w:rsidRPr="00C2757E">
              <w:t>report</w:t>
            </w:r>
            <w:r>
              <w:t>.</w:t>
            </w:r>
            <w:r w:rsidRPr="00C2757E">
              <w:t xml:space="preserve"> </w:t>
            </w:r>
            <w:r w:rsidR="00481920">
              <w:rPr>
                <w:rStyle w:val="DraftingNote"/>
                <w:b w:val="0"/>
                <w:color w:val="auto"/>
                <w:sz w:val="20"/>
                <w:u w:val="none"/>
              </w:rPr>
              <w:t xml:space="preserve">Historical data for </w:t>
            </w:r>
            <w:r w:rsidR="00E50EF9">
              <w:rPr>
                <w:rStyle w:val="DraftingNote"/>
                <w:b w:val="0"/>
                <w:color w:val="auto"/>
                <w:sz w:val="20"/>
                <w:u w:val="none"/>
              </w:rPr>
              <w:t xml:space="preserve">2014 and 2015 attendance rates and for 2015 attendance levels </w:t>
            </w:r>
            <w:r>
              <w:rPr>
                <w:rStyle w:val="DraftingNote"/>
                <w:b w:val="0"/>
                <w:color w:val="auto"/>
                <w:sz w:val="20"/>
                <w:u w:val="none"/>
              </w:rPr>
              <w:t xml:space="preserve">were </w:t>
            </w:r>
            <w:r w:rsidR="00E50EF9">
              <w:rPr>
                <w:rStyle w:val="DraftingNote"/>
                <w:b w:val="0"/>
                <w:color w:val="auto"/>
                <w:sz w:val="20"/>
                <w:u w:val="none"/>
              </w:rPr>
              <w:t xml:space="preserve">reported in the 2014-15 </w:t>
            </w:r>
            <w:proofErr w:type="spellStart"/>
            <w:r w:rsidR="00E50EF9">
              <w:rPr>
                <w:rStyle w:val="DraftingNote"/>
                <w:b w:val="0"/>
                <w:color w:val="auto"/>
                <w:sz w:val="20"/>
                <w:u w:val="none"/>
              </w:rPr>
              <w:t>NIRA</w:t>
            </w:r>
            <w:proofErr w:type="spellEnd"/>
            <w:r w:rsidR="00E50EF9">
              <w:rPr>
                <w:rStyle w:val="DraftingNote"/>
                <w:b w:val="0"/>
                <w:color w:val="auto"/>
                <w:sz w:val="20"/>
                <w:u w:val="none"/>
              </w:rPr>
              <w:t xml:space="preserve"> </w:t>
            </w:r>
            <w:r>
              <w:rPr>
                <w:rStyle w:val="DraftingNote"/>
                <w:b w:val="0"/>
                <w:color w:val="auto"/>
                <w:sz w:val="20"/>
                <w:u w:val="none"/>
              </w:rPr>
              <w:t xml:space="preserve">performance </w:t>
            </w:r>
            <w:r w:rsidR="00E50EF9">
              <w:rPr>
                <w:rStyle w:val="DraftingNote"/>
                <w:b w:val="0"/>
                <w:color w:val="auto"/>
                <w:sz w:val="20"/>
                <w:u w:val="none"/>
              </w:rPr>
              <w:t xml:space="preserve">report. </w:t>
            </w:r>
          </w:p>
        </w:tc>
      </w:tr>
      <w:tr w:rsidR="00620F1F" w14:paraId="32DAAC73" w14:textId="77777777" w:rsidTr="00944F80">
        <w:trPr>
          <w:cantSplit/>
        </w:trPr>
        <w:tc>
          <w:tcPr>
            <w:tcW w:w="8789" w:type="dxa"/>
            <w:tcBorders>
              <w:top w:val="nil"/>
              <w:left w:val="nil"/>
              <w:bottom w:val="single" w:sz="6" w:space="0" w:color="78A22F"/>
              <w:right w:val="nil"/>
            </w:tcBorders>
            <w:shd w:val="clear" w:color="auto" w:fill="F2F2F2"/>
          </w:tcPr>
          <w:p w14:paraId="3544FE40" w14:textId="77777777" w:rsidR="00620F1F" w:rsidRDefault="00620F1F" w:rsidP="00631821">
            <w:pPr>
              <w:pStyle w:val="Box"/>
              <w:spacing w:before="0" w:line="120" w:lineRule="exact"/>
            </w:pPr>
          </w:p>
        </w:tc>
      </w:tr>
      <w:tr w:rsidR="00620F1F" w:rsidRPr="000863A5" w14:paraId="1ED48C76" w14:textId="77777777" w:rsidTr="00944F80">
        <w:tc>
          <w:tcPr>
            <w:tcW w:w="8789" w:type="dxa"/>
            <w:tcBorders>
              <w:top w:val="single" w:sz="6" w:space="0" w:color="78A22F"/>
              <w:left w:val="nil"/>
              <w:bottom w:val="nil"/>
              <w:right w:val="nil"/>
            </w:tcBorders>
          </w:tcPr>
          <w:p w14:paraId="0A169165" w14:textId="77777777" w:rsidR="00620F1F" w:rsidRPr="00626D32" w:rsidRDefault="00620F1F" w:rsidP="00631821">
            <w:pPr>
              <w:pStyle w:val="BoxSpaceBelow"/>
            </w:pPr>
          </w:p>
        </w:tc>
      </w:tr>
    </w:tbl>
    <w:p w14:paraId="5B1D4A41" w14:textId="77777777" w:rsidR="00357780" w:rsidRDefault="00357780" w:rsidP="003C412A">
      <w:pPr>
        <w:pStyle w:val="BodyText"/>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57780" w14:paraId="30353C96" w14:textId="77777777" w:rsidTr="00944F80">
        <w:tc>
          <w:tcPr>
            <w:tcW w:w="8789" w:type="dxa"/>
            <w:tcBorders>
              <w:top w:val="single" w:sz="6" w:space="0" w:color="78A22F"/>
              <w:left w:val="nil"/>
              <w:bottom w:val="nil"/>
              <w:right w:val="nil"/>
            </w:tcBorders>
            <w:shd w:val="clear" w:color="auto" w:fill="F2F2F2"/>
          </w:tcPr>
          <w:p w14:paraId="0DB69315" w14:textId="01FA4CC5" w:rsidR="00357780" w:rsidRDefault="00357780" w:rsidP="00291F8D">
            <w:pPr>
              <w:pStyle w:val="BoxTitle"/>
            </w:pPr>
            <w:r>
              <w:rPr>
                <w:b w:val="0"/>
              </w:rPr>
              <w:lastRenderedPageBreak/>
              <w:t xml:space="preserve">Box </w:t>
            </w:r>
            <w:r w:rsidR="00A8151B">
              <w:rPr>
                <w:b w:val="0"/>
              </w:rPr>
              <w:t>3</w:t>
            </w:r>
            <w:r w:rsidR="00291F8D">
              <w:rPr>
                <w:b w:val="0"/>
              </w:rPr>
              <w:t>4</w:t>
            </w:r>
            <w:r>
              <w:tab/>
              <w:t>Comment on data quality</w:t>
            </w:r>
          </w:p>
        </w:tc>
      </w:tr>
      <w:tr w:rsidR="00357780" w:rsidRPr="003C412A" w14:paraId="1C2F6037" w14:textId="77777777" w:rsidTr="00944F80">
        <w:trPr>
          <w:cantSplit/>
        </w:trPr>
        <w:tc>
          <w:tcPr>
            <w:tcW w:w="8789" w:type="dxa"/>
            <w:tcBorders>
              <w:top w:val="nil"/>
              <w:left w:val="nil"/>
              <w:bottom w:val="nil"/>
              <w:right w:val="nil"/>
            </w:tcBorders>
            <w:shd w:val="clear" w:color="auto" w:fill="F2F2F2"/>
          </w:tcPr>
          <w:p w14:paraId="2232A79E" w14:textId="1A805B28" w:rsidR="005E1EA3" w:rsidRPr="00107185" w:rsidRDefault="005E1EA3" w:rsidP="00217FEB">
            <w:pPr>
              <w:pStyle w:val="Box"/>
              <w:rPr>
                <w:rStyle w:val="DraftingNote"/>
                <w:b w:val="0"/>
                <w:color w:val="auto"/>
                <w:sz w:val="20"/>
                <w:u w:val="none"/>
              </w:rPr>
            </w:pPr>
            <w:r w:rsidRPr="00107185">
              <w:rPr>
                <w:rStyle w:val="DraftingNote"/>
                <w:b w:val="0"/>
                <w:color w:val="auto"/>
                <w:sz w:val="20"/>
                <w:u w:val="none"/>
              </w:rPr>
              <w:t xml:space="preserve">Key points on data quality for this indicator are summarised below. </w:t>
            </w:r>
          </w:p>
          <w:p w14:paraId="4020E9AF" w14:textId="77777777" w:rsidR="005E1EA3" w:rsidRPr="00107185" w:rsidRDefault="005E1EA3" w:rsidP="00217FEB">
            <w:pPr>
              <w:pStyle w:val="BoxListBullet"/>
              <w:rPr>
                <w:rStyle w:val="DraftingNote"/>
                <w:b w:val="0"/>
                <w:color w:val="auto"/>
                <w:sz w:val="20"/>
                <w:u w:val="none"/>
              </w:rPr>
            </w:pPr>
            <w:r w:rsidRPr="00107185">
              <w:rPr>
                <w:rStyle w:val="DraftingNote"/>
                <w:b w:val="0"/>
                <w:color w:val="auto"/>
                <w:sz w:val="20"/>
                <w:u w:val="none"/>
              </w:rPr>
              <w:t>The data provide relevant information on school attendance across year 1 to year 10.</w:t>
            </w:r>
          </w:p>
          <w:p w14:paraId="5E67AA04" w14:textId="12788357" w:rsidR="00C739A9" w:rsidRPr="00107185" w:rsidRDefault="00C739A9" w:rsidP="00217FEB">
            <w:pPr>
              <w:pStyle w:val="BoxListBullet"/>
              <w:rPr>
                <w:rStyle w:val="DraftingNote"/>
                <w:b w:val="0"/>
                <w:color w:val="auto"/>
                <w:sz w:val="20"/>
                <w:u w:val="none"/>
              </w:rPr>
            </w:pPr>
            <w:r w:rsidRPr="00107185">
              <w:rPr>
                <w:rStyle w:val="DraftingNote"/>
                <w:b w:val="0"/>
                <w:color w:val="auto"/>
                <w:sz w:val="20"/>
                <w:u w:val="none"/>
              </w:rPr>
              <w:t xml:space="preserve">Annual data are available from 2014 onwards for attendance rates (2015 onwards for attendance level measures). The most recent </w:t>
            </w:r>
            <w:r w:rsidR="009426DA">
              <w:rPr>
                <w:rStyle w:val="DraftingNote"/>
                <w:b w:val="0"/>
                <w:color w:val="auto"/>
                <w:sz w:val="20"/>
                <w:u w:val="none"/>
              </w:rPr>
              <w:t xml:space="preserve">available </w:t>
            </w:r>
            <w:r w:rsidRPr="00107185">
              <w:rPr>
                <w:rStyle w:val="DraftingNote"/>
                <w:b w:val="0"/>
                <w:color w:val="auto"/>
                <w:sz w:val="20"/>
                <w:u w:val="none"/>
              </w:rPr>
              <w:t xml:space="preserve">data </w:t>
            </w:r>
            <w:r w:rsidR="009426DA">
              <w:rPr>
                <w:rStyle w:val="DraftingNote"/>
                <w:b w:val="0"/>
                <w:color w:val="auto"/>
                <w:sz w:val="20"/>
                <w:u w:val="none"/>
              </w:rPr>
              <w:t xml:space="preserve">are </w:t>
            </w:r>
            <w:r w:rsidRPr="00107185">
              <w:rPr>
                <w:rStyle w:val="DraftingNote"/>
                <w:b w:val="0"/>
                <w:color w:val="auto"/>
                <w:sz w:val="20"/>
                <w:u w:val="none"/>
              </w:rPr>
              <w:t xml:space="preserve">for </w:t>
            </w:r>
            <w:r w:rsidR="004C59F8" w:rsidRPr="00107185">
              <w:rPr>
                <w:rStyle w:val="DraftingNote"/>
                <w:b w:val="0"/>
                <w:color w:val="auto"/>
                <w:sz w:val="20"/>
                <w:u w:val="none"/>
              </w:rPr>
              <w:t>201</w:t>
            </w:r>
            <w:r w:rsidR="00B254D7">
              <w:rPr>
                <w:rStyle w:val="DraftingNote"/>
                <w:b w:val="0"/>
                <w:color w:val="auto"/>
                <w:sz w:val="20"/>
                <w:u w:val="none"/>
              </w:rPr>
              <w:t>8</w:t>
            </w:r>
            <w:r w:rsidR="004C59F8" w:rsidRPr="00107185">
              <w:rPr>
                <w:rStyle w:val="DraftingNote"/>
                <w:b w:val="0"/>
                <w:color w:val="auto"/>
                <w:sz w:val="20"/>
                <w:u w:val="none"/>
              </w:rPr>
              <w:t xml:space="preserve"> </w:t>
            </w:r>
            <w:r w:rsidRPr="00107185">
              <w:rPr>
                <w:rStyle w:val="DraftingNote"/>
                <w:b w:val="0"/>
                <w:color w:val="auto"/>
                <w:sz w:val="20"/>
                <w:u w:val="none"/>
              </w:rPr>
              <w:t xml:space="preserve">are included in this report. Data </w:t>
            </w:r>
            <w:r w:rsidR="009426DA">
              <w:rPr>
                <w:rStyle w:val="DraftingNote"/>
                <w:b w:val="0"/>
                <w:color w:val="auto"/>
                <w:sz w:val="20"/>
                <w:u w:val="none"/>
              </w:rPr>
              <w:t xml:space="preserve">in this report </w:t>
            </w:r>
            <w:r w:rsidRPr="00107185">
              <w:rPr>
                <w:rStyle w:val="DraftingNote"/>
                <w:b w:val="0"/>
                <w:color w:val="auto"/>
                <w:sz w:val="20"/>
                <w:u w:val="none"/>
              </w:rPr>
              <w:t xml:space="preserve">relate to Semester 1 only. </w:t>
            </w:r>
          </w:p>
          <w:p w14:paraId="0E3A514F" w14:textId="7A044FDB" w:rsidR="00C739A9" w:rsidRPr="00107185" w:rsidRDefault="00C739A9" w:rsidP="00217FEB">
            <w:pPr>
              <w:pStyle w:val="BoxListBullet"/>
              <w:rPr>
                <w:rStyle w:val="DraftingNote"/>
                <w:b w:val="0"/>
                <w:color w:val="auto"/>
                <w:sz w:val="20"/>
                <w:u w:val="none"/>
              </w:rPr>
            </w:pPr>
            <w:r w:rsidRPr="00107185">
              <w:rPr>
                <w:rStyle w:val="DraftingNote"/>
                <w:b w:val="0"/>
                <w:color w:val="auto"/>
                <w:sz w:val="20"/>
                <w:u w:val="none"/>
              </w:rPr>
              <w:t xml:space="preserve">Data are available by State and Territory, and by Indigenous status by remoteness. </w:t>
            </w:r>
            <w:r w:rsidR="00B254D7">
              <w:rPr>
                <w:rStyle w:val="DraftingNote"/>
                <w:b w:val="0"/>
                <w:color w:val="auto"/>
                <w:sz w:val="20"/>
                <w:u w:val="none"/>
              </w:rPr>
              <w:t>Remoteness</w:t>
            </w:r>
            <w:r w:rsidR="00E14798">
              <w:rPr>
                <w:rStyle w:val="DraftingNote"/>
                <w:b w:val="0"/>
                <w:color w:val="auto"/>
                <w:sz w:val="20"/>
                <w:u w:val="none"/>
              </w:rPr>
              <w:t xml:space="preserve"> d</w:t>
            </w:r>
            <w:r w:rsidR="002846A8">
              <w:rPr>
                <w:rStyle w:val="DraftingNote"/>
                <w:b w:val="0"/>
                <w:color w:val="auto"/>
                <w:sz w:val="20"/>
                <w:u w:val="none"/>
              </w:rPr>
              <w:t xml:space="preserve">ata for </w:t>
            </w:r>
            <w:r w:rsidR="00B6173B" w:rsidRPr="00107185">
              <w:rPr>
                <w:rStyle w:val="DraftingNote"/>
                <w:b w:val="0"/>
                <w:color w:val="auto"/>
                <w:sz w:val="20"/>
                <w:u w:val="none"/>
              </w:rPr>
              <w:t xml:space="preserve">2016 </w:t>
            </w:r>
            <w:r w:rsidR="006A68DE">
              <w:rPr>
                <w:rStyle w:val="DraftingNote"/>
                <w:b w:val="0"/>
                <w:color w:val="auto"/>
                <w:sz w:val="20"/>
                <w:u w:val="none"/>
              </w:rPr>
              <w:t xml:space="preserve">onwards </w:t>
            </w:r>
            <w:r w:rsidR="002846A8">
              <w:rPr>
                <w:rStyle w:val="DraftingNote"/>
                <w:b w:val="0"/>
                <w:color w:val="auto"/>
                <w:sz w:val="20"/>
                <w:u w:val="none"/>
              </w:rPr>
              <w:t xml:space="preserve">are based on the ABS remoteness classification and are not </w:t>
            </w:r>
            <w:r w:rsidRPr="00107185">
              <w:rPr>
                <w:rStyle w:val="DraftingNote"/>
                <w:b w:val="0"/>
                <w:color w:val="auto"/>
                <w:sz w:val="20"/>
                <w:u w:val="none"/>
              </w:rPr>
              <w:t xml:space="preserve">comparable </w:t>
            </w:r>
            <w:r w:rsidR="002846A8">
              <w:rPr>
                <w:rStyle w:val="DraftingNote"/>
                <w:b w:val="0"/>
                <w:color w:val="auto"/>
                <w:sz w:val="20"/>
                <w:u w:val="none"/>
              </w:rPr>
              <w:t>to prior years</w:t>
            </w:r>
            <w:r w:rsidR="00183022">
              <w:rPr>
                <w:rStyle w:val="DraftingNote"/>
                <w:b w:val="0"/>
                <w:color w:val="auto"/>
                <w:sz w:val="20"/>
                <w:u w:val="none"/>
              </w:rPr>
              <w:t>’</w:t>
            </w:r>
            <w:r w:rsidR="002846A8">
              <w:rPr>
                <w:rStyle w:val="DraftingNote"/>
                <w:b w:val="0"/>
                <w:color w:val="auto"/>
                <w:sz w:val="20"/>
                <w:u w:val="none"/>
              </w:rPr>
              <w:t xml:space="preserve"> data which are based on </w:t>
            </w:r>
            <w:proofErr w:type="spellStart"/>
            <w:r w:rsidR="002846A8">
              <w:rPr>
                <w:rStyle w:val="DraftingNote"/>
                <w:b w:val="0"/>
                <w:color w:val="auto"/>
                <w:sz w:val="20"/>
                <w:u w:val="none"/>
              </w:rPr>
              <w:t>MCEEDYA</w:t>
            </w:r>
            <w:proofErr w:type="spellEnd"/>
            <w:r w:rsidR="002846A8">
              <w:rPr>
                <w:rStyle w:val="DraftingNote"/>
                <w:b w:val="0"/>
                <w:color w:val="auto"/>
                <w:sz w:val="20"/>
                <w:u w:val="none"/>
              </w:rPr>
              <w:t xml:space="preserve"> geolocation classification.</w:t>
            </w:r>
          </w:p>
          <w:p w14:paraId="033193E9" w14:textId="6FA46B66" w:rsidR="00C739A9" w:rsidRPr="00107185" w:rsidRDefault="00C739A9" w:rsidP="00217FEB">
            <w:pPr>
              <w:pStyle w:val="BoxListBullet"/>
              <w:rPr>
                <w:rStyle w:val="DraftingNote"/>
                <w:b w:val="0"/>
                <w:color w:val="auto"/>
                <w:sz w:val="20"/>
                <w:u w:val="none"/>
              </w:rPr>
            </w:pPr>
            <w:r w:rsidRPr="00107185">
              <w:rPr>
                <w:rStyle w:val="DraftingNote"/>
                <w:b w:val="0"/>
                <w:color w:val="auto"/>
                <w:sz w:val="20"/>
                <w:u w:val="none"/>
              </w:rPr>
              <w:t>Measure (b) refers to the proportion of students attending 90 per cent or more days of possible attendance for students in years 1</w:t>
            </w:r>
            <w:r w:rsidR="00183022">
              <w:rPr>
                <w:rStyle w:val="DraftingNote"/>
                <w:b w:val="0"/>
                <w:color w:val="auto"/>
                <w:sz w:val="20"/>
                <w:u w:val="none"/>
              </w:rPr>
              <w:t>–</w:t>
            </w:r>
            <w:r w:rsidRPr="00107185">
              <w:rPr>
                <w:rStyle w:val="DraftingNote"/>
                <w:b w:val="0"/>
                <w:color w:val="auto"/>
                <w:sz w:val="20"/>
                <w:u w:val="none"/>
              </w:rPr>
              <w:t xml:space="preserve">10. For this measure estimates are based on the nationally agreed measure of full-time equivalent students, dependent on the sum of ‘possible school days’ for students. </w:t>
            </w:r>
            <w:r w:rsidR="00D249CA" w:rsidRPr="00107185">
              <w:rPr>
                <w:rStyle w:val="DraftingNote"/>
                <w:b w:val="0"/>
                <w:color w:val="auto"/>
                <w:sz w:val="20"/>
                <w:u w:val="none"/>
              </w:rPr>
              <w:t>From 2016</w:t>
            </w:r>
            <w:r w:rsidR="006047BE">
              <w:rPr>
                <w:rStyle w:val="DraftingNote"/>
                <w:b w:val="0"/>
                <w:color w:val="auto"/>
                <w:sz w:val="20"/>
                <w:u w:val="none"/>
              </w:rPr>
              <w:t>,</w:t>
            </w:r>
            <w:r w:rsidR="00D249CA" w:rsidRPr="00107185">
              <w:rPr>
                <w:rStyle w:val="DraftingNote"/>
                <w:b w:val="0"/>
                <w:color w:val="auto"/>
                <w:sz w:val="20"/>
                <w:u w:val="none"/>
              </w:rPr>
              <w:t xml:space="preserve"> data across the non-government sector are calculated on a comparable basis with government schools data (prior to 2016 n</w:t>
            </w:r>
            <w:r w:rsidRPr="00107185">
              <w:rPr>
                <w:rStyle w:val="DraftingNote"/>
                <w:b w:val="0"/>
                <w:color w:val="auto"/>
                <w:sz w:val="20"/>
                <w:u w:val="none"/>
              </w:rPr>
              <w:t xml:space="preserve">on-government estimates </w:t>
            </w:r>
            <w:r w:rsidR="006047BE">
              <w:rPr>
                <w:rStyle w:val="DraftingNote"/>
                <w:b w:val="0"/>
                <w:color w:val="auto"/>
                <w:sz w:val="20"/>
                <w:u w:val="none"/>
              </w:rPr>
              <w:t>we</w:t>
            </w:r>
            <w:r w:rsidR="006047BE" w:rsidRPr="00107185">
              <w:rPr>
                <w:rStyle w:val="DraftingNote"/>
                <w:b w:val="0"/>
                <w:color w:val="auto"/>
                <w:sz w:val="20"/>
                <w:u w:val="none"/>
              </w:rPr>
              <w:t xml:space="preserve">re </w:t>
            </w:r>
            <w:r w:rsidRPr="00107185">
              <w:rPr>
                <w:rStyle w:val="DraftingNote"/>
                <w:b w:val="0"/>
                <w:color w:val="auto"/>
                <w:sz w:val="20"/>
                <w:u w:val="none"/>
              </w:rPr>
              <w:t>based on a different measure of headcounts of students attending more than 90 per cent of the time, and not directly comparable with the government schools data</w:t>
            </w:r>
            <w:r w:rsidR="00D249CA" w:rsidRPr="00107185">
              <w:rPr>
                <w:rStyle w:val="DraftingNote"/>
                <w:b w:val="0"/>
                <w:color w:val="auto"/>
                <w:sz w:val="20"/>
                <w:u w:val="none"/>
              </w:rPr>
              <w:t>)</w:t>
            </w:r>
            <w:r w:rsidRPr="00107185">
              <w:rPr>
                <w:rStyle w:val="DraftingNote"/>
                <w:b w:val="0"/>
                <w:color w:val="auto"/>
                <w:sz w:val="20"/>
                <w:u w:val="none"/>
              </w:rPr>
              <w:t xml:space="preserve">. </w:t>
            </w:r>
          </w:p>
          <w:p w14:paraId="119BD00C" w14:textId="11B91B39" w:rsidR="00C739A9" w:rsidRPr="00107185" w:rsidRDefault="00C739A9" w:rsidP="00217FEB">
            <w:pPr>
              <w:pStyle w:val="BoxListBullet"/>
              <w:rPr>
                <w:rStyle w:val="DraftingNote"/>
                <w:b w:val="0"/>
                <w:color w:val="auto"/>
                <w:sz w:val="20"/>
                <w:u w:val="none"/>
              </w:rPr>
            </w:pPr>
            <w:r w:rsidRPr="00107185">
              <w:rPr>
                <w:rStyle w:val="DraftingNote"/>
                <w:b w:val="0"/>
                <w:color w:val="auto"/>
                <w:sz w:val="20"/>
                <w:u w:val="none"/>
              </w:rPr>
              <w:t>Measure (c) refers to the proportion of schools achieving 90 per cent or more attendance on average in years 1</w:t>
            </w:r>
            <w:r w:rsidR="00183022">
              <w:rPr>
                <w:rStyle w:val="DraftingNote"/>
                <w:b w:val="0"/>
                <w:color w:val="auto"/>
                <w:sz w:val="20"/>
                <w:u w:val="none"/>
              </w:rPr>
              <w:t>–</w:t>
            </w:r>
            <w:r w:rsidRPr="00107185">
              <w:rPr>
                <w:rStyle w:val="DraftingNote"/>
                <w:b w:val="0"/>
                <w:color w:val="auto"/>
                <w:sz w:val="20"/>
                <w:u w:val="none"/>
              </w:rPr>
              <w:t>10.</w:t>
            </w:r>
            <w:r w:rsidR="00D249CA" w:rsidRPr="00107185">
              <w:rPr>
                <w:rStyle w:val="DraftingNote"/>
                <w:b w:val="0"/>
                <w:color w:val="auto"/>
                <w:sz w:val="20"/>
                <w:u w:val="none"/>
              </w:rPr>
              <w:t xml:space="preserve"> </w:t>
            </w:r>
            <w:r w:rsidRPr="00107185">
              <w:rPr>
                <w:rStyle w:val="DraftingNote"/>
                <w:b w:val="0"/>
                <w:color w:val="auto"/>
                <w:sz w:val="20"/>
                <w:u w:val="none"/>
              </w:rPr>
              <w:t>The exclusion of certain schools for attendance data includes:</w:t>
            </w:r>
          </w:p>
          <w:p w14:paraId="757C5A9F" w14:textId="77777777" w:rsidR="00C739A9" w:rsidRPr="00107185" w:rsidRDefault="00C739A9" w:rsidP="00217FEB">
            <w:pPr>
              <w:pStyle w:val="BoxListBullet2"/>
              <w:rPr>
                <w:rStyle w:val="DraftingNote"/>
                <w:b w:val="0"/>
                <w:color w:val="auto"/>
                <w:sz w:val="20"/>
                <w:u w:val="none"/>
              </w:rPr>
            </w:pPr>
            <w:r w:rsidRPr="00107185">
              <w:rPr>
                <w:rStyle w:val="DraftingNote"/>
                <w:b w:val="0"/>
                <w:color w:val="auto"/>
                <w:sz w:val="20"/>
                <w:u w:val="none"/>
              </w:rPr>
              <w:t xml:space="preserve">where a school has multiple campuses the student attendance </w:t>
            </w:r>
            <w:r w:rsidR="00D71B5B" w:rsidRPr="00107185">
              <w:rPr>
                <w:rStyle w:val="DraftingNote"/>
                <w:b w:val="0"/>
                <w:color w:val="auto"/>
                <w:sz w:val="20"/>
                <w:u w:val="none"/>
              </w:rPr>
              <w:t xml:space="preserve">is reported by rolling all campuses together counting the school once in the numerator and denominator </w:t>
            </w:r>
          </w:p>
          <w:p w14:paraId="6D6638BD" w14:textId="77777777" w:rsidR="00D71B5B" w:rsidRPr="00107185" w:rsidRDefault="00D71B5B" w:rsidP="00217FEB">
            <w:pPr>
              <w:pStyle w:val="BoxListBullet2"/>
              <w:rPr>
                <w:rStyle w:val="DraftingNote"/>
                <w:b w:val="0"/>
                <w:color w:val="auto"/>
                <w:sz w:val="20"/>
                <w:u w:val="none"/>
              </w:rPr>
            </w:pPr>
            <w:r w:rsidRPr="00107185">
              <w:rPr>
                <w:rStyle w:val="DraftingNote"/>
                <w:b w:val="0"/>
                <w:color w:val="auto"/>
                <w:sz w:val="20"/>
                <w:u w:val="none"/>
              </w:rPr>
              <w:t xml:space="preserve">where student attendance rates have not been provided by the jurisdiction or where rates have been suppressed due to small numbers, schools are excluded from the numerator and denominator. </w:t>
            </w:r>
          </w:p>
          <w:p w14:paraId="3F827673" w14:textId="77777777" w:rsidR="00D71B5B" w:rsidRPr="00107185" w:rsidRDefault="00D71B5B" w:rsidP="00217FEB">
            <w:pPr>
              <w:pStyle w:val="BoxListBullet"/>
              <w:rPr>
                <w:rStyle w:val="DraftingNote"/>
                <w:b w:val="0"/>
                <w:color w:val="auto"/>
                <w:sz w:val="20"/>
                <w:u w:val="none"/>
              </w:rPr>
            </w:pPr>
            <w:r w:rsidRPr="00107185">
              <w:rPr>
                <w:rStyle w:val="DraftingNote"/>
                <w:b w:val="0"/>
                <w:color w:val="auto"/>
                <w:sz w:val="20"/>
                <w:u w:val="none"/>
              </w:rPr>
              <w:t xml:space="preserve">Detailed explanatory notes are publicly available to assist interpretation of results. </w:t>
            </w:r>
          </w:p>
          <w:p w14:paraId="77853546" w14:textId="12A96438" w:rsidR="00D71B5B" w:rsidRPr="00107185" w:rsidRDefault="00D71B5B" w:rsidP="00217FEB">
            <w:pPr>
              <w:pStyle w:val="BoxListBullet"/>
              <w:rPr>
                <w:rStyle w:val="DraftingNote"/>
                <w:b w:val="0"/>
                <w:color w:val="auto"/>
                <w:sz w:val="20"/>
                <w:u w:val="none"/>
              </w:rPr>
            </w:pPr>
            <w:r w:rsidRPr="00107185">
              <w:rPr>
                <w:rStyle w:val="DraftingNote"/>
                <w:b w:val="0"/>
                <w:color w:val="auto"/>
                <w:sz w:val="20"/>
                <w:u w:val="none"/>
              </w:rPr>
              <w:t xml:space="preserve">Additional data from the data source are available on-line or on request. </w:t>
            </w:r>
          </w:p>
          <w:p w14:paraId="4EA31564" w14:textId="4935D829" w:rsidR="00D249CA" w:rsidRPr="00107185" w:rsidRDefault="00D71B5B" w:rsidP="00217FEB">
            <w:pPr>
              <w:pStyle w:val="Box"/>
              <w:rPr>
                <w:rStyle w:val="DraftingNote"/>
                <w:b w:val="0"/>
                <w:color w:val="auto"/>
                <w:sz w:val="20"/>
                <w:u w:val="none"/>
              </w:rPr>
            </w:pPr>
            <w:r w:rsidRPr="00107185">
              <w:rPr>
                <w:rStyle w:val="DraftingNote"/>
                <w:b w:val="0"/>
                <w:color w:val="auto"/>
                <w:sz w:val="20"/>
                <w:u w:val="none"/>
              </w:rPr>
              <w:t>The Steering Committee a</w:t>
            </w:r>
            <w:r w:rsidR="004C17CA" w:rsidRPr="00107185">
              <w:rPr>
                <w:rStyle w:val="DraftingNote"/>
                <w:b w:val="0"/>
                <w:color w:val="auto"/>
                <w:sz w:val="20"/>
                <w:u w:val="none"/>
              </w:rPr>
              <w:t>lso notes the following issues:</w:t>
            </w:r>
          </w:p>
          <w:p w14:paraId="05620390" w14:textId="6FF257AC" w:rsidR="00A52631" w:rsidRPr="000F33B4" w:rsidRDefault="004C17CA" w:rsidP="00B254D7">
            <w:pPr>
              <w:pStyle w:val="BoxListBullet"/>
              <w:rPr>
                <w:rStyle w:val="DraftingNote"/>
                <w:rFonts w:asciiTheme="minorHAnsi" w:hAnsiTheme="minorHAnsi" w:cstheme="minorHAnsi"/>
                <w:b w:val="0"/>
                <w:color w:val="auto"/>
                <w:sz w:val="20"/>
                <w:u w:val="none"/>
              </w:rPr>
            </w:pPr>
            <w:r w:rsidRPr="00107185">
              <w:rPr>
                <w:rStyle w:val="DraftingNote"/>
                <w:b w:val="0"/>
                <w:color w:val="auto"/>
                <w:sz w:val="20"/>
                <w:u w:val="none"/>
              </w:rPr>
              <w:t xml:space="preserve">Student attendance data for NSW </w:t>
            </w:r>
            <w:r w:rsidR="00A52631">
              <w:rPr>
                <w:rStyle w:val="DraftingNote"/>
                <w:b w:val="0"/>
                <w:color w:val="auto"/>
                <w:sz w:val="20"/>
                <w:u w:val="none"/>
              </w:rPr>
              <w:t xml:space="preserve">government schools were collected according to national standards for the first time in 2018. </w:t>
            </w:r>
            <w:r w:rsidR="00B254D7">
              <w:rPr>
                <w:rStyle w:val="DraftingNote"/>
                <w:b w:val="0"/>
                <w:color w:val="auto"/>
                <w:sz w:val="20"/>
                <w:u w:val="none"/>
              </w:rPr>
              <w:t>Data for NSW government schools for 2018 is not directly comparable to previous years, and pre-2018 is not directly comparable across jurisdictions.</w:t>
            </w:r>
            <w:r w:rsidR="00107185">
              <w:rPr>
                <w:rStyle w:val="DraftingNote"/>
                <w:b w:val="0"/>
                <w:color w:val="auto"/>
                <w:sz w:val="20"/>
                <w:u w:val="none"/>
              </w:rPr>
              <w:t xml:space="preserve"> </w:t>
            </w:r>
          </w:p>
        </w:tc>
      </w:tr>
      <w:tr w:rsidR="00357780" w14:paraId="49F0F766" w14:textId="77777777" w:rsidTr="00944F80">
        <w:trPr>
          <w:cantSplit/>
        </w:trPr>
        <w:tc>
          <w:tcPr>
            <w:tcW w:w="8789" w:type="dxa"/>
            <w:tcBorders>
              <w:top w:val="nil"/>
              <w:left w:val="nil"/>
              <w:bottom w:val="single" w:sz="6" w:space="0" w:color="78A22F"/>
              <w:right w:val="nil"/>
            </w:tcBorders>
            <w:shd w:val="clear" w:color="auto" w:fill="F2F2F2"/>
          </w:tcPr>
          <w:p w14:paraId="608ADA99" w14:textId="15C5C90E" w:rsidR="00357780" w:rsidRDefault="00C739A9" w:rsidP="00631821">
            <w:pPr>
              <w:pStyle w:val="Box"/>
              <w:spacing w:before="0" w:line="120" w:lineRule="exact"/>
            </w:pPr>
            <w:r>
              <w:t xml:space="preserve"> </w:t>
            </w:r>
          </w:p>
        </w:tc>
      </w:tr>
      <w:tr w:rsidR="00357780" w:rsidRPr="000863A5" w14:paraId="5E53F39F" w14:textId="77777777" w:rsidTr="00944F80">
        <w:tc>
          <w:tcPr>
            <w:tcW w:w="8789" w:type="dxa"/>
            <w:tcBorders>
              <w:top w:val="single" w:sz="6" w:space="0" w:color="78A22F"/>
              <w:left w:val="nil"/>
              <w:bottom w:val="nil"/>
              <w:right w:val="nil"/>
            </w:tcBorders>
          </w:tcPr>
          <w:p w14:paraId="3C4FD966" w14:textId="77777777" w:rsidR="00357780" w:rsidRPr="00626D32" w:rsidRDefault="00357780" w:rsidP="00631821">
            <w:pPr>
              <w:pStyle w:val="BoxSpaceBelow"/>
            </w:pPr>
          </w:p>
        </w:tc>
      </w:tr>
    </w:tbl>
    <w:p w14:paraId="55B6053C" w14:textId="7A9B4090" w:rsidR="003C412A" w:rsidRDefault="003C412A" w:rsidP="003C412A">
      <w:pPr>
        <w:pStyle w:val="BodyText"/>
        <w:rPr>
          <w:rFonts w:ascii="Arial" w:hAnsi="Arial"/>
          <w:sz w:val="20"/>
        </w:rPr>
      </w:pPr>
      <w:r>
        <w:br w:type="page"/>
      </w:r>
    </w:p>
    <w:p w14:paraId="42F3ACE8" w14:textId="22C006E2" w:rsidR="003C412A" w:rsidRPr="00921D4D" w:rsidRDefault="003C412A" w:rsidP="003C412A">
      <w:pPr>
        <w:pStyle w:val="Heading3"/>
        <w:spacing w:after="360"/>
      </w:pPr>
      <w:bookmarkStart w:id="26" w:name="_Ref277842897"/>
      <w:bookmarkStart w:id="27" w:name="_Ref341361621"/>
      <w:r>
        <w:lastRenderedPageBreak/>
        <w:t>Indicator 14</w:t>
      </w:r>
      <w:r w:rsidRPr="00921D4D">
        <w:t xml:space="preserve">: </w:t>
      </w:r>
      <w:bookmarkEnd w:id="26"/>
      <w:r>
        <w:t>Level of workforce participation</w:t>
      </w:r>
      <w:bookmarkEnd w:id="27"/>
    </w:p>
    <w:tbl>
      <w:tblPr>
        <w:tblW w:w="8789" w:type="dxa"/>
        <w:tblCellMar>
          <w:right w:w="0" w:type="dxa"/>
        </w:tblCellMar>
        <w:tblLook w:val="0000" w:firstRow="0" w:lastRow="0" w:firstColumn="0" w:lastColumn="0" w:noHBand="0" w:noVBand="0"/>
      </w:tblPr>
      <w:tblGrid>
        <w:gridCol w:w="2093"/>
        <w:gridCol w:w="6696"/>
      </w:tblGrid>
      <w:tr w:rsidR="003C412A" w:rsidRPr="00D87AA9" w14:paraId="5F05BA57" w14:textId="77777777" w:rsidTr="00944F80">
        <w:trPr>
          <w:trHeight w:val="805"/>
        </w:trPr>
        <w:tc>
          <w:tcPr>
            <w:tcW w:w="2093" w:type="dxa"/>
          </w:tcPr>
          <w:p w14:paraId="193D1F85" w14:textId="77777777" w:rsidR="003C412A" w:rsidRPr="00D87AA9" w:rsidRDefault="003C412A" w:rsidP="00995891">
            <w:pPr>
              <w:pStyle w:val="TableBodyText"/>
              <w:jc w:val="left"/>
            </w:pPr>
            <w:r w:rsidRPr="00B82DC5">
              <w:t>Key amendments from previous cycle of reporting:</w:t>
            </w:r>
          </w:p>
        </w:tc>
        <w:tc>
          <w:tcPr>
            <w:tcW w:w="6696" w:type="dxa"/>
          </w:tcPr>
          <w:p w14:paraId="58EEDF9F" w14:textId="519C4CB9" w:rsidR="003C412A" w:rsidRPr="00D87AA9" w:rsidRDefault="00E14798" w:rsidP="00E14798">
            <w:pPr>
              <w:pStyle w:val="TableBodyText"/>
              <w:jc w:val="left"/>
            </w:pPr>
            <w:r>
              <w:t xml:space="preserve">Revised Census data </w:t>
            </w:r>
            <w:r w:rsidR="00365846">
              <w:t xml:space="preserve">by remoteness </w:t>
            </w:r>
            <w:r>
              <w:t>for survey comparisons have been provided for 2011 to address an error in earlier data provision. These data are only used for comparisons with sample survey data (main data source for this indicator).</w:t>
            </w:r>
          </w:p>
        </w:tc>
      </w:tr>
      <w:tr w:rsidR="003C412A" w:rsidRPr="00D87AA9" w14:paraId="2BF7B044" w14:textId="77777777" w:rsidTr="00944F80">
        <w:tc>
          <w:tcPr>
            <w:tcW w:w="2093" w:type="dxa"/>
          </w:tcPr>
          <w:p w14:paraId="79CA84CD" w14:textId="77777777" w:rsidR="003C412A" w:rsidRPr="00D87AA9" w:rsidRDefault="003C412A" w:rsidP="00356183">
            <w:pPr>
              <w:pStyle w:val="TableBodyText"/>
              <w:spacing w:before="80"/>
              <w:jc w:val="left"/>
            </w:pPr>
            <w:r w:rsidRPr="00D87AA9">
              <w:t>Target:</w:t>
            </w:r>
          </w:p>
        </w:tc>
        <w:tc>
          <w:tcPr>
            <w:tcW w:w="6696" w:type="dxa"/>
          </w:tcPr>
          <w:p w14:paraId="16F0B90C" w14:textId="2F5BB3E4" w:rsidR="003C412A" w:rsidRPr="00D87AA9" w:rsidRDefault="003C412A" w:rsidP="00356183">
            <w:pPr>
              <w:pStyle w:val="TableBodyText"/>
              <w:spacing w:before="80"/>
              <w:jc w:val="left"/>
            </w:pPr>
            <w:r w:rsidRPr="006F41BD">
              <w:t>Halving the gap in employment outcomes between Indigenous and non−Indigenous Australians within a decade (by 2018)</w:t>
            </w:r>
          </w:p>
        </w:tc>
      </w:tr>
      <w:tr w:rsidR="003C412A" w:rsidRPr="00D87AA9" w14:paraId="60F80F3D" w14:textId="77777777" w:rsidTr="00944F80">
        <w:tc>
          <w:tcPr>
            <w:tcW w:w="2093" w:type="dxa"/>
          </w:tcPr>
          <w:p w14:paraId="5831EF4D" w14:textId="77777777" w:rsidR="003C412A" w:rsidRPr="00D87AA9" w:rsidRDefault="003C412A" w:rsidP="00356183">
            <w:pPr>
              <w:pStyle w:val="TableBodyText"/>
              <w:spacing w:before="80"/>
              <w:jc w:val="left"/>
            </w:pPr>
            <w:r w:rsidRPr="00D87AA9">
              <w:t>Measure:</w:t>
            </w:r>
          </w:p>
        </w:tc>
        <w:tc>
          <w:tcPr>
            <w:tcW w:w="6696" w:type="dxa"/>
          </w:tcPr>
          <w:p w14:paraId="0EB64B92" w14:textId="77777777" w:rsidR="003C412A" w:rsidRDefault="003C412A" w:rsidP="00356183">
            <w:pPr>
              <w:pStyle w:val="TableBodyText"/>
              <w:spacing w:before="80"/>
              <w:jc w:val="left"/>
            </w:pPr>
            <w:r>
              <w:t>There are three measures for this indicator:</w:t>
            </w:r>
          </w:p>
          <w:p w14:paraId="30BDB9E7" w14:textId="77777777" w:rsidR="003C412A" w:rsidRDefault="003C412A" w:rsidP="00356183">
            <w:pPr>
              <w:pStyle w:val="TableBodyText"/>
              <w:spacing w:before="80"/>
              <w:jc w:val="left"/>
            </w:pPr>
            <w:r>
              <w:t>Measure 14(a) (direct measure): Employment to population ratio for the working age population, by Indigenous status</w:t>
            </w:r>
          </w:p>
          <w:p w14:paraId="612DDEB9" w14:textId="77777777" w:rsidR="003C412A" w:rsidRDefault="003C412A" w:rsidP="00356183">
            <w:pPr>
              <w:pStyle w:val="TableBodyText"/>
              <w:spacing w:before="80"/>
              <w:jc w:val="left"/>
            </w:pPr>
            <w:r>
              <w:t>Measure 14(b) (supporting measure): Unemployment rate, by Indigenous status</w:t>
            </w:r>
          </w:p>
          <w:p w14:paraId="4E1F29A5" w14:textId="77777777" w:rsidR="003C412A" w:rsidRDefault="003C412A" w:rsidP="00356183">
            <w:pPr>
              <w:pStyle w:val="TableBodyText"/>
              <w:spacing w:before="80"/>
              <w:jc w:val="left"/>
            </w:pPr>
            <w:r>
              <w:t>Measure 14(c) (supporting measure): Labour force participation rate, by Indigenous status</w:t>
            </w:r>
          </w:p>
          <w:p w14:paraId="7DE5F9B7" w14:textId="77777777" w:rsidR="003C412A" w:rsidRDefault="003C412A" w:rsidP="00356183">
            <w:pPr>
              <w:pStyle w:val="TableBodyText"/>
              <w:spacing w:before="80"/>
              <w:jc w:val="left"/>
            </w:pPr>
            <w:r>
              <w:t>As this indicator is used for reporting against the employment outcomes target</w:t>
            </w:r>
            <w:r w:rsidR="005139F4">
              <w:t>,</w:t>
            </w:r>
            <w:r>
              <w:t xml:space="preserve"> </w:t>
            </w:r>
            <w:r w:rsidR="005139F4">
              <w:t>f</w:t>
            </w:r>
            <w:r>
              <w:t xml:space="preserve">or all three measures Census data are reported in </w:t>
            </w:r>
            <w:r w:rsidRPr="001A660A">
              <w:rPr>
                <w:u w:val="single"/>
              </w:rPr>
              <w:t>two</w:t>
            </w:r>
            <w:r>
              <w:t xml:space="preserve"> ways: </w:t>
            </w:r>
          </w:p>
          <w:p w14:paraId="7AA9EB92" w14:textId="77777777" w:rsidR="003C412A" w:rsidRDefault="003C412A" w:rsidP="004C6DAF">
            <w:pPr>
              <w:pStyle w:val="TableBullet"/>
              <w:rPr>
                <w:szCs w:val="24"/>
              </w:rPr>
            </w:pPr>
            <w:r>
              <w:t>as per the measures below</w:t>
            </w:r>
          </w:p>
          <w:p w14:paraId="63BF3740" w14:textId="77777777" w:rsidR="003C412A" w:rsidRDefault="003C412A" w:rsidP="004C6DAF">
            <w:pPr>
              <w:pStyle w:val="TableBullet"/>
              <w:rPr>
                <w:szCs w:val="24"/>
              </w:rPr>
            </w:pPr>
            <w:r>
              <w:t>as per the measures below but excluding people living in non-private dwellings, members of the permanent defence forces and members of foreign representation (this second presentation is to align with the survey data used for this indicator)</w:t>
            </w:r>
          </w:p>
          <w:p w14:paraId="70B4BE5E" w14:textId="10F6B111" w:rsidR="003C412A" w:rsidRPr="00263492" w:rsidRDefault="003C412A" w:rsidP="00356183">
            <w:pPr>
              <w:pStyle w:val="TableBodyText"/>
              <w:spacing w:before="80"/>
              <w:jc w:val="left"/>
            </w:pPr>
            <w:r>
              <w:t>For all three measures</w:t>
            </w:r>
            <w:r w:rsidR="005139F4">
              <w:t>,</w:t>
            </w:r>
            <w:r>
              <w:t xml:space="preserve"> the SEW data for the baseline are averaged over the 2008 and 2009 collections to align with the 2008 </w:t>
            </w:r>
            <w:proofErr w:type="spellStart"/>
            <w:r>
              <w:t>NATSISS</w:t>
            </w:r>
            <w:proofErr w:type="spellEnd"/>
            <w:r>
              <w:t xml:space="preserve"> collection period.</w:t>
            </w:r>
          </w:p>
        </w:tc>
      </w:tr>
      <w:tr w:rsidR="003C412A" w:rsidRPr="00D87AA9" w14:paraId="36C3A935" w14:textId="77777777" w:rsidTr="00944F80">
        <w:tc>
          <w:tcPr>
            <w:tcW w:w="2093" w:type="dxa"/>
          </w:tcPr>
          <w:p w14:paraId="276D7100" w14:textId="77777777" w:rsidR="003C412A" w:rsidRPr="00D87AA9" w:rsidRDefault="003C412A" w:rsidP="00356183">
            <w:pPr>
              <w:pStyle w:val="TableBodyText"/>
              <w:spacing w:before="80"/>
              <w:jc w:val="left"/>
            </w:pPr>
            <w:r>
              <w:t>Measure (</w:t>
            </w:r>
            <w:proofErr w:type="spellStart"/>
            <w:r>
              <w:t>14a</w:t>
            </w:r>
            <w:proofErr w:type="spellEnd"/>
            <w:r>
              <w:t>):</w:t>
            </w:r>
          </w:p>
        </w:tc>
        <w:tc>
          <w:tcPr>
            <w:tcW w:w="6696" w:type="dxa"/>
          </w:tcPr>
          <w:p w14:paraId="2C94DEAC" w14:textId="77777777" w:rsidR="003C412A" w:rsidRDefault="003C412A" w:rsidP="00356183">
            <w:pPr>
              <w:pStyle w:val="TableBodyText"/>
              <w:spacing w:before="80"/>
              <w:jc w:val="left"/>
            </w:pPr>
            <w:r>
              <w:t>Proportion of the working age population who are employed, by Indigenous status</w:t>
            </w:r>
          </w:p>
          <w:p w14:paraId="3E98709A" w14:textId="77777777" w:rsidR="003C412A" w:rsidRDefault="003C412A" w:rsidP="00944F80">
            <w:pPr>
              <w:pStyle w:val="TableBodyText"/>
              <w:spacing w:before="80"/>
              <w:jc w:val="left"/>
            </w:pPr>
            <w:r>
              <w:t>The measure is defined as:</w:t>
            </w:r>
          </w:p>
          <w:p w14:paraId="79248FB2" w14:textId="77777777" w:rsidR="003C412A" w:rsidRDefault="003C412A" w:rsidP="004C6DAF">
            <w:pPr>
              <w:pStyle w:val="TableBullet"/>
              <w:rPr>
                <w:szCs w:val="24"/>
              </w:rPr>
            </w:pPr>
            <w:r w:rsidRPr="0012388B">
              <w:rPr>
                <w:i/>
              </w:rPr>
              <w:t>Numerator</w:t>
            </w:r>
            <w:r>
              <w:t xml:space="preserve"> — number of people aged 15–64 years employed excluding those whose Indigenous status and labour force status were not stated and overseas and temporary visitors </w:t>
            </w:r>
          </w:p>
          <w:p w14:paraId="0AA99202" w14:textId="77777777" w:rsidR="003C412A" w:rsidRDefault="003C412A" w:rsidP="004C6DAF">
            <w:pPr>
              <w:pStyle w:val="TableBullet"/>
              <w:rPr>
                <w:szCs w:val="24"/>
              </w:rPr>
            </w:pPr>
            <w:r w:rsidRPr="0012388B">
              <w:rPr>
                <w:i/>
              </w:rPr>
              <w:t>Denominator</w:t>
            </w:r>
            <w:r>
              <w:t xml:space="preserve"> — total population of people aged 15–64 years excluding those whose Indigenous status and labour force status were not stated and overseas and temporary visitors</w:t>
            </w:r>
          </w:p>
          <w:p w14:paraId="5BCF3225" w14:textId="1E28BE78" w:rsidR="003C412A" w:rsidRPr="00D87AA9" w:rsidRDefault="003C412A" w:rsidP="004C6DAF">
            <w:pPr>
              <w:pStyle w:val="TableBodyText"/>
              <w:jc w:val="left"/>
            </w:pPr>
            <w:r>
              <w:t xml:space="preserve">presented as a </w:t>
            </w:r>
            <w:r w:rsidR="005139F4">
              <w:rPr>
                <w:i/>
              </w:rPr>
              <w:t>percentage.</w:t>
            </w:r>
          </w:p>
        </w:tc>
      </w:tr>
      <w:tr w:rsidR="003C412A" w:rsidRPr="00D87AA9" w14:paraId="558336C1" w14:textId="77777777" w:rsidTr="00944F80">
        <w:tc>
          <w:tcPr>
            <w:tcW w:w="2093" w:type="dxa"/>
          </w:tcPr>
          <w:p w14:paraId="0B3F2216" w14:textId="77777777" w:rsidR="003C412A" w:rsidRPr="00D87AA9" w:rsidRDefault="003C412A" w:rsidP="00356183">
            <w:pPr>
              <w:pStyle w:val="TableBodyText"/>
              <w:spacing w:before="80"/>
              <w:jc w:val="left"/>
            </w:pPr>
            <w:r>
              <w:t>Measure (</w:t>
            </w:r>
            <w:proofErr w:type="spellStart"/>
            <w:r>
              <w:t>14b</w:t>
            </w:r>
            <w:proofErr w:type="spellEnd"/>
            <w:r>
              <w:t>):</w:t>
            </w:r>
          </w:p>
        </w:tc>
        <w:tc>
          <w:tcPr>
            <w:tcW w:w="6696" w:type="dxa"/>
          </w:tcPr>
          <w:p w14:paraId="100B5294" w14:textId="77777777" w:rsidR="003C412A" w:rsidRDefault="003C412A" w:rsidP="00356183">
            <w:pPr>
              <w:pStyle w:val="TableBodyText"/>
              <w:spacing w:before="80"/>
              <w:jc w:val="left"/>
            </w:pPr>
            <w:r>
              <w:t>Proportion of the labour force aged 15–64 years who are unemployed, by Indigenous status</w:t>
            </w:r>
          </w:p>
          <w:p w14:paraId="1D6BAE2A" w14:textId="77777777" w:rsidR="003C412A" w:rsidRDefault="003C412A" w:rsidP="004C6DAF">
            <w:pPr>
              <w:pStyle w:val="TableBodyText"/>
              <w:jc w:val="left"/>
            </w:pPr>
            <w:r>
              <w:t>The measure is defined as:</w:t>
            </w:r>
          </w:p>
          <w:p w14:paraId="47055627" w14:textId="77777777" w:rsidR="003C412A" w:rsidRDefault="003C412A" w:rsidP="004C6DAF">
            <w:pPr>
              <w:pStyle w:val="TableBullet"/>
              <w:rPr>
                <w:szCs w:val="24"/>
              </w:rPr>
            </w:pPr>
            <w:r w:rsidRPr="0012388B">
              <w:rPr>
                <w:i/>
              </w:rPr>
              <w:t>Numerator</w:t>
            </w:r>
            <w:r>
              <w:t xml:space="preserve"> — number of people unemployed aged 15–64 years excluding those whose Indigenous status and labour force status were not stated and overseas and temporary visitors</w:t>
            </w:r>
          </w:p>
          <w:p w14:paraId="32C6E84A" w14:textId="77777777" w:rsidR="003C412A" w:rsidRDefault="003C412A" w:rsidP="004C6DAF">
            <w:pPr>
              <w:pStyle w:val="TableBullet"/>
              <w:rPr>
                <w:szCs w:val="24"/>
              </w:rPr>
            </w:pPr>
            <w:r w:rsidRPr="0012388B">
              <w:rPr>
                <w:i/>
              </w:rPr>
              <w:t>Denominator</w:t>
            </w:r>
            <w:r>
              <w:t xml:space="preserve"> — total number of people in the labour force aged 15–64 years excluding those whose Indigenous status and labour force status were not stated and overseas and temporary visitors</w:t>
            </w:r>
          </w:p>
          <w:p w14:paraId="5061DDB5" w14:textId="1C1FD1FF" w:rsidR="003C412A" w:rsidRPr="00D87AA9" w:rsidRDefault="003C412A" w:rsidP="004C6DAF">
            <w:pPr>
              <w:pStyle w:val="TableBodyText"/>
              <w:jc w:val="left"/>
            </w:pPr>
            <w:r>
              <w:t xml:space="preserve">presented as a </w:t>
            </w:r>
            <w:r w:rsidR="005139F4">
              <w:rPr>
                <w:i/>
              </w:rPr>
              <w:t>percentage.</w:t>
            </w:r>
          </w:p>
        </w:tc>
      </w:tr>
      <w:tr w:rsidR="00356183" w:rsidRPr="00D87AA9" w14:paraId="4B15CC2F" w14:textId="77777777" w:rsidTr="00944F80">
        <w:tc>
          <w:tcPr>
            <w:tcW w:w="2093" w:type="dxa"/>
          </w:tcPr>
          <w:p w14:paraId="77D68A85" w14:textId="1E46FEF8" w:rsidR="00356183" w:rsidRDefault="00356183" w:rsidP="00356183">
            <w:pPr>
              <w:pStyle w:val="TableBodyText"/>
              <w:spacing w:before="80"/>
              <w:jc w:val="left"/>
            </w:pPr>
            <w:r>
              <w:t>Measure (</w:t>
            </w:r>
            <w:proofErr w:type="spellStart"/>
            <w:r>
              <w:t>14c</w:t>
            </w:r>
            <w:proofErr w:type="spellEnd"/>
            <w:r>
              <w:t>):</w:t>
            </w:r>
          </w:p>
        </w:tc>
        <w:tc>
          <w:tcPr>
            <w:tcW w:w="6696" w:type="dxa"/>
          </w:tcPr>
          <w:p w14:paraId="3F945425" w14:textId="77777777" w:rsidR="00356183" w:rsidRDefault="00356183" w:rsidP="00356183">
            <w:pPr>
              <w:pStyle w:val="TableBodyText"/>
              <w:spacing w:before="80"/>
              <w:jc w:val="left"/>
            </w:pPr>
            <w:r>
              <w:t>Proportion of the working age population who are in the labour force, by Indigenous status</w:t>
            </w:r>
          </w:p>
          <w:p w14:paraId="0F6270D9" w14:textId="77777777" w:rsidR="00356183" w:rsidRDefault="00356183" w:rsidP="00356183">
            <w:pPr>
              <w:pStyle w:val="TableBodyText"/>
              <w:spacing w:before="80"/>
              <w:jc w:val="left"/>
            </w:pPr>
            <w:r>
              <w:t>The measure is defined as:</w:t>
            </w:r>
          </w:p>
          <w:p w14:paraId="3D6E68EC" w14:textId="77777777" w:rsidR="00356183" w:rsidRDefault="00356183" w:rsidP="00356183">
            <w:pPr>
              <w:pStyle w:val="TableBullet"/>
              <w:spacing w:after="0"/>
            </w:pPr>
            <w:r w:rsidRPr="0012388B">
              <w:rPr>
                <w:i/>
              </w:rPr>
              <w:t>Numerator</w:t>
            </w:r>
            <w:r>
              <w:t xml:space="preserve"> — number of people aged 15–64 years in the labour force excluding those whose Indigenous status and labour force status were not stated and overseas and temporary visitors</w:t>
            </w:r>
          </w:p>
          <w:p w14:paraId="2E522781" w14:textId="77777777" w:rsidR="00356183" w:rsidRDefault="00356183" w:rsidP="00356183">
            <w:pPr>
              <w:pStyle w:val="TableBullet"/>
              <w:spacing w:after="0"/>
            </w:pPr>
            <w:r w:rsidRPr="0012388B">
              <w:rPr>
                <w:i/>
              </w:rPr>
              <w:t>Denominator</w:t>
            </w:r>
            <w:r>
              <w:t xml:space="preserve"> — total number of people aged 15–64 years excluding those whose Indigenous status and labour force status were not stated and overseas and temporary visitors</w:t>
            </w:r>
          </w:p>
          <w:p w14:paraId="7C8D12C3" w14:textId="0BCAF592" w:rsidR="00356183" w:rsidRPr="00356183" w:rsidRDefault="00356183" w:rsidP="00356183">
            <w:pPr>
              <w:pStyle w:val="TableBodyText"/>
              <w:jc w:val="left"/>
              <w:rPr>
                <w:i/>
              </w:rPr>
            </w:pPr>
            <w:r>
              <w:t xml:space="preserve">Presented as a </w:t>
            </w:r>
            <w:r>
              <w:rPr>
                <w:i/>
              </w:rPr>
              <w:t>percentage.</w:t>
            </w:r>
          </w:p>
        </w:tc>
      </w:tr>
    </w:tbl>
    <w:p w14:paraId="2BB4E3C7" w14:textId="77777777" w:rsidR="00356183" w:rsidRDefault="00356183">
      <w:r>
        <w:br w:type="page"/>
      </w:r>
    </w:p>
    <w:tbl>
      <w:tblPr>
        <w:tblW w:w="8789" w:type="dxa"/>
        <w:tblCellMar>
          <w:right w:w="0" w:type="dxa"/>
        </w:tblCellMar>
        <w:tblLook w:val="0000" w:firstRow="0" w:lastRow="0" w:firstColumn="0" w:lastColumn="0" w:noHBand="0" w:noVBand="0"/>
      </w:tblPr>
      <w:tblGrid>
        <w:gridCol w:w="2093"/>
        <w:gridCol w:w="6696"/>
      </w:tblGrid>
      <w:tr w:rsidR="003C412A" w:rsidRPr="00D87AA9" w14:paraId="0E4C05F2" w14:textId="77777777" w:rsidTr="00944F80">
        <w:tc>
          <w:tcPr>
            <w:tcW w:w="2093" w:type="dxa"/>
          </w:tcPr>
          <w:p w14:paraId="7E687484" w14:textId="77777777" w:rsidR="003C412A" w:rsidRPr="00D87AA9" w:rsidRDefault="003C412A" w:rsidP="004C6DAF">
            <w:pPr>
              <w:pStyle w:val="TableBodyText"/>
              <w:jc w:val="left"/>
            </w:pPr>
            <w:r w:rsidRPr="00D87AA9">
              <w:lastRenderedPageBreak/>
              <w:t>Data source</w:t>
            </w:r>
            <w:r>
              <w:t>s (</w:t>
            </w:r>
            <w:proofErr w:type="spellStart"/>
            <w:r>
              <w:t>14a</w:t>
            </w:r>
            <w:proofErr w:type="spellEnd"/>
            <w:r>
              <w:t xml:space="preserve">, </w:t>
            </w:r>
            <w:proofErr w:type="spellStart"/>
            <w:r>
              <w:t>14b</w:t>
            </w:r>
            <w:proofErr w:type="spellEnd"/>
            <w:r>
              <w:t xml:space="preserve">, </w:t>
            </w:r>
            <w:proofErr w:type="spellStart"/>
            <w:r>
              <w:t>14c</w:t>
            </w:r>
            <w:proofErr w:type="spellEnd"/>
            <w:r>
              <w:t>)</w:t>
            </w:r>
            <w:r w:rsidRPr="00D87AA9">
              <w:t>:</w:t>
            </w:r>
          </w:p>
        </w:tc>
        <w:tc>
          <w:tcPr>
            <w:tcW w:w="6696" w:type="dxa"/>
          </w:tcPr>
          <w:p w14:paraId="084AE51E" w14:textId="77777777" w:rsidR="003C412A" w:rsidRDefault="003C412A" w:rsidP="004C6DAF">
            <w:pPr>
              <w:pStyle w:val="TableBodyText"/>
              <w:jc w:val="left"/>
            </w:pPr>
            <w:r w:rsidRPr="00436A2C">
              <w:rPr>
                <w:u w:val="single"/>
              </w:rPr>
              <w:t>Main data collection</w:t>
            </w:r>
          </w:p>
          <w:p w14:paraId="3C44586F" w14:textId="77777777" w:rsidR="003C412A" w:rsidRDefault="003C412A" w:rsidP="004C6DAF">
            <w:pPr>
              <w:pStyle w:val="TableBodyText"/>
              <w:jc w:val="left"/>
            </w:pPr>
            <w:r>
              <w:t>(</w:t>
            </w:r>
            <w:r w:rsidR="00A51293">
              <w:t>Aboriginal and Torres Strait Islander</w:t>
            </w:r>
            <w:r>
              <w:t xml:space="preserve">) </w:t>
            </w:r>
            <w:r w:rsidRPr="0012388B">
              <w:rPr>
                <w:u w:val="single"/>
              </w:rPr>
              <w:t>National Aboriginal and Torres Strait Islander Social Survey</w:t>
            </w:r>
            <w:r>
              <w:t xml:space="preserve"> (</w:t>
            </w:r>
            <w:proofErr w:type="spellStart"/>
            <w:r>
              <w:t>NATSISS</w:t>
            </w:r>
            <w:proofErr w:type="spellEnd"/>
            <w:r>
              <w:t xml:space="preserve">) and the core </w:t>
            </w:r>
            <w:r w:rsidR="004A075D">
              <w:t>component</w:t>
            </w:r>
            <w:r>
              <w:t xml:space="preserve"> (</w:t>
            </w:r>
            <w:proofErr w:type="spellStart"/>
            <w:r>
              <w:t>NATS</w:t>
            </w:r>
            <w:r w:rsidR="006065DC">
              <w:t>I</w:t>
            </w:r>
            <w:r>
              <w:t>HS</w:t>
            </w:r>
            <w:proofErr w:type="spellEnd"/>
            <w:r>
              <w:t xml:space="preserve"> plus </w:t>
            </w:r>
            <w:proofErr w:type="spellStart"/>
            <w:r>
              <w:t>NATSINPAS</w:t>
            </w:r>
            <w:proofErr w:type="spellEnd"/>
            <w:r>
              <w:t xml:space="preserve">) of the </w:t>
            </w:r>
            <w:r w:rsidR="00995891">
              <w:t xml:space="preserve">ABS </w:t>
            </w:r>
            <w:r w:rsidRPr="00436A2C">
              <w:rPr>
                <w:u w:val="single"/>
              </w:rPr>
              <w:t>Australian Aboriginal and Torres Strait Islander Health Survey</w:t>
            </w:r>
            <w:r>
              <w:t xml:space="preserve"> (</w:t>
            </w:r>
            <w:proofErr w:type="spellStart"/>
            <w:r>
              <w:t>AATSIHS</w:t>
            </w:r>
            <w:proofErr w:type="spellEnd"/>
            <w:r>
              <w:t xml:space="preserve">). Data are collected on an alternating three yearly cycle </w:t>
            </w:r>
          </w:p>
          <w:p w14:paraId="25017E6E" w14:textId="77777777" w:rsidR="003C412A" w:rsidRDefault="003C412A" w:rsidP="004C6DAF">
            <w:pPr>
              <w:pStyle w:val="TableBodyText"/>
              <w:jc w:val="left"/>
            </w:pPr>
            <w:r>
              <w:t>(Non-Indigenous)</w:t>
            </w:r>
            <w:r w:rsidR="00995891">
              <w:t xml:space="preserve"> ABS</w:t>
            </w:r>
            <w:r>
              <w:t xml:space="preserve"> </w:t>
            </w:r>
            <w:r w:rsidRPr="0012388B">
              <w:rPr>
                <w:u w:val="single"/>
              </w:rPr>
              <w:t>Survey of Education and Work</w:t>
            </w:r>
            <w:r>
              <w:t xml:space="preserve"> (SEW). Data are available annually</w:t>
            </w:r>
          </w:p>
          <w:p w14:paraId="77C06EDE" w14:textId="77777777" w:rsidR="003C412A" w:rsidRDefault="003C412A" w:rsidP="00356183">
            <w:pPr>
              <w:pStyle w:val="TableBodyText"/>
              <w:spacing w:before="80"/>
              <w:jc w:val="left"/>
            </w:pPr>
            <w:r w:rsidRPr="00436A2C">
              <w:rPr>
                <w:u w:val="single"/>
              </w:rPr>
              <w:t>Supplementary data collection</w:t>
            </w:r>
            <w:r>
              <w:t xml:space="preserve"> </w:t>
            </w:r>
          </w:p>
          <w:p w14:paraId="02944C9E" w14:textId="734E9157" w:rsidR="00732FC6" w:rsidRPr="00D87AA9" w:rsidRDefault="003C412A" w:rsidP="004C6DAF">
            <w:pPr>
              <w:pStyle w:val="TableBodyText"/>
              <w:jc w:val="left"/>
            </w:pPr>
            <w:r>
              <w:t>Numerator and denominator (</w:t>
            </w:r>
            <w:r w:rsidR="00A51293">
              <w:t xml:space="preserve">Aboriginal and Torres Strait Islander </w:t>
            </w:r>
            <w:r>
              <w:t>and non-Indigenous) —</w:t>
            </w:r>
            <w:r w:rsidR="00995891">
              <w:t xml:space="preserve"> ABS</w:t>
            </w:r>
            <w:r>
              <w:t xml:space="preserve"> </w:t>
            </w:r>
            <w:r w:rsidRPr="0012388B">
              <w:rPr>
                <w:u w:val="single"/>
              </w:rPr>
              <w:t>Census of Population and Housing</w:t>
            </w:r>
            <w:r>
              <w:t xml:space="preserve"> (Census). Data</w:t>
            </w:r>
            <w:r w:rsidR="00944F80">
              <w:t xml:space="preserve"> are collected every five years</w:t>
            </w:r>
          </w:p>
        </w:tc>
      </w:tr>
      <w:tr w:rsidR="003C412A" w:rsidRPr="00D87AA9" w14:paraId="7A5C8CCE" w14:textId="77777777" w:rsidTr="00944F80">
        <w:trPr>
          <w:trHeight w:val="449"/>
        </w:trPr>
        <w:tc>
          <w:tcPr>
            <w:tcW w:w="2093" w:type="dxa"/>
          </w:tcPr>
          <w:p w14:paraId="158CBF67" w14:textId="77777777" w:rsidR="003C412A" w:rsidRPr="00D87AA9" w:rsidRDefault="003C412A" w:rsidP="00356183">
            <w:pPr>
              <w:pStyle w:val="TableBodyText"/>
              <w:spacing w:before="80"/>
              <w:jc w:val="left"/>
            </w:pPr>
            <w:r w:rsidRPr="00D87AA9">
              <w:t>Data provider</w:t>
            </w:r>
            <w:r>
              <w:t xml:space="preserve"> (</w:t>
            </w:r>
            <w:proofErr w:type="spellStart"/>
            <w:r>
              <w:t>14a</w:t>
            </w:r>
            <w:proofErr w:type="spellEnd"/>
            <w:r>
              <w:t xml:space="preserve">, </w:t>
            </w:r>
            <w:proofErr w:type="spellStart"/>
            <w:r>
              <w:t>14b</w:t>
            </w:r>
            <w:proofErr w:type="spellEnd"/>
            <w:r>
              <w:t xml:space="preserve">, </w:t>
            </w:r>
            <w:proofErr w:type="spellStart"/>
            <w:r>
              <w:t>14c</w:t>
            </w:r>
            <w:proofErr w:type="spellEnd"/>
            <w:r>
              <w:t>)</w:t>
            </w:r>
            <w:r w:rsidRPr="00D87AA9">
              <w:t>:</w:t>
            </w:r>
          </w:p>
        </w:tc>
        <w:tc>
          <w:tcPr>
            <w:tcW w:w="6696" w:type="dxa"/>
          </w:tcPr>
          <w:p w14:paraId="53979C85" w14:textId="77777777" w:rsidR="003C412A" w:rsidRPr="00D87AA9" w:rsidRDefault="003C412A" w:rsidP="00356183">
            <w:pPr>
              <w:pStyle w:val="TableBodyText"/>
              <w:spacing w:before="80"/>
              <w:jc w:val="left"/>
            </w:pPr>
            <w:r w:rsidRPr="006F41BD">
              <w:t>ABS</w:t>
            </w:r>
          </w:p>
        </w:tc>
      </w:tr>
      <w:tr w:rsidR="003C412A" w:rsidRPr="00D87AA9" w14:paraId="2A4EAA57" w14:textId="77777777" w:rsidTr="00944F80">
        <w:trPr>
          <w:trHeight w:val="1009"/>
        </w:trPr>
        <w:tc>
          <w:tcPr>
            <w:tcW w:w="2093" w:type="dxa"/>
            <w:shd w:val="clear" w:color="auto" w:fill="auto"/>
          </w:tcPr>
          <w:p w14:paraId="4B92A9A8" w14:textId="77777777" w:rsidR="003C412A" w:rsidRPr="00D87AA9" w:rsidRDefault="003C412A" w:rsidP="00356183">
            <w:pPr>
              <w:pStyle w:val="TableBodyText"/>
              <w:spacing w:before="80"/>
              <w:jc w:val="left"/>
            </w:pPr>
            <w:r w:rsidRPr="00D87AA9">
              <w:t>Data availability</w:t>
            </w:r>
            <w:r>
              <w:t xml:space="preserve"> (</w:t>
            </w:r>
            <w:proofErr w:type="spellStart"/>
            <w:r>
              <w:t>14a</w:t>
            </w:r>
            <w:proofErr w:type="spellEnd"/>
            <w:r>
              <w:t xml:space="preserve">, </w:t>
            </w:r>
            <w:proofErr w:type="spellStart"/>
            <w:r>
              <w:t>14b</w:t>
            </w:r>
            <w:proofErr w:type="spellEnd"/>
            <w:r>
              <w:t xml:space="preserve">, </w:t>
            </w:r>
            <w:proofErr w:type="spellStart"/>
            <w:r>
              <w:t>14c</w:t>
            </w:r>
            <w:proofErr w:type="spellEnd"/>
            <w:r>
              <w:t>)</w:t>
            </w:r>
            <w:r w:rsidRPr="00D87AA9">
              <w:t>:</w:t>
            </w:r>
          </w:p>
        </w:tc>
        <w:tc>
          <w:tcPr>
            <w:tcW w:w="6696" w:type="dxa"/>
            <w:shd w:val="clear" w:color="auto" w:fill="auto"/>
          </w:tcPr>
          <w:p w14:paraId="69A39E1A" w14:textId="723427E1" w:rsidR="006A68DE" w:rsidRDefault="006A68DE" w:rsidP="00356183">
            <w:pPr>
              <w:pStyle w:val="TableBodyText"/>
              <w:spacing w:before="80"/>
              <w:jc w:val="left"/>
            </w:pPr>
            <w:r w:rsidRPr="00436A2C">
              <w:rPr>
                <w:u w:val="single"/>
              </w:rPr>
              <w:t>Main data collection</w:t>
            </w:r>
          </w:p>
          <w:p w14:paraId="44F52AFB" w14:textId="77777777" w:rsidR="006A68DE" w:rsidRDefault="006A68DE" w:rsidP="006A68DE">
            <w:pPr>
              <w:pStyle w:val="TableBodyText"/>
              <w:jc w:val="left"/>
            </w:pPr>
            <w:r w:rsidRPr="00422666">
              <w:t xml:space="preserve">No new data </w:t>
            </w:r>
            <w:r>
              <w:t>available.</w:t>
            </w:r>
          </w:p>
          <w:p w14:paraId="04866DA6" w14:textId="72182324" w:rsidR="00607F03" w:rsidRDefault="00A93B96" w:rsidP="00944F80">
            <w:pPr>
              <w:pStyle w:val="TableBodyText"/>
              <w:spacing w:before="80"/>
              <w:jc w:val="left"/>
            </w:pPr>
            <w:r w:rsidRPr="00436A2C">
              <w:rPr>
                <w:u w:val="single"/>
              </w:rPr>
              <w:t>Supplementary data collection</w:t>
            </w:r>
            <w:r w:rsidDel="00A93B96">
              <w:t xml:space="preserve"> </w:t>
            </w:r>
          </w:p>
          <w:p w14:paraId="34292A75" w14:textId="6226BC80" w:rsidR="000A1A31" w:rsidRPr="00D87AA9" w:rsidRDefault="009017E1">
            <w:pPr>
              <w:pStyle w:val="TableBodyText"/>
              <w:jc w:val="left"/>
            </w:pPr>
            <w:r>
              <w:t xml:space="preserve">2016 — Census (remoteness data). </w:t>
            </w:r>
          </w:p>
        </w:tc>
      </w:tr>
      <w:tr w:rsidR="003C412A" w:rsidRPr="00D87AA9" w14:paraId="367C418B" w14:textId="77777777" w:rsidTr="00944F80">
        <w:tc>
          <w:tcPr>
            <w:tcW w:w="2093" w:type="dxa"/>
            <w:shd w:val="clear" w:color="auto" w:fill="auto"/>
          </w:tcPr>
          <w:p w14:paraId="26E98B4C" w14:textId="77777777" w:rsidR="003C412A" w:rsidRPr="00D87AA9" w:rsidRDefault="003C412A" w:rsidP="00356183">
            <w:pPr>
              <w:pStyle w:val="TableBodyText"/>
              <w:spacing w:before="80"/>
              <w:jc w:val="left"/>
            </w:pPr>
            <w:r w:rsidRPr="00D87AA9">
              <w:t>Cross tabulations provided</w:t>
            </w:r>
            <w:r>
              <w:t xml:space="preserve"> (</w:t>
            </w:r>
            <w:proofErr w:type="spellStart"/>
            <w:r>
              <w:t>14a</w:t>
            </w:r>
            <w:proofErr w:type="spellEnd"/>
            <w:r>
              <w:t xml:space="preserve">, </w:t>
            </w:r>
            <w:proofErr w:type="spellStart"/>
            <w:r>
              <w:t>14b</w:t>
            </w:r>
            <w:proofErr w:type="spellEnd"/>
            <w:r>
              <w:t xml:space="preserve">, </w:t>
            </w:r>
            <w:proofErr w:type="spellStart"/>
            <w:r>
              <w:t>14c</w:t>
            </w:r>
            <w:proofErr w:type="spellEnd"/>
            <w:r>
              <w:t>)</w:t>
            </w:r>
            <w:r w:rsidRPr="00D87AA9">
              <w:t>:</w:t>
            </w:r>
          </w:p>
        </w:tc>
        <w:tc>
          <w:tcPr>
            <w:tcW w:w="6696" w:type="dxa"/>
            <w:shd w:val="clear" w:color="auto" w:fill="auto"/>
          </w:tcPr>
          <w:p w14:paraId="01E86DF8" w14:textId="77777777" w:rsidR="00325B5A" w:rsidRDefault="00325B5A" w:rsidP="00356183">
            <w:pPr>
              <w:pStyle w:val="TableBodyText"/>
              <w:spacing w:before="80"/>
              <w:jc w:val="left"/>
            </w:pPr>
            <w:r>
              <w:t>State and Territory, and national, by:</w:t>
            </w:r>
          </w:p>
          <w:p w14:paraId="6891A538" w14:textId="171931CB" w:rsidR="003C412A" w:rsidRPr="00D87AA9" w:rsidRDefault="00325B5A" w:rsidP="006B33E9">
            <w:pPr>
              <w:pStyle w:val="TableBullet"/>
            </w:pPr>
            <w:r>
              <w:t>Indigenous status</w:t>
            </w:r>
            <w:r w:rsidR="009017E1">
              <w:t xml:space="preserve"> by remoteness.</w:t>
            </w:r>
          </w:p>
        </w:tc>
      </w:tr>
      <w:tr w:rsidR="00094D38" w14:paraId="2B3CA133" w14:textId="77777777" w:rsidTr="00944F80">
        <w:tblPrEx>
          <w:tblBorders>
            <w:top w:val="single" w:sz="6" w:space="0" w:color="78A22F"/>
            <w:left w:val="single" w:sz="6" w:space="0" w:color="78A22F"/>
            <w:bottom w:val="single" w:sz="6" w:space="0" w:color="78A22F"/>
            <w:right w:val="single" w:sz="6" w:space="0" w:color="78A22F"/>
          </w:tblBorders>
          <w:tblCellMar>
            <w:left w:w="142" w:type="dxa"/>
            <w:right w:w="142" w:type="dxa"/>
          </w:tblCellMar>
        </w:tblPrEx>
        <w:tc>
          <w:tcPr>
            <w:tcW w:w="8789" w:type="dxa"/>
            <w:gridSpan w:val="2"/>
            <w:tcBorders>
              <w:top w:val="single" w:sz="6" w:space="0" w:color="78A22F"/>
              <w:left w:val="nil"/>
              <w:bottom w:val="nil"/>
              <w:right w:val="nil"/>
            </w:tcBorders>
            <w:shd w:val="clear" w:color="auto" w:fill="F2F2F2"/>
          </w:tcPr>
          <w:p w14:paraId="749FA2FC" w14:textId="46551D03" w:rsidR="00094D38" w:rsidRDefault="00094D38" w:rsidP="00291F8D">
            <w:pPr>
              <w:pStyle w:val="BoxTitle"/>
              <w:pageBreakBefore/>
            </w:pPr>
            <w:r>
              <w:rPr>
                <w:b w:val="0"/>
              </w:rPr>
              <w:lastRenderedPageBreak/>
              <w:t xml:space="preserve">Box </w:t>
            </w:r>
            <w:r w:rsidR="00A8151B">
              <w:rPr>
                <w:b w:val="0"/>
              </w:rPr>
              <w:t>3</w:t>
            </w:r>
            <w:r w:rsidR="00291F8D">
              <w:rPr>
                <w:b w:val="0"/>
              </w:rPr>
              <w:t>5</w:t>
            </w:r>
            <w:r>
              <w:tab/>
              <w:t>Results</w:t>
            </w:r>
          </w:p>
        </w:tc>
      </w:tr>
      <w:tr w:rsidR="00094D38" w:rsidRPr="003C412A" w14:paraId="07C4F1E0" w14:textId="77777777" w:rsidTr="00944F80">
        <w:tblPrEx>
          <w:tblBorders>
            <w:top w:val="single" w:sz="6" w:space="0" w:color="78A22F"/>
            <w:left w:val="single" w:sz="6" w:space="0" w:color="78A22F"/>
            <w:bottom w:val="single" w:sz="6" w:space="0" w:color="78A22F"/>
            <w:right w:val="single" w:sz="6" w:space="0" w:color="78A22F"/>
          </w:tblBorders>
          <w:tblCellMar>
            <w:left w:w="142" w:type="dxa"/>
            <w:right w:w="142" w:type="dxa"/>
          </w:tblCellMar>
        </w:tblPrEx>
        <w:trPr>
          <w:cantSplit/>
        </w:trPr>
        <w:tc>
          <w:tcPr>
            <w:tcW w:w="8789" w:type="dxa"/>
            <w:gridSpan w:val="2"/>
            <w:tcBorders>
              <w:top w:val="nil"/>
              <w:left w:val="nil"/>
              <w:bottom w:val="nil"/>
              <w:right w:val="nil"/>
            </w:tcBorders>
            <w:shd w:val="clear" w:color="auto" w:fill="F2F2F2"/>
          </w:tcPr>
          <w:p w14:paraId="5000DA8C" w14:textId="3C97F896" w:rsidR="00094D38" w:rsidRPr="00A35375" w:rsidRDefault="00094D38" w:rsidP="006B33E9">
            <w:pPr>
              <w:pStyle w:val="Box"/>
              <w:keepNext w:val="0"/>
              <w:rPr>
                <w:rStyle w:val="DraftingNote"/>
                <w:rFonts w:ascii="Times New Roman" w:hAnsi="Times New Roman"/>
                <w:b w:val="0"/>
                <w:color w:val="auto"/>
                <w:sz w:val="20"/>
                <w:szCs w:val="24"/>
                <w:u w:val="none"/>
              </w:rPr>
            </w:pPr>
            <w:r w:rsidRPr="00A35375">
              <w:rPr>
                <w:rStyle w:val="DraftingNote"/>
                <w:b w:val="0"/>
                <w:color w:val="auto"/>
                <w:sz w:val="20"/>
                <w:u w:val="none"/>
              </w:rPr>
              <w:t xml:space="preserve">For this report, new </w:t>
            </w:r>
            <w:r w:rsidR="00A93B96">
              <w:rPr>
                <w:rStyle w:val="DraftingNote"/>
                <w:b w:val="0"/>
                <w:color w:val="auto"/>
                <w:sz w:val="20"/>
                <w:u w:val="none"/>
              </w:rPr>
              <w:t xml:space="preserve">supplementary </w:t>
            </w:r>
            <w:r w:rsidRPr="00A35375">
              <w:rPr>
                <w:rStyle w:val="DraftingNote"/>
                <w:b w:val="0"/>
                <w:color w:val="auto"/>
                <w:sz w:val="20"/>
                <w:u w:val="none"/>
              </w:rPr>
              <w:t>data</w:t>
            </w:r>
            <w:r w:rsidR="00E14798">
              <w:rPr>
                <w:rStyle w:val="DraftingNote"/>
                <w:b w:val="0"/>
                <w:color w:val="auto"/>
                <w:sz w:val="20"/>
                <w:u w:val="none"/>
              </w:rPr>
              <w:t xml:space="preserve"> (Census)</w:t>
            </w:r>
            <w:r w:rsidRPr="00A35375">
              <w:rPr>
                <w:rStyle w:val="DraftingNote"/>
                <w:b w:val="0"/>
                <w:color w:val="auto"/>
                <w:sz w:val="20"/>
                <w:u w:val="none"/>
              </w:rPr>
              <w:t xml:space="preserve"> are available</w:t>
            </w:r>
            <w:r>
              <w:rPr>
                <w:rStyle w:val="DraftingNote"/>
                <w:b w:val="0"/>
                <w:color w:val="auto"/>
                <w:sz w:val="20"/>
                <w:u w:val="none"/>
              </w:rPr>
              <w:t xml:space="preserve"> for </w:t>
            </w:r>
            <w:r w:rsidR="00292875">
              <w:rPr>
                <w:rStyle w:val="DraftingNote"/>
                <w:b w:val="0"/>
                <w:color w:val="auto"/>
                <w:sz w:val="20"/>
                <w:u w:val="none"/>
              </w:rPr>
              <w:t>2016</w:t>
            </w:r>
            <w:r w:rsidR="009017E1">
              <w:rPr>
                <w:rStyle w:val="DraftingNote"/>
                <w:b w:val="0"/>
                <w:color w:val="auto"/>
                <w:sz w:val="20"/>
                <w:u w:val="none"/>
              </w:rPr>
              <w:t xml:space="preserve"> by remoteness</w:t>
            </w:r>
            <w:r w:rsidRPr="00A35375">
              <w:rPr>
                <w:rStyle w:val="DraftingNote"/>
                <w:b w:val="0"/>
                <w:color w:val="auto"/>
                <w:sz w:val="20"/>
                <w:u w:val="none"/>
              </w:rPr>
              <w:t>.</w:t>
            </w:r>
          </w:p>
          <w:p w14:paraId="4BCD0F77" w14:textId="4284C748" w:rsidR="00094D38" w:rsidRPr="00A35375" w:rsidRDefault="00094D38" w:rsidP="009F2BBC">
            <w:pPr>
              <w:pStyle w:val="BoxListBullet"/>
              <w:rPr>
                <w:rStyle w:val="DraftingNote"/>
                <w:b w:val="0"/>
                <w:color w:val="auto"/>
                <w:sz w:val="20"/>
                <w:u w:val="none"/>
              </w:rPr>
            </w:pPr>
            <w:r w:rsidRPr="00A35375">
              <w:rPr>
                <w:rStyle w:val="DraftingNote"/>
                <w:b w:val="0"/>
                <w:color w:val="auto"/>
                <w:sz w:val="20"/>
                <w:u w:val="none"/>
              </w:rPr>
              <w:t xml:space="preserve">Data on the proportion of </w:t>
            </w:r>
            <w:r>
              <w:rPr>
                <w:rStyle w:val="DraftingNote"/>
                <w:b w:val="0"/>
                <w:color w:val="auto"/>
                <w:sz w:val="20"/>
                <w:u w:val="none"/>
              </w:rPr>
              <w:t xml:space="preserve">the </w:t>
            </w:r>
            <w:r w:rsidRPr="00A35375">
              <w:rPr>
                <w:rStyle w:val="DraftingNote"/>
                <w:b w:val="0"/>
                <w:color w:val="auto"/>
                <w:sz w:val="20"/>
                <w:u w:val="none"/>
              </w:rPr>
              <w:t xml:space="preserve">working age population employed, by State and Territory are presented in table </w:t>
            </w:r>
            <w:proofErr w:type="spellStart"/>
            <w:r w:rsidRPr="00A35375">
              <w:rPr>
                <w:rStyle w:val="DraftingNote"/>
                <w:b w:val="0"/>
                <w:color w:val="auto"/>
                <w:sz w:val="20"/>
                <w:u w:val="none"/>
              </w:rPr>
              <w:t>NIRA.14.1</w:t>
            </w:r>
            <w:proofErr w:type="spellEnd"/>
            <w:r w:rsidRPr="00A35375">
              <w:rPr>
                <w:rStyle w:val="DraftingNote"/>
                <w:b w:val="0"/>
                <w:color w:val="auto"/>
                <w:sz w:val="20"/>
                <w:u w:val="none"/>
              </w:rPr>
              <w:t xml:space="preserve"> </w:t>
            </w:r>
          </w:p>
          <w:p w14:paraId="14D72392" w14:textId="7ADDE6AD" w:rsidR="00094D38" w:rsidRPr="00A35375" w:rsidRDefault="00094D38" w:rsidP="009F2BBC">
            <w:pPr>
              <w:pStyle w:val="BoxListBullet"/>
              <w:rPr>
                <w:rStyle w:val="DraftingNote"/>
                <w:b w:val="0"/>
                <w:color w:val="auto"/>
                <w:sz w:val="20"/>
                <w:u w:val="none"/>
              </w:rPr>
            </w:pPr>
            <w:r w:rsidRPr="00A35375">
              <w:rPr>
                <w:rStyle w:val="DraftingNote"/>
                <w:b w:val="0"/>
                <w:color w:val="auto"/>
                <w:sz w:val="20"/>
                <w:u w:val="none"/>
              </w:rPr>
              <w:t xml:space="preserve">Data on the proportion of the labour force who are unemployed, by State and Territory are presented in table </w:t>
            </w:r>
            <w:proofErr w:type="spellStart"/>
            <w:r w:rsidRPr="00A35375">
              <w:rPr>
                <w:rStyle w:val="DraftingNote"/>
                <w:b w:val="0"/>
                <w:color w:val="auto"/>
                <w:sz w:val="20"/>
                <w:u w:val="none"/>
              </w:rPr>
              <w:t>NIRA.14.</w:t>
            </w:r>
            <w:r>
              <w:rPr>
                <w:rStyle w:val="DraftingNote"/>
                <w:b w:val="0"/>
                <w:color w:val="auto"/>
                <w:sz w:val="20"/>
                <w:u w:val="none"/>
              </w:rPr>
              <w:t>2</w:t>
            </w:r>
            <w:proofErr w:type="spellEnd"/>
            <w:r w:rsidRPr="00A35375">
              <w:rPr>
                <w:rStyle w:val="DraftingNote"/>
                <w:b w:val="0"/>
                <w:color w:val="auto"/>
                <w:sz w:val="20"/>
                <w:u w:val="none"/>
              </w:rPr>
              <w:t xml:space="preserve"> </w:t>
            </w:r>
          </w:p>
          <w:p w14:paraId="1C7C5BA0" w14:textId="22408C4D" w:rsidR="00094D38" w:rsidRPr="00A35375" w:rsidRDefault="00094D38" w:rsidP="009F2BBC">
            <w:pPr>
              <w:pStyle w:val="BoxListBullet"/>
              <w:rPr>
                <w:rStyle w:val="DraftingNote"/>
                <w:b w:val="0"/>
                <w:color w:val="auto"/>
                <w:sz w:val="20"/>
                <w:u w:val="none"/>
              </w:rPr>
            </w:pPr>
            <w:r w:rsidRPr="00A35375">
              <w:rPr>
                <w:rStyle w:val="DraftingNote"/>
                <w:b w:val="0"/>
                <w:color w:val="auto"/>
                <w:sz w:val="20"/>
                <w:u w:val="none"/>
              </w:rPr>
              <w:t xml:space="preserve">Data on the proportion of </w:t>
            </w:r>
            <w:r>
              <w:rPr>
                <w:rStyle w:val="DraftingNote"/>
                <w:b w:val="0"/>
                <w:color w:val="auto"/>
                <w:sz w:val="20"/>
                <w:u w:val="none"/>
              </w:rPr>
              <w:t xml:space="preserve">the </w:t>
            </w:r>
            <w:r w:rsidRPr="00A35375">
              <w:rPr>
                <w:rStyle w:val="DraftingNote"/>
                <w:b w:val="0"/>
                <w:color w:val="auto"/>
                <w:sz w:val="20"/>
                <w:u w:val="none"/>
              </w:rPr>
              <w:t xml:space="preserve">working age population who are in the labour force are presented in table </w:t>
            </w:r>
            <w:proofErr w:type="spellStart"/>
            <w:r w:rsidRPr="00A35375">
              <w:rPr>
                <w:rStyle w:val="DraftingNote"/>
                <w:b w:val="0"/>
                <w:color w:val="auto"/>
                <w:sz w:val="20"/>
                <w:u w:val="none"/>
              </w:rPr>
              <w:t>NIRA.14.</w:t>
            </w:r>
            <w:r>
              <w:rPr>
                <w:rStyle w:val="DraftingNote"/>
                <w:b w:val="0"/>
                <w:color w:val="auto"/>
                <w:sz w:val="20"/>
                <w:u w:val="none"/>
              </w:rPr>
              <w:t>3</w:t>
            </w:r>
            <w:proofErr w:type="spellEnd"/>
            <w:r>
              <w:rPr>
                <w:rStyle w:val="DraftingNote"/>
                <w:b w:val="0"/>
                <w:color w:val="auto"/>
                <w:sz w:val="20"/>
                <w:u w:val="none"/>
              </w:rPr>
              <w:t>.</w:t>
            </w:r>
          </w:p>
          <w:p w14:paraId="7BEBF8F0" w14:textId="0407A233" w:rsidR="004B4854" w:rsidRDefault="00605004" w:rsidP="009F2BBC">
            <w:pPr>
              <w:pStyle w:val="Box"/>
              <w:rPr>
                <w:rFonts w:cs="Arial"/>
                <w:szCs w:val="22"/>
              </w:rPr>
            </w:pPr>
            <w:r>
              <w:rPr>
                <w:rFonts w:cs="Arial"/>
                <w:szCs w:val="22"/>
              </w:rPr>
              <w:t xml:space="preserve">Census </w:t>
            </w:r>
            <w:r w:rsidR="00787019" w:rsidRPr="00787019">
              <w:rPr>
                <w:rFonts w:cs="Arial"/>
                <w:szCs w:val="22"/>
              </w:rPr>
              <w:t>data</w:t>
            </w:r>
            <w:r>
              <w:rPr>
                <w:rFonts w:cs="Arial"/>
                <w:szCs w:val="22"/>
              </w:rPr>
              <w:t xml:space="preserve"> (survey comparison scope) for 2011</w:t>
            </w:r>
            <w:r w:rsidR="00787019" w:rsidRPr="00787019">
              <w:rPr>
                <w:rFonts w:cs="Arial"/>
                <w:szCs w:val="22"/>
              </w:rPr>
              <w:t xml:space="preserve"> </w:t>
            </w:r>
            <w:r>
              <w:rPr>
                <w:rFonts w:cs="Arial"/>
                <w:szCs w:val="22"/>
              </w:rPr>
              <w:t>have been revised and are included in this report</w:t>
            </w:r>
            <w:r w:rsidR="00787019">
              <w:rPr>
                <w:rFonts w:cs="Arial"/>
                <w:szCs w:val="22"/>
              </w:rPr>
              <w:t>.</w:t>
            </w:r>
          </w:p>
          <w:p w14:paraId="4057902C" w14:textId="0F489816" w:rsidR="00AC6C31" w:rsidRDefault="00A93B96" w:rsidP="009F2BBC">
            <w:pPr>
              <w:pStyle w:val="Box"/>
              <w:rPr>
                <w:rFonts w:cs="Arial"/>
                <w:szCs w:val="22"/>
              </w:rPr>
            </w:pPr>
            <w:r>
              <w:t>Census</w:t>
            </w:r>
            <w:r w:rsidRPr="003C412A">
              <w:t xml:space="preserve"> data</w:t>
            </w:r>
            <w:r>
              <w:t xml:space="preserve"> </w:t>
            </w:r>
            <w:r w:rsidR="00605004">
              <w:t xml:space="preserve">are available in the 2016-17 </w:t>
            </w:r>
            <w:proofErr w:type="spellStart"/>
            <w:r w:rsidR="00605004">
              <w:t>NIRA</w:t>
            </w:r>
            <w:proofErr w:type="spellEnd"/>
            <w:r w:rsidR="00605004">
              <w:t xml:space="preserve"> performance report (2016 Census except by remoteness)</w:t>
            </w:r>
            <w:r>
              <w:t xml:space="preserve"> in the 2011-12 </w:t>
            </w:r>
            <w:proofErr w:type="spellStart"/>
            <w:r>
              <w:t>NIRA</w:t>
            </w:r>
            <w:proofErr w:type="spellEnd"/>
            <w:r>
              <w:t xml:space="preserve"> performance report (2011 Census) and the baseline 2008-09 </w:t>
            </w:r>
            <w:proofErr w:type="spellStart"/>
            <w:r>
              <w:t>NIRA</w:t>
            </w:r>
            <w:proofErr w:type="spellEnd"/>
            <w:r>
              <w:t xml:space="preserve"> performance report (2006 Census), with </w:t>
            </w:r>
            <w:proofErr w:type="spellStart"/>
            <w:r>
              <w:t>disaggregations</w:t>
            </w:r>
            <w:proofErr w:type="spellEnd"/>
            <w:r>
              <w:t xml:space="preserve"> by remoteness</w:t>
            </w:r>
            <w:r w:rsidR="00605004">
              <w:t xml:space="preserve"> for 2006 and 2011</w:t>
            </w:r>
            <w:r>
              <w:t xml:space="preserve"> in the 2012-13 </w:t>
            </w:r>
            <w:proofErr w:type="spellStart"/>
            <w:r>
              <w:t>NIRA</w:t>
            </w:r>
            <w:proofErr w:type="spellEnd"/>
            <w:r>
              <w:t xml:space="preserve"> performance report.</w:t>
            </w:r>
          </w:p>
          <w:p w14:paraId="327D30C6" w14:textId="289D2FBB" w:rsidR="00094D38" w:rsidRPr="003C412A" w:rsidRDefault="00605004" w:rsidP="00605004">
            <w:pPr>
              <w:pStyle w:val="Box"/>
            </w:pPr>
            <w:r>
              <w:t>D</w:t>
            </w:r>
            <w:r w:rsidR="00292875" w:rsidRPr="00292875">
              <w:t xml:space="preserve">ata </w:t>
            </w:r>
            <w:r w:rsidR="00A93B96">
              <w:t xml:space="preserve">from </w:t>
            </w:r>
            <w:r>
              <w:t xml:space="preserve">the </w:t>
            </w:r>
            <w:r w:rsidR="00074D31">
              <w:t>main data source (</w:t>
            </w:r>
            <w:r w:rsidR="00B47DEB">
              <w:t xml:space="preserve">sample </w:t>
            </w:r>
            <w:r w:rsidR="00074D31">
              <w:t xml:space="preserve">surveys) for </w:t>
            </w:r>
            <w:r w:rsidR="00A93B96">
              <w:t>the</w:t>
            </w:r>
            <w:r w:rsidR="00292875" w:rsidRPr="00292875">
              <w:t xml:space="preserve"> 201</w:t>
            </w:r>
            <w:r w:rsidR="00292875">
              <w:t xml:space="preserve">4-15 </w:t>
            </w:r>
            <w:proofErr w:type="spellStart"/>
            <w:r w:rsidR="00292875">
              <w:t>NATSISS</w:t>
            </w:r>
            <w:proofErr w:type="spellEnd"/>
            <w:r w:rsidR="00292875">
              <w:t xml:space="preserve"> </w:t>
            </w:r>
            <w:r w:rsidR="00A93B96">
              <w:t xml:space="preserve">and 2014 SEW </w:t>
            </w:r>
            <w:r>
              <w:t>are available</w:t>
            </w:r>
            <w:r w:rsidR="00292875" w:rsidRPr="00292875">
              <w:t xml:space="preserve"> in the 201</w:t>
            </w:r>
            <w:r w:rsidR="00292875">
              <w:t>5</w:t>
            </w:r>
            <w:r w:rsidR="00292875" w:rsidRPr="00292875">
              <w:t>-1</w:t>
            </w:r>
            <w:r w:rsidR="00292875">
              <w:t>6</w:t>
            </w:r>
            <w:r w:rsidR="00292875" w:rsidRPr="00292875">
              <w:t xml:space="preserve"> </w:t>
            </w:r>
            <w:proofErr w:type="spellStart"/>
            <w:r w:rsidR="00292875" w:rsidRPr="00292875">
              <w:t>NIRA</w:t>
            </w:r>
            <w:proofErr w:type="spellEnd"/>
            <w:r w:rsidR="00292875" w:rsidRPr="00292875">
              <w:t xml:space="preserve"> performance report. </w:t>
            </w:r>
            <w:r w:rsidR="00094D38">
              <w:t xml:space="preserve">Historical data </w:t>
            </w:r>
            <w:r w:rsidR="00094D38" w:rsidRPr="00680847">
              <w:t>f</w:t>
            </w:r>
            <w:r w:rsidR="00A93B96">
              <w:t>rom the</w:t>
            </w:r>
            <w:r w:rsidR="00094D38" w:rsidRPr="00680847">
              <w:t xml:space="preserve"> 2012-13</w:t>
            </w:r>
            <w:r w:rsidR="00A93B96">
              <w:t xml:space="preserve"> </w:t>
            </w:r>
            <w:proofErr w:type="spellStart"/>
            <w:r w:rsidR="00A93B96">
              <w:t>AATSIHS</w:t>
            </w:r>
            <w:proofErr w:type="spellEnd"/>
            <w:r w:rsidR="00094D38">
              <w:t xml:space="preserve"> and 2012</w:t>
            </w:r>
            <w:r w:rsidR="00A93B96">
              <w:t xml:space="preserve"> SEW</w:t>
            </w:r>
            <w:r w:rsidR="00094D38">
              <w:t xml:space="preserve"> </w:t>
            </w:r>
            <w:r>
              <w:t>are available</w:t>
            </w:r>
            <w:r w:rsidR="00094D38">
              <w:t xml:space="preserve"> in the 2013-14 </w:t>
            </w:r>
            <w:proofErr w:type="spellStart"/>
            <w:r w:rsidR="00094D38">
              <w:t>NIRA</w:t>
            </w:r>
            <w:proofErr w:type="spellEnd"/>
            <w:r w:rsidR="00094D38">
              <w:t xml:space="preserve"> performance report. Historical data for 2008 </w:t>
            </w:r>
            <w:r>
              <w:t xml:space="preserve">are </w:t>
            </w:r>
            <w:r w:rsidR="00094D38">
              <w:t xml:space="preserve">in the baseline 2008-09 </w:t>
            </w:r>
            <w:proofErr w:type="spellStart"/>
            <w:r w:rsidR="00F555B6">
              <w:t>NIRA</w:t>
            </w:r>
            <w:proofErr w:type="spellEnd"/>
            <w:r w:rsidR="00F555B6">
              <w:t xml:space="preserve"> performance report</w:t>
            </w:r>
            <w:r w:rsidR="00094D38">
              <w:t xml:space="preserve">, with </w:t>
            </w:r>
            <w:proofErr w:type="spellStart"/>
            <w:r w:rsidR="00094D38">
              <w:t>disaggregations</w:t>
            </w:r>
            <w:proofErr w:type="spellEnd"/>
            <w:r w:rsidR="00094D38">
              <w:t xml:space="preserve"> by remoteness in the 2012-13 </w:t>
            </w:r>
            <w:proofErr w:type="spellStart"/>
            <w:r w:rsidR="00F555B6">
              <w:t>NIRA</w:t>
            </w:r>
            <w:proofErr w:type="spellEnd"/>
            <w:r w:rsidR="00F555B6">
              <w:t xml:space="preserve"> performance report</w:t>
            </w:r>
            <w:r w:rsidR="00094D38">
              <w:t>.</w:t>
            </w:r>
          </w:p>
        </w:tc>
      </w:tr>
      <w:tr w:rsidR="00094D38" w14:paraId="2999733D" w14:textId="77777777" w:rsidTr="00944F80">
        <w:tblPrEx>
          <w:tblBorders>
            <w:top w:val="single" w:sz="6" w:space="0" w:color="78A22F"/>
            <w:left w:val="single" w:sz="6" w:space="0" w:color="78A22F"/>
            <w:bottom w:val="single" w:sz="6" w:space="0" w:color="78A22F"/>
            <w:right w:val="single" w:sz="6" w:space="0" w:color="78A22F"/>
          </w:tblBorders>
          <w:tblCellMar>
            <w:left w:w="142" w:type="dxa"/>
            <w:right w:w="142" w:type="dxa"/>
          </w:tblCellMar>
        </w:tblPrEx>
        <w:trPr>
          <w:cantSplit/>
        </w:trPr>
        <w:tc>
          <w:tcPr>
            <w:tcW w:w="8789" w:type="dxa"/>
            <w:gridSpan w:val="2"/>
            <w:tcBorders>
              <w:top w:val="nil"/>
              <w:left w:val="nil"/>
              <w:bottom w:val="single" w:sz="6" w:space="0" w:color="78A22F"/>
              <w:right w:val="nil"/>
            </w:tcBorders>
            <w:shd w:val="clear" w:color="auto" w:fill="F2F2F2"/>
          </w:tcPr>
          <w:p w14:paraId="297FDEF7" w14:textId="77777777" w:rsidR="00094D38" w:rsidRDefault="00094D38" w:rsidP="009F2BBC">
            <w:pPr>
              <w:pStyle w:val="Box"/>
              <w:spacing w:before="0" w:line="120" w:lineRule="exact"/>
            </w:pPr>
          </w:p>
        </w:tc>
      </w:tr>
      <w:tr w:rsidR="00094D38" w:rsidRPr="000863A5" w14:paraId="71777857" w14:textId="77777777" w:rsidTr="00944F80">
        <w:tblPrEx>
          <w:tblBorders>
            <w:top w:val="single" w:sz="6" w:space="0" w:color="78A22F"/>
            <w:left w:val="single" w:sz="6" w:space="0" w:color="78A22F"/>
            <w:bottom w:val="single" w:sz="6" w:space="0" w:color="78A22F"/>
            <w:right w:val="single" w:sz="6" w:space="0" w:color="78A22F"/>
          </w:tblBorders>
          <w:tblCellMar>
            <w:left w:w="142" w:type="dxa"/>
            <w:right w:w="142" w:type="dxa"/>
          </w:tblCellMar>
        </w:tblPrEx>
        <w:tc>
          <w:tcPr>
            <w:tcW w:w="8789" w:type="dxa"/>
            <w:gridSpan w:val="2"/>
            <w:tcBorders>
              <w:top w:val="single" w:sz="6" w:space="0" w:color="78A22F"/>
              <w:left w:val="nil"/>
              <w:bottom w:val="nil"/>
              <w:right w:val="nil"/>
            </w:tcBorders>
          </w:tcPr>
          <w:p w14:paraId="7EE6A5E7" w14:textId="77777777" w:rsidR="00094D38" w:rsidRPr="00626D32" w:rsidRDefault="00094D38" w:rsidP="009F2BBC">
            <w:pPr>
              <w:pStyle w:val="BoxSpaceBelow"/>
            </w:pPr>
          </w:p>
        </w:tc>
      </w:tr>
    </w:tbl>
    <w:p w14:paraId="0F509154" w14:textId="77777777" w:rsidR="00094D38" w:rsidRDefault="00094D38">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C412A" w14:paraId="4B7899ED" w14:textId="77777777" w:rsidTr="00944F80">
        <w:tc>
          <w:tcPr>
            <w:tcW w:w="8789" w:type="dxa"/>
            <w:tcBorders>
              <w:top w:val="single" w:sz="6" w:space="0" w:color="78A22F"/>
              <w:left w:val="nil"/>
              <w:bottom w:val="nil"/>
              <w:right w:val="nil"/>
            </w:tcBorders>
            <w:shd w:val="clear" w:color="auto" w:fill="F2F2F2"/>
          </w:tcPr>
          <w:p w14:paraId="638A4B53" w14:textId="193C6C23" w:rsidR="003C412A" w:rsidRDefault="003C412A" w:rsidP="00291F8D">
            <w:pPr>
              <w:pStyle w:val="BoxTitle"/>
            </w:pPr>
            <w:r>
              <w:rPr>
                <w:b w:val="0"/>
              </w:rPr>
              <w:t>Box</w:t>
            </w:r>
            <w:r w:rsidR="00B1719E">
              <w:rPr>
                <w:b w:val="0"/>
              </w:rPr>
              <w:t xml:space="preserve"> </w:t>
            </w:r>
            <w:r w:rsidR="00291F8D">
              <w:rPr>
                <w:b w:val="0"/>
              </w:rPr>
              <w:t>36</w:t>
            </w:r>
            <w:r>
              <w:tab/>
              <w:t xml:space="preserve">Comment on data </w:t>
            </w:r>
            <w:r w:rsidR="00A35375">
              <w:t>quality</w:t>
            </w:r>
          </w:p>
        </w:tc>
      </w:tr>
      <w:tr w:rsidR="003C412A" w:rsidRPr="003C412A" w14:paraId="5A14C990" w14:textId="77777777" w:rsidTr="00944F80">
        <w:trPr>
          <w:cantSplit/>
        </w:trPr>
        <w:tc>
          <w:tcPr>
            <w:tcW w:w="8789" w:type="dxa"/>
            <w:tcBorders>
              <w:top w:val="nil"/>
              <w:left w:val="nil"/>
              <w:bottom w:val="nil"/>
              <w:right w:val="nil"/>
            </w:tcBorders>
            <w:shd w:val="clear" w:color="auto" w:fill="F2F2F2"/>
          </w:tcPr>
          <w:p w14:paraId="6CB5ECB7" w14:textId="3D556A70" w:rsidR="00A35375" w:rsidRPr="00DB41BA" w:rsidRDefault="00A35375" w:rsidP="00A35375">
            <w:pPr>
              <w:pStyle w:val="Box"/>
            </w:pPr>
            <w:r w:rsidRPr="00DB41BA">
              <w:t xml:space="preserve">Key points </w:t>
            </w:r>
            <w:r w:rsidR="001F1E78">
              <w:t>on data quality for this indicator</w:t>
            </w:r>
            <w:r w:rsidRPr="00DB41BA">
              <w:t xml:space="preserve"> are summarised below.</w:t>
            </w:r>
          </w:p>
          <w:p w14:paraId="1A471D99" w14:textId="77777777" w:rsidR="00A35375" w:rsidRPr="00A35375" w:rsidRDefault="00A35375" w:rsidP="00A35375">
            <w:pPr>
              <w:pStyle w:val="BoxListBullet"/>
              <w:rPr>
                <w:rStyle w:val="DraftingNote"/>
                <w:b w:val="0"/>
                <w:color w:val="auto"/>
                <w:sz w:val="20"/>
                <w:u w:val="none"/>
              </w:rPr>
            </w:pPr>
            <w:r w:rsidRPr="00A35375">
              <w:rPr>
                <w:rStyle w:val="DraftingNote"/>
                <w:b w:val="0"/>
                <w:color w:val="auto"/>
                <w:sz w:val="20"/>
                <w:u w:val="none"/>
              </w:rPr>
              <w:t>Data provide relevant information on the level of workforce participation for 15–64 year olds (employment, labour force participation and unemployment). Data are available by State and Territory.</w:t>
            </w:r>
          </w:p>
          <w:p w14:paraId="2982B5D6" w14:textId="53D3C8AF" w:rsidR="00A93B96" w:rsidRDefault="00074D31">
            <w:pPr>
              <w:pStyle w:val="BoxListBullet"/>
              <w:rPr>
                <w:rStyle w:val="DraftingNote"/>
                <w:rFonts w:ascii="Times New Roman" w:hAnsi="Times New Roman"/>
                <w:b w:val="0"/>
                <w:color w:val="auto"/>
                <w:sz w:val="20"/>
                <w:szCs w:val="24"/>
                <w:u w:val="none"/>
              </w:rPr>
            </w:pPr>
            <w:r>
              <w:t>The most recent available data are from the supplementary data source (Census), with the data in respect of 2016</w:t>
            </w:r>
            <w:r w:rsidR="00AA699C">
              <w:t xml:space="preserve"> (remoteness data for this report)</w:t>
            </w:r>
            <w:r>
              <w:t>.</w:t>
            </w:r>
            <w:r w:rsidRPr="003C412A">
              <w:t xml:space="preserve"> </w:t>
            </w:r>
            <w:r w:rsidR="00B47DEB">
              <w:t xml:space="preserve">Census data </w:t>
            </w:r>
            <w:r w:rsidR="00AA699C">
              <w:t>(</w:t>
            </w:r>
            <w:r w:rsidR="00B47DEB">
              <w:t>for survey comparisons</w:t>
            </w:r>
            <w:r w:rsidR="00AA699C">
              <w:t xml:space="preserve"> only) by remoteness</w:t>
            </w:r>
            <w:r w:rsidR="00B47DEB">
              <w:t xml:space="preserve"> have been revised for 2011 (earlier supply did not exclude overseas and temporary visitors)</w:t>
            </w:r>
            <w:r w:rsidR="00476A5E">
              <w:t>.</w:t>
            </w:r>
            <w:r w:rsidR="00A35375" w:rsidRPr="00A35375">
              <w:rPr>
                <w:rStyle w:val="DraftingNote"/>
                <w:b w:val="0"/>
                <w:color w:val="auto"/>
                <w:sz w:val="20"/>
                <w:u w:val="none"/>
              </w:rPr>
              <w:t xml:space="preserve"> </w:t>
            </w:r>
          </w:p>
          <w:p w14:paraId="33A39923" w14:textId="5AF1F316" w:rsidR="00A93B96" w:rsidRDefault="00A93B96">
            <w:pPr>
              <w:pStyle w:val="BoxListBullet"/>
              <w:rPr>
                <w:rStyle w:val="DraftingNote"/>
                <w:b w:val="0"/>
                <w:color w:val="auto"/>
                <w:sz w:val="20"/>
                <w:u w:val="none"/>
              </w:rPr>
            </w:pPr>
            <w:r>
              <w:rPr>
                <w:rStyle w:val="DraftingNote"/>
                <w:b w:val="0"/>
                <w:color w:val="auto"/>
                <w:sz w:val="20"/>
                <w:u w:val="none"/>
              </w:rPr>
              <w:t>The accuracy of the data provided is affected by the level of non-response for required data items:</w:t>
            </w:r>
          </w:p>
          <w:p w14:paraId="0F07796C" w14:textId="7B83F194" w:rsidR="00A93B96" w:rsidRPr="006B33E9" w:rsidRDefault="00A93B96" w:rsidP="006B33E9">
            <w:pPr>
              <w:pStyle w:val="BoxListBullet2"/>
            </w:pPr>
            <w:r w:rsidRPr="006B33E9">
              <w:t xml:space="preserve">Labour force – the non-response for this data item in the 2016 Census </w:t>
            </w:r>
            <w:r w:rsidRPr="002710FE">
              <w:t xml:space="preserve">was </w:t>
            </w:r>
            <w:r w:rsidR="00B55425" w:rsidRPr="002710FE">
              <w:t>6.7</w:t>
            </w:r>
            <w:r w:rsidRPr="002710FE">
              <w:t xml:space="preserve"> per cent, </w:t>
            </w:r>
            <w:r w:rsidR="00B55425" w:rsidRPr="002710FE">
              <w:t xml:space="preserve">up </w:t>
            </w:r>
            <w:r w:rsidRPr="002710FE">
              <w:t>from 5.6 per cent in the</w:t>
            </w:r>
            <w:r w:rsidRPr="006B33E9">
              <w:t xml:space="preserve"> 2011 Census</w:t>
            </w:r>
          </w:p>
          <w:p w14:paraId="2E27863C" w14:textId="6C22DA17" w:rsidR="00A93B96" w:rsidRPr="00A93B96" w:rsidRDefault="00A93B96" w:rsidP="006B33E9">
            <w:pPr>
              <w:pStyle w:val="BoxListBullet2"/>
            </w:pPr>
            <w:r w:rsidRPr="006B33E9">
              <w:t xml:space="preserve">Indigenous status – the non-response from this data item in the 2016 Census </w:t>
            </w:r>
            <w:r w:rsidRPr="002710FE">
              <w:t xml:space="preserve">was </w:t>
            </w:r>
            <w:r w:rsidR="00B55425" w:rsidRPr="002710FE">
              <w:t>6.0</w:t>
            </w:r>
            <w:r w:rsidR="002710FE">
              <w:t> </w:t>
            </w:r>
            <w:r w:rsidRPr="002710FE">
              <w:t>per</w:t>
            </w:r>
            <w:r w:rsidR="002710FE">
              <w:t> </w:t>
            </w:r>
            <w:r w:rsidRPr="002710FE">
              <w:t xml:space="preserve">cent, </w:t>
            </w:r>
            <w:r w:rsidR="00B55425" w:rsidRPr="002710FE">
              <w:t xml:space="preserve">up </w:t>
            </w:r>
            <w:r w:rsidRPr="002710FE">
              <w:t>from 4.9 per cent in the 2011 Censu</w:t>
            </w:r>
            <w:r w:rsidRPr="006B33E9">
              <w:t>s.</w:t>
            </w:r>
          </w:p>
          <w:p w14:paraId="397ABC29" w14:textId="77777777" w:rsidR="00A35375" w:rsidRPr="00A35375" w:rsidRDefault="00A35375" w:rsidP="00A35375">
            <w:pPr>
              <w:pStyle w:val="BoxListBullet"/>
              <w:rPr>
                <w:rStyle w:val="DraftingNote"/>
                <w:b w:val="0"/>
                <w:color w:val="auto"/>
                <w:sz w:val="20"/>
                <w:u w:val="none"/>
              </w:rPr>
            </w:pPr>
            <w:r w:rsidRPr="00A35375">
              <w:rPr>
                <w:rStyle w:val="DraftingNote"/>
                <w:b w:val="0"/>
                <w:color w:val="auto"/>
                <w:sz w:val="20"/>
                <w:u w:val="none"/>
              </w:rPr>
              <w:t>Detailed explanatory notes are publicly available to assist in the interpretation of results.</w:t>
            </w:r>
          </w:p>
          <w:p w14:paraId="34914C3C" w14:textId="77777777" w:rsidR="00A35375" w:rsidRPr="00A35375" w:rsidRDefault="00A35375" w:rsidP="00A35375">
            <w:pPr>
              <w:pStyle w:val="BoxListBullet"/>
              <w:rPr>
                <w:rStyle w:val="DraftingNote"/>
                <w:b w:val="0"/>
                <w:color w:val="auto"/>
                <w:sz w:val="20"/>
                <w:u w:val="none"/>
              </w:rPr>
            </w:pPr>
            <w:r w:rsidRPr="00A35375">
              <w:rPr>
                <w:rStyle w:val="DraftingNote"/>
                <w:b w:val="0"/>
                <w:color w:val="auto"/>
                <w:sz w:val="20"/>
                <w:u w:val="none"/>
              </w:rPr>
              <w:t>Additional data from the data source are available on-line, and on request.</w:t>
            </w:r>
          </w:p>
          <w:p w14:paraId="45265D62" w14:textId="77777777" w:rsidR="00A35375" w:rsidRPr="00DB41BA" w:rsidRDefault="00A35375" w:rsidP="00A35375">
            <w:pPr>
              <w:pStyle w:val="Box"/>
            </w:pPr>
            <w:r w:rsidRPr="00DB41BA">
              <w:t>The Steering Committee also notes the following issues:</w:t>
            </w:r>
          </w:p>
          <w:p w14:paraId="78DB50F3" w14:textId="5DB74C47" w:rsidR="003C412A" w:rsidRPr="006B33E9" w:rsidRDefault="00A93B96">
            <w:pPr>
              <w:pStyle w:val="BoxListBullet"/>
              <w:spacing w:before="60" w:line="280" w:lineRule="atLeast"/>
            </w:pPr>
            <w:r>
              <w:rPr>
                <w:rFonts w:cs="Arial"/>
                <w:szCs w:val="22"/>
              </w:rPr>
              <w:t>Census d</w:t>
            </w:r>
            <w:r w:rsidR="00A35375" w:rsidRPr="00DB41BA">
              <w:rPr>
                <w:rFonts w:cs="Arial"/>
                <w:szCs w:val="22"/>
              </w:rPr>
              <w:t xml:space="preserve">ata </w:t>
            </w:r>
            <w:r w:rsidR="001D0F5E">
              <w:rPr>
                <w:rFonts w:cs="Arial"/>
                <w:szCs w:val="22"/>
              </w:rPr>
              <w:t>a</w:t>
            </w:r>
            <w:r w:rsidR="001D0F5E" w:rsidRPr="00DB41BA">
              <w:rPr>
                <w:rFonts w:cs="Arial"/>
                <w:szCs w:val="22"/>
              </w:rPr>
              <w:t xml:space="preserve">re </w:t>
            </w:r>
            <w:r w:rsidR="00A35375" w:rsidRPr="00DB41BA">
              <w:rPr>
                <w:rFonts w:cs="Arial"/>
                <w:szCs w:val="22"/>
              </w:rPr>
              <w:t>presented in two ways: according to the scope of the Census; and with scope comparable to the</w:t>
            </w:r>
            <w:r>
              <w:rPr>
                <w:rFonts w:cs="Arial"/>
                <w:szCs w:val="22"/>
              </w:rPr>
              <w:t xml:space="preserve"> </w:t>
            </w:r>
            <w:r w:rsidR="00A35375" w:rsidRPr="00DB41BA">
              <w:rPr>
                <w:rFonts w:cs="Arial"/>
                <w:szCs w:val="22"/>
              </w:rPr>
              <w:t xml:space="preserve">survey data (excluding people living in non-private dwellings, members of the permanent defence forces and members of foreign representation). The latter set of Census data should be used if making comparisons with the survey data in </w:t>
            </w:r>
            <w:r>
              <w:rPr>
                <w:rFonts w:cs="Arial"/>
                <w:szCs w:val="22"/>
              </w:rPr>
              <w:t>the previous</w:t>
            </w:r>
            <w:r w:rsidRPr="00DB41BA">
              <w:rPr>
                <w:rFonts w:cs="Arial"/>
                <w:szCs w:val="22"/>
              </w:rPr>
              <w:t xml:space="preserve"> </w:t>
            </w:r>
            <w:r w:rsidR="00A35375" w:rsidRPr="00DB41BA">
              <w:rPr>
                <w:rFonts w:cs="Arial"/>
                <w:szCs w:val="22"/>
              </w:rPr>
              <w:t>report</w:t>
            </w:r>
            <w:r w:rsidR="00074D31">
              <w:rPr>
                <w:rFonts w:cs="Arial"/>
                <w:szCs w:val="22"/>
              </w:rPr>
              <w:t>s</w:t>
            </w:r>
            <w:r w:rsidR="00A35375" w:rsidRPr="00DB41BA">
              <w:rPr>
                <w:rFonts w:cs="Arial"/>
                <w:szCs w:val="22"/>
              </w:rPr>
              <w:t xml:space="preserve">. </w:t>
            </w:r>
          </w:p>
          <w:p w14:paraId="0A50D555" w14:textId="5828A592" w:rsidR="00074D31" w:rsidRPr="003C412A" w:rsidRDefault="00074D31" w:rsidP="006E47D4">
            <w:pPr>
              <w:pStyle w:val="BoxListBullet"/>
            </w:pPr>
            <w:r>
              <w:t xml:space="preserve">The 2016 Census includes Norfolk Island for the first time, which is counted under ‘other territories’ and the Australian total. </w:t>
            </w:r>
            <w:r w:rsidR="00B47DEB">
              <w:t>This addition has had no effect on the national proportions, and therefore does not impact time series comparisons.</w:t>
            </w:r>
            <w:r w:rsidR="006E47D4">
              <w:t xml:space="preserve"> </w:t>
            </w:r>
            <w:r w:rsidR="006E47D4" w:rsidRPr="006E47D4">
              <w:t xml:space="preserve">Norfolk Island has a remoteness category of Very remote. Analysis has confirmed that for </w:t>
            </w:r>
            <w:r w:rsidR="006E47D4">
              <w:t>remoteness data</w:t>
            </w:r>
            <w:r w:rsidR="006E47D4" w:rsidRPr="006E47D4">
              <w:t xml:space="preserve">, there is no material impact caused by the inclusion of Norfolk Island in relation to the time series (equal to or less than 0.1 per cent for very remote data at the national level). </w:t>
            </w:r>
          </w:p>
        </w:tc>
      </w:tr>
      <w:tr w:rsidR="003C412A" w14:paraId="1C0717B2" w14:textId="77777777" w:rsidTr="00944F80">
        <w:trPr>
          <w:cantSplit/>
        </w:trPr>
        <w:tc>
          <w:tcPr>
            <w:tcW w:w="8789" w:type="dxa"/>
            <w:tcBorders>
              <w:top w:val="nil"/>
              <w:left w:val="nil"/>
              <w:bottom w:val="single" w:sz="6" w:space="0" w:color="78A22F"/>
              <w:right w:val="nil"/>
            </w:tcBorders>
            <w:shd w:val="clear" w:color="auto" w:fill="F2F2F2"/>
          </w:tcPr>
          <w:p w14:paraId="6A856F2E" w14:textId="77777777" w:rsidR="003C412A" w:rsidRDefault="003C412A">
            <w:pPr>
              <w:pStyle w:val="Box"/>
              <w:spacing w:before="0" w:line="120" w:lineRule="exact"/>
            </w:pPr>
          </w:p>
        </w:tc>
      </w:tr>
      <w:tr w:rsidR="003C412A" w:rsidRPr="000863A5" w14:paraId="3B17589E" w14:textId="77777777" w:rsidTr="00944F80">
        <w:tc>
          <w:tcPr>
            <w:tcW w:w="8789" w:type="dxa"/>
            <w:tcBorders>
              <w:top w:val="single" w:sz="6" w:space="0" w:color="78A22F"/>
              <w:left w:val="nil"/>
              <w:bottom w:val="nil"/>
              <w:right w:val="nil"/>
            </w:tcBorders>
          </w:tcPr>
          <w:p w14:paraId="5724D54A" w14:textId="77777777" w:rsidR="003C412A" w:rsidRPr="00626D32" w:rsidRDefault="003C412A" w:rsidP="004C6DAF">
            <w:pPr>
              <w:pStyle w:val="BoxSpaceBelow"/>
            </w:pPr>
          </w:p>
        </w:tc>
      </w:tr>
    </w:tbl>
    <w:p w14:paraId="09AF6BFC" w14:textId="77777777" w:rsidR="003C412A" w:rsidRDefault="003C412A" w:rsidP="003C412A">
      <w:pPr>
        <w:pStyle w:val="BodyText"/>
        <w:rPr>
          <w:rFonts w:ascii="Arial" w:hAnsi="Arial"/>
          <w:sz w:val="20"/>
        </w:rPr>
      </w:pPr>
      <w:r>
        <w:br w:type="page"/>
      </w:r>
    </w:p>
    <w:p w14:paraId="29CE5A12" w14:textId="77777777" w:rsidR="003C412A" w:rsidRDefault="003C412A" w:rsidP="008A0474">
      <w:pPr>
        <w:pStyle w:val="Heading3"/>
        <w:spacing w:after="80"/>
      </w:pPr>
      <w:bookmarkStart w:id="28" w:name="_Ref375126474"/>
      <w:r w:rsidRPr="00921D4D">
        <w:lastRenderedPageBreak/>
        <w:t>Indicator 1</w:t>
      </w:r>
      <w:r>
        <w:t>5</w:t>
      </w:r>
      <w:r w:rsidRPr="00921D4D">
        <w:t xml:space="preserve">: </w:t>
      </w:r>
      <w:r>
        <w:t xml:space="preserve">Proportion of Indigenous 20 to 64 year olds with or working towards post school qualification in </w:t>
      </w:r>
      <w:proofErr w:type="spellStart"/>
      <w:r>
        <w:t>AQF</w:t>
      </w:r>
      <w:proofErr w:type="spellEnd"/>
      <w:r>
        <w:t xml:space="preserve"> Certificate III or above</w:t>
      </w:r>
      <w:bookmarkEnd w:id="28"/>
    </w:p>
    <w:tbl>
      <w:tblPr>
        <w:tblW w:w="8789" w:type="dxa"/>
        <w:tblCellMar>
          <w:right w:w="0" w:type="dxa"/>
        </w:tblCellMar>
        <w:tblLook w:val="0000" w:firstRow="0" w:lastRow="0" w:firstColumn="0" w:lastColumn="0" w:noHBand="0" w:noVBand="0"/>
      </w:tblPr>
      <w:tblGrid>
        <w:gridCol w:w="2093"/>
        <w:gridCol w:w="6696"/>
      </w:tblGrid>
      <w:tr w:rsidR="008A0474" w:rsidRPr="00D87AA9" w14:paraId="29DB4F22" w14:textId="77777777" w:rsidTr="00166183">
        <w:tc>
          <w:tcPr>
            <w:tcW w:w="2093" w:type="dxa"/>
            <w:shd w:val="clear" w:color="auto" w:fill="auto"/>
          </w:tcPr>
          <w:p w14:paraId="4250ABE4" w14:textId="77777777" w:rsidR="008A0474" w:rsidRPr="00D87AA9" w:rsidRDefault="008A0474" w:rsidP="00166183">
            <w:pPr>
              <w:pStyle w:val="TableBodyText"/>
              <w:spacing w:after="0"/>
              <w:jc w:val="left"/>
            </w:pPr>
            <w:r w:rsidRPr="00B82DC5">
              <w:t>Key amendments from previous cycle of reporting:</w:t>
            </w:r>
          </w:p>
        </w:tc>
        <w:tc>
          <w:tcPr>
            <w:tcW w:w="6696" w:type="dxa"/>
            <w:shd w:val="clear" w:color="auto" w:fill="auto"/>
          </w:tcPr>
          <w:p w14:paraId="2BDF1FFF" w14:textId="7EC6D2B6" w:rsidR="008A0474" w:rsidRDefault="00372E06" w:rsidP="00166183">
            <w:pPr>
              <w:pStyle w:val="TableBodyText"/>
              <w:spacing w:after="0"/>
              <w:jc w:val="left"/>
            </w:pPr>
            <w:r w:rsidRPr="00365846">
              <w:t xml:space="preserve">This indicator is unchanged from the previous </w:t>
            </w:r>
            <w:proofErr w:type="spellStart"/>
            <w:r w:rsidRPr="00365846">
              <w:t>NIRA</w:t>
            </w:r>
            <w:proofErr w:type="spellEnd"/>
            <w:r w:rsidRPr="00365846">
              <w:t xml:space="preserve"> performance report</w:t>
            </w:r>
            <w:r>
              <w:t>.</w:t>
            </w:r>
          </w:p>
        </w:tc>
      </w:tr>
      <w:tr w:rsidR="003C412A" w:rsidRPr="00D87AA9" w14:paraId="495874C0" w14:textId="77777777" w:rsidTr="00944F80">
        <w:tc>
          <w:tcPr>
            <w:tcW w:w="2093" w:type="dxa"/>
          </w:tcPr>
          <w:p w14:paraId="00154166" w14:textId="77777777" w:rsidR="003C412A" w:rsidRPr="00D87AA9" w:rsidRDefault="003C412A" w:rsidP="008A0474">
            <w:pPr>
              <w:pStyle w:val="TableBodyText"/>
              <w:spacing w:before="60"/>
              <w:jc w:val="left"/>
            </w:pPr>
            <w:r w:rsidRPr="00D87AA9">
              <w:t>Target:</w:t>
            </w:r>
          </w:p>
        </w:tc>
        <w:tc>
          <w:tcPr>
            <w:tcW w:w="6696" w:type="dxa"/>
          </w:tcPr>
          <w:p w14:paraId="59A92760" w14:textId="0895DC05" w:rsidR="003C412A" w:rsidRPr="00D87AA9" w:rsidRDefault="003C412A" w:rsidP="008A0474">
            <w:pPr>
              <w:pStyle w:val="TableBodyText"/>
              <w:spacing w:before="60"/>
              <w:jc w:val="left"/>
            </w:pPr>
            <w:r w:rsidRPr="00B244AA">
              <w:t>Halving the gap in employment outc</w:t>
            </w:r>
            <w:r>
              <w:t>omes between Indigenous and non</w:t>
            </w:r>
            <w:r w:rsidR="00073B00">
              <w:noBreakHyphen/>
            </w:r>
            <w:r w:rsidRPr="00B244AA">
              <w:t>Indigenous Australians within a decade (by 2018)</w:t>
            </w:r>
          </w:p>
        </w:tc>
      </w:tr>
      <w:tr w:rsidR="003C412A" w:rsidRPr="00D87AA9" w14:paraId="3DF78E07" w14:textId="77777777" w:rsidTr="00944F80">
        <w:tc>
          <w:tcPr>
            <w:tcW w:w="2093" w:type="dxa"/>
          </w:tcPr>
          <w:p w14:paraId="6183D2A6" w14:textId="77777777" w:rsidR="003C412A" w:rsidRPr="00D87AA9" w:rsidRDefault="003C412A" w:rsidP="008A0474">
            <w:pPr>
              <w:pStyle w:val="TableBodyText"/>
              <w:spacing w:before="60"/>
              <w:jc w:val="left"/>
            </w:pPr>
            <w:r w:rsidRPr="00002972">
              <w:rPr>
                <w:u w:val="single"/>
              </w:rPr>
              <w:t>Interim</w:t>
            </w:r>
            <w:r>
              <w:t xml:space="preserve"> </w:t>
            </w:r>
            <w:r w:rsidRPr="00D87AA9">
              <w:t>Measure:</w:t>
            </w:r>
          </w:p>
        </w:tc>
        <w:tc>
          <w:tcPr>
            <w:tcW w:w="6696" w:type="dxa"/>
          </w:tcPr>
          <w:p w14:paraId="19350F89" w14:textId="77777777" w:rsidR="003C412A" w:rsidRDefault="003C412A" w:rsidP="008A0474">
            <w:pPr>
              <w:pStyle w:val="TableBodyText"/>
              <w:spacing w:before="60"/>
              <w:jc w:val="left"/>
            </w:pPr>
            <w:r>
              <w:t>Proportion of people aged 20–64 years with, or working towards, post school qualifications in Australian Qualifications Framework (</w:t>
            </w:r>
            <w:proofErr w:type="spellStart"/>
            <w:r>
              <w:t>AQF</w:t>
            </w:r>
            <w:proofErr w:type="spellEnd"/>
            <w:r>
              <w:t>) Certificate level III or above</w:t>
            </w:r>
            <w:r w:rsidR="00D62D4D">
              <w:t>,</w:t>
            </w:r>
            <w:r>
              <w:t xml:space="preserve"> by Indigenous status.</w:t>
            </w:r>
          </w:p>
          <w:p w14:paraId="0EEDFE4F" w14:textId="77777777" w:rsidR="003C412A" w:rsidRDefault="003C412A" w:rsidP="008A0474">
            <w:pPr>
              <w:pStyle w:val="TableBodyText"/>
              <w:spacing w:before="60"/>
              <w:jc w:val="left"/>
            </w:pPr>
            <w:r>
              <w:t>The measure is defined as:</w:t>
            </w:r>
          </w:p>
          <w:p w14:paraId="5B41D724" w14:textId="77777777" w:rsidR="003C412A" w:rsidRDefault="003C412A" w:rsidP="004C6DAF">
            <w:pPr>
              <w:pStyle w:val="TableBullet"/>
            </w:pPr>
            <w:r w:rsidRPr="00436A2C">
              <w:rPr>
                <w:i/>
              </w:rPr>
              <w:t>Numerator</w:t>
            </w:r>
            <w:r>
              <w:t xml:space="preserve"> — People aged 20–64 years who have attained post school qualifications in </w:t>
            </w:r>
            <w:proofErr w:type="spellStart"/>
            <w:r>
              <w:t>AQF</w:t>
            </w:r>
            <w:proofErr w:type="spellEnd"/>
            <w:r>
              <w:t xml:space="preserve"> Certificate level III or above, or are currently studying a non-school qualification </w:t>
            </w:r>
          </w:p>
          <w:p w14:paraId="07E773FF" w14:textId="77777777" w:rsidR="003C412A" w:rsidRDefault="003C412A" w:rsidP="004C6DAF">
            <w:pPr>
              <w:pStyle w:val="TableBullet"/>
            </w:pPr>
            <w:r w:rsidRPr="00436A2C">
              <w:rPr>
                <w:i/>
              </w:rPr>
              <w:t>Denominator</w:t>
            </w:r>
            <w:r>
              <w:t xml:space="preserve"> — total population of people aged 20−64 years</w:t>
            </w:r>
          </w:p>
          <w:p w14:paraId="5559B109" w14:textId="77777777" w:rsidR="003C412A" w:rsidRDefault="003C412A" w:rsidP="004C6DAF">
            <w:pPr>
              <w:pStyle w:val="TableBodyText"/>
              <w:jc w:val="left"/>
            </w:pPr>
            <w:r>
              <w:t xml:space="preserve">presented as a </w:t>
            </w:r>
            <w:r w:rsidR="003A00CE">
              <w:rPr>
                <w:i/>
              </w:rPr>
              <w:t>percentage .</w:t>
            </w:r>
          </w:p>
          <w:p w14:paraId="585F9BC0" w14:textId="77777777" w:rsidR="00966495" w:rsidRDefault="00966495" w:rsidP="008A0474">
            <w:pPr>
              <w:pStyle w:val="TableBodyText"/>
              <w:spacing w:before="60"/>
              <w:jc w:val="left"/>
            </w:pPr>
            <w:r w:rsidRPr="00095168">
              <w:rPr>
                <w:u w:val="single"/>
              </w:rPr>
              <w:t>Census and SEW</w:t>
            </w:r>
            <w:r>
              <w:t>:</w:t>
            </w:r>
          </w:p>
          <w:p w14:paraId="66E708F6" w14:textId="77777777" w:rsidR="00966495" w:rsidRDefault="00966495" w:rsidP="004C6DAF">
            <w:pPr>
              <w:pStyle w:val="TableBodyText"/>
              <w:jc w:val="left"/>
            </w:pPr>
            <w:r>
              <w:t>For persons 'with' a non-school qualification:</w:t>
            </w:r>
          </w:p>
          <w:p w14:paraId="484FBB01" w14:textId="77777777" w:rsidR="00966495" w:rsidRDefault="00966495" w:rsidP="00095168">
            <w:pPr>
              <w:pStyle w:val="TableBullet"/>
              <w:rPr>
                <w:szCs w:val="24"/>
              </w:rPr>
            </w:pPr>
            <w:r>
              <w:t>Persons whose level of highest non-school qualification cannot be determined are assumed to have attained a qualification below Certificate level III and are therefore excluded from the numerator for this indicator.</w:t>
            </w:r>
          </w:p>
          <w:p w14:paraId="35C5F5F2" w14:textId="77777777" w:rsidR="00966495" w:rsidRPr="00E93D84" w:rsidRDefault="00966495" w:rsidP="00095168">
            <w:pPr>
              <w:pStyle w:val="TableBullet"/>
              <w:rPr>
                <w:szCs w:val="24"/>
              </w:rPr>
            </w:pPr>
            <w:r>
              <w:t>Measure excludes people whose level of highest non-school qualification is determined to be Certificate level but is not able to be further defined (</w:t>
            </w:r>
            <w:proofErr w:type="spellStart"/>
            <w:r>
              <w:t>ie</w:t>
            </w:r>
            <w:proofErr w:type="spellEnd"/>
            <w:r>
              <w:t xml:space="preserve"> Certificate </w:t>
            </w:r>
            <w:proofErr w:type="spellStart"/>
            <w:r>
              <w:t>nfd</w:t>
            </w:r>
            <w:proofErr w:type="spellEnd"/>
            <w:r>
              <w:t>), as they are assumed to have attained a qualification below Certificate level III.</w:t>
            </w:r>
          </w:p>
          <w:p w14:paraId="067923ED" w14:textId="77777777" w:rsidR="00966495" w:rsidRDefault="00966495" w:rsidP="008A0474">
            <w:pPr>
              <w:pStyle w:val="TableBodyText"/>
              <w:spacing w:before="60"/>
              <w:jc w:val="left"/>
            </w:pPr>
            <w:r>
              <w:t>For persons ‘working towards’ a non-school qualification:</w:t>
            </w:r>
          </w:p>
          <w:p w14:paraId="7063FADC" w14:textId="77777777" w:rsidR="00966495" w:rsidRDefault="00966495" w:rsidP="00095168">
            <w:pPr>
              <w:pStyle w:val="TableBullet"/>
              <w:rPr>
                <w:szCs w:val="24"/>
              </w:rPr>
            </w:pPr>
            <w:r>
              <w:t>Level of qualification is not available from the Census for people working towards a non-school qualification. To maintain consistency between the Census and SEW data, people working towards any non-school qualification are included in the SEW data for this indicator.</w:t>
            </w:r>
          </w:p>
          <w:p w14:paraId="469BB9DD" w14:textId="77777777" w:rsidR="00A4052F" w:rsidRPr="00FE1538" w:rsidRDefault="00A4052F" w:rsidP="008A0474">
            <w:pPr>
              <w:pStyle w:val="TableBodyText"/>
              <w:spacing w:before="60"/>
              <w:jc w:val="left"/>
            </w:pPr>
            <w:r w:rsidRPr="00FE1538">
              <w:t>For total population denominator:</w:t>
            </w:r>
          </w:p>
          <w:p w14:paraId="5F363B82" w14:textId="77777777" w:rsidR="00A4052F" w:rsidRPr="00FE1538" w:rsidRDefault="00A4052F" w:rsidP="00FE1538">
            <w:pPr>
              <w:pStyle w:val="TableBullet"/>
            </w:pPr>
            <w:r w:rsidRPr="00FE1538">
              <w:t xml:space="preserve">Total population excludes people who were not studying and whose level of non-school qualification or attendance status was not stated. </w:t>
            </w:r>
          </w:p>
          <w:p w14:paraId="165E0602" w14:textId="77777777" w:rsidR="00966495" w:rsidRDefault="00966495" w:rsidP="008A0474">
            <w:pPr>
              <w:pStyle w:val="TableBodyText"/>
              <w:spacing w:before="60"/>
              <w:jc w:val="left"/>
            </w:pPr>
            <w:r w:rsidRPr="00095168">
              <w:rPr>
                <w:u w:val="single"/>
              </w:rPr>
              <w:t>Census</w:t>
            </w:r>
            <w:r>
              <w:t>:</w:t>
            </w:r>
          </w:p>
          <w:p w14:paraId="30194428" w14:textId="77777777" w:rsidR="0000380A" w:rsidRDefault="0000380A" w:rsidP="0000380A">
            <w:pPr>
              <w:pStyle w:val="TableBodyText"/>
              <w:jc w:val="left"/>
            </w:pPr>
            <w:r>
              <w:t>For persons 'with' a non-school qualification:</w:t>
            </w:r>
          </w:p>
          <w:p w14:paraId="641969AA" w14:textId="6087AA07" w:rsidR="00C54BD4" w:rsidRPr="00944F80" w:rsidRDefault="00C54BD4" w:rsidP="00944F80">
            <w:pPr>
              <w:pStyle w:val="TableBullet"/>
              <w:rPr>
                <w:szCs w:val="24"/>
              </w:rPr>
            </w:pPr>
            <w:r>
              <w:t xml:space="preserve">Measure </w:t>
            </w:r>
            <w:r w:rsidR="00474A5F">
              <w:t>e</w:t>
            </w:r>
            <w:r w:rsidR="003C412A">
              <w:t xml:space="preserve">xcludes people whose </w:t>
            </w:r>
            <w:r w:rsidR="00B33651">
              <w:t xml:space="preserve">highest </w:t>
            </w:r>
            <w:r w:rsidR="003C412A">
              <w:t xml:space="preserve">non-school qualification </w:t>
            </w:r>
            <w:r w:rsidR="00B33651">
              <w:t xml:space="preserve">or attendance status </w:t>
            </w:r>
            <w:r w:rsidR="003C412A">
              <w:t xml:space="preserve">is not stated or inadequately described if they </w:t>
            </w:r>
            <w:r w:rsidR="00B33651">
              <w:t>fail to meet the criteria for either variable</w:t>
            </w:r>
          </w:p>
        </w:tc>
      </w:tr>
      <w:tr w:rsidR="003C412A" w:rsidRPr="00D87AA9" w14:paraId="73D54C37" w14:textId="77777777" w:rsidTr="00944F80">
        <w:tc>
          <w:tcPr>
            <w:tcW w:w="2093" w:type="dxa"/>
          </w:tcPr>
          <w:p w14:paraId="5D107244" w14:textId="77777777" w:rsidR="003C412A" w:rsidRPr="00D87AA9" w:rsidRDefault="003C412A" w:rsidP="008A0474">
            <w:pPr>
              <w:pStyle w:val="TableBodyText"/>
              <w:spacing w:before="60"/>
              <w:jc w:val="left"/>
            </w:pPr>
            <w:r w:rsidRPr="00D87AA9">
              <w:t>Data source</w:t>
            </w:r>
            <w:r>
              <w:t xml:space="preserve">s </w:t>
            </w:r>
          </w:p>
        </w:tc>
        <w:tc>
          <w:tcPr>
            <w:tcW w:w="6696" w:type="dxa"/>
          </w:tcPr>
          <w:p w14:paraId="5AFC7EBB" w14:textId="77777777" w:rsidR="003C412A" w:rsidRPr="0012388B" w:rsidRDefault="003C412A" w:rsidP="008A0474">
            <w:pPr>
              <w:pStyle w:val="TableBodyText"/>
              <w:spacing w:before="60"/>
              <w:jc w:val="left"/>
              <w:rPr>
                <w:u w:val="single"/>
              </w:rPr>
            </w:pPr>
            <w:r w:rsidRPr="0012388B">
              <w:rPr>
                <w:u w:val="single"/>
              </w:rPr>
              <w:t>Main data source</w:t>
            </w:r>
          </w:p>
          <w:p w14:paraId="2396B895" w14:textId="77777777" w:rsidR="003C412A" w:rsidRDefault="003C412A" w:rsidP="004C6DAF">
            <w:pPr>
              <w:pStyle w:val="TableBodyText"/>
              <w:jc w:val="left"/>
            </w:pPr>
            <w:r w:rsidRPr="0012388B">
              <w:rPr>
                <w:i/>
              </w:rPr>
              <w:t>Numerator and denominator</w:t>
            </w:r>
            <w:r>
              <w:t xml:space="preserve"> —</w:t>
            </w:r>
            <w:r w:rsidR="00D62D4D">
              <w:t xml:space="preserve"> ABS</w:t>
            </w:r>
            <w:r>
              <w:t xml:space="preserve"> </w:t>
            </w:r>
            <w:r w:rsidRPr="0012388B">
              <w:rPr>
                <w:u w:val="single"/>
              </w:rPr>
              <w:t>Census of Population and Housing</w:t>
            </w:r>
            <w:r>
              <w:t xml:space="preserve"> (Census) —</w:t>
            </w:r>
            <w:r w:rsidR="00D62D4D">
              <w:t xml:space="preserve"> </w:t>
            </w:r>
            <w:r>
              <w:t>Data are collected every five years</w:t>
            </w:r>
          </w:p>
          <w:p w14:paraId="2B43B5E5" w14:textId="77777777" w:rsidR="003C412A" w:rsidRPr="0012388B" w:rsidRDefault="003C412A" w:rsidP="008A0474">
            <w:pPr>
              <w:pStyle w:val="TableBodyText"/>
              <w:spacing w:before="60"/>
              <w:jc w:val="left"/>
              <w:rPr>
                <w:u w:val="single"/>
              </w:rPr>
            </w:pPr>
            <w:r w:rsidRPr="0012388B">
              <w:rPr>
                <w:u w:val="single"/>
              </w:rPr>
              <w:t>Supplementary data source</w:t>
            </w:r>
          </w:p>
          <w:p w14:paraId="5FA5CB5C" w14:textId="77777777" w:rsidR="003C412A" w:rsidRDefault="003C412A" w:rsidP="004C6DAF">
            <w:pPr>
              <w:pStyle w:val="TableBodyText"/>
              <w:jc w:val="left"/>
            </w:pPr>
            <w:r w:rsidRPr="0012388B">
              <w:rPr>
                <w:i/>
              </w:rPr>
              <w:t>Numerator and denominator</w:t>
            </w:r>
            <w:r>
              <w:t xml:space="preserve"> —</w:t>
            </w:r>
          </w:p>
          <w:p w14:paraId="767778F6" w14:textId="77777777" w:rsidR="003C412A" w:rsidRDefault="003C412A" w:rsidP="004C6DAF">
            <w:pPr>
              <w:pStyle w:val="TableBodyText"/>
              <w:jc w:val="left"/>
            </w:pPr>
            <w:r w:rsidRPr="00436A2C">
              <w:t>(</w:t>
            </w:r>
            <w:r w:rsidR="00A51293">
              <w:t>Aboriginal and Torres Strait Islander</w:t>
            </w:r>
            <w:r w:rsidRPr="00436A2C">
              <w:t>)</w:t>
            </w:r>
            <w:r>
              <w:t xml:space="preserve"> </w:t>
            </w:r>
            <w:r w:rsidRPr="0012388B">
              <w:rPr>
                <w:u w:val="single"/>
              </w:rPr>
              <w:t>National Aboriginal and Torres Strait Islander Social Survey</w:t>
            </w:r>
            <w:r>
              <w:t xml:space="preserve"> (</w:t>
            </w:r>
            <w:proofErr w:type="spellStart"/>
            <w:r>
              <w:t>NATSISS</w:t>
            </w:r>
            <w:proofErr w:type="spellEnd"/>
            <w:r>
              <w:t xml:space="preserve">) and the core </w:t>
            </w:r>
            <w:r w:rsidR="001A69CC">
              <w:t xml:space="preserve">component </w:t>
            </w:r>
            <w:r>
              <w:t>(</w:t>
            </w:r>
            <w:proofErr w:type="spellStart"/>
            <w:r>
              <w:t>NATSIHS</w:t>
            </w:r>
            <w:proofErr w:type="spellEnd"/>
            <w:r>
              <w:t xml:space="preserve"> plus </w:t>
            </w:r>
            <w:proofErr w:type="spellStart"/>
            <w:r>
              <w:t>NATSINPAS</w:t>
            </w:r>
            <w:proofErr w:type="spellEnd"/>
            <w:r>
              <w:t xml:space="preserve">) of the </w:t>
            </w:r>
            <w:r w:rsidR="00D62D4D">
              <w:t xml:space="preserve">ABS </w:t>
            </w:r>
            <w:r w:rsidRPr="0012388B">
              <w:rPr>
                <w:u w:val="single"/>
              </w:rPr>
              <w:t>Australian Aboriginal and Torres Strait Islander Health Survey</w:t>
            </w:r>
            <w:r>
              <w:t xml:space="preserve"> (</w:t>
            </w:r>
            <w:proofErr w:type="spellStart"/>
            <w:r>
              <w:t>AATSIHS</w:t>
            </w:r>
            <w:proofErr w:type="spellEnd"/>
            <w:r>
              <w:t>) — Data are collected on an alternating three yearly cycle.</w:t>
            </w:r>
          </w:p>
          <w:p w14:paraId="21707F6D" w14:textId="39A0E6DC" w:rsidR="001A69CC" w:rsidRPr="00D87AA9" w:rsidRDefault="003C412A" w:rsidP="004C6DAF">
            <w:pPr>
              <w:pStyle w:val="TableBodyText"/>
              <w:jc w:val="left"/>
            </w:pPr>
            <w:r w:rsidRPr="00436A2C">
              <w:t>(non-Indigenous)</w:t>
            </w:r>
            <w:r>
              <w:t xml:space="preserve"> </w:t>
            </w:r>
            <w:r w:rsidR="00D62D4D">
              <w:t>ABS</w:t>
            </w:r>
            <w:r>
              <w:t xml:space="preserve"> </w:t>
            </w:r>
            <w:r w:rsidRPr="0012388B">
              <w:rPr>
                <w:u w:val="single"/>
              </w:rPr>
              <w:t>Survey of Education and Work</w:t>
            </w:r>
            <w:r>
              <w:t xml:space="preserve"> (SEW) for the </w:t>
            </w:r>
            <w:r>
              <w:br/>
              <w:t>non-Indigenous population comparat</w:t>
            </w:r>
            <w:r w:rsidR="008A0474">
              <w:t>or. Data are available annually</w:t>
            </w:r>
          </w:p>
        </w:tc>
      </w:tr>
      <w:tr w:rsidR="003C412A" w:rsidRPr="00D87AA9" w14:paraId="625436D4" w14:textId="77777777" w:rsidTr="00944F80">
        <w:trPr>
          <w:trHeight w:val="393"/>
        </w:trPr>
        <w:tc>
          <w:tcPr>
            <w:tcW w:w="2093" w:type="dxa"/>
          </w:tcPr>
          <w:p w14:paraId="58D9CF18" w14:textId="77777777" w:rsidR="003C412A" w:rsidRPr="00D87AA9" w:rsidRDefault="003C412A" w:rsidP="008A0474">
            <w:pPr>
              <w:pStyle w:val="TableBodyText"/>
              <w:spacing w:before="60" w:after="0"/>
              <w:jc w:val="left"/>
            </w:pPr>
            <w:r w:rsidRPr="00D87AA9">
              <w:t>Data provider</w:t>
            </w:r>
            <w:r>
              <w:t xml:space="preserve"> </w:t>
            </w:r>
          </w:p>
        </w:tc>
        <w:tc>
          <w:tcPr>
            <w:tcW w:w="6696" w:type="dxa"/>
          </w:tcPr>
          <w:p w14:paraId="36EAA1F6" w14:textId="77777777" w:rsidR="003C412A" w:rsidRPr="00D87AA9" w:rsidRDefault="003C412A" w:rsidP="008A0474">
            <w:pPr>
              <w:pStyle w:val="TableBodyText"/>
              <w:spacing w:before="60"/>
              <w:jc w:val="left"/>
            </w:pPr>
            <w:r>
              <w:t xml:space="preserve">ABS </w:t>
            </w:r>
          </w:p>
        </w:tc>
      </w:tr>
      <w:tr w:rsidR="003C412A" w:rsidRPr="00D87AA9" w14:paraId="12A85BCD" w14:textId="77777777" w:rsidTr="00944F80">
        <w:trPr>
          <w:trHeight w:val="214"/>
        </w:trPr>
        <w:tc>
          <w:tcPr>
            <w:tcW w:w="2093" w:type="dxa"/>
            <w:shd w:val="clear" w:color="auto" w:fill="auto"/>
          </w:tcPr>
          <w:p w14:paraId="53C84266" w14:textId="77777777" w:rsidR="003C412A" w:rsidRPr="00D87AA9" w:rsidRDefault="003C412A" w:rsidP="008A0474">
            <w:pPr>
              <w:pStyle w:val="TableBodyText"/>
              <w:jc w:val="left"/>
            </w:pPr>
            <w:r w:rsidRPr="00D87AA9">
              <w:t>Data availability:</w:t>
            </w:r>
          </w:p>
        </w:tc>
        <w:tc>
          <w:tcPr>
            <w:tcW w:w="6696" w:type="dxa"/>
            <w:shd w:val="clear" w:color="auto" w:fill="auto"/>
          </w:tcPr>
          <w:p w14:paraId="4931B2E2" w14:textId="689FB4B5" w:rsidR="00073B00" w:rsidRPr="00131CF9" w:rsidRDefault="009017E1" w:rsidP="00AA699C">
            <w:pPr>
              <w:pStyle w:val="TableBodyText"/>
              <w:ind w:left="0"/>
              <w:jc w:val="left"/>
              <w:rPr>
                <w:b/>
              </w:rPr>
            </w:pPr>
            <w:r>
              <w:t xml:space="preserve">2016 — Census (remoteness data). </w:t>
            </w:r>
          </w:p>
        </w:tc>
      </w:tr>
      <w:tr w:rsidR="003C412A" w:rsidRPr="00D87AA9" w14:paraId="5298544D" w14:textId="77777777" w:rsidTr="00944F80">
        <w:tc>
          <w:tcPr>
            <w:tcW w:w="2093" w:type="dxa"/>
            <w:shd w:val="clear" w:color="auto" w:fill="auto"/>
          </w:tcPr>
          <w:p w14:paraId="5FD68DD4" w14:textId="4697F5D8" w:rsidR="003C412A" w:rsidRPr="00D87AA9" w:rsidRDefault="003C412A" w:rsidP="008A0474">
            <w:pPr>
              <w:pStyle w:val="TableBodyText"/>
              <w:spacing w:before="60" w:after="0"/>
              <w:jc w:val="left"/>
            </w:pPr>
            <w:r w:rsidRPr="00D87AA9">
              <w:t>Cross tabulations provided:</w:t>
            </w:r>
          </w:p>
        </w:tc>
        <w:tc>
          <w:tcPr>
            <w:tcW w:w="6696" w:type="dxa"/>
            <w:shd w:val="clear" w:color="auto" w:fill="auto"/>
          </w:tcPr>
          <w:p w14:paraId="450BED5C" w14:textId="0BD8575B" w:rsidR="00A35375" w:rsidRDefault="00A35375" w:rsidP="008A0474">
            <w:pPr>
              <w:pStyle w:val="TableBodyText"/>
              <w:spacing w:before="60" w:after="0"/>
              <w:jc w:val="left"/>
            </w:pPr>
            <w:r>
              <w:t>State/territory by Indigenous status, by</w:t>
            </w:r>
            <w:r w:rsidR="009017E1">
              <w:t xml:space="preserve"> remoteness</w:t>
            </w:r>
            <w:r>
              <w:t>:</w:t>
            </w:r>
          </w:p>
          <w:p w14:paraId="2E6778F6" w14:textId="2DC25530" w:rsidR="003C412A" w:rsidRPr="00AA699C" w:rsidRDefault="00A35375" w:rsidP="00AA699C">
            <w:pPr>
              <w:pStyle w:val="TableBullet"/>
              <w:spacing w:after="0"/>
              <w:rPr>
                <w:i/>
              </w:rPr>
            </w:pPr>
            <w:r>
              <w:t>completed study/currently studying</w:t>
            </w:r>
          </w:p>
        </w:tc>
      </w:tr>
    </w:tbl>
    <w:p w14:paraId="38E6ED22" w14:textId="77777777" w:rsidR="003C412A" w:rsidRDefault="003C412A">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C412A" w14:paraId="15FC7D6D" w14:textId="77777777" w:rsidTr="00944F80">
        <w:tc>
          <w:tcPr>
            <w:tcW w:w="8789" w:type="dxa"/>
            <w:tcBorders>
              <w:top w:val="single" w:sz="6" w:space="0" w:color="78A22F"/>
              <w:left w:val="nil"/>
              <w:bottom w:val="nil"/>
              <w:right w:val="nil"/>
            </w:tcBorders>
            <w:shd w:val="clear" w:color="auto" w:fill="F2F2F2"/>
          </w:tcPr>
          <w:p w14:paraId="0E23FF0E" w14:textId="1D4701BB" w:rsidR="003C412A" w:rsidRDefault="003C412A" w:rsidP="00291F8D">
            <w:pPr>
              <w:pStyle w:val="BoxTitle"/>
            </w:pPr>
            <w:r w:rsidRPr="00725A18">
              <w:rPr>
                <w:b w:val="0"/>
              </w:rPr>
              <w:t>Box</w:t>
            </w:r>
            <w:r w:rsidR="00B1719E" w:rsidRPr="00725A18">
              <w:rPr>
                <w:b w:val="0"/>
              </w:rPr>
              <w:t xml:space="preserve"> </w:t>
            </w:r>
            <w:r w:rsidR="00291F8D">
              <w:rPr>
                <w:b w:val="0"/>
              </w:rPr>
              <w:t>37</w:t>
            </w:r>
            <w:r w:rsidRPr="00725A18">
              <w:tab/>
            </w:r>
            <w:r w:rsidR="00A35375">
              <w:t>Results</w:t>
            </w:r>
          </w:p>
        </w:tc>
      </w:tr>
      <w:tr w:rsidR="003C412A" w:rsidRPr="003C412A" w14:paraId="2466BAFF" w14:textId="77777777" w:rsidTr="00944F80">
        <w:trPr>
          <w:cantSplit/>
        </w:trPr>
        <w:tc>
          <w:tcPr>
            <w:tcW w:w="8789" w:type="dxa"/>
            <w:tcBorders>
              <w:top w:val="nil"/>
              <w:left w:val="nil"/>
              <w:bottom w:val="nil"/>
              <w:right w:val="nil"/>
            </w:tcBorders>
            <w:shd w:val="clear" w:color="auto" w:fill="F2F2F2"/>
          </w:tcPr>
          <w:p w14:paraId="32E6ABFB" w14:textId="109CA5DB" w:rsidR="00074D31" w:rsidRPr="00135E93" w:rsidRDefault="00074D31" w:rsidP="00074D31">
            <w:pPr>
              <w:pStyle w:val="Box"/>
            </w:pPr>
            <w:r w:rsidRPr="00135E93">
              <w:t xml:space="preserve">For this report, new data are available </w:t>
            </w:r>
            <w:r>
              <w:t>from the main data source (Census)</w:t>
            </w:r>
            <w:r w:rsidR="00AA699C">
              <w:t xml:space="preserve"> for 2016 by remoteness</w:t>
            </w:r>
            <w:r w:rsidRPr="00135E93">
              <w:t>.</w:t>
            </w:r>
          </w:p>
          <w:p w14:paraId="566090DA" w14:textId="51E48441" w:rsidR="00074D31" w:rsidRPr="00135E93" w:rsidRDefault="00074D31" w:rsidP="00074D31">
            <w:pPr>
              <w:pStyle w:val="BoxListBullet"/>
            </w:pPr>
            <w:r w:rsidRPr="00135E93">
              <w:t xml:space="preserve">Data by State and territory, by Indigenous status </w:t>
            </w:r>
            <w:r w:rsidR="008307D4">
              <w:t xml:space="preserve">by remoteness </w:t>
            </w:r>
            <w:r w:rsidRPr="00135E93">
              <w:t xml:space="preserve">are presented in table </w:t>
            </w:r>
            <w:proofErr w:type="spellStart"/>
            <w:r w:rsidRPr="00135E93">
              <w:t>NIRA.1</w:t>
            </w:r>
            <w:r>
              <w:t>5</w:t>
            </w:r>
            <w:r w:rsidRPr="00135E93">
              <w:t>.1</w:t>
            </w:r>
            <w:proofErr w:type="spellEnd"/>
            <w:r>
              <w:t>.</w:t>
            </w:r>
          </w:p>
          <w:p w14:paraId="4BC3DB5A" w14:textId="0CF6FBF1" w:rsidR="00074D31" w:rsidRDefault="00AA699C" w:rsidP="0093133F">
            <w:pPr>
              <w:pStyle w:val="Box"/>
              <w:rPr>
                <w:rStyle w:val="DraftingNote"/>
                <w:b w:val="0"/>
                <w:color w:val="auto"/>
                <w:sz w:val="20"/>
                <w:u w:val="none"/>
              </w:rPr>
            </w:pPr>
            <w:r>
              <w:rPr>
                <w:rFonts w:cs="Arial"/>
                <w:szCs w:val="22"/>
              </w:rPr>
              <w:t>Census data are available</w:t>
            </w:r>
            <w:r w:rsidR="008307D4">
              <w:rPr>
                <w:rFonts w:cs="Arial"/>
                <w:szCs w:val="22"/>
              </w:rPr>
              <w:t xml:space="preserve"> in the 2016-17 </w:t>
            </w:r>
            <w:proofErr w:type="spellStart"/>
            <w:r w:rsidR="008307D4">
              <w:rPr>
                <w:rFonts w:cs="Arial"/>
                <w:szCs w:val="22"/>
              </w:rPr>
              <w:t>NIRA</w:t>
            </w:r>
            <w:proofErr w:type="spellEnd"/>
            <w:r w:rsidR="008307D4">
              <w:rPr>
                <w:rFonts w:cs="Arial"/>
                <w:szCs w:val="22"/>
              </w:rPr>
              <w:t xml:space="preserve"> performance report</w:t>
            </w:r>
            <w:r>
              <w:rPr>
                <w:rFonts w:cs="Arial"/>
                <w:szCs w:val="22"/>
              </w:rPr>
              <w:t xml:space="preserve"> (2016 Census, excluding remoteness), the </w:t>
            </w:r>
            <w:r w:rsidR="00074D31">
              <w:t xml:space="preserve">2011-12 </w:t>
            </w:r>
            <w:proofErr w:type="spellStart"/>
            <w:r w:rsidR="00074D31">
              <w:t>NIRA</w:t>
            </w:r>
            <w:proofErr w:type="spellEnd"/>
            <w:r w:rsidR="00074D31">
              <w:t xml:space="preserve"> performance report (2011 and 2006 Census), and disaggregated by remoteness in the 2012-13 </w:t>
            </w:r>
            <w:proofErr w:type="spellStart"/>
            <w:r w:rsidR="00074D31">
              <w:t>NIRA</w:t>
            </w:r>
            <w:proofErr w:type="spellEnd"/>
            <w:r w:rsidR="00074D31">
              <w:t xml:space="preserve"> performance report.</w:t>
            </w:r>
          </w:p>
          <w:p w14:paraId="13EDC9E3" w14:textId="7A2C0EEF" w:rsidR="003C412A" w:rsidRPr="003C412A" w:rsidRDefault="00AA699C" w:rsidP="00B47DEB">
            <w:pPr>
              <w:pStyle w:val="Box"/>
            </w:pPr>
            <w:r>
              <w:t>D</w:t>
            </w:r>
            <w:r w:rsidR="0093133F">
              <w:t>ata for the supplementary source</w:t>
            </w:r>
            <w:r w:rsidR="00074D31">
              <w:t xml:space="preserve"> (</w:t>
            </w:r>
            <w:r w:rsidR="00B47DEB">
              <w:t xml:space="preserve">sample </w:t>
            </w:r>
            <w:r w:rsidR="00074D31">
              <w:t>surveys)</w:t>
            </w:r>
            <w:r w:rsidR="0093133F">
              <w:t xml:space="preserve"> </w:t>
            </w:r>
            <w:r w:rsidR="0093133F" w:rsidRPr="00680847">
              <w:t>f</w:t>
            </w:r>
            <w:r w:rsidR="00074D31">
              <w:t xml:space="preserve">rom the </w:t>
            </w:r>
            <w:r w:rsidR="0093133F" w:rsidRPr="00680847">
              <w:t>2012</w:t>
            </w:r>
            <w:r w:rsidR="00D62D4D">
              <w:noBreakHyphen/>
            </w:r>
            <w:r w:rsidR="0093133F" w:rsidRPr="00680847">
              <w:t>13</w:t>
            </w:r>
            <w:r w:rsidR="0093133F">
              <w:t xml:space="preserve"> </w:t>
            </w:r>
            <w:proofErr w:type="spellStart"/>
            <w:r w:rsidR="0093133F">
              <w:t>AATSIHS</w:t>
            </w:r>
            <w:proofErr w:type="spellEnd"/>
            <w:r w:rsidR="0093133F">
              <w:t xml:space="preserve"> and 2012 </w:t>
            </w:r>
            <w:r w:rsidR="00D62D4D">
              <w:t>SEW were reported</w:t>
            </w:r>
            <w:r w:rsidR="0093133F">
              <w:t xml:space="preserve"> in the 2013-14 </w:t>
            </w:r>
            <w:proofErr w:type="spellStart"/>
            <w:r w:rsidR="0093133F">
              <w:t>NIRA</w:t>
            </w:r>
            <w:proofErr w:type="spellEnd"/>
            <w:r w:rsidR="0093133F">
              <w:t xml:space="preserve"> performance report.</w:t>
            </w:r>
            <w:r w:rsidR="00074D31">
              <w:t xml:space="preserve"> </w:t>
            </w:r>
            <w:r w:rsidR="0093133F">
              <w:t xml:space="preserve">Historical data for 2008 </w:t>
            </w:r>
            <w:r w:rsidR="00D62D4D">
              <w:t>we</w:t>
            </w:r>
            <w:r w:rsidR="0093133F">
              <w:t xml:space="preserve">re reported in the baseline 2008-09 </w:t>
            </w:r>
            <w:proofErr w:type="spellStart"/>
            <w:r w:rsidR="00F555B6">
              <w:t>NIRA</w:t>
            </w:r>
            <w:proofErr w:type="spellEnd"/>
            <w:r w:rsidR="00F555B6">
              <w:t xml:space="preserve"> performance report</w:t>
            </w:r>
            <w:r w:rsidR="0093133F">
              <w:t xml:space="preserve">, with these data disaggregated by remoteness in the 2012-13 </w:t>
            </w:r>
            <w:proofErr w:type="spellStart"/>
            <w:r w:rsidR="00F555B6">
              <w:t>NIRA</w:t>
            </w:r>
            <w:proofErr w:type="spellEnd"/>
            <w:r w:rsidR="00F555B6">
              <w:t xml:space="preserve"> performance report</w:t>
            </w:r>
            <w:r w:rsidR="0093133F">
              <w:t>.</w:t>
            </w:r>
          </w:p>
        </w:tc>
      </w:tr>
      <w:tr w:rsidR="003C412A" w14:paraId="3DA511F1" w14:textId="77777777" w:rsidTr="00944F80">
        <w:trPr>
          <w:cantSplit/>
        </w:trPr>
        <w:tc>
          <w:tcPr>
            <w:tcW w:w="8789" w:type="dxa"/>
            <w:tcBorders>
              <w:top w:val="nil"/>
              <w:left w:val="nil"/>
              <w:bottom w:val="single" w:sz="6" w:space="0" w:color="78A22F"/>
              <w:right w:val="nil"/>
            </w:tcBorders>
            <w:shd w:val="clear" w:color="auto" w:fill="F2F2F2"/>
          </w:tcPr>
          <w:p w14:paraId="14207E97" w14:textId="77777777" w:rsidR="003C412A" w:rsidRDefault="003C412A">
            <w:pPr>
              <w:pStyle w:val="Box"/>
              <w:spacing w:before="0" w:line="120" w:lineRule="exact"/>
            </w:pPr>
          </w:p>
        </w:tc>
      </w:tr>
      <w:tr w:rsidR="003C412A" w:rsidRPr="000863A5" w14:paraId="3083A6DC" w14:textId="77777777" w:rsidTr="00944F80">
        <w:tc>
          <w:tcPr>
            <w:tcW w:w="8789" w:type="dxa"/>
            <w:tcBorders>
              <w:top w:val="single" w:sz="6" w:space="0" w:color="78A22F"/>
              <w:left w:val="nil"/>
              <w:bottom w:val="nil"/>
              <w:right w:val="nil"/>
            </w:tcBorders>
          </w:tcPr>
          <w:p w14:paraId="00AE0F0A" w14:textId="77777777" w:rsidR="003C412A" w:rsidRPr="00626D32" w:rsidRDefault="003C412A" w:rsidP="004C6DAF">
            <w:pPr>
              <w:pStyle w:val="BoxSpaceBelow"/>
            </w:pPr>
          </w:p>
        </w:tc>
      </w:tr>
      <w:tr w:rsidR="004D5060" w14:paraId="6878D344" w14:textId="77777777" w:rsidTr="00944F80">
        <w:tc>
          <w:tcPr>
            <w:tcW w:w="8789" w:type="dxa"/>
            <w:tcBorders>
              <w:top w:val="single" w:sz="6" w:space="0" w:color="78A22F"/>
              <w:left w:val="nil"/>
              <w:bottom w:val="nil"/>
              <w:right w:val="nil"/>
            </w:tcBorders>
            <w:shd w:val="clear" w:color="auto" w:fill="F2F2F2"/>
          </w:tcPr>
          <w:p w14:paraId="45A5108D" w14:textId="2D787932" w:rsidR="004D5060" w:rsidRDefault="00CA3040" w:rsidP="00291F8D">
            <w:pPr>
              <w:pStyle w:val="BoxTitle"/>
            </w:pPr>
            <w:r>
              <w:rPr>
                <w:b w:val="0"/>
              </w:rPr>
              <w:t xml:space="preserve">Box </w:t>
            </w:r>
            <w:r w:rsidR="00291F8D">
              <w:rPr>
                <w:b w:val="0"/>
              </w:rPr>
              <w:t>38</w:t>
            </w:r>
            <w:r w:rsidR="004D5060" w:rsidRPr="00725A18">
              <w:tab/>
            </w:r>
            <w:r w:rsidR="004D5060">
              <w:t>Comment on data quality</w:t>
            </w:r>
          </w:p>
        </w:tc>
      </w:tr>
      <w:tr w:rsidR="004D5060" w:rsidRPr="003C412A" w14:paraId="1D22249A" w14:textId="77777777" w:rsidTr="00944F80">
        <w:trPr>
          <w:cantSplit/>
        </w:trPr>
        <w:tc>
          <w:tcPr>
            <w:tcW w:w="8789" w:type="dxa"/>
            <w:tcBorders>
              <w:top w:val="nil"/>
              <w:left w:val="nil"/>
              <w:bottom w:val="nil"/>
              <w:right w:val="nil"/>
            </w:tcBorders>
            <w:shd w:val="clear" w:color="auto" w:fill="F2F2F2"/>
          </w:tcPr>
          <w:p w14:paraId="7E4DB85B" w14:textId="77777777" w:rsidR="004D5060" w:rsidRPr="008E3193" w:rsidRDefault="004D5060" w:rsidP="004D5060">
            <w:pPr>
              <w:pStyle w:val="Box"/>
            </w:pPr>
            <w:r w:rsidRPr="008E3193">
              <w:t xml:space="preserve">Key points </w:t>
            </w:r>
            <w:r w:rsidR="001F1E78">
              <w:t>on data quality for this indicator</w:t>
            </w:r>
            <w:r w:rsidRPr="008E3193">
              <w:t xml:space="preserve"> are summarised below.</w:t>
            </w:r>
          </w:p>
          <w:p w14:paraId="7F6380BF" w14:textId="18DDD2BC" w:rsidR="00546B5B" w:rsidRPr="00546B5B" w:rsidRDefault="004D5060" w:rsidP="00546B5B">
            <w:pPr>
              <w:pStyle w:val="BoxListBullet"/>
            </w:pPr>
            <w:r w:rsidRPr="004D5060">
              <w:rPr>
                <w:rStyle w:val="DraftingNote"/>
                <w:b w:val="0"/>
                <w:color w:val="auto"/>
                <w:sz w:val="20"/>
                <w:u w:val="none"/>
              </w:rPr>
              <w:t xml:space="preserve">Data provide relevant information on the proportion of 20–64 year olds with a post school qualification at </w:t>
            </w:r>
            <w:proofErr w:type="spellStart"/>
            <w:r w:rsidRPr="004D5060">
              <w:rPr>
                <w:rStyle w:val="DraftingNote"/>
                <w:b w:val="0"/>
                <w:color w:val="auto"/>
                <w:sz w:val="20"/>
                <w:u w:val="none"/>
              </w:rPr>
              <w:t>AQF</w:t>
            </w:r>
            <w:proofErr w:type="spellEnd"/>
            <w:r w:rsidRPr="004D5060">
              <w:rPr>
                <w:rStyle w:val="DraftingNote"/>
                <w:b w:val="0"/>
                <w:color w:val="auto"/>
                <w:sz w:val="20"/>
                <w:u w:val="none"/>
              </w:rPr>
              <w:t xml:space="preserve"> III level or above</w:t>
            </w:r>
            <w:r w:rsidR="00074D31">
              <w:rPr>
                <w:rStyle w:val="DraftingNote"/>
                <w:b w:val="0"/>
                <w:color w:val="auto"/>
                <w:sz w:val="20"/>
                <w:u w:val="none"/>
              </w:rPr>
              <w:t xml:space="preserve"> </w:t>
            </w:r>
            <w:r w:rsidR="00074D31" w:rsidRPr="004D5060">
              <w:rPr>
                <w:rStyle w:val="DraftingNote"/>
                <w:b w:val="0"/>
                <w:color w:val="auto"/>
                <w:sz w:val="20"/>
                <w:u w:val="none"/>
              </w:rPr>
              <w:t>or working towards</w:t>
            </w:r>
            <w:r w:rsidR="00074D31">
              <w:rPr>
                <w:rStyle w:val="DraftingNote"/>
                <w:b w:val="0"/>
                <w:color w:val="auto"/>
                <w:sz w:val="20"/>
                <w:u w:val="none"/>
              </w:rPr>
              <w:t xml:space="preserve"> a non-school qualification</w:t>
            </w:r>
            <w:r w:rsidRPr="004D5060">
              <w:rPr>
                <w:rStyle w:val="DraftingNote"/>
                <w:b w:val="0"/>
                <w:color w:val="auto"/>
                <w:sz w:val="20"/>
                <w:u w:val="none"/>
              </w:rPr>
              <w:t xml:space="preserve">. </w:t>
            </w:r>
          </w:p>
          <w:p w14:paraId="3DA53623" w14:textId="3F747A56" w:rsidR="004D5060" w:rsidRPr="00CF7A3C" w:rsidRDefault="00074D31" w:rsidP="004D5060">
            <w:pPr>
              <w:pStyle w:val="BoxListBullet"/>
            </w:pPr>
            <w:r w:rsidRPr="00B55425">
              <w:t>The most recent available data are from the main data source (Census), with the data in respect of 2016</w:t>
            </w:r>
            <w:r w:rsidR="004D5060" w:rsidRPr="00CF7A3C">
              <w:t xml:space="preserve">. </w:t>
            </w:r>
          </w:p>
          <w:p w14:paraId="518B8EB4" w14:textId="3A4C2BE1" w:rsidR="00B47DEB" w:rsidRDefault="00B47DEB" w:rsidP="00A7107B">
            <w:pPr>
              <w:pStyle w:val="BoxListBullet"/>
            </w:pPr>
            <w:r>
              <w:t>For Indigenous status, t</w:t>
            </w:r>
            <w:r w:rsidRPr="00CF7A3C">
              <w:t>he non-</w:t>
            </w:r>
            <w:r w:rsidRPr="002710FE">
              <w:t xml:space="preserve">response rate for this variable in the 2016 Census </w:t>
            </w:r>
            <w:r w:rsidR="00611E12" w:rsidRPr="002710FE">
              <w:t>was</w:t>
            </w:r>
            <w:r w:rsidR="00611E12">
              <w:t> </w:t>
            </w:r>
            <w:r w:rsidRPr="002710FE">
              <w:t>6.</w:t>
            </w:r>
            <w:r w:rsidR="00611E12" w:rsidRPr="002710FE">
              <w:t>0</w:t>
            </w:r>
            <w:r w:rsidR="00611E12">
              <w:t> </w:t>
            </w:r>
            <w:r w:rsidR="00611E12" w:rsidRPr="002710FE">
              <w:t>per</w:t>
            </w:r>
            <w:r w:rsidR="00611E12">
              <w:t> </w:t>
            </w:r>
            <w:r w:rsidRPr="002710FE">
              <w:t>cent (up from 4.9 per cent i</w:t>
            </w:r>
            <w:r>
              <w:t>n 2011</w:t>
            </w:r>
            <w:r w:rsidRPr="00CF7A3C">
              <w:t>).</w:t>
            </w:r>
          </w:p>
          <w:p w14:paraId="3F00FEFF" w14:textId="1E510ACD" w:rsidR="00A70D91" w:rsidRPr="00CF7A3C" w:rsidRDefault="00A70D91" w:rsidP="00A7107B">
            <w:pPr>
              <w:pStyle w:val="BoxListBullet"/>
            </w:pPr>
            <w:r w:rsidRPr="00CF7A3C">
              <w:t>The accuracy of the data provided is affected by the level of non-response for required data items.</w:t>
            </w:r>
            <w:r w:rsidR="00B47DEB">
              <w:t xml:space="preserve"> Non-response for items relating to current study was 6.8 per cent (up from 6.2 per cent in 2011) and for type of educational institution attending (to remove those studying at school) was 2.7 per cent (down from 4.4 per cent in 2011).</w:t>
            </w:r>
          </w:p>
          <w:p w14:paraId="061AADA4" w14:textId="77777777" w:rsidR="004D5060" w:rsidRPr="004D5060" w:rsidRDefault="004D5060" w:rsidP="004D5060">
            <w:pPr>
              <w:pStyle w:val="BoxListBullet"/>
              <w:rPr>
                <w:rStyle w:val="DraftingNote"/>
                <w:b w:val="0"/>
                <w:color w:val="auto"/>
                <w:sz w:val="20"/>
                <w:u w:val="none"/>
              </w:rPr>
            </w:pPr>
            <w:r w:rsidRPr="004D5060">
              <w:rPr>
                <w:rStyle w:val="DraftingNote"/>
                <w:b w:val="0"/>
                <w:color w:val="auto"/>
                <w:sz w:val="20"/>
                <w:u w:val="none"/>
              </w:rPr>
              <w:t>Detailed explanatory notes are publicly available to assist in the interpretation of results.</w:t>
            </w:r>
          </w:p>
          <w:p w14:paraId="488426A6" w14:textId="77777777" w:rsidR="004D5060" w:rsidRPr="004D5060" w:rsidRDefault="004D5060" w:rsidP="004D5060">
            <w:pPr>
              <w:pStyle w:val="BoxListBullet"/>
              <w:rPr>
                <w:rStyle w:val="DraftingNote"/>
                <w:b w:val="0"/>
                <w:color w:val="auto"/>
                <w:sz w:val="20"/>
                <w:u w:val="none"/>
              </w:rPr>
            </w:pPr>
            <w:r w:rsidRPr="004D5060">
              <w:rPr>
                <w:rStyle w:val="DraftingNote"/>
                <w:b w:val="0"/>
                <w:color w:val="auto"/>
                <w:sz w:val="20"/>
                <w:u w:val="none"/>
              </w:rPr>
              <w:t>Additional data from the data source are available on-line, and on request.</w:t>
            </w:r>
          </w:p>
          <w:p w14:paraId="10CB7F61" w14:textId="77777777" w:rsidR="004D5060" w:rsidRPr="008E3193" w:rsidRDefault="004D5060" w:rsidP="004D5060">
            <w:pPr>
              <w:pStyle w:val="Box"/>
            </w:pPr>
            <w:r w:rsidRPr="008E3193">
              <w:t>The Steering Committee also notes the following issues:</w:t>
            </w:r>
          </w:p>
          <w:p w14:paraId="06096012" w14:textId="54DF90B2" w:rsidR="00523B4E" w:rsidRDefault="00523B4E" w:rsidP="00523B4E">
            <w:pPr>
              <w:pStyle w:val="BoxListBullet"/>
              <w:keepLines/>
            </w:pPr>
            <w:r>
              <w:t xml:space="preserve">The 2016 Census includes Norfolk Island for the first time, which is counted under ‘other territories’ and the Australian total. </w:t>
            </w:r>
            <w:r w:rsidR="00B47DEB">
              <w:t>This addition has had no effect on the national proportions, and therefore does not impact time series comparisons.</w:t>
            </w:r>
            <w:r w:rsidR="006E47D4" w:rsidRPr="006E47D4">
              <w:t xml:space="preserve"> Norfolk Island has a remoteness category of Very remote. Analysis has confirmed that for </w:t>
            </w:r>
            <w:r w:rsidR="006E47D4">
              <w:t>remoteness data</w:t>
            </w:r>
            <w:r w:rsidR="006E47D4" w:rsidRPr="006E47D4">
              <w:t>, there is no material impact caused by the inclusion of Norfolk Island in relation to the time series (equal to or less than 0.1 per cent for very remote data at the national level).</w:t>
            </w:r>
          </w:p>
          <w:p w14:paraId="2F925DB8" w14:textId="12ECE345" w:rsidR="004D5060" w:rsidRPr="003C412A" w:rsidRDefault="00A70D91">
            <w:pPr>
              <w:pStyle w:val="BoxListBullet"/>
            </w:pPr>
            <w:r>
              <w:t>Census</w:t>
            </w:r>
            <w:r w:rsidRPr="003C412A">
              <w:t xml:space="preserve"> data are generally not directly comparable to </w:t>
            </w:r>
            <w:r>
              <w:t>survey</w:t>
            </w:r>
            <w:r w:rsidRPr="003C412A">
              <w:t xml:space="preserve"> data when measuring change over time.</w:t>
            </w:r>
          </w:p>
        </w:tc>
      </w:tr>
      <w:tr w:rsidR="004D5060" w14:paraId="392D9735" w14:textId="77777777" w:rsidTr="00944F80">
        <w:trPr>
          <w:cantSplit/>
        </w:trPr>
        <w:tc>
          <w:tcPr>
            <w:tcW w:w="8789" w:type="dxa"/>
            <w:tcBorders>
              <w:top w:val="nil"/>
              <w:left w:val="nil"/>
              <w:bottom w:val="single" w:sz="6" w:space="0" w:color="78A22F"/>
              <w:right w:val="nil"/>
            </w:tcBorders>
            <w:shd w:val="clear" w:color="auto" w:fill="F2F2F2"/>
          </w:tcPr>
          <w:p w14:paraId="41E2E9BC" w14:textId="77777777" w:rsidR="004D5060" w:rsidRDefault="004D5060" w:rsidP="006B271E">
            <w:pPr>
              <w:pStyle w:val="Box"/>
              <w:spacing w:before="0" w:line="120" w:lineRule="exact"/>
            </w:pPr>
          </w:p>
        </w:tc>
      </w:tr>
      <w:tr w:rsidR="004D5060" w:rsidRPr="000863A5" w14:paraId="3AFBBB70" w14:textId="77777777" w:rsidTr="00944F80">
        <w:tc>
          <w:tcPr>
            <w:tcW w:w="8789" w:type="dxa"/>
            <w:tcBorders>
              <w:top w:val="single" w:sz="6" w:space="0" w:color="78A22F"/>
              <w:left w:val="nil"/>
              <w:bottom w:val="nil"/>
              <w:right w:val="nil"/>
            </w:tcBorders>
          </w:tcPr>
          <w:p w14:paraId="250E91CA" w14:textId="77777777" w:rsidR="004D5060" w:rsidRPr="00626D32" w:rsidRDefault="004D5060" w:rsidP="006B271E">
            <w:pPr>
              <w:pStyle w:val="BoxSpaceBelow"/>
            </w:pPr>
          </w:p>
        </w:tc>
      </w:tr>
    </w:tbl>
    <w:p w14:paraId="253B48AB" w14:textId="77777777" w:rsidR="00D46D9F" w:rsidRDefault="00D46D9F" w:rsidP="003C412A">
      <w:pPr>
        <w:pStyle w:val="Heading2"/>
      </w:pPr>
    </w:p>
    <w:p w14:paraId="615FFF61" w14:textId="77777777" w:rsidR="00D46D9F" w:rsidRDefault="00D46D9F">
      <w:pPr>
        <w:rPr>
          <w:rFonts w:ascii="Arial" w:hAnsi="Arial"/>
          <w:b/>
          <w:sz w:val="32"/>
          <w:szCs w:val="20"/>
        </w:rPr>
      </w:pPr>
      <w:r>
        <w:br w:type="page"/>
      </w:r>
    </w:p>
    <w:p w14:paraId="0938531F" w14:textId="6E5F8436" w:rsidR="003C412A" w:rsidRDefault="003C412A" w:rsidP="003C412A">
      <w:pPr>
        <w:pStyle w:val="Heading2"/>
      </w:pPr>
      <w:r w:rsidRPr="00465C9C">
        <w:lastRenderedPageBreak/>
        <w:t>References</w:t>
      </w:r>
      <w:r w:rsidR="004D5060">
        <w:t xml:space="preserve"> </w:t>
      </w:r>
    </w:p>
    <w:p w14:paraId="50D9934B" w14:textId="77777777" w:rsidR="00591511" w:rsidRPr="00D459D5" w:rsidRDefault="00591511" w:rsidP="00591511">
      <w:pPr>
        <w:pStyle w:val="Reference"/>
      </w:pPr>
      <w:r w:rsidRPr="00D459D5">
        <w:t xml:space="preserve">COAG (Council of Australian Governments) 2007, </w:t>
      </w:r>
      <w:r w:rsidRPr="00D459D5">
        <w:rPr>
          <w:i/>
        </w:rPr>
        <w:t>COAG Communiqué 20 December 2007,</w:t>
      </w:r>
      <w:r w:rsidRPr="00D459D5">
        <w:t xml:space="preserve"> </w:t>
      </w:r>
      <w:r w:rsidRPr="00C03957">
        <w:t>http://</w:t>
      </w:r>
      <w:proofErr w:type="spellStart"/>
      <w:r w:rsidRPr="00C03957">
        <w:t>www.coag.gov.au</w:t>
      </w:r>
      <w:proofErr w:type="spellEnd"/>
      <w:r w:rsidRPr="00C03957">
        <w:t>/node/293</w:t>
      </w:r>
      <w:r w:rsidRPr="00D459D5">
        <w:t xml:space="preserve"> (accessed 21 November 2014).</w:t>
      </w:r>
    </w:p>
    <w:p w14:paraId="45F48594" w14:textId="77777777" w:rsidR="00591511" w:rsidRPr="00D459D5" w:rsidRDefault="00591511" w:rsidP="00591511">
      <w:pPr>
        <w:pStyle w:val="Reference"/>
      </w:pPr>
      <w:r w:rsidRPr="00D459D5">
        <w:t xml:space="preserve">—— 2008, </w:t>
      </w:r>
      <w:r w:rsidRPr="00D459D5">
        <w:rPr>
          <w:i/>
        </w:rPr>
        <w:t>COAG Communiqué 26 March 2008,</w:t>
      </w:r>
      <w:r w:rsidRPr="00D459D5">
        <w:t xml:space="preserve"> </w:t>
      </w:r>
      <w:r w:rsidR="003B7E15" w:rsidRPr="00C03957">
        <w:t>http://</w:t>
      </w:r>
      <w:proofErr w:type="spellStart"/>
      <w:r w:rsidR="003B7E15" w:rsidRPr="00C03957">
        <w:t>www.coag.gov.au</w:t>
      </w:r>
      <w:proofErr w:type="spellEnd"/>
      <w:r w:rsidR="003B7E15" w:rsidRPr="00C03957">
        <w:t>/node/292</w:t>
      </w:r>
      <w:r w:rsidR="00A708FF">
        <w:t xml:space="preserve"> (accessed 4</w:t>
      </w:r>
      <w:r w:rsidRPr="00D459D5">
        <w:t xml:space="preserve"> November 201</w:t>
      </w:r>
      <w:r w:rsidR="00A708FF">
        <w:t>6</w:t>
      </w:r>
      <w:r w:rsidRPr="00D459D5">
        <w:t>).</w:t>
      </w:r>
    </w:p>
    <w:p w14:paraId="50B556BB" w14:textId="77777777" w:rsidR="00591511" w:rsidRPr="00D459D5" w:rsidRDefault="00591511" w:rsidP="00591511">
      <w:pPr>
        <w:pStyle w:val="Reference"/>
      </w:pPr>
      <w:r w:rsidRPr="00D459D5">
        <w:t xml:space="preserve">—— 2012 </w:t>
      </w:r>
      <w:r w:rsidRPr="00D459D5">
        <w:rPr>
          <w:i/>
        </w:rPr>
        <w:t>National Indigenous Reform Agreement (effective 2 November 2012)</w:t>
      </w:r>
      <w:r w:rsidRPr="00D459D5">
        <w:t xml:space="preserve">, </w:t>
      </w:r>
      <w:r w:rsidRPr="00C03957">
        <w:t>http://www.federalfinancialrelations.gov.au/content/npa/health_indigenous/indigenous-reform/national-agreement_sept_12.pdf</w:t>
      </w:r>
      <w:r w:rsidRPr="00D459D5">
        <w:t xml:space="preserve"> (accessed 21 November 2014).</w:t>
      </w:r>
    </w:p>
    <w:p w14:paraId="57CD2736" w14:textId="77777777" w:rsidR="001A52CA" w:rsidRDefault="001A52CA" w:rsidP="001A52CA">
      <w:pPr>
        <w:pStyle w:val="Reference"/>
      </w:pPr>
      <w:r w:rsidRPr="00D459D5">
        <w:t xml:space="preserve">—— 2014, </w:t>
      </w:r>
      <w:r w:rsidRPr="00D459D5">
        <w:rPr>
          <w:i/>
        </w:rPr>
        <w:t>COAG Communiqué 2 May 2014,</w:t>
      </w:r>
      <w:r w:rsidRPr="00D459D5">
        <w:t xml:space="preserve"> https://</w:t>
      </w:r>
      <w:proofErr w:type="spellStart"/>
      <w:r w:rsidRPr="00D459D5">
        <w:t>www.coag.gov.au</w:t>
      </w:r>
      <w:proofErr w:type="spellEnd"/>
      <w:r w:rsidRPr="00D459D5">
        <w:t xml:space="preserve">/node/519 (accessed 4 </w:t>
      </w:r>
      <w:r w:rsidR="00A708FF">
        <w:t>November 2016</w:t>
      </w:r>
      <w:r w:rsidRPr="00D459D5">
        <w:t>).</w:t>
      </w:r>
    </w:p>
    <w:p w14:paraId="7466364E" w14:textId="77777777" w:rsidR="00A708FF" w:rsidRDefault="00A708FF" w:rsidP="00A708FF">
      <w:pPr>
        <w:pStyle w:val="Reference"/>
      </w:pPr>
      <w:r w:rsidRPr="00D459D5">
        <w:t>—— 201</w:t>
      </w:r>
      <w:r>
        <w:t>5</w:t>
      </w:r>
      <w:r w:rsidRPr="00D459D5">
        <w:t xml:space="preserve">, </w:t>
      </w:r>
      <w:r w:rsidRPr="00D459D5">
        <w:rPr>
          <w:i/>
        </w:rPr>
        <w:t xml:space="preserve">COAG Communiqué </w:t>
      </w:r>
      <w:r>
        <w:rPr>
          <w:i/>
        </w:rPr>
        <w:t>December</w:t>
      </w:r>
      <w:r w:rsidRPr="00D459D5">
        <w:rPr>
          <w:i/>
        </w:rPr>
        <w:t xml:space="preserve"> 201</w:t>
      </w:r>
      <w:r>
        <w:rPr>
          <w:i/>
        </w:rPr>
        <w:t>5</w:t>
      </w:r>
      <w:r w:rsidRPr="00D459D5">
        <w:rPr>
          <w:i/>
        </w:rPr>
        <w:t>,</w:t>
      </w:r>
      <w:r w:rsidRPr="00D459D5">
        <w:t xml:space="preserve"> </w:t>
      </w:r>
      <w:r w:rsidRPr="00A708FF">
        <w:t>https://</w:t>
      </w:r>
      <w:proofErr w:type="spellStart"/>
      <w:r w:rsidRPr="00A708FF">
        <w:t>www.coag.gov.au</w:t>
      </w:r>
      <w:proofErr w:type="spellEnd"/>
      <w:r w:rsidRPr="00A708FF">
        <w:t xml:space="preserve">/node/529 </w:t>
      </w:r>
      <w:r w:rsidRPr="00D459D5">
        <w:t xml:space="preserve">(accessed 4 </w:t>
      </w:r>
      <w:r>
        <w:t xml:space="preserve">November </w:t>
      </w:r>
      <w:r w:rsidRPr="00D459D5">
        <w:t>201</w:t>
      </w:r>
      <w:r>
        <w:t>6</w:t>
      </w:r>
      <w:r w:rsidRPr="00D459D5">
        <w:t>).</w:t>
      </w:r>
    </w:p>
    <w:p w14:paraId="103E3990" w14:textId="26DDD112" w:rsidR="00591511" w:rsidRDefault="00591511" w:rsidP="00591511">
      <w:pPr>
        <w:pStyle w:val="Reference"/>
      </w:pPr>
      <w:proofErr w:type="spellStart"/>
      <w:r w:rsidRPr="00D459D5">
        <w:t>SCRGSP</w:t>
      </w:r>
      <w:proofErr w:type="spellEnd"/>
      <w:r w:rsidRPr="00D459D5">
        <w:t xml:space="preserve"> (Steering Committee for the Review of Government Service Provision) </w:t>
      </w:r>
      <w:r w:rsidR="00872313" w:rsidRPr="00D459D5">
        <w:t>201</w:t>
      </w:r>
      <w:r w:rsidR="00872313">
        <w:t>6</w:t>
      </w:r>
      <w:r w:rsidR="00872313" w:rsidRPr="00D459D5">
        <w:t xml:space="preserve">, </w:t>
      </w:r>
      <w:r w:rsidR="00872313">
        <w:rPr>
          <w:i/>
        </w:rPr>
        <w:t xml:space="preserve">Overcoming Indigenous Disadvantage: Key Indicators 2016, </w:t>
      </w:r>
      <w:r w:rsidR="00872313">
        <w:t xml:space="preserve">Productivity Commission, Canberra </w:t>
      </w:r>
      <w:r w:rsidR="00872313" w:rsidRPr="00FE4DBC">
        <w:t>http://</w:t>
      </w:r>
      <w:proofErr w:type="spellStart"/>
      <w:r w:rsidR="00872313" w:rsidRPr="00FE4DBC">
        <w:t>www.pc.gov.au</w:t>
      </w:r>
      <w:proofErr w:type="spellEnd"/>
      <w:r w:rsidR="00872313" w:rsidRPr="00FE4DBC">
        <w:t>/</w:t>
      </w:r>
      <w:proofErr w:type="spellStart"/>
      <w:r w:rsidR="00872313" w:rsidRPr="00FE4DBC">
        <w:t>oid2016</w:t>
      </w:r>
      <w:proofErr w:type="spellEnd"/>
      <w:r w:rsidR="00872313">
        <w:t xml:space="preserve"> </w:t>
      </w:r>
    </w:p>
    <w:p w14:paraId="3E32FA17" w14:textId="67E5427C" w:rsidR="00FE4DBC" w:rsidRPr="003F1F99" w:rsidRDefault="00FE4DBC" w:rsidP="00591511">
      <w:pPr>
        <w:pStyle w:val="Reference"/>
      </w:pPr>
      <w:r w:rsidRPr="00D459D5">
        <w:t xml:space="preserve">—— </w:t>
      </w:r>
      <w:r w:rsidR="00EB38D0">
        <w:t>2017</w:t>
      </w:r>
      <w:r w:rsidR="00872313">
        <w:t xml:space="preserve">, </w:t>
      </w:r>
      <w:r w:rsidR="00872313" w:rsidRPr="00376C35">
        <w:rPr>
          <w:i/>
        </w:rPr>
        <w:t>201</w:t>
      </w:r>
      <w:r w:rsidR="00872313">
        <w:rPr>
          <w:i/>
        </w:rPr>
        <w:t>7</w:t>
      </w:r>
      <w:r w:rsidR="00872313" w:rsidRPr="00376C35">
        <w:rPr>
          <w:i/>
        </w:rPr>
        <w:t xml:space="preserve"> Indigenous Expenditure Report</w:t>
      </w:r>
      <w:r w:rsidR="00872313">
        <w:t>, Productivity Commission, Canberra</w:t>
      </w:r>
    </w:p>
    <w:p w14:paraId="44B127B6" w14:textId="77777777" w:rsidR="003C412A" w:rsidRPr="00D87AA9" w:rsidRDefault="003C412A" w:rsidP="003C412A">
      <w:pPr>
        <w:pStyle w:val="Heading2"/>
      </w:pPr>
      <w:r w:rsidRPr="00D87AA9">
        <w:br w:type="page"/>
      </w:r>
      <w:r w:rsidRPr="00D87AA9">
        <w:lastRenderedPageBreak/>
        <w:t>Acronyms and abbreviations</w:t>
      </w:r>
    </w:p>
    <w:p w14:paraId="5B4D4569" w14:textId="77777777" w:rsidR="003C412A" w:rsidRDefault="003C412A" w:rsidP="003C412A"/>
    <w:p w14:paraId="3E6CB43F" w14:textId="77777777" w:rsidR="003C412A" w:rsidRPr="00D87AA9" w:rsidRDefault="003C412A" w:rsidP="003C412A">
      <w:pPr>
        <w:pStyle w:val="Abbreviation"/>
      </w:pPr>
      <w:proofErr w:type="spellStart"/>
      <w:r>
        <w:t>AATSIHS</w:t>
      </w:r>
      <w:proofErr w:type="spellEnd"/>
      <w:r>
        <w:tab/>
        <w:t>Australian Aboriginal and Torres Strait Islander Health Survey</w:t>
      </w:r>
    </w:p>
    <w:p w14:paraId="6B4BAC53" w14:textId="77777777" w:rsidR="003C412A" w:rsidRDefault="003C412A" w:rsidP="003C412A">
      <w:pPr>
        <w:pStyle w:val="Abbreviation"/>
      </w:pPr>
      <w:r w:rsidRPr="00D87AA9">
        <w:t>ABS</w:t>
      </w:r>
      <w:r w:rsidRPr="00D87AA9">
        <w:tab/>
        <w:t>Australian Bureau of Statistics</w:t>
      </w:r>
    </w:p>
    <w:p w14:paraId="511EEB61" w14:textId="5D2F1602" w:rsidR="003C412A" w:rsidRDefault="003C412A" w:rsidP="003C412A">
      <w:pPr>
        <w:pStyle w:val="Abbreviation"/>
      </w:pPr>
      <w:r w:rsidRPr="00D87AA9">
        <w:t>ACARA</w:t>
      </w:r>
      <w:r w:rsidRPr="00D87AA9">
        <w:tab/>
        <w:t xml:space="preserve">Australian Curriculum </w:t>
      </w:r>
      <w:r w:rsidR="00183022">
        <w:t xml:space="preserve">Assessment </w:t>
      </w:r>
      <w:r w:rsidRPr="00D87AA9">
        <w:t>and Reporting Authority</w:t>
      </w:r>
    </w:p>
    <w:p w14:paraId="2A38D290" w14:textId="77777777" w:rsidR="003C412A" w:rsidRDefault="003C412A" w:rsidP="003C412A">
      <w:pPr>
        <w:pStyle w:val="Abbreviation"/>
      </w:pPr>
      <w:r w:rsidRPr="00D87AA9">
        <w:t>ACT</w:t>
      </w:r>
      <w:r w:rsidRPr="00D87AA9">
        <w:tab/>
        <w:t>Australian Capital Territory</w:t>
      </w:r>
    </w:p>
    <w:p w14:paraId="60F2AE7C" w14:textId="77777777" w:rsidR="003C412A" w:rsidRPr="00D87AA9" w:rsidRDefault="003C412A" w:rsidP="003C412A">
      <w:pPr>
        <w:pStyle w:val="Abbreviation"/>
      </w:pPr>
      <w:r>
        <w:t>AHS</w:t>
      </w:r>
      <w:r>
        <w:tab/>
        <w:t>Australian Health Survey</w:t>
      </w:r>
    </w:p>
    <w:p w14:paraId="591CB286" w14:textId="77777777" w:rsidR="003C412A" w:rsidRDefault="003C412A" w:rsidP="003C412A">
      <w:pPr>
        <w:pStyle w:val="Abbreviation"/>
      </w:pPr>
      <w:proofErr w:type="spellStart"/>
      <w:r w:rsidRPr="00D87AA9">
        <w:t>AIHW</w:t>
      </w:r>
      <w:proofErr w:type="spellEnd"/>
      <w:r w:rsidRPr="00D87AA9">
        <w:tab/>
        <w:t>Australian Institute of Health and Welfare</w:t>
      </w:r>
    </w:p>
    <w:p w14:paraId="3CF9929A" w14:textId="77777777" w:rsidR="003C412A" w:rsidRDefault="003C412A" w:rsidP="003C412A">
      <w:pPr>
        <w:pStyle w:val="Abbreviation"/>
      </w:pPr>
      <w:proofErr w:type="spellStart"/>
      <w:r>
        <w:t>ASGC</w:t>
      </w:r>
      <w:proofErr w:type="spellEnd"/>
      <w:r>
        <w:tab/>
        <w:t>Australian Standard Geographical Classification</w:t>
      </w:r>
    </w:p>
    <w:p w14:paraId="4D79E234" w14:textId="77777777" w:rsidR="003C412A" w:rsidRPr="00D87AA9" w:rsidRDefault="003C412A" w:rsidP="003C412A">
      <w:pPr>
        <w:pStyle w:val="Abbreviation"/>
      </w:pPr>
      <w:proofErr w:type="spellStart"/>
      <w:r>
        <w:t>ASGS</w:t>
      </w:r>
      <w:proofErr w:type="spellEnd"/>
      <w:r>
        <w:tab/>
        <w:t>Australian Statistical Geography Standard</w:t>
      </w:r>
    </w:p>
    <w:p w14:paraId="57E7D0F0" w14:textId="77777777" w:rsidR="003C412A" w:rsidRPr="00D87AA9" w:rsidRDefault="003C412A" w:rsidP="003C412A">
      <w:pPr>
        <w:pStyle w:val="Abbreviation"/>
      </w:pPr>
      <w:r w:rsidRPr="00D87AA9">
        <w:t xml:space="preserve">BMI </w:t>
      </w:r>
      <w:r w:rsidRPr="00D87AA9">
        <w:tab/>
        <w:t xml:space="preserve">body mass index </w:t>
      </w:r>
    </w:p>
    <w:p w14:paraId="73475E2D" w14:textId="77777777" w:rsidR="003C412A" w:rsidRPr="00D87AA9" w:rsidRDefault="003C412A" w:rsidP="003C412A">
      <w:pPr>
        <w:pStyle w:val="Abbreviation"/>
      </w:pPr>
      <w:r w:rsidRPr="00D87AA9">
        <w:t>Census</w:t>
      </w:r>
      <w:r w:rsidRPr="00D87AA9">
        <w:tab/>
      </w:r>
      <w:proofErr w:type="spellStart"/>
      <w:r w:rsidRPr="00D87AA9">
        <w:t>Census</w:t>
      </w:r>
      <w:proofErr w:type="spellEnd"/>
      <w:r w:rsidRPr="00D87AA9">
        <w:t xml:space="preserve"> of Population and Housing</w:t>
      </w:r>
    </w:p>
    <w:p w14:paraId="13F4E022" w14:textId="77777777" w:rsidR="003C412A" w:rsidRPr="00D87AA9" w:rsidRDefault="003C412A" w:rsidP="003C412A">
      <w:pPr>
        <w:pStyle w:val="Abbreviation"/>
      </w:pPr>
      <w:r w:rsidRPr="00D87AA9">
        <w:t>COAG</w:t>
      </w:r>
      <w:r w:rsidRPr="00D87AA9">
        <w:tab/>
        <w:t xml:space="preserve">Council of Australian Governments </w:t>
      </w:r>
    </w:p>
    <w:p w14:paraId="29D0B109" w14:textId="77777777" w:rsidR="003C412A" w:rsidRPr="00D87AA9" w:rsidRDefault="003C412A" w:rsidP="003C412A">
      <w:pPr>
        <w:pStyle w:val="Abbreviation"/>
      </w:pPr>
      <w:proofErr w:type="spellStart"/>
      <w:r w:rsidRPr="00D87AA9">
        <w:t>DQS</w:t>
      </w:r>
      <w:proofErr w:type="spellEnd"/>
      <w:r w:rsidRPr="00D87AA9">
        <w:tab/>
        <w:t>Data quality statement</w:t>
      </w:r>
    </w:p>
    <w:p w14:paraId="7C45FE09" w14:textId="77777777" w:rsidR="003C412A" w:rsidRPr="00D87AA9" w:rsidRDefault="003C412A" w:rsidP="003C412A">
      <w:pPr>
        <w:pStyle w:val="Abbreviation"/>
      </w:pPr>
      <w:r w:rsidRPr="00D87AA9">
        <w:t>ERP</w:t>
      </w:r>
      <w:r w:rsidRPr="00D87AA9">
        <w:tab/>
        <w:t>Estimated Resident Population</w:t>
      </w:r>
    </w:p>
    <w:p w14:paraId="53E8A0FA" w14:textId="77777777" w:rsidR="003C412A" w:rsidRPr="00D87AA9" w:rsidRDefault="003C412A" w:rsidP="003C412A">
      <w:pPr>
        <w:pStyle w:val="Abbreviation"/>
      </w:pPr>
      <w:r w:rsidRPr="00D87AA9">
        <w:t xml:space="preserve">ICD-10 </w:t>
      </w:r>
      <w:r w:rsidRPr="00D87AA9">
        <w:tab/>
        <w:t>International Classification of Diseases</w:t>
      </w:r>
      <w:r>
        <w:t xml:space="preserve"> and Related Health Conditions</w:t>
      </w:r>
      <w:r w:rsidRPr="00D87AA9">
        <w:t>, 10th Edition</w:t>
      </w:r>
    </w:p>
    <w:p w14:paraId="1E747562" w14:textId="77777777" w:rsidR="003C412A" w:rsidRDefault="003C412A" w:rsidP="003C412A">
      <w:pPr>
        <w:pStyle w:val="Abbreviation"/>
      </w:pPr>
      <w:r w:rsidRPr="00D87AA9">
        <w:t>ICD-10-AM</w:t>
      </w:r>
      <w:r w:rsidRPr="00D87AA9">
        <w:tab/>
        <w:t>International Classification of Diseases</w:t>
      </w:r>
      <w:r>
        <w:t xml:space="preserve"> and Related Health Conditions,</w:t>
      </w:r>
      <w:r w:rsidRPr="00D87AA9">
        <w:t xml:space="preserve"> 10th Edition, Australian Modification</w:t>
      </w:r>
    </w:p>
    <w:p w14:paraId="5EECD4B7" w14:textId="77777777" w:rsidR="003C412A" w:rsidRPr="00D87AA9" w:rsidRDefault="003C412A" w:rsidP="003C412A">
      <w:pPr>
        <w:pStyle w:val="Abbreviation"/>
      </w:pPr>
      <w:r w:rsidRPr="00D87AA9">
        <w:t>NAPLAN</w:t>
      </w:r>
      <w:r w:rsidRPr="00D87AA9">
        <w:tab/>
        <w:t>National Assessment Program — Literacy and Numeracy</w:t>
      </w:r>
    </w:p>
    <w:p w14:paraId="3EA96239" w14:textId="77777777" w:rsidR="003C412A" w:rsidRPr="00D87AA9" w:rsidRDefault="003C412A" w:rsidP="003C412A">
      <w:pPr>
        <w:pStyle w:val="Abbreviation"/>
      </w:pPr>
      <w:proofErr w:type="spellStart"/>
      <w:r w:rsidRPr="00D87AA9">
        <w:t>NATSIHS</w:t>
      </w:r>
      <w:proofErr w:type="spellEnd"/>
      <w:r w:rsidRPr="00D87AA9">
        <w:tab/>
        <w:t>National Aboriginal and Torres Strait Islander Health Survey</w:t>
      </w:r>
    </w:p>
    <w:p w14:paraId="0329F436" w14:textId="77777777" w:rsidR="006065DC" w:rsidRDefault="006065DC" w:rsidP="003C412A">
      <w:pPr>
        <w:pStyle w:val="Abbreviation"/>
      </w:pPr>
      <w:proofErr w:type="spellStart"/>
      <w:r>
        <w:t>NATSINPAS</w:t>
      </w:r>
      <w:proofErr w:type="spellEnd"/>
      <w:r>
        <w:tab/>
      </w:r>
      <w:r w:rsidR="00CC100E">
        <w:t>National Aboriginal and Torres Strait Islander Nutrition and Physical Activity Survey</w:t>
      </w:r>
    </w:p>
    <w:p w14:paraId="7B8A6460" w14:textId="77777777" w:rsidR="003C412A" w:rsidRPr="00D87AA9" w:rsidRDefault="003C412A" w:rsidP="003C412A">
      <w:pPr>
        <w:pStyle w:val="Abbreviation"/>
      </w:pPr>
      <w:proofErr w:type="spellStart"/>
      <w:r w:rsidRPr="00D87AA9">
        <w:t>NATSISS</w:t>
      </w:r>
      <w:proofErr w:type="spellEnd"/>
      <w:r w:rsidRPr="00D87AA9">
        <w:t xml:space="preserve"> </w:t>
      </w:r>
      <w:r w:rsidRPr="00D87AA9">
        <w:tab/>
        <w:t>National Aboriginal and Torres Strait Islander Social Survey</w:t>
      </w:r>
    </w:p>
    <w:p w14:paraId="4CFE22AD" w14:textId="3BF9E964" w:rsidR="00245778" w:rsidRDefault="00245778" w:rsidP="003C412A">
      <w:pPr>
        <w:pStyle w:val="Abbreviation"/>
      </w:pPr>
      <w:proofErr w:type="spellStart"/>
      <w:r>
        <w:t>NECECC</w:t>
      </w:r>
      <w:proofErr w:type="spellEnd"/>
      <w:r>
        <w:tab/>
        <w:t>National early Childhood Education and Care Collection</w:t>
      </w:r>
    </w:p>
    <w:p w14:paraId="0739AFE4" w14:textId="77777777" w:rsidR="003C412A" w:rsidRPr="00D87AA9" w:rsidRDefault="003C412A" w:rsidP="003C412A">
      <w:pPr>
        <w:pStyle w:val="Abbreviation"/>
      </w:pPr>
      <w:r w:rsidRPr="00D87AA9">
        <w:t xml:space="preserve">NHS </w:t>
      </w:r>
      <w:r w:rsidRPr="00D87AA9">
        <w:tab/>
        <w:t xml:space="preserve">National Health Survey </w:t>
      </w:r>
    </w:p>
    <w:p w14:paraId="4B1D6F5B" w14:textId="77777777" w:rsidR="003C412A" w:rsidRPr="00D87AA9" w:rsidRDefault="003C412A" w:rsidP="003C412A">
      <w:pPr>
        <w:pStyle w:val="Abbreviation"/>
      </w:pPr>
      <w:proofErr w:type="spellStart"/>
      <w:r w:rsidRPr="00D87AA9">
        <w:t>NIRA</w:t>
      </w:r>
      <w:proofErr w:type="spellEnd"/>
      <w:r w:rsidRPr="00D87AA9">
        <w:tab/>
        <w:t>National Indigenous Reform Agreement</w:t>
      </w:r>
    </w:p>
    <w:p w14:paraId="4345D25F" w14:textId="77777777" w:rsidR="003C412A" w:rsidRPr="00D87AA9" w:rsidRDefault="003C412A" w:rsidP="003C412A">
      <w:pPr>
        <w:pStyle w:val="Abbreviation"/>
      </w:pPr>
      <w:proofErr w:type="spellStart"/>
      <w:r w:rsidRPr="00D87AA9">
        <w:t>NMDS</w:t>
      </w:r>
      <w:proofErr w:type="spellEnd"/>
      <w:r w:rsidRPr="00D87AA9">
        <w:tab/>
        <w:t>National Minimum Data Set</w:t>
      </w:r>
    </w:p>
    <w:p w14:paraId="03CF3CDB" w14:textId="77777777" w:rsidR="003C412A" w:rsidRPr="00D87AA9" w:rsidRDefault="003C412A" w:rsidP="003C412A">
      <w:pPr>
        <w:pStyle w:val="Abbreviation"/>
      </w:pPr>
      <w:proofErr w:type="spellStart"/>
      <w:r w:rsidRPr="00D87AA9">
        <w:t>NPDC</w:t>
      </w:r>
      <w:proofErr w:type="spellEnd"/>
      <w:r w:rsidRPr="00D87AA9">
        <w:tab/>
        <w:t>Nat</w:t>
      </w:r>
      <w:r>
        <w:t>ional Perinatal Data Collection</w:t>
      </w:r>
    </w:p>
    <w:p w14:paraId="405E51C9" w14:textId="77777777" w:rsidR="003C412A" w:rsidRPr="00D87AA9" w:rsidRDefault="003C412A" w:rsidP="003C412A">
      <w:pPr>
        <w:pStyle w:val="Abbreviation"/>
      </w:pPr>
      <w:r w:rsidRPr="00D87AA9">
        <w:t>NSW</w:t>
      </w:r>
      <w:r w:rsidRPr="00D87AA9">
        <w:tab/>
        <w:t>New South Wales</w:t>
      </w:r>
    </w:p>
    <w:p w14:paraId="7D7456A5" w14:textId="77777777" w:rsidR="003C412A" w:rsidRPr="00D87AA9" w:rsidRDefault="003C412A" w:rsidP="003C412A">
      <w:pPr>
        <w:pStyle w:val="Abbreviation"/>
      </w:pPr>
      <w:r w:rsidRPr="00D87AA9">
        <w:t>NT</w:t>
      </w:r>
      <w:r w:rsidRPr="00D87AA9">
        <w:tab/>
        <w:t>Northern Territory</w:t>
      </w:r>
    </w:p>
    <w:p w14:paraId="732CF4D8" w14:textId="77777777" w:rsidR="003C412A" w:rsidRDefault="003C412A" w:rsidP="003C412A">
      <w:pPr>
        <w:pStyle w:val="Abbreviation"/>
      </w:pPr>
      <w:proofErr w:type="spellStart"/>
      <w:r w:rsidRPr="00D87AA9">
        <w:t>OID</w:t>
      </w:r>
      <w:proofErr w:type="spellEnd"/>
      <w:r w:rsidRPr="00D87AA9">
        <w:tab/>
        <w:t>Overcoming Indigenous Disadvantage</w:t>
      </w:r>
    </w:p>
    <w:p w14:paraId="1EB9FAE2" w14:textId="77777777" w:rsidR="003C412A" w:rsidRPr="00D87AA9" w:rsidRDefault="003C412A" w:rsidP="003C412A">
      <w:pPr>
        <w:pStyle w:val="Abbreviation"/>
      </w:pPr>
      <w:proofErr w:type="spellStart"/>
      <w:r>
        <w:lastRenderedPageBreak/>
        <w:t>PIMG</w:t>
      </w:r>
      <w:proofErr w:type="spellEnd"/>
      <w:r>
        <w:tab/>
        <w:t>Performance Information Management Group</w:t>
      </w:r>
    </w:p>
    <w:p w14:paraId="5FDA5FAE" w14:textId="77777777" w:rsidR="003C412A" w:rsidRPr="00D87AA9" w:rsidRDefault="003C412A" w:rsidP="003C412A">
      <w:pPr>
        <w:pStyle w:val="Abbreviation"/>
      </w:pPr>
      <w:r w:rsidRPr="00D87AA9">
        <w:t>Qld</w:t>
      </w:r>
      <w:r w:rsidRPr="00D87AA9">
        <w:tab/>
        <w:t>Queensland</w:t>
      </w:r>
    </w:p>
    <w:p w14:paraId="57957D29" w14:textId="77777777" w:rsidR="003C412A" w:rsidRPr="00D87AA9" w:rsidRDefault="003C412A" w:rsidP="003C412A">
      <w:pPr>
        <w:pStyle w:val="Abbreviation"/>
      </w:pPr>
      <w:proofErr w:type="spellStart"/>
      <w:r w:rsidRPr="00D87AA9">
        <w:t>RSE</w:t>
      </w:r>
      <w:proofErr w:type="spellEnd"/>
      <w:r w:rsidRPr="00D87AA9">
        <w:tab/>
        <w:t>Relative standard error</w:t>
      </w:r>
    </w:p>
    <w:p w14:paraId="1CEF7DC4" w14:textId="77777777" w:rsidR="003C412A" w:rsidRDefault="003C412A" w:rsidP="003C412A">
      <w:pPr>
        <w:pStyle w:val="Abbreviation"/>
      </w:pPr>
      <w:r w:rsidRPr="00D87AA9">
        <w:t>SA</w:t>
      </w:r>
      <w:r w:rsidRPr="00D87AA9">
        <w:tab/>
        <w:t>South Australia</w:t>
      </w:r>
    </w:p>
    <w:p w14:paraId="097D3DE4" w14:textId="77777777" w:rsidR="003C412A" w:rsidRDefault="003C412A" w:rsidP="003C412A">
      <w:pPr>
        <w:pStyle w:val="Abbreviation"/>
      </w:pPr>
      <w:r w:rsidRPr="00D87AA9">
        <w:t>SEW</w:t>
      </w:r>
      <w:r w:rsidRPr="00D87AA9">
        <w:tab/>
        <w:t>Survey of Education and Work</w:t>
      </w:r>
    </w:p>
    <w:p w14:paraId="11FD9705" w14:textId="77777777" w:rsidR="003C412A" w:rsidRDefault="003C412A" w:rsidP="003C412A">
      <w:pPr>
        <w:pStyle w:val="Abbreviation"/>
      </w:pPr>
      <w:proofErr w:type="spellStart"/>
      <w:r w:rsidRPr="00D87AA9">
        <w:t>Tas</w:t>
      </w:r>
      <w:proofErr w:type="spellEnd"/>
      <w:r w:rsidRPr="00D87AA9">
        <w:tab/>
        <w:t>Tasmania</w:t>
      </w:r>
    </w:p>
    <w:p w14:paraId="6F2D8A38" w14:textId="77777777" w:rsidR="003C412A" w:rsidRPr="00D87AA9" w:rsidRDefault="003C412A" w:rsidP="003C412A">
      <w:pPr>
        <w:pStyle w:val="Abbreviation"/>
      </w:pPr>
      <w:r w:rsidRPr="00D87AA9">
        <w:t>Vic</w:t>
      </w:r>
      <w:r w:rsidRPr="00D87AA9">
        <w:tab/>
        <w:t>Victoria</w:t>
      </w:r>
    </w:p>
    <w:p w14:paraId="411C6F3E" w14:textId="77777777" w:rsidR="003C412A" w:rsidRDefault="003C412A" w:rsidP="003C412A">
      <w:pPr>
        <w:pStyle w:val="Abbreviation"/>
      </w:pPr>
      <w:r w:rsidRPr="00D87AA9">
        <w:t>WA</w:t>
      </w:r>
      <w:r w:rsidRPr="00D87AA9">
        <w:tab/>
        <w:t>Western Australia</w:t>
      </w:r>
    </w:p>
    <w:p w14:paraId="7AE482C0" w14:textId="77777777" w:rsidR="003C412A" w:rsidRPr="00D87AA9" w:rsidRDefault="003C412A" w:rsidP="003C412A">
      <w:pPr>
        <w:pStyle w:val="Abbreviation"/>
      </w:pPr>
      <w:r>
        <w:t>WHO</w:t>
      </w:r>
      <w:r>
        <w:tab/>
        <w:t>World Health Organisation</w:t>
      </w:r>
    </w:p>
    <w:p w14:paraId="2B78E8CD" w14:textId="77777777" w:rsidR="003C412A" w:rsidRDefault="003C412A" w:rsidP="003C412A">
      <w:pPr>
        <w:pStyle w:val="Heading2"/>
        <w:spacing w:after="240"/>
      </w:pPr>
      <w:r w:rsidRPr="00D87AA9">
        <w:br w:type="page"/>
      </w:r>
      <w:r w:rsidRPr="00D87AA9">
        <w:lastRenderedPageBreak/>
        <w:t>Glossary</w:t>
      </w:r>
      <w:r w:rsidR="004D5060">
        <w:t xml:space="preserve"> </w:t>
      </w:r>
    </w:p>
    <w:p w14:paraId="6F759F29" w14:textId="77777777" w:rsidR="00944F80" w:rsidRPr="00944F80" w:rsidRDefault="00944F80" w:rsidP="00944F80">
      <w:pPr>
        <w:pStyle w:val="BodyText"/>
      </w:pPr>
    </w:p>
    <w:tbl>
      <w:tblPr>
        <w:tblW w:w="8789" w:type="dxa"/>
        <w:tblLayout w:type="fixed"/>
        <w:tblCellMar>
          <w:left w:w="0" w:type="dxa"/>
          <w:right w:w="0" w:type="dxa"/>
        </w:tblCellMar>
        <w:tblLook w:val="0000" w:firstRow="0" w:lastRow="0" w:firstColumn="0" w:lastColumn="0" w:noHBand="0" w:noVBand="0"/>
      </w:tblPr>
      <w:tblGrid>
        <w:gridCol w:w="2268"/>
        <w:gridCol w:w="6521"/>
      </w:tblGrid>
      <w:tr w:rsidR="003C412A" w:rsidRPr="0000077F" w14:paraId="2C0D1C5D" w14:textId="77777777" w:rsidTr="00944F80">
        <w:tc>
          <w:tcPr>
            <w:tcW w:w="2268" w:type="dxa"/>
          </w:tcPr>
          <w:p w14:paraId="5887CD6C" w14:textId="77777777" w:rsidR="003C412A" w:rsidRPr="00436A2C" w:rsidRDefault="003C412A" w:rsidP="004C6DAF">
            <w:pPr>
              <w:pStyle w:val="TableBodyText"/>
              <w:jc w:val="left"/>
              <w:rPr>
                <w:b/>
              </w:rPr>
            </w:pPr>
            <w:r w:rsidRPr="00436A2C">
              <w:rPr>
                <w:b/>
              </w:rPr>
              <w:t>Aboriginal</w:t>
            </w:r>
          </w:p>
        </w:tc>
        <w:tc>
          <w:tcPr>
            <w:tcW w:w="6521" w:type="dxa"/>
          </w:tcPr>
          <w:p w14:paraId="6CE096FA" w14:textId="77777777" w:rsidR="003C412A" w:rsidRPr="0000077F" w:rsidRDefault="003C412A" w:rsidP="004C6DAF">
            <w:pPr>
              <w:pStyle w:val="TableBodyText"/>
              <w:jc w:val="both"/>
            </w:pPr>
            <w:r w:rsidRPr="0000077F">
              <w:t>A person who identifies as being of Aboriginal origin. May also include people identified as being of both Aboriginal and Torres Strait Islander origin.</w:t>
            </w:r>
          </w:p>
          <w:p w14:paraId="7F0CE07D" w14:textId="77777777" w:rsidR="003C412A" w:rsidRPr="0000077F" w:rsidRDefault="003C412A" w:rsidP="004C6DAF">
            <w:pPr>
              <w:pStyle w:val="TableBodyText"/>
              <w:jc w:val="both"/>
              <w:rPr>
                <w:b/>
              </w:rPr>
            </w:pPr>
          </w:p>
        </w:tc>
      </w:tr>
      <w:tr w:rsidR="003C412A" w:rsidRPr="0000077F" w14:paraId="1CD8BEC5" w14:textId="77777777" w:rsidTr="00944F80">
        <w:tc>
          <w:tcPr>
            <w:tcW w:w="2268" w:type="dxa"/>
          </w:tcPr>
          <w:p w14:paraId="0E05E67E" w14:textId="77777777" w:rsidR="003C412A" w:rsidRPr="00436A2C" w:rsidRDefault="003C412A" w:rsidP="004C6DAF">
            <w:pPr>
              <w:pStyle w:val="TableBodyText"/>
              <w:jc w:val="left"/>
              <w:rPr>
                <w:b/>
              </w:rPr>
            </w:pPr>
            <w:r w:rsidRPr="00436A2C">
              <w:rPr>
                <w:b/>
              </w:rPr>
              <w:t>Age standardised rates</w:t>
            </w:r>
          </w:p>
        </w:tc>
        <w:tc>
          <w:tcPr>
            <w:tcW w:w="6521" w:type="dxa"/>
          </w:tcPr>
          <w:p w14:paraId="136826EC" w14:textId="77777777" w:rsidR="003C412A" w:rsidRPr="0000077F" w:rsidRDefault="003C412A" w:rsidP="004C6DAF">
            <w:pPr>
              <w:pStyle w:val="TableBodyText"/>
              <w:jc w:val="both"/>
            </w:pPr>
            <w:r w:rsidRPr="0000077F">
              <w:t xml:space="preserve">Age standardised rates enable comparisons to be made between populations that have different age structures. Age standardisation is often used when comparing the </w:t>
            </w:r>
            <w:r w:rsidR="00A51293">
              <w:t>Aboriginal and Torres Strait Islander</w:t>
            </w:r>
            <w:r w:rsidR="00A51293" w:rsidRPr="0000077F">
              <w:t xml:space="preserve"> </w:t>
            </w:r>
            <w:r w:rsidRPr="0000077F">
              <w:t xml:space="preserve">and non-Indigenous populations because the </w:t>
            </w:r>
            <w:r w:rsidR="00A51293">
              <w:t>Aboriginal and Torres Strait Islander</w:t>
            </w:r>
            <w:r w:rsidR="00A51293" w:rsidRPr="0000077F">
              <w:t xml:space="preserve"> </w:t>
            </w:r>
            <w:r w:rsidRPr="0000077F">
              <w:t>population is younger than the non</w:t>
            </w:r>
            <w:r w:rsidRPr="0000077F">
              <w:noBreakHyphen/>
              <w:t xml:space="preserve">Indigenous population. Outcomes for some indicators are influenced by age, therefore, it is appropriate to age standardise the data when comparing the results. When comparisons are not being made between the two populations, the data are not age standardised. </w:t>
            </w:r>
          </w:p>
          <w:p w14:paraId="1DA9F996" w14:textId="77777777" w:rsidR="003C412A" w:rsidRPr="0000077F" w:rsidRDefault="003C412A" w:rsidP="004C6DAF">
            <w:pPr>
              <w:pStyle w:val="TableBodyText"/>
              <w:jc w:val="both"/>
            </w:pPr>
          </w:p>
        </w:tc>
      </w:tr>
      <w:tr w:rsidR="003C412A" w:rsidRPr="00D87AA9" w14:paraId="0CDB4111" w14:textId="77777777" w:rsidTr="00944F80">
        <w:tc>
          <w:tcPr>
            <w:tcW w:w="2268" w:type="dxa"/>
          </w:tcPr>
          <w:p w14:paraId="421B45C9" w14:textId="77777777" w:rsidR="003C412A" w:rsidRPr="00436A2C" w:rsidRDefault="003C412A" w:rsidP="004C6DAF">
            <w:pPr>
              <w:pStyle w:val="TableBodyText"/>
              <w:jc w:val="left"/>
              <w:rPr>
                <w:b/>
              </w:rPr>
            </w:pPr>
            <w:r w:rsidRPr="00436A2C">
              <w:rPr>
                <w:b/>
              </w:rPr>
              <w:t>International Classification of Diseases (ICD)</w:t>
            </w:r>
          </w:p>
        </w:tc>
        <w:tc>
          <w:tcPr>
            <w:tcW w:w="6521" w:type="dxa"/>
          </w:tcPr>
          <w:p w14:paraId="2B510F08" w14:textId="77777777" w:rsidR="003C412A" w:rsidRDefault="003C412A" w:rsidP="004C6DAF">
            <w:pPr>
              <w:pStyle w:val="TableBodyText"/>
              <w:jc w:val="both"/>
              <w:rPr>
                <w:bCs/>
              </w:rPr>
            </w:pPr>
            <w:r w:rsidRPr="00D87AA9">
              <w:rPr>
                <w:bCs/>
              </w:rPr>
              <w:t>ICD is the International Statistical Classification of Diseases and Related Health Problems, endorsed by the World Health Organization (WHO). It is primarily designed for the classification of diseases and injuries with a formal diagnosis. ICD-10-AM is the Australian modification of the tenth revision and was adopted for Australian use from 1 January 1999 (superseding ICD-9).</w:t>
            </w:r>
          </w:p>
          <w:p w14:paraId="5FBA65AB" w14:textId="77777777" w:rsidR="003C412A" w:rsidRPr="00D87AA9" w:rsidRDefault="003C412A" w:rsidP="004C6DAF">
            <w:pPr>
              <w:pStyle w:val="TableBodyText"/>
              <w:jc w:val="both"/>
            </w:pPr>
          </w:p>
        </w:tc>
      </w:tr>
      <w:tr w:rsidR="003C412A" w:rsidRPr="00D87AA9" w14:paraId="5AA38963" w14:textId="77777777" w:rsidTr="00944F80">
        <w:tc>
          <w:tcPr>
            <w:tcW w:w="2268" w:type="dxa"/>
          </w:tcPr>
          <w:p w14:paraId="525BEAE3" w14:textId="77777777" w:rsidR="003C412A" w:rsidRPr="00436A2C" w:rsidRDefault="003C412A" w:rsidP="004C6DAF">
            <w:pPr>
              <w:pStyle w:val="TableBodyText"/>
              <w:jc w:val="left"/>
              <w:rPr>
                <w:b/>
              </w:rPr>
            </w:pPr>
            <w:proofErr w:type="spellStart"/>
            <w:r w:rsidRPr="00436A2C">
              <w:rPr>
                <w:b/>
              </w:rPr>
              <w:t>Equivalised</w:t>
            </w:r>
            <w:proofErr w:type="spellEnd"/>
            <w:r w:rsidRPr="00436A2C">
              <w:rPr>
                <w:b/>
              </w:rPr>
              <w:t xml:space="preserve"> household income</w:t>
            </w:r>
          </w:p>
        </w:tc>
        <w:tc>
          <w:tcPr>
            <w:tcW w:w="6521" w:type="dxa"/>
          </w:tcPr>
          <w:p w14:paraId="2B4EEBC5" w14:textId="77777777" w:rsidR="003C412A" w:rsidRDefault="003C412A" w:rsidP="004C6DAF">
            <w:pPr>
              <w:pStyle w:val="TableBodyText"/>
              <w:jc w:val="both"/>
            </w:pPr>
            <w:proofErr w:type="spellStart"/>
            <w:r w:rsidRPr="00D87AA9">
              <w:t>Equivalised</w:t>
            </w:r>
            <w:proofErr w:type="spellEnd"/>
            <w:r w:rsidRPr="00D87AA9">
              <w:t xml:space="preserve"> household income adjusts the actual incomes of households to make households of different sizes and compositions comparable. It results in a measure of the economic resources available to members of a standardised household.</w:t>
            </w:r>
          </w:p>
          <w:p w14:paraId="0DB7AE39" w14:textId="77777777" w:rsidR="003C412A" w:rsidRPr="00D87AA9" w:rsidRDefault="003C412A" w:rsidP="004C6DAF">
            <w:pPr>
              <w:pStyle w:val="TableBodyText"/>
              <w:jc w:val="both"/>
            </w:pPr>
          </w:p>
        </w:tc>
      </w:tr>
      <w:tr w:rsidR="003C412A" w:rsidRPr="00D87AA9" w14:paraId="3CB3277F" w14:textId="77777777" w:rsidTr="00944F80">
        <w:tc>
          <w:tcPr>
            <w:tcW w:w="2268" w:type="dxa"/>
          </w:tcPr>
          <w:p w14:paraId="4EDA7C25" w14:textId="77777777" w:rsidR="003C412A" w:rsidRPr="00436A2C" w:rsidRDefault="003C412A" w:rsidP="004C6DAF">
            <w:pPr>
              <w:pStyle w:val="TableBodyText"/>
              <w:jc w:val="left"/>
              <w:rPr>
                <w:b/>
              </w:rPr>
            </w:pPr>
            <w:r w:rsidRPr="00436A2C">
              <w:rPr>
                <w:b/>
              </w:rPr>
              <w:t>Income ranges</w:t>
            </w:r>
          </w:p>
        </w:tc>
        <w:tc>
          <w:tcPr>
            <w:tcW w:w="6521" w:type="dxa"/>
          </w:tcPr>
          <w:p w14:paraId="2ED987D6" w14:textId="77777777" w:rsidR="003C412A" w:rsidRDefault="003C412A" w:rsidP="004C6DAF">
            <w:pPr>
              <w:pStyle w:val="TableBodyText"/>
              <w:jc w:val="both"/>
            </w:pPr>
            <w:r w:rsidRPr="00D87AA9">
              <w:t>See ‘quintiles’.</w:t>
            </w:r>
          </w:p>
          <w:p w14:paraId="6A3CE1E6" w14:textId="77777777" w:rsidR="003C412A" w:rsidRPr="00D87AA9" w:rsidRDefault="003C412A" w:rsidP="004C6DAF">
            <w:pPr>
              <w:pStyle w:val="TableBodyText"/>
              <w:jc w:val="both"/>
            </w:pPr>
          </w:p>
        </w:tc>
      </w:tr>
      <w:tr w:rsidR="003C412A" w:rsidRPr="00D87AA9" w14:paraId="5CE786C4" w14:textId="77777777" w:rsidTr="00944F80">
        <w:tc>
          <w:tcPr>
            <w:tcW w:w="2268" w:type="dxa"/>
          </w:tcPr>
          <w:p w14:paraId="3FFEFF0A" w14:textId="77777777" w:rsidR="003C412A" w:rsidRPr="00436A2C" w:rsidRDefault="003C412A" w:rsidP="004C6DAF">
            <w:pPr>
              <w:pStyle w:val="TableBodyText"/>
              <w:jc w:val="left"/>
              <w:rPr>
                <w:b/>
              </w:rPr>
            </w:pPr>
            <w:r w:rsidRPr="00436A2C">
              <w:rPr>
                <w:b/>
              </w:rPr>
              <w:t>Indigenous</w:t>
            </w:r>
          </w:p>
        </w:tc>
        <w:tc>
          <w:tcPr>
            <w:tcW w:w="6521" w:type="dxa"/>
          </w:tcPr>
          <w:p w14:paraId="348AFC8C" w14:textId="77777777" w:rsidR="003C412A" w:rsidRDefault="003C412A" w:rsidP="004C6DAF">
            <w:pPr>
              <w:pStyle w:val="TableBodyText"/>
              <w:jc w:val="both"/>
            </w:pPr>
            <w:r w:rsidRPr="00D87AA9">
              <w:t>A person who identifies as, or who is identified as being of</w:t>
            </w:r>
            <w:r w:rsidR="00D62D4D">
              <w:t>,</w:t>
            </w:r>
            <w:r w:rsidRPr="00D87AA9">
              <w:t xml:space="preserve"> Aboriginal and/or Torres Strait Islander origin.</w:t>
            </w:r>
          </w:p>
          <w:p w14:paraId="53075F80" w14:textId="77777777" w:rsidR="003C412A" w:rsidRPr="007B1817" w:rsidRDefault="003C412A" w:rsidP="004C6DAF">
            <w:pPr>
              <w:pStyle w:val="TableBodyText"/>
              <w:jc w:val="both"/>
              <w:rPr>
                <w:b/>
              </w:rPr>
            </w:pPr>
          </w:p>
        </w:tc>
      </w:tr>
      <w:tr w:rsidR="003C412A" w:rsidRPr="00D87AA9" w14:paraId="4C79C037" w14:textId="77777777" w:rsidTr="00944F80">
        <w:tc>
          <w:tcPr>
            <w:tcW w:w="2268" w:type="dxa"/>
          </w:tcPr>
          <w:p w14:paraId="392A022B" w14:textId="77777777" w:rsidR="003C412A" w:rsidRPr="00436A2C" w:rsidRDefault="003C412A" w:rsidP="004C6DAF">
            <w:pPr>
              <w:pStyle w:val="TableBodyText"/>
              <w:jc w:val="left"/>
              <w:rPr>
                <w:b/>
              </w:rPr>
            </w:pPr>
            <w:r w:rsidRPr="00436A2C">
              <w:rPr>
                <w:b/>
              </w:rPr>
              <w:t>Indigenous status not stated/Indigenous status unknown</w:t>
            </w:r>
          </w:p>
          <w:p w14:paraId="1BA1F3DB" w14:textId="77777777" w:rsidR="003C412A" w:rsidRPr="00436A2C" w:rsidRDefault="003C412A" w:rsidP="004C6DAF">
            <w:pPr>
              <w:pStyle w:val="TableBodyText"/>
              <w:jc w:val="left"/>
              <w:rPr>
                <w:b/>
              </w:rPr>
            </w:pPr>
          </w:p>
        </w:tc>
        <w:tc>
          <w:tcPr>
            <w:tcW w:w="6521" w:type="dxa"/>
          </w:tcPr>
          <w:p w14:paraId="2F14CFEF" w14:textId="77777777" w:rsidR="003C412A" w:rsidRPr="00D87AA9" w:rsidRDefault="003C412A" w:rsidP="004C6DAF">
            <w:pPr>
              <w:pStyle w:val="TableBodyText"/>
              <w:jc w:val="both"/>
            </w:pPr>
            <w:r w:rsidRPr="00D87AA9">
              <w:rPr>
                <w:snapToGrid w:val="0"/>
                <w:lang w:val="en-US"/>
              </w:rPr>
              <w:t xml:space="preserve">Where a person’s </w:t>
            </w:r>
            <w:r w:rsidR="00A51293">
              <w:t>Aboriginal and Torres Strait Islander</w:t>
            </w:r>
            <w:r w:rsidR="00A51293" w:rsidRPr="00D87AA9">
              <w:rPr>
                <w:snapToGrid w:val="0"/>
                <w:lang w:val="en-US"/>
              </w:rPr>
              <w:t xml:space="preserve"> </w:t>
            </w:r>
            <w:r w:rsidRPr="00D87AA9">
              <w:rPr>
                <w:snapToGrid w:val="0"/>
                <w:lang w:val="en-US"/>
              </w:rPr>
              <w:t>origin has either not been asked or not recorded.</w:t>
            </w:r>
          </w:p>
        </w:tc>
      </w:tr>
      <w:tr w:rsidR="003C412A" w:rsidRPr="00D87AA9" w14:paraId="65570C78" w14:textId="77777777" w:rsidTr="00944F80">
        <w:tc>
          <w:tcPr>
            <w:tcW w:w="2268" w:type="dxa"/>
          </w:tcPr>
          <w:p w14:paraId="75CFE740" w14:textId="77777777" w:rsidR="003C412A" w:rsidRPr="00436A2C" w:rsidRDefault="003C412A" w:rsidP="004C6DAF">
            <w:pPr>
              <w:pStyle w:val="TableBodyText"/>
              <w:jc w:val="left"/>
              <w:rPr>
                <w:b/>
              </w:rPr>
            </w:pPr>
            <w:r w:rsidRPr="00436A2C">
              <w:rPr>
                <w:b/>
              </w:rPr>
              <w:t>Infant mortality</w:t>
            </w:r>
          </w:p>
        </w:tc>
        <w:tc>
          <w:tcPr>
            <w:tcW w:w="6521" w:type="dxa"/>
          </w:tcPr>
          <w:p w14:paraId="43E78A52" w14:textId="77777777" w:rsidR="003C412A" w:rsidRDefault="003C412A" w:rsidP="004C6DAF">
            <w:pPr>
              <w:pStyle w:val="TableBodyText"/>
              <w:jc w:val="both"/>
            </w:pPr>
            <w:r w:rsidRPr="00D87AA9">
              <w:t>Deaths of children between birth and exactly one year of age.</w:t>
            </w:r>
          </w:p>
          <w:p w14:paraId="24B2403C" w14:textId="77777777" w:rsidR="003C412A" w:rsidRPr="00D87AA9" w:rsidRDefault="003C412A" w:rsidP="004C6DAF">
            <w:pPr>
              <w:pStyle w:val="TableBodyText"/>
              <w:jc w:val="both"/>
            </w:pPr>
          </w:p>
        </w:tc>
      </w:tr>
      <w:tr w:rsidR="003C412A" w:rsidRPr="00D87AA9" w14:paraId="1933D5CB" w14:textId="77777777" w:rsidTr="00944F80">
        <w:tc>
          <w:tcPr>
            <w:tcW w:w="2268" w:type="dxa"/>
          </w:tcPr>
          <w:p w14:paraId="57864D28" w14:textId="77777777" w:rsidR="003C412A" w:rsidRPr="00436A2C" w:rsidRDefault="003C412A" w:rsidP="004C6DAF">
            <w:pPr>
              <w:pStyle w:val="TableBodyText"/>
              <w:jc w:val="left"/>
              <w:rPr>
                <w:b/>
              </w:rPr>
            </w:pPr>
            <w:r w:rsidRPr="00436A2C">
              <w:rPr>
                <w:b/>
              </w:rPr>
              <w:t>Inner regional</w:t>
            </w:r>
          </w:p>
        </w:tc>
        <w:tc>
          <w:tcPr>
            <w:tcW w:w="6521" w:type="dxa"/>
          </w:tcPr>
          <w:p w14:paraId="564AD125" w14:textId="77777777" w:rsidR="003C412A" w:rsidRDefault="003C412A" w:rsidP="004C6DAF">
            <w:pPr>
              <w:pStyle w:val="TableBodyText"/>
              <w:jc w:val="both"/>
            </w:pPr>
            <w:r w:rsidRPr="00D87AA9">
              <w:t>See ‘remoteness areas’.</w:t>
            </w:r>
          </w:p>
          <w:p w14:paraId="0F465B93" w14:textId="77777777" w:rsidR="003C412A" w:rsidRPr="00D87AA9" w:rsidRDefault="003C412A" w:rsidP="004C6DAF">
            <w:pPr>
              <w:pStyle w:val="TableBodyText"/>
              <w:jc w:val="both"/>
            </w:pPr>
          </w:p>
        </w:tc>
      </w:tr>
      <w:tr w:rsidR="003C412A" w:rsidRPr="00D87AA9" w14:paraId="6C5B6A0F" w14:textId="77777777" w:rsidTr="00944F80">
        <w:tc>
          <w:tcPr>
            <w:tcW w:w="2268" w:type="dxa"/>
          </w:tcPr>
          <w:p w14:paraId="749D99D8" w14:textId="77777777" w:rsidR="003C412A" w:rsidRPr="00436A2C" w:rsidRDefault="003C412A" w:rsidP="004C6DAF">
            <w:pPr>
              <w:pStyle w:val="TableBodyText"/>
              <w:jc w:val="left"/>
              <w:rPr>
                <w:b/>
              </w:rPr>
            </w:pPr>
            <w:r w:rsidRPr="00436A2C">
              <w:rPr>
                <w:b/>
              </w:rPr>
              <w:t>Jurisdiction</w:t>
            </w:r>
          </w:p>
        </w:tc>
        <w:tc>
          <w:tcPr>
            <w:tcW w:w="6521" w:type="dxa"/>
          </w:tcPr>
          <w:p w14:paraId="5D23F026" w14:textId="77777777" w:rsidR="003C412A" w:rsidRDefault="003C412A" w:rsidP="004C6DAF">
            <w:pPr>
              <w:pStyle w:val="TableBodyText"/>
              <w:jc w:val="both"/>
            </w:pPr>
            <w:r w:rsidRPr="00D87AA9">
              <w:t xml:space="preserve">The Australian Government or a </w:t>
            </w:r>
            <w:r>
              <w:t>State</w:t>
            </w:r>
            <w:r w:rsidRPr="00D87AA9">
              <w:t xml:space="preserve"> or Territory </w:t>
            </w:r>
            <w:r w:rsidR="00D62D4D">
              <w:t>g</w:t>
            </w:r>
            <w:r w:rsidRPr="00D87AA9">
              <w:t>overnment and areas that it has legal authority over.</w:t>
            </w:r>
          </w:p>
          <w:p w14:paraId="46C0C53C" w14:textId="77777777" w:rsidR="003C412A" w:rsidRPr="007B1817" w:rsidRDefault="003C412A" w:rsidP="004C6DAF">
            <w:pPr>
              <w:pStyle w:val="TableBodyText"/>
              <w:jc w:val="both"/>
              <w:rPr>
                <w:b/>
              </w:rPr>
            </w:pPr>
          </w:p>
        </w:tc>
      </w:tr>
      <w:tr w:rsidR="003C412A" w:rsidRPr="00D87AA9" w14:paraId="7824B6AC" w14:textId="77777777" w:rsidTr="00944F80">
        <w:tc>
          <w:tcPr>
            <w:tcW w:w="2268" w:type="dxa"/>
          </w:tcPr>
          <w:p w14:paraId="0A00A46F" w14:textId="77777777" w:rsidR="003C412A" w:rsidRPr="00436A2C" w:rsidRDefault="003C412A" w:rsidP="004C6DAF">
            <w:pPr>
              <w:pStyle w:val="TableBodyText"/>
              <w:jc w:val="left"/>
              <w:rPr>
                <w:b/>
              </w:rPr>
            </w:pPr>
            <w:r w:rsidRPr="00436A2C">
              <w:rPr>
                <w:b/>
              </w:rPr>
              <w:t>Major cities</w:t>
            </w:r>
          </w:p>
        </w:tc>
        <w:tc>
          <w:tcPr>
            <w:tcW w:w="6521" w:type="dxa"/>
          </w:tcPr>
          <w:p w14:paraId="55B0E7DA" w14:textId="77777777" w:rsidR="003C412A" w:rsidRDefault="003C412A" w:rsidP="004C6DAF">
            <w:pPr>
              <w:pStyle w:val="TableBodyText"/>
              <w:jc w:val="both"/>
            </w:pPr>
            <w:r w:rsidRPr="00D87AA9">
              <w:t>See ‘remoteness areas’.</w:t>
            </w:r>
          </w:p>
          <w:p w14:paraId="7EBB7281" w14:textId="77777777" w:rsidR="003C412A" w:rsidRPr="00D87AA9" w:rsidRDefault="003C412A" w:rsidP="004C6DAF">
            <w:pPr>
              <w:pStyle w:val="TableBodyText"/>
              <w:jc w:val="both"/>
            </w:pPr>
          </w:p>
        </w:tc>
      </w:tr>
      <w:tr w:rsidR="003C412A" w:rsidRPr="00D87AA9" w14:paraId="0D08A37F" w14:textId="77777777" w:rsidTr="00944F80">
        <w:tc>
          <w:tcPr>
            <w:tcW w:w="2268" w:type="dxa"/>
          </w:tcPr>
          <w:p w14:paraId="3380CF68" w14:textId="77777777" w:rsidR="003C412A" w:rsidRPr="00436A2C" w:rsidRDefault="003C412A" w:rsidP="004C6DAF">
            <w:pPr>
              <w:pStyle w:val="TableBodyText"/>
              <w:jc w:val="left"/>
              <w:rPr>
                <w:b/>
              </w:rPr>
            </w:pPr>
            <w:r w:rsidRPr="00436A2C">
              <w:rPr>
                <w:b/>
              </w:rPr>
              <w:t>Metadata</w:t>
            </w:r>
          </w:p>
        </w:tc>
        <w:tc>
          <w:tcPr>
            <w:tcW w:w="6521" w:type="dxa"/>
          </w:tcPr>
          <w:p w14:paraId="6FA1AA69" w14:textId="77777777" w:rsidR="003C412A" w:rsidRPr="0006465D" w:rsidRDefault="003C412A" w:rsidP="004C6DAF">
            <w:pPr>
              <w:pStyle w:val="TableBodyText"/>
              <w:jc w:val="both"/>
            </w:pPr>
            <w:r w:rsidRPr="0006465D">
              <w:t>Metadata is the underlying definition or structured description of the content, quality, condition or other characteristics of data.</w:t>
            </w:r>
          </w:p>
          <w:p w14:paraId="281371FC" w14:textId="77777777" w:rsidR="003C412A" w:rsidRPr="0006465D" w:rsidRDefault="003C412A" w:rsidP="004C6DAF">
            <w:pPr>
              <w:pStyle w:val="TableBodyText"/>
              <w:jc w:val="both"/>
            </w:pPr>
          </w:p>
        </w:tc>
      </w:tr>
      <w:tr w:rsidR="003C412A" w:rsidRPr="00D87AA9" w14:paraId="2507D894" w14:textId="77777777" w:rsidTr="00944F80">
        <w:tc>
          <w:tcPr>
            <w:tcW w:w="2268" w:type="dxa"/>
          </w:tcPr>
          <w:p w14:paraId="1F74F589" w14:textId="77777777" w:rsidR="003C412A" w:rsidRPr="00436A2C" w:rsidRDefault="003C412A" w:rsidP="004C6DAF">
            <w:pPr>
              <w:pStyle w:val="TableBodyText"/>
              <w:jc w:val="left"/>
              <w:rPr>
                <w:b/>
              </w:rPr>
            </w:pPr>
            <w:r w:rsidRPr="00436A2C">
              <w:rPr>
                <w:b/>
              </w:rPr>
              <w:t>Non-Indigenous</w:t>
            </w:r>
          </w:p>
        </w:tc>
        <w:tc>
          <w:tcPr>
            <w:tcW w:w="6521" w:type="dxa"/>
          </w:tcPr>
          <w:p w14:paraId="64FC5DA9" w14:textId="77777777" w:rsidR="003C412A" w:rsidRDefault="003C412A" w:rsidP="004C6DAF">
            <w:pPr>
              <w:pStyle w:val="TableBodyText"/>
              <w:jc w:val="both"/>
            </w:pPr>
            <w:r w:rsidRPr="00D87AA9">
              <w:t xml:space="preserve">A person who is not identified as being of Aboriginal and/or Torres Strait Islander origin. </w:t>
            </w:r>
          </w:p>
          <w:p w14:paraId="40A214E1" w14:textId="77777777" w:rsidR="003C412A" w:rsidRPr="00D87AA9" w:rsidRDefault="003C412A" w:rsidP="004C6DAF">
            <w:pPr>
              <w:pStyle w:val="TableBodyText"/>
              <w:jc w:val="both"/>
            </w:pPr>
          </w:p>
        </w:tc>
      </w:tr>
      <w:tr w:rsidR="003C412A" w:rsidRPr="00D87AA9" w14:paraId="6849DF49" w14:textId="77777777" w:rsidTr="00944F80">
        <w:tc>
          <w:tcPr>
            <w:tcW w:w="2268" w:type="dxa"/>
          </w:tcPr>
          <w:p w14:paraId="390C5B44" w14:textId="77777777" w:rsidR="003C412A" w:rsidRPr="00436A2C" w:rsidRDefault="003C412A" w:rsidP="004C6DAF">
            <w:pPr>
              <w:pStyle w:val="TableBodyText"/>
              <w:jc w:val="left"/>
              <w:rPr>
                <w:b/>
              </w:rPr>
            </w:pPr>
            <w:r w:rsidRPr="00436A2C">
              <w:rPr>
                <w:b/>
              </w:rPr>
              <w:t>Non-school qualification</w:t>
            </w:r>
          </w:p>
        </w:tc>
        <w:tc>
          <w:tcPr>
            <w:tcW w:w="6521" w:type="dxa"/>
          </w:tcPr>
          <w:p w14:paraId="2A160DB5" w14:textId="77777777" w:rsidR="003C412A" w:rsidRDefault="003C412A" w:rsidP="004C6DAF">
            <w:pPr>
              <w:pStyle w:val="TableBodyText"/>
              <w:jc w:val="both"/>
            </w:pPr>
            <w:r w:rsidRPr="00D87AA9">
              <w:t>Educational attainments other than pre-primary, primary or secondary school.</w:t>
            </w:r>
          </w:p>
          <w:p w14:paraId="2B188F9A" w14:textId="77777777" w:rsidR="003C412A" w:rsidRPr="00D87AA9" w:rsidRDefault="003C412A" w:rsidP="004C6DAF">
            <w:pPr>
              <w:pStyle w:val="TableBodyText"/>
              <w:jc w:val="both"/>
            </w:pPr>
          </w:p>
        </w:tc>
      </w:tr>
      <w:tr w:rsidR="003C412A" w:rsidRPr="00D87AA9" w14:paraId="4F27BE49" w14:textId="77777777" w:rsidTr="00944F80">
        <w:tc>
          <w:tcPr>
            <w:tcW w:w="2268" w:type="dxa"/>
          </w:tcPr>
          <w:p w14:paraId="7507D346" w14:textId="77777777" w:rsidR="003C412A" w:rsidRPr="00436A2C" w:rsidRDefault="003C412A" w:rsidP="004C6DAF">
            <w:pPr>
              <w:pStyle w:val="TableBodyText"/>
              <w:jc w:val="left"/>
              <w:rPr>
                <w:b/>
              </w:rPr>
            </w:pPr>
            <w:r w:rsidRPr="00436A2C">
              <w:rPr>
                <w:b/>
              </w:rPr>
              <w:t>Non-remote</w:t>
            </w:r>
          </w:p>
        </w:tc>
        <w:tc>
          <w:tcPr>
            <w:tcW w:w="6521" w:type="dxa"/>
          </w:tcPr>
          <w:p w14:paraId="484129E0" w14:textId="77777777" w:rsidR="003C412A" w:rsidRDefault="003C412A" w:rsidP="004C6DAF">
            <w:pPr>
              <w:pStyle w:val="TableBodyText"/>
              <w:jc w:val="both"/>
            </w:pPr>
            <w:r w:rsidRPr="00D87AA9">
              <w:t>See ‘remoteness areas’.</w:t>
            </w:r>
          </w:p>
          <w:p w14:paraId="06F0638D" w14:textId="77777777" w:rsidR="003C412A" w:rsidRPr="00D87AA9" w:rsidRDefault="003C412A" w:rsidP="004C6DAF">
            <w:pPr>
              <w:pStyle w:val="TableBodyText"/>
              <w:jc w:val="both"/>
            </w:pPr>
          </w:p>
        </w:tc>
      </w:tr>
    </w:tbl>
    <w:p w14:paraId="3FC1E0F9" w14:textId="77777777" w:rsidR="00944F80" w:rsidRDefault="00944F80">
      <w:r>
        <w:br w:type="page"/>
      </w:r>
    </w:p>
    <w:tbl>
      <w:tblPr>
        <w:tblW w:w="8789" w:type="dxa"/>
        <w:tblLayout w:type="fixed"/>
        <w:tblCellMar>
          <w:left w:w="0" w:type="dxa"/>
          <w:right w:w="0" w:type="dxa"/>
        </w:tblCellMar>
        <w:tblLook w:val="0000" w:firstRow="0" w:lastRow="0" w:firstColumn="0" w:lastColumn="0" w:noHBand="0" w:noVBand="0"/>
      </w:tblPr>
      <w:tblGrid>
        <w:gridCol w:w="2268"/>
        <w:gridCol w:w="6521"/>
      </w:tblGrid>
      <w:tr w:rsidR="003C412A" w:rsidRPr="00D87AA9" w14:paraId="383009C9" w14:textId="77777777" w:rsidTr="00944F80">
        <w:tc>
          <w:tcPr>
            <w:tcW w:w="2268" w:type="dxa"/>
          </w:tcPr>
          <w:p w14:paraId="42BBDAD9" w14:textId="0E67D0CC" w:rsidR="003C412A" w:rsidRPr="00436A2C" w:rsidRDefault="003C412A" w:rsidP="004C6DAF">
            <w:pPr>
              <w:pStyle w:val="TableBodyText"/>
              <w:jc w:val="left"/>
              <w:rPr>
                <w:b/>
              </w:rPr>
            </w:pPr>
            <w:r w:rsidRPr="00436A2C">
              <w:rPr>
                <w:b/>
              </w:rPr>
              <w:lastRenderedPageBreak/>
              <w:t>Other Australians</w:t>
            </w:r>
          </w:p>
        </w:tc>
        <w:tc>
          <w:tcPr>
            <w:tcW w:w="6521" w:type="dxa"/>
          </w:tcPr>
          <w:p w14:paraId="3BC798FD" w14:textId="77777777" w:rsidR="003C412A" w:rsidRDefault="003C412A" w:rsidP="004C6DAF">
            <w:pPr>
              <w:pStyle w:val="TableBodyText"/>
              <w:jc w:val="both"/>
            </w:pPr>
            <w:r>
              <w:t>Data with</w:t>
            </w:r>
            <w:r w:rsidRPr="0038020D">
              <w:t xml:space="preserve"> ‘not stated/inadequately described’ Indigenous status </w:t>
            </w:r>
            <w:r>
              <w:t>that have been</w:t>
            </w:r>
            <w:r w:rsidRPr="0038020D">
              <w:t xml:space="preserve"> combined with </w:t>
            </w:r>
            <w:r>
              <w:t>data</w:t>
            </w:r>
            <w:r w:rsidRPr="0038020D">
              <w:t xml:space="preserve"> for ‘non-Indigenous Australians’ </w:t>
            </w:r>
            <w:r>
              <w:t>are</w:t>
            </w:r>
            <w:r w:rsidRPr="0038020D">
              <w:t xml:space="preserve"> reported under the category ‘Other Australians’</w:t>
            </w:r>
            <w:r w:rsidR="003D4A62">
              <w:t xml:space="preserve"> for ABS and </w:t>
            </w:r>
            <w:proofErr w:type="spellStart"/>
            <w:r w:rsidR="003D4A62">
              <w:t>AIHW</w:t>
            </w:r>
            <w:proofErr w:type="spellEnd"/>
            <w:r w:rsidR="003D4A62">
              <w:t xml:space="preserve"> data sets</w:t>
            </w:r>
            <w:r w:rsidRPr="0038020D">
              <w:t xml:space="preserve">. See </w:t>
            </w:r>
            <w:r>
              <w:t xml:space="preserve">associated </w:t>
            </w:r>
            <w:r w:rsidRPr="0038020D">
              <w:t>data quality statement</w:t>
            </w:r>
            <w:r>
              <w:t>s</w:t>
            </w:r>
            <w:r w:rsidRPr="0038020D">
              <w:t xml:space="preserve"> for further information.</w:t>
            </w:r>
          </w:p>
          <w:p w14:paraId="7344F9CC" w14:textId="77777777" w:rsidR="003C412A" w:rsidRPr="0038020D" w:rsidRDefault="003C412A" w:rsidP="004C6DAF">
            <w:pPr>
              <w:pStyle w:val="TableBodyText"/>
              <w:jc w:val="both"/>
            </w:pPr>
          </w:p>
        </w:tc>
      </w:tr>
      <w:tr w:rsidR="003C412A" w:rsidRPr="00D87AA9" w14:paraId="3F373A30" w14:textId="77777777" w:rsidTr="00944F80">
        <w:tc>
          <w:tcPr>
            <w:tcW w:w="2268" w:type="dxa"/>
          </w:tcPr>
          <w:p w14:paraId="25F43578" w14:textId="75CAAF23" w:rsidR="003C412A" w:rsidRPr="00436A2C" w:rsidRDefault="003C412A" w:rsidP="004C6DAF">
            <w:pPr>
              <w:pStyle w:val="TableBodyText"/>
              <w:jc w:val="left"/>
              <w:rPr>
                <w:b/>
              </w:rPr>
            </w:pPr>
            <w:r w:rsidRPr="00436A2C">
              <w:rPr>
                <w:b/>
              </w:rPr>
              <w:t>Outer regional</w:t>
            </w:r>
          </w:p>
        </w:tc>
        <w:tc>
          <w:tcPr>
            <w:tcW w:w="6521" w:type="dxa"/>
          </w:tcPr>
          <w:p w14:paraId="24B40115" w14:textId="77777777" w:rsidR="003C412A" w:rsidRDefault="003C412A" w:rsidP="004C6DAF">
            <w:pPr>
              <w:pStyle w:val="TableBodyText"/>
              <w:jc w:val="both"/>
            </w:pPr>
            <w:r w:rsidRPr="00D87AA9">
              <w:t>See ‘remoteness areas’.</w:t>
            </w:r>
          </w:p>
          <w:p w14:paraId="289A36DB" w14:textId="77777777" w:rsidR="003C412A" w:rsidRPr="00D87AA9" w:rsidRDefault="003C412A" w:rsidP="004C6DAF">
            <w:pPr>
              <w:pStyle w:val="TableBodyText"/>
              <w:jc w:val="both"/>
            </w:pPr>
          </w:p>
        </w:tc>
      </w:tr>
      <w:tr w:rsidR="003C412A" w:rsidRPr="00D87AA9" w14:paraId="29347D11" w14:textId="77777777" w:rsidTr="00944F80">
        <w:tc>
          <w:tcPr>
            <w:tcW w:w="2268" w:type="dxa"/>
          </w:tcPr>
          <w:p w14:paraId="44C019FB" w14:textId="77777777" w:rsidR="003C412A" w:rsidRPr="00436A2C" w:rsidRDefault="003C412A" w:rsidP="004C6DAF">
            <w:pPr>
              <w:pStyle w:val="TableBodyText"/>
              <w:jc w:val="left"/>
              <w:rPr>
                <w:b/>
              </w:rPr>
            </w:pPr>
            <w:r w:rsidRPr="00436A2C">
              <w:rPr>
                <w:b/>
              </w:rPr>
              <w:t>Perinatal mortality</w:t>
            </w:r>
          </w:p>
        </w:tc>
        <w:tc>
          <w:tcPr>
            <w:tcW w:w="6521" w:type="dxa"/>
          </w:tcPr>
          <w:p w14:paraId="18B18428" w14:textId="77777777" w:rsidR="003C412A" w:rsidRDefault="003C412A" w:rsidP="004C6DAF">
            <w:pPr>
              <w:pStyle w:val="TableBodyText"/>
              <w:jc w:val="both"/>
            </w:pPr>
            <w:r>
              <w:t xml:space="preserve">Death of a baby within 28 days of birth (neonatal death) or of a </w:t>
            </w:r>
            <w:proofErr w:type="spellStart"/>
            <w:r>
              <w:t>fetus</w:t>
            </w:r>
            <w:proofErr w:type="spellEnd"/>
            <w:r>
              <w:t xml:space="preserve"> (unborn child) of at least 20 completed weeks of gestation or with a </w:t>
            </w:r>
            <w:r w:rsidR="00293E8B">
              <w:t>birth weight</w:t>
            </w:r>
            <w:r>
              <w:t xml:space="preserve"> of at least 400 grams.</w:t>
            </w:r>
          </w:p>
          <w:p w14:paraId="6D27C16E" w14:textId="77777777" w:rsidR="003C412A" w:rsidRPr="00D87AA9" w:rsidRDefault="003C412A" w:rsidP="004C6DAF">
            <w:pPr>
              <w:pStyle w:val="TableBodyText"/>
              <w:jc w:val="both"/>
            </w:pPr>
          </w:p>
        </w:tc>
      </w:tr>
      <w:tr w:rsidR="003C412A" w:rsidRPr="00D87AA9" w14:paraId="6289C49D" w14:textId="77777777" w:rsidTr="00944F80">
        <w:tc>
          <w:tcPr>
            <w:tcW w:w="2268" w:type="dxa"/>
          </w:tcPr>
          <w:p w14:paraId="5DAEC26D" w14:textId="77777777" w:rsidR="003C412A" w:rsidRPr="00436A2C" w:rsidRDefault="003C412A" w:rsidP="004C6DAF">
            <w:pPr>
              <w:pStyle w:val="TableBodyText"/>
              <w:jc w:val="left"/>
              <w:rPr>
                <w:b/>
              </w:rPr>
            </w:pPr>
            <w:r w:rsidRPr="00436A2C">
              <w:rPr>
                <w:b/>
              </w:rPr>
              <w:t>Preschool</w:t>
            </w:r>
          </w:p>
        </w:tc>
        <w:tc>
          <w:tcPr>
            <w:tcW w:w="6521" w:type="dxa"/>
          </w:tcPr>
          <w:p w14:paraId="1465B3DB" w14:textId="77777777" w:rsidR="003C412A" w:rsidRDefault="003C412A" w:rsidP="004C6DAF">
            <w:pPr>
              <w:pStyle w:val="TableBodyText"/>
              <w:jc w:val="both"/>
            </w:pPr>
            <w:r w:rsidRPr="00047A51">
              <w:t xml:space="preserve">A preschool program is a structured, play-based learning program delivered by a degree qualified teacher, primarily aimed at children in the year or two before they commence full-time schooling, </w:t>
            </w:r>
            <w:r>
              <w:t>i</w:t>
            </w:r>
            <w:r w:rsidRPr="00047A51">
              <w:t>rrespective of the type of institution that provides it or whether it is government funded or privately provided</w:t>
            </w:r>
            <w:r>
              <w:t xml:space="preserve">. Programs may be delivered in a variety of service settings including separate preschools or kindergartens, long day care centres, in association with a school etc. </w:t>
            </w:r>
            <w:r w:rsidRPr="00047A51">
              <w:t>Alternative terms currently used for preschool in some jurisdictions include ‘kindergarten’, ‘pre-prep’ and ‘reception’.</w:t>
            </w:r>
          </w:p>
          <w:p w14:paraId="1CB18D63" w14:textId="77777777" w:rsidR="003C412A" w:rsidRPr="00047A51" w:rsidRDefault="003C412A" w:rsidP="004C6DAF">
            <w:pPr>
              <w:pStyle w:val="TableBodyText"/>
              <w:jc w:val="both"/>
            </w:pPr>
          </w:p>
        </w:tc>
      </w:tr>
      <w:tr w:rsidR="003C412A" w:rsidRPr="00D87AA9" w14:paraId="5EDFE9A7" w14:textId="77777777" w:rsidTr="00944F80">
        <w:tc>
          <w:tcPr>
            <w:tcW w:w="2268" w:type="dxa"/>
          </w:tcPr>
          <w:p w14:paraId="5A4896F9" w14:textId="77777777" w:rsidR="003C412A" w:rsidRDefault="003C412A" w:rsidP="004C6DAF">
            <w:pPr>
              <w:pStyle w:val="TableBodyText"/>
              <w:jc w:val="left"/>
              <w:rPr>
                <w:b/>
              </w:rPr>
            </w:pPr>
            <w:r>
              <w:rPr>
                <w:b/>
              </w:rPr>
              <w:t>Rate difference</w:t>
            </w:r>
          </w:p>
          <w:p w14:paraId="2DD4A36D" w14:textId="77777777" w:rsidR="003C412A" w:rsidRPr="0085760F" w:rsidRDefault="003C412A" w:rsidP="004C6DAF">
            <w:pPr>
              <w:pStyle w:val="TableBodyText"/>
              <w:jc w:val="left"/>
              <w:rPr>
                <w:b/>
              </w:rPr>
            </w:pPr>
          </w:p>
        </w:tc>
        <w:tc>
          <w:tcPr>
            <w:tcW w:w="6521" w:type="dxa"/>
          </w:tcPr>
          <w:p w14:paraId="518E65B0" w14:textId="77777777" w:rsidR="003C412A" w:rsidRPr="00E61DBA" w:rsidRDefault="003C412A" w:rsidP="004C6DAF">
            <w:pPr>
              <w:pStyle w:val="TableBodyText"/>
              <w:jc w:val="both"/>
            </w:pPr>
            <w:r>
              <w:t xml:space="preserve">The rate difference is the rate for the </w:t>
            </w:r>
            <w:r w:rsidR="00A51293">
              <w:t xml:space="preserve">Aboriginal and Torres Strait Islander </w:t>
            </w:r>
            <w:r>
              <w:t>population minus the rate for the non-Indigenous population.</w:t>
            </w:r>
          </w:p>
        </w:tc>
      </w:tr>
      <w:tr w:rsidR="003C412A" w:rsidRPr="00D87AA9" w14:paraId="44849672" w14:textId="77777777" w:rsidTr="00944F80">
        <w:tc>
          <w:tcPr>
            <w:tcW w:w="2268" w:type="dxa"/>
          </w:tcPr>
          <w:p w14:paraId="4F1387E7" w14:textId="77777777" w:rsidR="003C412A" w:rsidRPr="00F6763E" w:rsidRDefault="003C412A" w:rsidP="004C6DAF">
            <w:pPr>
              <w:pStyle w:val="TableBodyText"/>
              <w:jc w:val="left"/>
              <w:rPr>
                <w:b/>
              </w:rPr>
            </w:pPr>
            <w:r w:rsidRPr="00F6763E">
              <w:rPr>
                <w:b/>
              </w:rPr>
              <w:t>Quintile</w:t>
            </w:r>
          </w:p>
        </w:tc>
        <w:tc>
          <w:tcPr>
            <w:tcW w:w="6521" w:type="dxa"/>
          </w:tcPr>
          <w:p w14:paraId="3B5199C3" w14:textId="77777777" w:rsidR="003C412A" w:rsidRDefault="003C412A" w:rsidP="004C6DAF">
            <w:pPr>
              <w:pStyle w:val="TableBodyText"/>
              <w:jc w:val="both"/>
            </w:pPr>
            <w:r w:rsidRPr="00F6763E">
              <w:t>A quintile refers to a division of an ordered population or sample into five equal subsets.</w:t>
            </w:r>
          </w:p>
        </w:tc>
      </w:tr>
      <w:tr w:rsidR="003C412A" w:rsidRPr="00D87AA9" w14:paraId="1856B709" w14:textId="77777777" w:rsidTr="00944F80">
        <w:tc>
          <w:tcPr>
            <w:tcW w:w="2268" w:type="dxa"/>
          </w:tcPr>
          <w:p w14:paraId="2D8C6DA1" w14:textId="77777777" w:rsidR="003C412A" w:rsidRPr="00436A2C" w:rsidRDefault="003C412A" w:rsidP="004C6DAF">
            <w:pPr>
              <w:pStyle w:val="TableBodyText"/>
              <w:jc w:val="left"/>
              <w:rPr>
                <w:b/>
              </w:rPr>
            </w:pPr>
            <w:r w:rsidRPr="00436A2C">
              <w:rPr>
                <w:b/>
              </w:rPr>
              <w:t>Rate ratio</w:t>
            </w:r>
          </w:p>
        </w:tc>
        <w:tc>
          <w:tcPr>
            <w:tcW w:w="6521" w:type="dxa"/>
          </w:tcPr>
          <w:p w14:paraId="7F5687A3" w14:textId="77777777" w:rsidR="003C412A" w:rsidRDefault="003C412A" w:rsidP="004C6DAF">
            <w:pPr>
              <w:pStyle w:val="TableBodyText"/>
              <w:jc w:val="both"/>
            </w:pPr>
            <w:r w:rsidRPr="00E61DBA">
              <w:t xml:space="preserve">The rate ratio is the rate for the </w:t>
            </w:r>
            <w:r w:rsidR="00A51293">
              <w:t>Aboriginal and Torres Strait Islander</w:t>
            </w:r>
            <w:r w:rsidR="00A51293" w:rsidRPr="00E61DBA">
              <w:t xml:space="preserve"> </w:t>
            </w:r>
            <w:r w:rsidRPr="00E61DBA">
              <w:t>population divided by the rate for the non</w:t>
            </w:r>
            <w:r w:rsidRPr="00E61DBA">
              <w:noBreakHyphen/>
              <w:t xml:space="preserve">Indigenous population. See ‘relative </w:t>
            </w:r>
            <w:r w:rsidR="00A51293">
              <w:t>Aboriginal and Torres Strait Islander</w:t>
            </w:r>
            <w:r w:rsidR="00A51293" w:rsidRPr="00E61DBA">
              <w:t xml:space="preserve"> </w:t>
            </w:r>
            <w:r w:rsidRPr="00E61DBA">
              <w:t>disadvantage’.</w:t>
            </w:r>
          </w:p>
          <w:p w14:paraId="359E635D" w14:textId="77777777" w:rsidR="003C412A" w:rsidRPr="00D87AA9" w:rsidRDefault="003C412A" w:rsidP="004C6DAF">
            <w:pPr>
              <w:pStyle w:val="TableBodyText"/>
              <w:jc w:val="both"/>
            </w:pPr>
          </w:p>
        </w:tc>
      </w:tr>
      <w:tr w:rsidR="003C412A" w:rsidRPr="00D87AA9" w14:paraId="7A3C4217" w14:textId="77777777" w:rsidTr="00944F80">
        <w:tc>
          <w:tcPr>
            <w:tcW w:w="2268" w:type="dxa"/>
          </w:tcPr>
          <w:p w14:paraId="51B89C5A" w14:textId="77777777" w:rsidR="003C412A" w:rsidRPr="00436A2C" w:rsidRDefault="003C412A" w:rsidP="004C6DAF">
            <w:pPr>
              <w:pStyle w:val="TableBodyText"/>
              <w:jc w:val="left"/>
              <w:rPr>
                <w:b/>
              </w:rPr>
            </w:pPr>
            <w:r w:rsidRPr="00436A2C">
              <w:rPr>
                <w:b/>
              </w:rPr>
              <w:t>Regional</w:t>
            </w:r>
          </w:p>
        </w:tc>
        <w:tc>
          <w:tcPr>
            <w:tcW w:w="6521" w:type="dxa"/>
          </w:tcPr>
          <w:p w14:paraId="3252F87F" w14:textId="77777777" w:rsidR="003C412A" w:rsidRDefault="003C412A" w:rsidP="004C6DAF">
            <w:pPr>
              <w:pStyle w:val="TableBodyText"/>
              <w:jc w:val="both"/>
            </w:pPr>
            <w:r w:rsidRPr="00D87AA9">
              <w:t>See ‘remoteness areas’.</w:t>
            </w:r>
          </w:p>
          <w:p w14:paraId="3413E4C6" w14:textId="77777777" w:rsidR="003C412A" w:rsidRPr="00D87AA9" w:rsidRDefault="003C412A" w:rsidP="004C6DAF">
            <w:pPr>
              <w:pStyle w:val="TableBodyText"/>
              <w:jc w:val="both"/>
            </w:pPr>
          </w:p>
        </w:tc>
      </w:tr>
      <w:tr w:rsidR="003C412A" w:rsidRPr="00D87AA9" w14:paraId="74DDB694" w14:textId="77777777" w:rsidTr="00944F80">
        <w:tc>
          <w:tcPr>
            <w:tcW w:w="2268" w:type="dxa"/>
          </w:tcPr>
          <w:p w14:paraId="74C0551A" w14:textId="77777777" w:rsidR="003C412A" w:rsidRPr="00436A2C" w:rsidRDefault="003C412A" w:rsidP="004C6DAF">
            <w:pPr>
              <w:pStyle w:val="TableBodyText"/>
              <w:jc w:val="left"/>
              <w:rPr>
                <w:b/>
              </w:rPr>
            </w:pPr>
            <w:r w:rsidRPr="00436A2C">
              <w:rPr>
                <w:b/>
              </w:rPr>
              <w:t xml:space="preserve">Relative </w:t>
            </w:r>
            <w:r w:rsidR="00A51293" w:rsidRPr="00A51293">
              <w:rPr>
                <w:b/>
              </w:rPr>
              <w:t>Aboriginal and Torres Strait Islander</w:t>
            </w:r>
            <w:r w:rsidR="00A51293" w:rsidRPr="00436A2C">
              <w:rPr>
                <w:b/>
              </w:rPr>
              <w:t xml:space="preserve"> </w:t>
            </w:r>
            <w:r w:rsidRPr="00436A2C">
              <w:rPr>
                <w:b/>
              </w:rPr>
              <w:t>disadvantage</w:t>
            </w:r>
          </w:p>
        </w:tc>
        <w:tc>
          <w:tcPr>
            <w:tcW w:w="6521" w:type="dxa"/>
          </w:tcPr>
          <w:p w14:paraId="118DC441" w14:textId="77777777" w:rsidR="003C412A" w:rsidRDefault="003C412A" w:rsidP="004C6DAF">
            <w:pPr>
              <w:pStyle w:val="TableBodyText"/>
              <w:jc w:val="both"/>
            </w:pPr>
            <w:r>
              <w:t xml:space="preserve">Relative </w:t>
            </w:r>
            <w:r w:rsidR="00A51293">
              <w:t xml:space="preserve">Aboriginal and Torres Strait Islander </w:t>
            </w:r>
            <w:r>
              <w:t xml:space="preserve">disadvantage is measured by comparing the rate of </w:t>
            </w:r>
            <w:r w:rsidR="00A51293">
              <w:t xml:space="preserve">Aboriginal and Torres Strait Islander </w:t>
            </w:r>
            <w:r>
              <w:t xml:space="preserve">disadvantage (for example, the proportion of </w:t>
            </w:r>
            <w:r w:rsidR="00A51293">
              <w:t xml:space="preserve">Aboriginal and Torres Strait Islander </w:t>
            </w:r>
            <w:r>
              <w:t>people reporting they do not have a non-school qualification) with the rate for the non-Indigenous population. See ‘rate ratio’.</w:t>
            </w:r>
          </w:p>
          <w:p w14:paraId="06AEA432" w14:textId="77777777" w:rsidR="003C412A" w:rsidRPr="00D87AA9" w:rsidRDefault="003C412A" w:rsidP="004C6DAF">
            <w:pPr>
              <w:pStyle w:val="TableBodyText"/>
              <w:jc w:val="both"/>
            </w:pPr>
          </w:p>
        </w:tc>
      </w:tr>
      <w:tr w:rsidR="003C412A" w:rsidRPr="00D87AA9" w14:paraId="6467D62E" w14:textId="77777777" w:rsidTr="00944F80">
        <w:tc>
          <w:tcPr>
            <w:tcW w:w="2268" w:type="dxa"/>
          </w:tcPr>
          <w:p w14:paraId="78B2303E" w14:textId="77777777" w:rsidR="003C412A" w:rsidRPr="00436A2C" w:rsidRDefault="003C412A" w:rsidP="004C6DAF">
            <w:pPr>
              <w:pStyle w:val="TableBodyText"/>
              <w:jc w:val="left"/>
              <w:rPr>
                <w:b/>
              </w:rPr>
            </w:pPr>
            <w:r w:rsidRPr="00436A2C">
              <w:rPr>
                <w:b/>
              </w:rPr>
              <w:t>Relative standard error (</w:t>
            </w:r>
            <w:proofErr w:type="spellStart"/>
            <w:r w:rsidRPr="00436A2C">
              <w:rPr>
                <w:b/>
              </w:rPr>
              <w:t>RSE</w:t>
            </w:r>
            <w:proofErr w:type="spellEnd"/>
            <w:r w:rsidRPr="00436A2C">
              <w:rPr>
                <w:b/>
              </w:rPr>
              <w:t>)</w:t>
            </w:r>
          </w:p>
        </w:tc>
        <w:tc>
          <w:tcPr>
            <w:tcW w:w="6521" w:type="dxa"/>
          </w:tcPr>
          <w:p w14:paraId="66F1AAB0" w14:textId="77777777" w:rsidR="003C412A" w:rsidRDefault="003C412A" w:rsidP="004C6DAF">
            <w:pPr>
              <w:pStyle w:val="TableBodyText"/>
              <w:jc w:val="both"/>
            </w:pPr>
            <w:r w:rsidRPr="004C74F3">
              <w:t>The relative standard error (</w:t>
            </w:r>
            <w:proofErr w:type="spellStart"/>
            <w:r w:rsidRPr="004C74F3">
              <w:t>RSE</w:t>
            </w:r>
            <w:proofErr w:type="spellEnd"/>
            <w:r w:rsidRPr="004C74F3">
              <w:t xml:space="preserve">) of a survey data estimate is a measure of the reliability of the estimate and depends on both the number of people giving a particular answer in the survey and the size of the population. The </w:t>
            </w:r>
            <w:proofErr w:type="spellStart"/>
            <w:r w:rsidRPr="004C74F3">
              <w:t>RSE</w:t>
            </w:r>
            <w:proofErr w:type="spellEnd"/>
            <w:r w:rsidRPr="004C74F3">
              <w:t xml:space="preserve"> is expressed as a percentage of the estimate. The higher the </w:t>
            </w:r>
            <w:proofErr w:type="spellStart"/>
            <w:r w:rsidRPr="004C74F3">
              <w:t>RSE</w:t>
            </w:r>
            <w:proofErr w:type="spellEnd"/>
            <w:r w:rsidRPr="004C74F3">
              <w:t>, the less reliable the estimate. Relative standard errors for survey estimates are included in the attachment tables. See also ‘statistical significance’.</w:t>
            </w:r>
          </w:p>
          <w:p w14:paraId="602E1EFE" w14:textId="77777777" w:rsidR="003C412A" w:rsidRPr="00D87AA9" w:rsidRDefault="003C412A" w:rsidP="004C6DAF">
            <w:pPr>
              <w:pStyle w:val="TableBodyText"/>
              <w:jc w:val="both"/>
            </w:pPr>
          </w:p>
        </w:tc>
      </w:tr>
      <w:tr w:rsidR="003C412A" w:rsidRPr="00D87AA9" w14:paraId="40DAC601" w14:textId="77777777" w:rsidTr="00944F80">
        <w:tc>
          <w:tcPr>
            <w:tcW w:w="2268" w:type="dxa"/>
          </w:tcPr>
          <w:p w14:paraId="7E908FBA" w14:textId="77777777" w:rsidR="003C412A" w:rsidRPr="00436A2C" w:rsidRDefault="003C412A" w:rsidP="004C6DAF">
            <w:pPr>
              <w:pStyle w:val="TableBodyText"/>
              <w:jc w:val="left"/>
              <w:rPr>
                <w:b/>
              </w:rPr>
            </w:pPr>
            <w:r w:rsidRPr="00436A2C">
              <w:rPr>
                <w:b/>
              </w:rPr>
              <w:t>Remote</w:t>
            </w:r>
          </w:p>
        </w:tc>
        <w:tc>
          <w:tcPr>
            <w:tcW w:w="6521" w:type="dxa"/>
          </w:tcPr>
          <w:p w14:paraId="0AE6DDCA" w14:textId="77777777" w:rsidR="003C412A" w:rsidRDefault="003C412A" w:rsidP="004C6DAF">
            <w:pPr>
              <w:pStyle w:val="TableBodyText"/>
              <w:jc w:val="both"/>
            </w:pPr>
            <w:r w:rsidRPr="00D87AA9">
              <w:t>See ‘remoteness areas’.</w:t>
            </w:r>
          </w:p>
          <w:p w14:paraId="55D754BD" w14:textId="77777777" w:rsidR="003C412A" w:rsidRPr="00D87AA9" w:rsidRDefault="003C412A" w:rsidP="004C6DAF">
            <w:pPr>
              <w:pStyle w:val="TableBodyText"/>
              <w:jc w:val="both"/>
            </w:pPr>
          </w:p>
        </w:tc>
      </w:tr>
      <w:tr w:rsidR="003C412A" w:rsidRPr="00D87AA9" w14:paraId="4E335A19" w14:textId="77777777" w:rsidTr="00944F80">
        <w:tc>
          <w:tcPr>
            <w:tcW w:w="2268" w:type="dxa"/>
          </w:tcPr>
          <w:p w14:paraId="23EAEB0F" w14:textId="77777777" w:rsidR="003C412A" w:rsidRPr="00436A2C" w:rsidRDefault="003C412A" w:rsidP="004C6DAF">
            <w:pPr>
              <w:pStyle w:val="TableBodyText"/>
              <w:jc w:val="left"/>
              <w:rPr>
                <w:b/>
              </w:rPr>
            </w:pPr>
            <w:r w:rsidRPr="00436A2C">
              <w:rPr>
                <w:b/>
              </w:rPr>
              <w:t>Remoteness</w:t>
            </w:r>
          </w:p>
        </w:tc>
        <w:tc>
          <w:tcPr>
            <w:tcW w:w="6521" w:type="dxa"/>
          </w:tcPr>
          <w:p w14:paraId="064857FF" w14:textId="77777777" w:rsidR="003C412A" w:rsidRDefault="003C412A" w:rsidP="004C6DAF">
            <w:pPr>
              <w:pStyle w:val="TableBodyText"/>
              <w:jc w:val="both"/>
            </w:pPr>
            <w:r w:rsidRPr="00D87AA9">
              <w:t>See ‘remoteness areas’.</w:t>
            </w:r>
          </w:p>
          <w:p w14:paraId="2064984C" w14:textId="77777777" w:rsidR="003C412A" w:rsidRPr="00D87AA9" w:rsidRDefault="003C412A" w:rsidP="004C6DAF">
            <w:pPr>
              <w:pStyle w:val="TableBodyText"/>
              <w:jc w:val="both"/>
            </w:pPr>
          </w:p>
        </w:tc>
      </w:tr>
      <w:tr w:rsidR="003C412A" w:rsidRPr="00D87AA9" w14:paraId="7B58F52A" w14:textId="77777777" w:rsidTr="006F24C5">
        <w:trPr>
          <w:trHeight w:val="4466"/>
        </w:trPr>
        <w:tc>
          <w:tcPr>
            <w:tcW w:w="2268" w:type="dxa"/>
          </w:tcPr>
          <w:p w14:paraId="23145DA8" w14:textId="77777777" w:rsidR="003C412A" w:rsidRPr="00436A2C" w:rsidRDefault="003C412A" w:rsidP="004C6DAF">
            <w:pPr>
              <w:pStyle w:val="TableBodyText"/>
              <w:jc w:val="left"/>
              <w:rPr>
                <w:b/>
              </w:rPr>
            </w:pPr>
            <w:r w:rsidRPr="00436A2C">
              <w:rPr>
                <w:b/>
              </w:rPr>
              <w:lastRenderedPageBreak/>
              <w:t>Remoteness areas</w:t>
            </w:r>
          </w:p>
        </w:tc>
        <w:tc>
          <w:tcPr>
            <w:tcW w:w="6521" w:type="dxa"/>
          </w:tcPr>
          <w:p w14:paraId="5F59B113" w14:textId="0664C7D7" w:rsidR="00925AB3" w:rsidRPr="00925AB3" w:rsidRDefault="00925AB3" w:rsidP="00925AB3">
            <w:pPr>
              <w:pStyle w:val="TableBodyText"/>
              <w:jc w:val="both"/>
            </w:pPr>
            <w:r w:rsidRPr="00925AB3">
              <w:t>Remoteness areas are defined in the Australian Statistical Geograph</w:t>
            </w:r>
            <w:r w:rsidR="001F37A7">
              <w:t>y</w:t>
            </w:r>
            <w:r w:rsidRPr="00925AB3">
              <w:t xml:space="preserve"> Standard (</w:t>
            </w:r>
            <w:proofErr w:type="spellStart"/>
            <w:r w:rsidRPr="00925AB3">
              <w:t>ASGS</w:t>
            </w:r>
            <w:proofErr w:type="spellEnd"/>
            <w:r w:rsidRPr="00925AB3">
              <w:t>) developed by the ABS.</w:t>
            </w:r>
            <w:r>
              <w:rPr>
                <w:rStyle w:val="FootnoteReference"/>
              </w:rPr>
              <w:footnoteReference w:id="5"/>
            </w:r>
            <w:r w:rsidRPr="00925AB3">
              <w:t xml:space="preserve"> The </w:t>
            </w:r>
            <w:proofErr w:type="spellStart"/>
            <w:r w:rsidRPr="00925AB3">
              <w:t>ASGS</w:t>
            </w:r>
            <w:proofErr w:type="spellEnd"/>
            <w:r w:rsidRPr="00925AB3">
              <w:t xml:space="preserve"> remoteness classification identifies a place in Australia as having a particular degree of remoteness. The remoteness of each place is determined using the Accessibility/Remoteness Index of Australia (ARIA). The ABS generates an average ARIA score for each location based on its </w:t>
            </w:r>
            <w:r w:rsidR="00844DDF">
              <w:t xml:space="preserve">road </w:t>
            </w:r>
            <w:r w:rsidRPr="00925AB3">
              <w:t xml:space="preserve">distance </w:t>
            </w:r>
            <w:r w:rsidR="00844DDF">
              <w:t>to urban</w:t>
            </w:r>
            <w:r w:rsidRPr="00925AB3">
              <w:t xml:space="preserve"> centres. Locations are then added together to form the remoteness areas in each State and Territory. Remoteness areas comprise the following six categories: </w:t>
            </w:r>
          </w:p>
          <w:p w14:paraId="0EEB04D7" w14:textId="77777777" w:rsidR="00925AB3" w:rsidRPr="00925AB3" w:rsidRDefault="00925AB3" w:rsidP="00925AB3">
            <w:pPr>
              <w:pStyle w:val="TableBodyText"/>
              <w:jc w:val="both"/>
            </w:pPr>
            <w:r w:rsidRPr="00925AB3">
              <w:t xml:space="preserve">• major cities of Australia </w:t>
            </w:r>
          </w:p>
          <w:p w14:paraId="692564E6" w14:textId="77777777" w:rsidR="00925AB3" w:rsidRPr="00925AB3" w:rsidRDefault="00925AB3" w:rsidP="00925AB3">
            <w:pPr>
              <w:pStyle w:val="TableBodyText"/>
              <w:jc w:val="both"/>
            </w:pPr>
            <w:r w:rsidRPr="00925AB3">
              <w:t xml:space="preserve">• inner regional Australia </w:t>
            </w:r>
          </w:p>
          <w:p w14:paraId="5A9CBF9E" w14:textId="77777777" w:rsidR="00925AB3" w:rsidRPr="00925AB3" w:rsidRDefault="00925AB3" w:rsidP="00925AB3">
            <w:pPr>
              <w:pStyle w:val="TableBodyText"/>
              <w:jc w:val="both"/>
            </w:pPr>
            <w:r w:rsidRPr="00925AB3">
              <w:t xml:space="preserve">• outer regional Australia </w:t>
            </w:r>
          </w:p>
          <w:p w14:paraId="4A6FF819" w14:textId="77777777" w:rsidR="00925AB3" w:rsidRPr="00925AB3" w:rsidRDefault="00925AB3" w:rsidP="00925AB3">
            <w:pPr>
              <w:pStyle w:val="TableBodyText"/>
              <w:jc w:val="both"/>
            </w:pPr>
            <w:r w:rsidRPr="00925AB3">
              <w:t xml:space="preserve">• remote Australia </w:t>
            </w:r>
          </w:p>
          <w:p w14:paraId="448DBFE8" w14:textId="77777777" w:rsidR="00925AB3" w:rsidRPr="00925AB3" w:rsidRDefault="00925AB3" w:rsidP="00925AB3">
            <w:pPr>
              <w:pStyle w:val="TableBodyText"/>
              <w:jc w:val="both"/>
            </w:pPr>
            <w:r w:rsidRPr="00925AB3">
              <w:t xml:space="preserve">• very remote Australia </w:t>
            </w:r>
          </w:p>
          <w:p w14:paraId="0D08058B" w14:textId="77777777" w:rsidR="00925AB3" w:rsidRPr="00925AB3" w:rsidRDefault="00925AB3" w:rsidP="00925AB3">
            <w:pPr>
              <w:pStyle w:val="TableBodyText"/>
              <w:jc w:val="both"/>
            </w:pPr>
            <w:r w:rsidRPr="00925AB3">
              <w:t xml:space="preserve">• migratory regions (comprising off-shore, shipping and migratory places). </w:t>
            </w:r>
          </w:p>
          <w:p w14:paraId="07C96C4F" w14:textId="77777777" w:rsidR="00925AB3" w:rsidRPr="00925AB3" w:rsidRDefault="00925AB3" w:rsidP="00925AB3">
            <w:pPr>
              <w:pStyle w:val="TableBodyText"/>
              <w:jc w:val="both"/>
            </w:pPr>
          </w:p>
          <w:p w14:paraId="554CB8C3" w14:textId="77777777" w:rsidR="003C412A" w:rsidRPr="00D87AA9" w:rsidRDefault="00925AB3" w:rsidP="00925AB3">
            <w:pPr>
              <w:pStyle w:val="TableBodyText"/>
              <w:jc w:val="both"/>
            </w:pPr>
            <w:r w:rsidRPr="00925AB3">
              <w:t xml:space="preserve">The aim of the </w:t>
            </w:r>
            <w:proofErr w:type="spellStart"/>
            <w:r w:rsidRPr="00925AB3">
              <w:t>ASGS</w:t>
            </w:r>
            <w:proofErr w:type="spellEnd"/>
            <w:r w:rsidRPr="00925AB3">
              <w:t xml:space="preserve"> remoteness structure is not to provide a measure of the remoteness of a particular location but to divide Australia into five broad categories (excluding migratory regions) of remoteness for comparative statistical purposes.</w:t>
            </w:r>
            <w:r>
              <w:rPr>
                <w:sz w:val="23"/>
                <w:szCs w:val="23"/>
              </w:rPr>
              <w:t xml:space="preserve"> </w:t>
            </w:r>
          </w:p>
        </w:tc>
      </w:tr>
      <w:tr w:rsidR="003C412A" w:rsidRPr="00D87AA9" w14:paraId="29CE3766" w14:textId="77777777" w:rsidTr="00944F80">
        <w:tc>
          <w:tcPr>
            <w:tcW w:w="2268" w:type="dxa"/>
          </w:tcPr>
          <w:p w14:paraId="1EC254C8" w14:textId="77777777" w:rsidR="003C412A" w:rsidRPr="00436A2C" w:rsidRDefault="003C412A" w:rsidP="004C6DAF">
            <w:pPr>
              <w:pStyle w:val="TableBodyText"/>
              <w:jc w:val="left"/>
              <w:rPr>
                <w:b/>
              </w:rPr>
            </w:pPr>
            <w:r w:rsidRPr="00436A2C">
              <w:rPr>
                <w:b/>
              </w:rPr>
              <w:t>Statistical significance</w:t>
            </w:r>
          </w:p>
        </w:tc>
        <w:tc>
          <w:tcPr>
            <w:tcW w:w="6521" w:type="dxa"/>
          </w:tcPr>
          <w:p w14:paraId="203B2E56" w14:textId="77777777" w:rsidR="003C412A" w:rsidRDefault="003C412A" w:rsidP="004C6DAF">
            <w:pPr>
              <w:pStyle w:val="TableBodyText"/>
              <w:jc w:val="both"/>
            </w:pPr>
            <w:r>
              <w:t xml:space="preserve">Statistical significance is a measure of the degree of difference between survey data estimates. The potential for sampling error — that is, the error that occurs by chance because the data are obtained from only a sample and not the entire population — means that reported responses may not indicate the true responses. </w:t>
            </w:r>
          </w:p>
          <w:p w14:paraId="196D5D21" w14:textId="77777777" w:rsidR="003C412A" w:rsidRDefault="003C412A" w:rsidP="004C6DAF">
            <w:pPr>
              <w:pStyle w:val="TableBodyText"/>
              <w:jc w:val="both"/>
            </w:pPr>
            <w:r>
              <w:t>Using the relative standard errors (</w:t>
            </w:r>
            <w:proofErr w:type="spellStart"/>
            <w:r>
              <w:t>RSE</w:t>
            </w:r>
            <w:proofErr w:type="spellEnd"/>
            <w:r>
              <w:t>) of survey data estimates, it is possible to use a formula to test whether the difference is statistically significant. If there is an overlap between confidence intervals for different data items, it cannot be stated for certain that there is a statistically significant difference between the results. See ‘variability bands’ and ‘relative standard error’.</w:t>
            </w:r>
          </w:p>
          <w:p w14:paraId="139A8432" w14:textId="77777777" w:rsidR="003C412A" w:rsidRDefault="003C412A" w:rsidP="004C6DAF">
            <w:pPr>
              <w:pStyle w:val="TableBodyText"/>
              <w:jc w:val="both"/>
            </w:pPr>
          </w:p>
        </w:tc>
      </w:tr>
      <w:tr w:rsidR="003C412A" w:rsidRPr="00D87AA9" w14:paraId="3C2D680A" w14:textId="77777777" w:rsidTr="00944F80">
        <w:tc>
          <w:tcPr>
            <w:tcW w:w="2268" w:type="dxa"/>
          </w:tcPr>
          <w:p w14:paraId="67301799" w14:textId="77777777" w:rsidR="003C412A" w:rsidRPr="00436A2C" w:rsidRDefault="003C412A" w:rsidP="004C6DAF">
            <w:pPr>
              <w:pStyle w:val="TableBodyText"/>
              <w:jc w:val="left"/>
              <w:rPr>
                <w:b/>
              </w:rPr>
            </w:pPr>
            <w:r w:rsidRPr="00436A2C">
              <w:rPr>
                <w:b/>
              </w:rPr>
              <w:t>Torres Strait Islander people</w:t>
            </w:r>
          </w:p>
        </w:tc>
        <w:tc>
          <w:tcPr>
            <w:tcW w:w="6521" w:type="dxa"/>
          </w:tcPr>
          <w:p w14:paraId="3B0636BA" w14:textId="77777777" w:rsidR="003C412A" w:rsidRDefault="003C412A" w:rsidP="004C6DAF">
            <w:pPr>
              <w:pStyle w:val="TableBodyText"/>
              <w:jc w:val="both"/>
            </w:pPr>
            <w:r w:rsidRPr="00D87AA9">
              <w:t>People identified as being of Torres Strait Islander origin. May also include people who identify as being of both Torres Strait Islander and Aboriginal origin.</w:t>
            </w:r>
          </w:p>
          <w:p w14:paraId="786E57DB" w14:textId="77777777" w:rsidR="003C412A" w:rsidRPr="00D87AA9" w:rsidRDefault="003C412A" w:rsidP="004C6DAF">
            <w:pPr>
              <w:pStyle w:val="TableBodyText"/>
              <w:jc w:val="both"/>
            </w:pPr>
          </w:p>
        </w:tc>
      </w:tr>
      <w:tr w:rsidR="003C412A" w:rsidRPr="00D87AA9" w14:paraId="28778EBA" w14:textId="77777777" w:rsidTr="00944F80">
        <w:tc>
          <w:tcPr>
            <w:tcW w:w="2268" w:type="dxa"/>
          </w:tcPr>
          <w:p w14:paraId="34FD2EA9" w14:textId="77777777" w:rsidR="003C412A" w:rsidRPr="00436A2C" w:rsidRDefault="003C412A" w:rsidP="004C6DAF">
            <w:pPr>
              <w:pStyle w:val="TableBodyText"/>
              <w:jc w:val="left"/>
              <w:rPr>
                <w:b/>
              </w:rPr>
            </w:pPr>
            <w:r w:rsidRPr="00436A2C">
              <w:rPr>
                <w:b/>
              </w:rPr>
              <w:t>Variability bands</w:t>
            </w:r>
          </w:p>
        </w:tc>
        <w:tc>
          <w:tcPr>
            <w:tcW w:w="6521" w:type="dxa"/>
          </w:tcPr>
          <w:p w14:paraId="6FF3D9DD" w14:textId="77777777" w:rsidR="003C412A" w:rsidRDefault="003C412A" w:rsidP="004C6DAF">
            <w:pPr>
              <w:pStyle w:val="TableBodyText"/>
              <w:jc w:val="both"/>
            </w:pPr>
            <w:r w:rsidRPr="00D52652">
              <w:t xml:space="preserve">In the NAs a variability band gives a range of values which is very likely to contain the true unknown rate. Variability bands accompanying mortality data should be used for the purposes of comparisons at a point in time </w:t>
            </w:r>
            <w:r>
              <w:t>or</w:t>
            </w:r>
            <w:r w:rsidRPr="00D52652">
              <w:t xml:space="preserve"> over time (within a jurisdiction). They should not be used for comparing mortality rates at a single point in time </w:t>
            </w:r>
            <w:r>
              <w:t>across</w:t>
            </w:r>
            <w:r w:rsidRPr="00D52652">
              <w:t xml:space="preserve"> jurisdictions as the variability bands and mortality rates do not take into account differences in under-identification of </w:t>
            </w:r>
            <w:r w:rsidR="00B52185">
              <w:t>Aboriginal and Torres Strait Islander</w:t>
            </w:r>
            <w:r w:rsidR="00B52185" w:rsidRPr="00D52652">
              <w:t xml:space="preserve"> </w:t>
            </w:r>
            <w:r w:rsidRPr="00D52652">
              <w:t xml:space="preserve">deaths </w:t>
            </w:r>
            <w:r>
              <w:t>across</w:t>
            </w:r>
            <w:r w:rsidRPr="00D52652">
              <w:t xml:space="preserve"> jurisdictions.</w:t>
            </w:r>
          </w:p>
          <w:p w14:paraId="78F9F6A2" w14:textId="77777777" w:rsidR="003C412A" w:rsidRPr="002009A3" w:rsidRDefault="003C412A" w:rsidP="004C6DAF">
            <w:pPr>
              <w:pStyle w:val="TableBodyText"/>
              <w:jc w:val="both"/>
            </w:pPr>
          </w:p>
        </w:tc>
      </w:tr>
      <w:tr w:rsidR="003C412A" w14:paraId="63717257" w14:textId="77777777" w:rsidTr="00944F80">
        <w:tc>
          <w:tcPr>
            <w:tcW w:w="2268" w:type="dxa"/>
          </w:tcPr>
          <w:p w14:paraId="0DAB4260" w14:textId="77777777" w:rsidR="003C412A" w:rsidRPr="00436A2C" w:rsidRDefault="003C412A" w:rsidP="004C6DAF">
            <w:pPr>
              <w:pStyle w:val="TableBodyText"/>
              <w:jc w:val="left"/>
              <w:rPr>
                <w:b/>
              </w:rPr>
            </w:pPr>
            <w:r w:rsidRPr="00436A2C">
              <w:rPr>
                <w:b/>
              </w:rPr>
              <w:t>Very remote</w:t>
            </w:r>
          </w:p>
        </w:tc>
        <w:tc>
          <w:tcPr>
            <w:tcW w:w="6521" w:type="dxa"/>
          </w:tcPr>
          <w:p w14:paraId="7E1E1751" w14:textId="77777777" w:rsidR="003C412A" w:rsidRDefault="003C412A" w:rsidP="004C6DAF">
            <w:pPr>
              <w:pStyle w:val="TableBodyText"/>
              <w:jc w:val="both"/>
            </w:pPr>
            <w:r w:rsidRPr="00D87AA9">
              <w:t>See ‘remoteness areas’.</w:t>
            </w:r>
          </w:p>
        </w:tc>
      </w:tr>
    </w:tbl>
    <w:p w14:paraId="123C4D73" w14:textId="77777777" w:rsidR="003C412A" w:rsidRPr="000431ED" w:rsidRDefault="003C412A" w:rsidP="003C412A"/>
    <w:p w14:paraId="2E73E016" w14:textId="77777777" w:rsidR="003C412A" w:rsidRPr="003C412A" w:rsidRDefault="003C412A" w:rsidP="003C412A">
      <w:pPr>
        <w:pStyle w:val="BodyText"/>
        <w:rPr>
          <w:rFonts w:ascii="Arial" w:hAnsi="Arial"/>
          <w:sz w:val="20"/>
        </w:rPr>
      </w:pPr>
    </w:p>
    <w:sectPr w:rsidR="003C412A" w:rsidRPr="003C412A" w:rsidSect="00217FEB">
      <w:headerReference w:type="even" r:id="rId8"/>
      <w:headerReference w:type="default" r:id="rId9"/>
      <w:footerReference w:type="even" r:id="rId10"/>
      <w:footerReference w:type="default" r:id="rId11"/>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5AE6A5" w14:textId="77777777" w:rsidR="0040006D" w:rsidRDefault="0040006D">
      <w:r>
        <w:separator/>
      </w:r>
    </w:p>
  </w:endnote>
  <w:endnote w:type="continuationSeparator" w:id="0">
    <w:p w14:paraId="591C8A5C" w14:textId="77777777" w:rsidR="0040006D" w:rsidRDefault="00400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0006D" w14:paraId="7B53F04F" w14:textId="77777777" w:rsidTr="005F48ED">
      <w:trPr>
        <w:trHeight w:hRule="exact" w:val="567"/>
      </w:trPr>
      <w:tc>
        <w:tcPr>
          <w:tcW w:w="510" w:type="dxa"/>
        </w:tcPr>
        <w:p w14:paraId="4A4BFBCD" w14:textId="77777777" w:rsidR="0040006D" w:rsidRPr="00A24443" w:rsidRDefault="0040006D"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97CDB">
            <w:rPr>
              <w:rStyle w:val="PageNumber"/>
              <w:caps w:val="0"/>
              <w:noProof/>
            </w:rPr>
            <w:t>20</w:t>
          </w:r>
          <w:r w:rsidRPr="00A24443">
            <w:rPr>
              <w:rStyle w:val="PageNumber"/>
              <w:caps w:val="0"/>
            </w:rPr>
            <w:fldChar w:fldCharType="end"/>
          </w:r>
        </w:p>
      </w:tc>
      <w:tc>
        <w:tcPr>
          <w:tcW w:w="7767" w:type="dxa"/>
        </w:tcPr>
        <w:p w14:paraId="6007C44F" w14:textId="2D7DC10B" w:rsidR="0040006D" w:rsidRPr="0013739A" w:rsidRDefault="0040006D" w:rsidP="00166183">
          <w:pPr>
            <w:pStyle w:val="Footer"/>
            <w:rPr>
              <w:rFonts w:cs="Arial"/>
            </w:rPr>
          </w:pPr>
          <w:proofErr w:type="spellStart"/>
          <w:r>
            <w:rPr>
              <w:rFonts w:cs="Arial"/>
            </w:rPr>
            <w:t>SCRGSP</w:t>
          </w:r>
          <w:proofErr w:type="spellEnd"/>
          <w:r>
            <w:rPr>
              <w:rFonts w:cs="Arial"/>
            </w:rPr>
            <w:t xml:space="preserve"> REPORT DECEMBER 2018</w:t>
          </w:r>
        </w:p>
      </w:tc>
      <w:tc>
        <w:tcPr>
          <w:tcW w:w="510" w:type="dxa"/>
        </w:tcPr>
        <w:p w14:paraId="2502E690" w14:textId="77777777" w:rsidR="0040006D" w:rsidRDefault="0040006D" w:rsidP="0019293B">
          <w:pPr>
            <w:pStyle w:val="Footer"/>
          </w:pPr>
        </w:p>
      </w:tc>
    </w:tr>
  </w:tbl>
  <w:p w14:paraId="5E370A46" w14:textId="77777777" w:rsidR="0040006D" w:rsidRDefault="0040006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0006D" w14:paraId="13184B9C" w14:textId="77777777" w:rsidTr="005F48ED">
      <w:trPr>
        <w:trHeight w:hRule="exact" w:val="567"/>
      </w:trPr>
      <w:tc>
        <w:tcPr>
          <w:tcW w:w="510" w:type="dxa"/>
        </w:tcPr>
        <w:p w14:paraId="7ADB2052" w14:textId="77777777" w:rsidR="0040006D" w:rsidRDefault="0040006D">
          <w:pPr>
            <w:pStyle w:val="Footer"/>
            <w:ind w:right="360" w:firstLine="360"/>
          </w:pPr>
        </w:p>
      </w:tc>
      <w:tc>
        <w:tcPr>
          <w:tcW w:w="7767" w:type="dxa"/>
        </w:tcPr>
        <w:p w14:paraId="4373EF3D" w14:textId="77777777" w:rsidR="0040006D" w:rsidRPr="00BA5B14" w:rsidRDefault="0040006D" w:rsidP="00B2369F">
          <w:pPr>
            <w:pStyle w:val="Footer"/>
            <w:jc w:val="right"/>
            <w:rPr>
              <w:rFonts w:cs="Arial"/>
            </w:rPr>
          </w:pPr>
          <w:r>
            <w:rPr>
              <w:rFonts w:cs="Arial"/>
            </w:rPr>
            <w:t xml:space="preserve">Indigenous reform </w:t>
          </w:r>
          <w:bookmarkStart w:id="29" w:name="DraftReportOdd"/>
          <w:bookmarkEnd w:id="29"/>
        </w:p>
      </w:tc>
      <w:tc>
        <w:tcPr>
          <w:tcW w:w="510" w:type="dxa"/>
        </w:tcPr>
        <w:p w14:paraId="51ADC981" w14:textId="77777777" w:rsidR="0040006D" w:rsidRPr="00A24443" w:rsidRDefault="0040006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97CDB">
            <w:rPr>
              <w:rStyle w:val="PageNumber"/>
              <w:caps w:val="0"/>
              <w:noProof/>
            </w:rPr>
            <w:t>21</w:t>
          </w:r>
          <w:r w:rsidRPr="00A24443">
            <w:rPr>
              <w:rStyle w:val="PageNumber"/>
              <w:caps w:val="0"/>
            </w:rPr>
            <w:fldChar w:fldCharType="end"/>
          </w:r>
        </w:p>
      </w:tc>
    </w:tr>
  </w:tbl>
  <w:p w14:paraId="261948CF" w14:textId="77777777" w:rsidR="0040006D" w:rsidRDefault="0040006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F96902" w14:textId="77777777" w:rsidR="0040006D" w:rsidRDefault="0040006D">
      <w:r>
        <w:separator/>
      </w:r>
    </w:p>
  </w:footnote>
  <w:footnote w:type="continuationSeparator" w:id="0">
    <w:p w14:paraId="4C1782B3" w14:textId="77777777" w:rsidR="0040006D" w:rsidRDefault="0040006D">
      <w:r>
        <w:continuationSeparator/>
      </w:r>
    </w:p>
  </w:footnote>
  <w:footnote w:id="1">
    <w:p w14:paraId="156D1311" w14:textId="5787F2F7" w:rsidR="0040006D" w:rsidRDefault="0040006D">
      <w:pPr>
        <w:pStyle w:val="FootnoteText"/>
      </w:pPr>
      <w:r>
        <w:rPr>
          <w:rStyle w:val="FootnoteReference"/>
        </w:rPr>
        <w:footnoteRef/>
      </w:r>
      <w:r>
        <w:t xml:space="preserve"> Information related to COAG is as at early December. Outcomes from the next meeting of COAG scheduled for 12 December 2018 will not be available in time for inclusion in this Report.</w:t>
      </w:r>
    </w:p>
  </w:footnote>
  <w:footnote w:id="2">
    <w:p w14:paraId="66D04F5C" w14:textId="77777777" w:rsidR="0040006D" w:rsidRPr="0033163A" w:rsidRDefault="0040006D" w:rsidP="007D6965">
      <w:pPr>
        <w:pStyle w:val="FootnoteText"/>
        <w:rPr>
          <w:sz w:val="18"/>
          <w:szCs w:val="18"/>
        </w:rPr>
      </w:pPr>
      <w:r w:rsidRPr="0033163A">
        <w:rPr>
          <w:rStyle w:val="FootnoteReference"/>
          <w:sz w:val="18"/>
          <w:szCs w:val="18"/>
        </w:rPr>
        <w:footnoteRef/>
      </w:r>
      <w:r w:rsidRPr="0033163A">
        <w:rPr>
          <w:sz w:val="18"/>
          <w:szCs w:val="18"/>
        </w:rPr>
        <w:t xml:space="preserve"> See National Standards for School Atten</w:t>
      </w:r>
      <w:r>
        <w:rPr>
          <w:sz w:val="18"/>
          <w:szCs w:val="18"/>
        </w:rPr>
        <w:t>dance Data Reporting Section 6.8</w:t>
      </w:r>
    </w:p>
  </w:footnote>
  <w:footnote w:id="3">
    <w:p w14:paraId="3010940D" w14:textId="26360430" w:rsidR="0040006D" w:rsidRDefault="0040006D">
      <w:pPr>
        <w:pStyle w:val="FootnoteText"/>
      </w:pPr>
      <w:r>
        <w:rPr>
          <w:rStyle w:val="FootnoteReference"/>
        </w:rPr>
        <w:footnoteRef/>
      </w:r>
      <w:r>
        <w:t xml:space="preserve"> Whilst data are available from the 2014-15 National Aboriginal and Torres Strait Islander Social Survey (included in the 2016 Overcoming Indigenous Disadvantage report) they are not included in this report as there is no non-Indigenous comparator from either the National Health Survey or the General Social Survey.</w:t>
      </w:r>
    </w:p>
  </w:footnote>
  <w:footnote w:id="4">
    <w:p w14:paraId="5E91C618" w14:textId="77777777" w:rsidR="0040006D" w:rsidRPr="00E64616" w:rsidRDefault="0040006D" w:rsidP="005D75B8">
      <w:pPr>
        <w:pStyle w:val="FootnoteText"/>
        <w:rPr>
          <w:sz w:val="18"/>
          <w:szCs w:val="18"/>
        </w:rPr>
      </w:pPr>
      <w:r w:rsidRPr="0033163A">
        <w:rPr>
          <w:rStyle w:val="FootnoteReference"/>
          <w:sz w:val="18"/>
          <w:szCs w:val="18"/>
        </w:rPr>
        <w:footnoteRef/>
      </w:r>
      <w:r>
        <w:t xml:space="preserve"> </w:t>
      </w:r>
      <w:r w:rsidRPr="0033163A">
        <w:rPr>
          <w:sz w:val="18"/>
          <w:szCs w:val="18"/>
        </w:rPr>
        <w:t xml:space="preserve">See National Standards for School Attendance </w:t>
      </w:r>
      <w:r w:rsidRPr="005263DE">
        <w:rPr>
          <w:sz w:val="18"/>
          <w:szCs w:val="18"/>
        </w:rPr>
        <w:t>Data Reporting</w:t>
      </w:r>
      <w:r w:rsidRPr="006A37F5">
        <w:rPr>
          <w:b/>
          <w:sz w:val="18"/>
          <w:szCs w:val="18"/>
        </w:rPr>
        <w:t xml:space="preserve"> </w:t>
      </w:r>
      <w:r w:rsidRPr="00E64616">
        <w:rPr>
          <w:sz w:val="18"/>
          <w:szCs w:val="18"/>
        </w:rPr>
        <w:t>(http://www.acara.edu.au/reporting/national-standards-for-stu</w:t>
      </w:r>
      <w:r>
        <w:rPr>
          <w:sz w:val="18"/>
          <w:szCs w:val="18"/>
        </w:rPr>
        <w:t>dent-attendance-data-reporting).</w:t>
      </w:r>
    </w:p>
  </w:footnote>
  <w:footnote w:id="5">
    <w:p w14:paraId="196971A5" w14:textId="77777777" w:rsidR="0040006D" w:rsidRDefault="0040006D">
      <w:pPr>
        <w:pStyle w:val="FootnoteText"/>
      </w:pPr>
      <w:r>
        <w:rPr>
          <w:rStyle w:val="FootnoteReference"/>
        </w:rPr>
        <w:footnoteRef/>
      </w:r>
      <w:r>
        <w:tab/>
        <w:t xml:space="preserve">The </w:t>
      </w:r>
      <w:proofErr w:type="spellStart"/>
      <w:r>
        <w:t>ASGS</w:t>
      </w:r>
      <w:proofErr w:type="spellEnd"/>
      <w:r>
        <w:t xml:space="preserve"> replaced the Australian Standard Geographical Classification (</w:t>
      </w:r>
      <w:proofErr w:type="spellStart"/>
      <w:r>
        <w:t>ASGC</w:t>
      </w:r>
      <w:proofErr w:type="spellEnd"/>
      <w:r>
        <w:t>) from 1 July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410"/>
      <w:gridCol w:w="6379"/>
    </w:tblGrid>
    <w:tr w:rsidR="0040006D" w14:paraId="599E97A4" w14:textId="77777777" w:rsidTr="006850A5">
      <w:tc>
        <w:tcPr>
          <w:tcW w:w="2410" w:type="dxa"/>
          <w:tcBorders>
            <w:top w:val="single" w:sz="24" w:space="0" w:color="auto"/>
          </w:tcBorders>
        </w:tcPr>
        <w:p w14:paraId="69EF7991" w14:textId="77777777" w:rsidR="0040006D" w:rsidRDefault="0040006D" w:rsidP="0019293B">
          <w:pPr>
            <w:pStyle w:val="HeaderEven"/>
          </w:pPr>
        </w:p>
      </w:tc>
      <w:tc>
        <w:tcPr>
          <w:tcW w:w="6379" w:type="dxa"/>
          <w:tcBorders>
            <w:top w:val="single" w:sz="6" w:space="0" w:color="auto"/>
          </w:tcBorders>
        </w:tcPr>
        <w:p w14:paraId="23178D90" w14:textId="48DDEC82" w:rsidR="0040006D" w:rsidRDefault="0040006D" w:rsidP="00FE4EFA">
          <w:pPr>
            <w:pStyle w:val="HeaderEven"/>
          </w:pPr>
        </w:p>
      </w:tc>
    </w:tr>
  </w:tbl>
  <w:p w14:paraId="342C4F9C" w14:textId="77777777" w:rsidR="0040006D" w:rsidRDefault="0040006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B5D62" w14:paraId="0B701B34" w14:textId="77777777">
      <w:tc>
        <w:tcPr>
          <w:tcW w:w="6634" w:type="dxa"/>
          <w:tcBorders>
            <w:top w:val="single" w:sz="6" w:space="0" w:color="auto"/>
          </w:tcBorders>
        </w:tcPr>
        <w:p w14:paraId="0661AE4F" w14:textId="77777777" w:rsidR="008B5D62" w:rsidRDefault="008B5D62" w:rsidP="00E669E2">
          <w:pPr>
            <w:pStyle w:val="HeaderOdd"/>
          </w:pPr>
        </w:p>
      </w:tc>
      <w:tc>
        <w:tcPr>
          <w:tcW w:w="2155" w:type="dxa"/>
          <w:tcBorders>
            <w:top w:val="single" w:sz="24" w:space="0" w:color="auto"/>
          </w:tcBorders>
        </w:tcPr>
        <w:p w14:paraId="6C68CC3C" w14:textId="77777777" w:rsidR="008B5D62" w:rsidRDefault="008B5D62" w:rsidP="00E669E2">
          <w:pPr>
            <w:pStyle w:val="HeaderOdd"/>
          </w:pPr>
        </w:p>
      </w:tc>
    </w:tr>
  </w:tbl>
  <w:p w14:paraId="66D041AD" w14:textId="77777777" w:rsidR="008B5D62" w:rsidRDefault="008B5D62" w:rsidP="00E669E2">
    <w:pPr>
      <w:pStyle w:val="HeaderEnd"/>
    </w:pPr>
  </w:p>
  <w:p w14:paraId="0B87A968" w14:textId="77777777" w:rsidR="008B5D62" w:rsidRDefault="008B5D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BBE02DF"/>
    <w:multiLevelType w:val="hybridMultilevel"/>
    <w:tmpl w:val="0F3CB162"/>
    <w:lvl w:ilvl="0" w:tplc="8DCC3470">
      <w:start w:val="1"/>
      <w:numFmt w:val="decimal"/>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10"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15:restartNumberingAfterBreak="0">
    <w:nsid w:val="2DAA0C43"/>
    <w:multiLevelType w:val="hybridMultilevel"/>
    <w:tmpl w:val="3E000C5C"/>
    <w:lvl w:ilvl="0" w:tplc="0C090001">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13"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3D31182"/>
    <w:multiLevelType w:val="hybridMultilevel"/>
    <w:tmpl w:val="91587F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15:restartNumberingAfterBreak="0">
    <w:nsid w:val="65A11AC8"/>
    <w:multiLevelType w:val="hybridMultilevel"/>
    <w:tmpl w:val="551689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2"/>
  </w:num>
  <w:num w:numId="3">
    <w:abstractNumId w:val="16"/>
  </w:num>
  <w:num w:numId="4">
    <w:abstractNumId w:val="3"/>
  </w:num>
  <w:num w:numId="5">
    <w:abstractNumId w:val="21"/>
  </w:num>
  <w:num w:numId="6">
    <w:abstractNumId w:val="18"/>
  </w:num>
  <w:num w:numId="7">
    <w:abstractNumId w:val="7"/>
  </w:num>
  <w:num w:numId="8">
    <w:abstractNumId w:val="17"/>
  </w:num>
  <w:num w:numId="9">
    <w:abstractNumId w:val="6"/>
  </w:num>
  <w:num w:numId="10">
    <w:abstractNumId w:val="5"/>
  </w:num>
  <w:num w:numId="11">
    <w:abstractNumId w:val="10"/>
  </w:num>
  <w:num w:numId="12">
    <w:abstractNumId w:val="11"/>
  </w:num>
  <w:num w:numId="13">
    <w:abstractNumId w:val="4"/>
  </w:num>
  <w:num w:numId="14">
    <w:abstractNumId w:val="19"/>
  </w:num>
  <w:num w:numId="15">
    <w:abstractNumId w:val="23"/>
  </w:num>
  <w:num w:numId="16">
    <w:abstractNumId w:val="14"/>
  </w:num>
  <w:num w:numId="17">
    <w:abstractNumId w:val="24"/>
  </w:num>
  <w:num w:numId="18">
    <w:abstractNumId w:val="20"/>
  </w:num>
  <w:num w:numId="19">
    <w:abstractNumId w:val="8"/>
  </w:num>
  <w:num w:numId="20">
    <w:abstractNumId w:val="9"/>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0"/>
  </w:num>
  <w:num w:numId="25">
    <w:abstractNumId w:val="15"/>
  </w:num>
  <w:num w:numId="26">
    <w:abstractNumId w:val="22"/>
  </w:num>
  <w:num w:numId="27">
    <w:abstractNumId w:val="12"/>
  </w:num>
  <w:num w:numId="28">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66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ndingOptions" w:val="1"/>
    <w:docVar w:name="RecOptions" w:val="111"/>
    <w:docVar w:name="ShortChapterTitle" w:val="INDIGENOUS REFORM"/>
    <w:docVar w:name="ShortReportTitle" w:val="SCRGSP REPORT DECEMBER 2015"/>
  </w:docVars>
  <w:rsids>
    <w:rsidRoot w:val="008E3D85"/>
    <w:rsid w:val="000025A7"/>
    <w:rsid w:val="0000380A"/>
    <w:rsid w:val="00003FCA"/>
    <w:rsid w:val="0000568B"/>
    <w:rsid w:val="0000643B"/>
    <w:rsid w:val="00012B4D"/>
    <w:rsid w:val="00014B57"/>
    <w:rsid w:val="00015246"/>
    <w:rsid w:val="00020A72"/>
    <w:rsid w:val="00020D30"/>
    <w:rsid w:val="000227D5"/>
    <w:rsid w:val="000245AA"/>
    <w:rsid w:val="00024936"/>
    <w:rsid w:val="00024BF6"/>
    <w:rsid w:val="00026629"/>
    <w:rsid w:val="0003196B"/>
    <w:rsid w:val="00034FC0"/>
    <w:rsid w:val="0003664B"/>
    <w:rsid w:val="0003738F"/>
    <w:rsid w:val="000406EE"/>
    <w:rsid w:val="0004111F"/>
    <w:rsid w:val="00041B6D"/>
    <w:rsid w:val="000421EF"/>
    <w:rsid w:val="0005370C"/>
    <w:rsid w:val="00054A8F"/>
    <w:rsid w:val="00055077"/>
    <w:rsid w:val="000565B3"/>
    <w:rsid w:val="00057243"/>
    <w:rsid w:val="00057AE9"/>
    <w:rsid w:val="00063E26"/>
    <w:rsid w:val="00067E40"/>
    <w:rsid w:val="0007150B"/>
    <w:rsid w:val="0007384C"/>
    <w:rsid w:val="00073B00"/>
    <w:rsid w:val="00074D31"/>
    <w:rsid w:val="00081E96"/>
    <w:rsid w:val="00082DB4"/>
    <w:rsid w:val="000878EC"/>
    <w:rsid w:val="000938F5"/>
    <w:rsid w:val="00094483"/>
    <w:rsid w:val="00094D38"/>
    <w:rsid w:val="00095168"/>
    <w:rsid w:val="00095663"/>
    <w:rsid w:val="00096D71"/>
    <w:rsid w:val="00096E55"/>
    <w:rsid w:val="0009783E"/>
    <w:rsid w:val="000A1A31"/>
    <w:rsid w:val="000A285E"/>
    <w:rsid w:val="000A3EBC"/>
    <w:rsid w:val="000A548F"/>
    <w:rsid w:val="000A6D48"/>
    <w:rsid w:val="000A7DC2"/>
    <w:rsid w:val="000B1022"/>
    <w:rsid w:val="000B3C45"/>
    <w:rsid w:val="000B601B"/>
    <w:rsid w:val="000B640B"/>
    <w:rsid w:val="000B665F"/>
    <w:rsid w:val="000C207E"/>
    <w:rsid w:val="000C5788"/>
    <w:rsid w:val="000C6749"/>
    <w:rsid w:val="000C739C"/>
    <w:rsid w:val="000D3D8D"/>
    <w:rsid w:val="000D41E9"/>
    <w:rsid w:val="000D6934"/>
    <w:rsid w:val="000D698A"/>
    <w:rsid w:val="000E097B"/>
    <w:rsid w:val="000E1A1E"/>
    <w:rsid w:val="000E5284"/>
    <w:rsid w:val="000F0035"/>
    <w:rsid w:val="000F04E7"/>
    <w:rsid w:val="000F060A"/>
    <w:rsid w:val="000F1247"/>
    <w:rsid w:val="000F1314"/>
    <w:rsid w:val="000F33B4"/>
    <w:rsid w:val="000F3B15"/>
    <w:rsid w:val="000F420B"/>
    <w:rsid w:val="000F499C"/>
    <w:rsid w:val="000F7959"/>
    <w:rsid w:val="00103F75"/>
    <w:rsid w:val="00107185"/>
    <w:rsid w:val="00110116"/>
    <w:rsid w:val="00112E5C"/>
    <w:rsid w:val="001138FB"/>
    <w:rsid w:val="00120072"/>
    <w:rsid w:val="00120CC1"/>
    <w:rsid w:val="00122C24"/>
    <w:rsid w:val="00123A9A"/>
    <w:rsid w:val="001260DD"/>
    <w:rsid w:val="00126EB8"/>
    <w:rsid w:val="001274D4"/>
    <w:rsid w:val="0013117E"/>
    <w:rsid w:val="00131CF9"/>
    <w:rsid w:val="0013319B"/>
    <w:rsid w:val="00135549"/>
    <w:rsid w:val="00135E93"/>
    <w:rsid w:val="001363AA"/>
    <w:rsid w:val="0013739A"/>
    <w:rsid w:val="00141720"/>
    <w:rsid w:val="00142165"/>
    <w:rsid w:val="00143713"/>
    <w:rsid w:val="00152E6B"/>
    <w:rsid w:val="0015462C"/>
    <w:rsid w:val="001548B6"/>
    <w:rsid w:val="001575C3"/>
    <w:rsid w:val="00157D8F"/>
    <w:rsid w:val="0016023F"/>
    <w:rsid w:val="001622C8"/>
    <w:rsid w:val="00162434"/>
    <w:rsid w:val="001660D4"/>
    <w:rsid w:val="00166183"/>
    <w:rsid w:val="00166285"/>
    <w:rsid w:val="0017036B"/>
    <w:rsid w:val="00172622"/>
    <w:rsid w:val="0017273E"/>
    <w:rsid w:val="00173963"/>
    <w:rsid w:val="001755D2"/>
    <w:rsid w:val="00177B9D"/>
    <w:rsid w:val="00181C3D"/>
    <w:rsid w:val="00183022"/>
    <w:rsid w:val="00183E82"/>
    <w:rsid w:val="00185AE7"/>
    <w:rsid w:val="001878BB"/>
    <w:rsid w:val="00191AE0"/>
    <w:rsid w:val="00192894"/>
    <w:rsid w:val="0019293B"/>
    <w:rsid w:val="0019426B"/>
    <w:rsid w:val="00195DF4"/>
    <w:rsid w:val="00197A39"/>
    <w:rsid w:val="001A52CA"/>
    <w:rsid w:val="001A6127"/>
    <w:rsid w:val="001A69CC"/>
    <w:rsid w:val="001A6A4B"/>
    <w:rsid w:val="001A6C50"/>
    <w:rsid w:val="001B42D0"/>
    <w:rsid w:val="001C0865"/>
    <w:rsid w:val="001C0AED"/>
    <w:rsid w:val="001C3ABA"/>
    <w:rsid w:val="001C3F95"/>
    <w:rsid w:val="001C5111"/>
    <w:rsid w:val="001C7AC0"/>
    <w:rsid w:val="001D0F5E"/>
    <w:rsid w:val="001D1B0D"/>
    <w:rsid w:val="001D1E96"/>
    <w:rsid w:val="001D2D15"/>
    <w:rsid w:val="001E0EA6"/>
    <w:rsid w:val="001E43D7"/>
    <w:rsid w:val="001E519D"/>
    <w:rsid w:val="001E7BE8"/>
    <w:rsid w:val="001F0248"/>
    <w:rsid w:val="001F1CD0"/>
    <w:rsid w:val="001F1E78"/>
    <w:rsid w:val="001F2953"/>
    <w:rsid w:val="001F2E32"/>
    <w:rsid w:val="001F37A7"/>
    <w:rsid w:val="001F3EB3"/>
    <w:rsid w:val="001F4F86"/>
    <w:rsid w:val="001F612D"/>
    <w:rsid w:val="001F73CA"/>
    <w:rsid w:val="00200A5B"/>
    <w:rsid w:val="0020119D"/>
    <w:rsid w:val="00202C2C"/>
    <w:rsid w:val="00203050"/>
    <w:rsid w:val="00205908"/>
    <w:rsid w:val="00210CF2"/>
    <w:rsid w:val="00212BBA"/>
    <w:rsid w:val="002135AB"/>
    <w:rsid w:val="002144BE"/>
    <w:rsid w:val="00217C29"/>
    <w:rsid w:val="00217FEB"/>
    <w:rsid w:val="002216AD"/>
    <w:rsid w:val="002217CD"/>
    <w:rsid w:val="00221AC2"/>
    <w:rsid w:val="00221F4B"/>
    <w:rsid w:val="00223F13"/>
    <w:rsid w:val="002271F7"/>
    <w:rsid w:val="00230A24"/>
    <w:rsid w:val="002316B4"/>
    <w:rsid w:val="00231E86"/>
    <w:rsid w:val="00232011"/>
    <w:rsid w:val="00235014"/>
    <w:rsid w:val="00240CD1"/>
    <w:rsid w:val="00241AD7"/>
    <w:rsid w:val="00242279"/>
    <w:rsid w:val="00243997"/>
    <w:rsid w:val="002440B4"/>
    <w:rsid w:val="0024516C"/>
    <w:rsid w:val="00245778"/>
    <w:rsid w:val="00245C82"/>
    <w:rsid w:val="00246289"/>
    <w:rsid w:val="00246AF2"/>
    <w:rsid w:val="00246D4A"/>
    <w:rsid w:val="00247FCD"/>
    <w:rsid w:val="002518B5"/>
    <w:rsid w:val="00252185"/>
    <w:rsid w:val="0025245D"/>
    <w:rsid w:val="002533D1"/>
    <w:rsid w:val="0025340F"/>
    <w:rsid w:val="002549C4"/>
    <w:rsid w:val="0025561A"/>
    <w:rsid w:val="0025580A"/>
    <w:rsid w:val="00257F8D"/>
    <w:rsid w:val="0026135D"/>
    <w:rsid w:val="00263B28"/>
    <w:rsid w:val="002642EB"/>
    <w:rsid w:val="002703C5"/>
    <w:rsid w:val="00270AEC"/>
    <w:rsid w:val="002710FE"/>
    <w:rsid w:val="002724BA"/>
    <w:rsid w:val="00273360"/>
    <w:rsid w:val="00273D2D"/>
    <w:rsid w:val="00274088"/>
    <w:rsid w:val="002760EC"/>
    <w:rsid w:val="002817F6"/>
    <w:rsid w:val="00281873"/>
    <w:rsid w:val="00281D53"/>
    <w:rsid w:val="00282109"/>
    <w:rsid w:val="00283113"/>
    <w:rsid w:val="00283339"/>
    <w:rsid w:val="00283B68"/>
    <w:rsid w:val="002846A8"/>
    <w:rsid w:val="002848C7"/>
    <w:rsid w:val="00286D32"/>
    <w:rsid w:val="00291333"/>
    <w:rsid w:val="00291B40"/>
    <w:rsid w:val="00291F8D"/>
    <w:rsid w:val="00292875"/>
    <w:rsid w:val="00293E28"/>
    <w:rsid w:val="00293E8B"/>
    <w:rsid w:val="00295C5C"/>
    <w:rsid w:val="00296947"/>
    <w:rsid w:val="00297D85"/>
    <w:rsid w:val="002A1512"/>
    <w:rsid w:val="002A72AE"/>
    <w:rsid w:val="002B4008"/>
    <w:rsid w:val="002B469C"/>
    <w:rsid w:val="002B56C7"/>
    <w:rsid w:val="002B7EFC"/>
    <w:rsid w:val="002C08C0"/>
    <w:rsid w:val="002C180B"/>
    <w:rsid w:val="002C439F"/>
    <w:rsid w:val="002D0C42"/>
    <w:rsid w:val="002D0E8E"/>
    <w:rsid w:val="002D21CC"/>
    <w:rsid w:val="002D75B6"/>
    <w:rsid w:val="002E28E5"/>
    <w:rsid w:val="002E3935"/>
    <w:rsid w:val="002E4023"/>
    <w:rsid w:val="002E49DE"/>
    <w:rsid w:val="002E75A0"/>
    <w:rsid w:val="002E7C90"/>
    <w:rsid w:val="002F2485"/>
    <w:rsid w:val="002F4271"/>
    <w:rsid w:val="002F46E7"/>
    <w:rsid w:val="002F7F75"/>
    <w:rsid w:val="00301189"/>
    <w:rsid w:val="00301E4A"/>
    <w:rsid w:val="00302119"/>
    <w:rsid w:val="00302DFE"/>
    <w:rsid w:val="00304221"/>
    <w:rsid w:val="00304577"/>
    <w:rsid w:val="00307733"/>
    <w:rsid w:val="003109D3"/>
    <w:rsid w:val="003139E2"/>
    <w:rsid w:val="003168B8"/>
    <w:rsid w:val="00322D64"/>
    <w:rsid w:val="00323E09"/>
    <w:rsid w:val="00325B5A"/>
    <w:rsid w:val="00326C65"/>
    <w:rsid w:val="00333932"/>
    <w:rsid w:val="00337E5B"/>
    <w:rsid w:val="0034173E"/>
    <w:rsid w:val="0034316D"/>
    <w:rsid w:val="00343FA7"/>
    <w:rsid w:val="003518AA"/>
    <w:rsid w:val="00352165"/>
    <w:rsid w:val="00353182"/>
    <w:rsid w:val="0035536F"/>
    <w:rsid w:val="00356183"/>
    <w:rsid w:val="003565D9"/>
    <w:rsid w:val="003568C7"/>
    <w:rsid w:val="00357780"/>
    <w:rsid w:val="00357DCB"/>
    <w:rsid w:val="003602E1"/>
    <w:rsid w:val="003602FA"/>
    <w:rsid w:val="00360E8B"/>
    <w:rsid w:val="0036232D"/>
    <w:rsid w:val="00365748"/>
    <w:rsid w:val="00365846"/>
    <w:rsid w:val="003661AB"/>
    <w:rsid w:val="00366220"/>
    <w:rsid w:val="00370054"/>
    <w:rsid w:val="0037026F"/>
    <w:rsid w:val="003703C3"/>
    <w:rsid w:val="00371240"/>
    <w:rsid w:val="00372E06"/>
    <w:rsid w:val="00372F68"/>
    <w:rsid w:val="00373489"/>
    <w:rsid w:val="00374731"/>
    <w:rsid w:val="00376E59"/>
    <w:rsid w:val="003770A0"/>
    <w:rsid w:val="00377EC1"/>
    <w:rsid w:val="00380340"/>
    <w:rsid w:val="00383553"/>
    <w:rsid w:val="00384FF9"/>
    <w:rsid w:val="00385253"/>
    <w:rsid w:val="00387C4E"/>
    <w:rsid w:val="00390448"/>
    <w:rsid w:val="003917D1"/>
    <w:rsid w:val="003919F9"/>
    <w:rsid w:val="00391D44"/>
    <w:rsid w:val="003920CF"/>
    <w:rsid w:val="003A00CE"/>
    <w:rsid w:val="003A0165"/>
    <w:rsid w:val="003A2AB0"/>
    <w:rsid w:val="003A5783"/>
    <w:rsid w:val="003A5A89"/>
    <w:rsid w:val="003A624B"/>
    <w:rsid w:val="003A6DB6"/>
    <w:rsid w:val="003A7646"/>
    <w:rsid w:val="003B23C2"/>
    <w:rsid w:val="003B730A"/>
    <w:rsid w:val="003B749C"/>
    <w:rsid w:val="003B7E15"/>
    <w:rsid w:val="003C34D9"/>
    <w:rsid w:val="003C38B5"/>
    <w:rsid w:val="003C40A6"/>
    <w:rsid w:val="003C412A"/>
    <w:rsid w:val="003C599F"/>
    <w:rsid w:val="003C5D99"/>
    <w:rsid w:val="003D0190"/>
    <w:rsid w:val="003D1087"/>
    <w:rsid w:val="003D4A62"/>
    <w:rsid w:val="003D75C8"/>
    <w:rsid w:val="003E2F59"/>
    <w:rsid w:val="003E3EED"/>
    <w:rsid w:val="003E4220"/>
    <w:rsid w:val="003E6D96"/>
    <w:rsid w:val="003E746B"/>
    <w:rsid w:val="003F0789"/>
    <w:rsid w:val="003F1F99"/>
    <w:rsid w:val="003F3554"/>
    <w:rsid w:val="003F3BCD"/>
    <w:rsid w:val="003F41B8"/>
    <w:rsid w:val="003F4701"/>
    <w:rsid w:val="003F4751"/>
    <w:rsid w:val="003F6889"/>
    <w:rsid w:val="003F6D08"/>
    <w:rsid w:val="003F77CB"/>
    <w:rsid w:val="0040006D"/>
    <w:rsid w:val="004013DD"/>
    <w:rsid w:val="00401882"/>
    <w:rsid w:val="00405EF2"/>
    <w:rsid w:val="004100C8"/>
    <w:rsid w:val="00410D62"/>
    <w:rsid w:val="00411DBD"/>
    <w:rsid w:val="00411F19"/>
    <w:rsid w:val="00412ACE"/>
    <w:rsid w:val="00412D22"/>
    <w:rsid w:val="004145D2"/>
    <w:rsid w:val="00415522"/>
    <w:rsid w:val="00416468"/>
    <w:rsid w:val="00420F9D"/>
    <w:rsid w:val="00421935"/>
    <w:rsid w:val="00421992"/>
    <w:rsid w:val="0042341C"/>
    <w:rsid w:val="00423879"/>
    <w:rsid w:val="00424E10"/>
    <w:rsid w:val="00425157"/>
    <w:rsid w:val="00425A5E"/>
    <w:rsid w:val="004261E9"/>
    <w:rsid w:val="00426CB4"/>
    <w:rsid w:val="00426E46"/>
    <w:rsid w:val="0042784E"/>
    <w:rsid w:val="004306F6"/>
    <w:rsid w:val="00431249"/>
    <w:rsid w:val="00431C01"/>
    <w:rsid w:val="004345ED"/>
    <w:rsid w:val="00434C19"/>
    <w:rsid w:val="0043735A"/>
    <w:rsid w:val="00437C7F"/>
    <w:rsid w:val="00440C3F"/>
    <w:rsid w:val="00441699"/>
    <w:rsid w:val="00441B21"/>
    <w:rsid w:val="00443DCE"/>
    <w:rsid w:val="0044630A"/>
    <w:rsid w:val="00450212"/>
    <w:rsid w:val="00450474"/>
    <w:rsid w:val="00450810"/>
    <w:rsid w:val="00450B0B"/>
    <w:rsid w:val="004540F8"/>
    <w:rsid w:val="00454758"/>
    <w:rsid w:val="004615CE"/>
    <w:rsid w:val="00461FAD"/>
    <w:rsid w:val="00462C59"/>
    <w:rsid w:val="0047014A"/>
    <w:rsid w:val="00470737"/>
    <w:rsid w:val="004722E0"/>
    <w:rsid w:val="004727A4"/>
    <w:rsid w:val="004731C0"/>
    <w:rsid w:val="0047343F"/>
    <w:rsid w:val="00474636"/>
    <w:rsid w:val="00474A5F"/>
    <w:rsid w:val="00475119"/>
    <w:rsid w:val="00476927"/>
    <w:rsid w:val="00476A5E"/>
    <w:rsid w:val="00477144"/>
    <w:rsid w:val="00480808"/>
    <w:rsid w:val="004812E3"/>
    <w:rsid w:val="00481920"/>
    <w:rsid w:val="0048444D"/>
    <w:rsid w:val="004849CA"/>
    <w:rsid w:val="00485496"/>
    <w:rsid w:val="00486723"/>
    <w:rsid w:val="00487656"/>
    <w:rsid w:val="00491380"/>
    <w:rsid w:val="00493383"/>
    <w:rsid w:val="0049459F"/>
    <w:rsid w:val="0049542F"/>
    <w:rsid w:val="004A075D"/>
    <w:rsid w:val="004A3833"/>
    <w:rsid w:val="004A38DD"/>
    <w:rsid w:val="004A6489"/>
    <w:rsid w:val="004A700E"/>
    <w:rsid w:val="004A7DD3"/>
    <w:rsid w:val="004B3D0D"/>
    <w:rsid w:val="004B3E20"/>
    <w:rsid w:val="004B43AE"/>
    <w:rsid w:val="004B4854"/>
    <w:rsid w:val="004B53C9"/>
    <w:rsid w:val="004B65E9"/>
    <w:rsid w:val="004C17CA"/>
    <w:rsid w:val="004C30ED"/>
    <w:rsid w:val="004C3BDB"/>
    <w:rsid w:val="004C59F8"/>
    <w:rsid w:val="004C6DAF"/>
    <w:rsid w:val="004C71ED"/>
    <w:rsid w:val="004D5060"/>
    <w:rsid w:val="004D5675"/>
    <w:rsid w:val="004E13DA"/>
    <w:rsid w:val="004E14A7"/>
    <w:rsid w:val="004F00F4"/>
    <w:rsid w:val="004F016B"/>
    <w:rsid w:val="004F0383"/>
    <w:rsid w:val="004F04D8"/>
    <w:rsid w:val="004F1B9E"/>
    <w:rsid w:val="004F51D4"/>
    <w:rsid w:val="004F5CAE"/>
    <w:rsid w:val="004F74A0"/>
    <w:rsid w:val="004F7927"/>
    <w:rsid w:val="00500594"/>
    <w:rsid w:val="005031F0"/>
    <w:rsid w:val="00504DA4"/>
    <w:rsid w:val="00505508"/>
    <w:rsid w:val="00505774"/>
    <w:rsid w:val="00505FEE"/>
    <w:rsid w:val="005106A6"/>
    <w:rsid w:val="00510842"/>
    <w:rsid w:val="00510A02"/>
    <w:rsid w:val="00510C07"/>
    <w:rsid w:val="005134CB"/>
    <w:rsid w:val="005139F4"/>
    <w:rsid w:val="00514813"/>
    <w:rsid w:val="0051747F"/>
    <w:rsid w:val="00517795"/>
    <w:rsid w:val="00517DA3"/>
    <w:rsid w:val="00520B45"/>
    <w:rsid w:val="00523639"/>
    <w:rsid w:val="00523B4E"/>
    <w:rsid w:val="005246C1"/>
    <w:rsid w:val="005263DE"/>
    <w:rsid w:val="005267B0"/>
    <w:rsid w:val="00531FE5"/>
    <w:rsid w:val="00532D4F"/>
    <w:rsid w:val="00533AF5"/>
    <w:rsid w:val="00534757"/>
    <w:rsid w:val="00535DDF"/>
    <w:rsid w:val="00537191"/>
    <w:rsid w:val="005402FA"/>
    <w:rsid w:val="00543477"/>
    <w:rsid w:val="00545A4B"/>
    <w:rsid w:val="00546B5B"/>
    <w:rsid w:val="00547FD2"/>
    <w:rsid w:val="005510E3"/>
    <w:rsid w:val="005519B4"/>
    <w:rsid w:val="00551B74"/>
    <w:rsid w:val="005566BB"/>
    <w:rsid w:val="00561E17"/>
    <w:rsid w:val="0056202F"/>
    <w:rsid w:val="005666C1"/>
    <w:rsid w:val="00567BBA"/>
    <w:rsid w:val="005729BD"/>
    <w:rsid w:val="00573011"/>
    <w:rsid w:val="00574425"/>
    <w:rsid w:val="005779AF"/>
    <w:rsid w:val="00580154"/>
    <w:rsid w:val="00581B68"/>
    <w:rsid w:val="0058397A"/>
    <w:rsid w:val="00583C39"/>
    <w:rsid w:val="00585BF5"/>
    <w:rsid w:val="00586A90"/>
    <w:rsid w:val="005871DB"/>
    <w:rsid w:val="00587F28"/>
    <w:rsid w:val="00590103"/>
    <w:rsid w:val="005909CF"/>
    <w:rsid w:val="00591511"/>
    <w:rsid w:val="00591E71"/>
    <w:rsid w:val="00595E18"/>
    <w:rsid w:val="005A0D41"/>
    <w:rsid w:val="005A3036"/>
    <w:rsid w:val="005A3AFB"/>
    <w:rsid w:val="005A3C2A"/>
    <w:rsid w:val="005A3C3A"/>
    <w:rsid w:val="005A4925"/>
    <w:rsid w:val="005A59AD"/>
    <w:rsid w:val="005A790D"/>
    <w:rsid w:val="005B0038"/>
    <w:rsid w:val="005B14F8"/>
    <w:rsid w:val="005B1567"/>
    <w:rsid w:val="005B5AE3"/>
    <w:rsid w:val="005C047E"/>
    <w:rsid w:val="005C173E"/>
    <w:rsid w:val="005C47D6"/>
    <w:rsid w:val="005C5C5A"/>
    <w:rsid w:val="005D07B6"/>
    <w:rsid w:val="005D189B"/>
    <w:rsid w:val="005D1FE9"/>
    <w:rsid w:val="005D329F"/>
    <w:rsid w:val="005D5739"/>
    <w:rsid w:val="005D6036"/>
    <w:rsid w:val="005D75B8"/>
    <w:rsid w:val="005E18B9"/>
    <w:rsid w:val="005E1919"/>
    <w:rsid w:val="005E1EA3"/>
    <w:rsid w:val="005E37FD"/>
    <w:rsid w:val="005E53F1"/>
    <w:rsid w:val="005E67F5"/>
    <w:rsid w:val="005E685C"/>
    <w:rsid w:val="005F48ED"/>
    <w:rsid w:val="00601508"/>
    <w:rsid w:val="00602042"/>
    <w:rsid w:val="006047BE"/>
    <w:rsid w:val="00605004"/>
    <w:rsid w:val="0060577C"/>
    <w:rsid w:val="006060DD"/>
    <w:rsid w:val="006065DC"/>
    <w:rsid w:val="00606B68"/>
    <w:rsid w:val="00606E78"/>
    <w:rsid w:val="0060750B"/>
    <w:rsid w:val="00607BF1"/>
    <w:rsid w:val="00607F03"/>
    <w:rsid w:val="00610154"/>
    <w:rsid w:val="00610E64"/>
    <w:rsid w:val="00611406"/>
    <w:rsid w:val="00611985"/>
    <w:rsid w:val="00611E12"/>
    <w:rsid w:val="00614095"/>
    <w:rsid w:val="00620913"/>
    <w:rsid w:val="00620F1F"/>
    <w:rsid w:val="006242DE"/>
    <w:rsid w:val="00624D90"/>
    <w:rsid w:val="00627552"/>
    <w:rsid w:val="0063013C"/>
    <w:rsid w:val="00630D4D"/>
    <w:rsid w:val="00631821"/>
    <w:rsid w:val="00632466"/>
    <w:rsid w:val="00632A74"/>
    <w:rsid w:val="00632F43"/>
    <w:rsid w:val="0063407D"/>
    <w:rsid w:val="006358C5"/>
    <w:rsid w:val="0063689B"/>
    <w:rsid w:val="00641488"/>
    <w:rsid w:val="00641B26"/>
    <w:rsid w:val="006421CE"/>
    <w:rsid w:val="00645340"/>
    <w:rsid w:val="00645E29"/>
    <w:rsid w:val="006512CD"/>
    <w:rsid w:val="0065425D"/>
    <w:rsid w:val="00654D42"/>
    <w:rsid w:val="00656514"/>
    <w:rsid w:val="00657D43"/>
    <w:rsid w:val="006609CB"/>
    <w:rsid w:val="00660EAC"/>
    <w:rsid w:val="0066162F"/>
    <w:rsid w:val="00663A03"/>
    <w:rsid w:val="00664070"/>
    <w:rsid w:val="00665665"/>
    <w:rsid w:val="00666E02"/>
    <w:rsid w:val="00667A03"/>
    <w:rsid w:val="006728CD"/>
    <w:rsid w:val="006734BF"/>
    <w:rsid w:val="00673682"/>
    <w:rsid w:val="00674E2A"/>
    <w:rsid w:val="0067541F"/>
    <w:rsid w:val="00677B0E"/>
    <w:rsid w:val="00680847"/>
    <w:rsid w:val="00680B2C"/>
    <w:rsid w:val="00680E00"/>
    <w:rsid w:val="00684FC4"/>
    <w:rsid w:val="006850A5"/>
    <w:rsid w:val="006877A8"/>
    <w:rsid w:val="006908FD"/>
    <w:rsid w:val="00693DEA"/>
    <w:rsid w:val="006A0764"/>
    <w:rsid w:val="006A37F5"/>
    <w:rsid w:val="006A4655"/>
    <w:rsid w:val="006A68DE"/>
    <w:rsid w:val="006A6DE7"/>
    <w:rsid w:val="006A6F27"/>
    <w:rsid w:val="006A77A1"/>
    <w:rsid w:val="006B0124"/>
    <w:rsid w:val="006B0177"/>
    <w:rsid w:val="006B1D49"/>
    <w:rsid w:val="006B271E"/>
    <w:rsid w:val="006B2B3C"/>
    <w:rsid w:val="006B316F"/>
    <w:rsid w:val="006B33E9"/>
    <w:rsid w:val="006B46D6"/>
    <w:rsid w:val="006B5489"/>
    <w:rsid w:val="006B589C"/>
    <w:rsid w:val="006C1D81"/>
    <w:rsid w:val="006C1F8D"/>
    <w:rsid w:val="006C2B26"/>
    <w:rsid w:val="006C47FE"/>
    <w:rsid w:val="006C4F8C"/>
    <w:rsid w:val="006C7038"/>
    <w:rsid w:val="006D1807"/>
    <w:rsid w:val="006D2778"/>
    <w:rsid w:val="006D2892"/>
    <w:rsid w:val="006D3CB3"/>
    <w:rsid w:val="006D4A87"/>
    <w:rsid w:val="006E1C40"/>
    <w:rsid w:val="006E2D55"/>
    <w:rsid w:val="006E47D4"/>
    <w:rsid w:val="006E5E59"/>
    <w:rsid w:val="006E73EF"/>
    <w:rsid w:val="006F0E69"/>
    <w:rsid w:val="006F24C5"/>
    <w:rsid w:val="006F3223"/>
    <w:rsid w:val="006F6242"/>
    <w:rsid w:val="006F7E4A"/>
    <w:rsid w:val="00701439"/>
    <w:rsid w:val="007037F6"/>
    <w:rsid w:val="00705DBC"/>
    <w:rsid w:val="00705DFC"/>
    <w:rsid w:val="007079C9"/>
    <w:rsid w:val="0071084C"/>
    <w:rsid w:val="007114A8"/>
    <w:rsid w:val="00713CD5"/>
    <w:rsid w:val="00714D4D"/>
    <w:rsid w:val="00715F6E"/>
    <w:rsid w:val="00722007"/>
    <w:rsid w:val="0072207B"/>
    <w:rsid w:val="007233E3"/>
    <w:rsid w:val="00723C57"/>
    <w:rsid w:val="00725461"/>
    <w:rsid w:val="00725A18"/>
    <w:rsid w:val="00725AE4"/>
    <w:rsid w:val="007266D3"/>
    <w:rsid w:val="00727166"/>
    <w:rsid w:val="0073114E"/>
    <w:rsid w:val="00732029"/>
    <w:rsid w:val="00732FC6"/>
    <w:rsid w:val="00734281"/>
    <w:rsid w:val="00734AFE"/>
    <w:rsid w:val="007350B3"/>
    <w:rsid w:val="00737220"/>
    <w:rsid w:val="007376D1"/>
    <w:rsid w:val="00737739"/>
    <w:rsid w:val="007400F1"/>
    <w:rsid w:val="007414FD"/>
    <w:rsid w:val="00743019"/>
    <w:rsid w:val="00744688"/>
    <w:rsid w:val="00744DB0"/>
    <w:rsid w:val="00747E09"/>
    <w:rsid w:val="007509C7"/>
    <w:rsid w:val="00754ED1"/>
    <w:rsid w:val="00756808"/>
    <w:rsid w:val="007604BB"/>
    <w:rsid w:val="00760FAF"/>
    <w:rsid w:val="00763368"/>
    <w:rsid w:val="00764894"/>
    <w:rsid w:val="00772909"/>
    <w:rsid w:val="00772DE7"/>
    <w:rsid w:val="00775A12"/>
    <w:rsid w:val="00776D59"/>
    <w:rsid w:val="00777063"/>
    <w:rsid w:val="0077722E"/>
    <w:rsid w:val="0077784B"/>
    <w:rsid w:val="0078330A"/>
    <w:rsid w:val="007839BF"/>
    <w:rsid w:val="00784C2A"/>
    <w:rsid w:val="00784D6B"/>
    <w:rsid w:val="00785232"/>
    <w:rsid w:val="00787019"/>
    <w:rsid w:val="0079074B"/>
    <w:rsid w:val="0079305E"/>
    <w:rsid w:val="00793792"/>
    <w:rsid w:val="00794590"/>
    <w:rsid w:val="00796DBE"/>
    <w:rsid w:val="0079701E"/>
    <w:rsid w:val="007A117B"/>
    <w:rsid w:val="007A21EB"/>
    <w:rsid w:val="007A2228"/>
    <w:rsid w:val="007A2DB5"/>
    <w:rsid w:val="007A7672"/>
    <w:rsid w:val="007A76E5"/>
    <w:rsid w:val="007A7C47"/>
    <w:rsid w:val="007B1A93"/>
    <w:rsid w:val="007C36C9"/>
    <w:rsid w:val="007D1CC6"/>
    <w:rsid w:val="007D2F63"/>
    <w:rsid w:val="007D60E9"/>
    <w:rsid w:val="007D6401"/>
    <w:rsid w:val="007D6965"/>
    <w:rsid w:val="007E01E4"/>
    <w:rsid w:val="007E14F1"/>
    <w:rsid w:val="007E166B"/>
    <w:rsid w:val="007E16CD"/>
    <w:rsid w:val="007E72F6"/>
    <w:rsid w:val="007E7A12"/>
    <w:rsid w:val="007F1930"/>
    <w:rsid w:val="007F3549"/>
    <w:rsid w:val="007F5557"/>
    <w:rsid w:val="007F5D5F"/>
    <w:rsid w:val="007F7107"/>
    <w:rsid w:val="007F7474"/>
    <w:rsid w:val="00800D4C"/>
    <w:rsid w:val="00801236"/>
    <w:rsid w:val="00804F78"/>
    <w:rsid w:val="00807379"/>
    <w:rsid w:val="00810258"/>
    <w:rsid w:val="0081030F"/>
    <w:rsid w:val="00812F4A"/>
    <w:rsid w:val="008132F3"/>
    <w:rsid w:val="00813DFA"/>
    <w:rsid w:val="00814CFA"/>
    <w:rsid w:val="00815570"/>
    <w:rsid w:val="00815D24"/>
    <w:rsid w:val="00816AC4"/>
    <w:rsid w:val="0082087D"/>
    <w:rsid w:val="00822938"/>
    <w:rsid w:val="00822EA2"/>
    <w:rsid w:val="0082461D"/>
    <w:rsid w:val="008307D4"/>
    <w:rsid w:val="00831041"/>
    <w:rsid w:val="00835771"/>
    <w:rsid w:val="00837DEE"/>
    <w:rsid w:val="00840EB7"/>
    <w:rsid w:val="00841EFF"/>
    <w:rsid w:val="00842933"/>
    <w:rsid w:val="00844DDF"/>
    <w:rsid w:val="00847F79"/>
    <w:rsid w:val="008512F4"/>
    <w:rsid w:val="00851F99"/>
    <w:rsid w:val="00852628"/>
    <w:rsid w:val="00852BAD"/>
    <w:rsid w:val="00853C43"/>
    <w:rsid w:val="00857228"/>
    <w:rsid w:val="00857438"/>
    <w:rsid w:val="0086082C"/>
    <w:rsid w:val="00864ADC"/>
    <w:rsid w:val="00864E10"/>
    <w:rsid w:val="008657ED"/>
    <w:rsid w:val="0086643F"/>
    <w:rsid w:val="0086684A"/>
    <w:rsid w:val="00866D2D"/>
    <w:rsid w:val="00870441"/>
    <w:rsid w:val="00872313"/>
    <w:rsid w:val="00872A66"/>
    <w:rsid w:val="00880153"/>
    <w:rsid w:val="00880F97"/>
    <w:rsid w:val="0088133A"/>
    <w:rsid w:val="00881C50"/>
    <w:rsid w:val="00882969"/>
    <w:rsid w:val="008873E7"/>
    <w:rsid w:val="008925F7"/>
    <w:rsid w:val="0089285E"/>
    <w:rsid w:val="00893314"/>
    <w:rsid w:val="0089436C"/>
    <w:rsid w:val="00894BB2"/>
    <w:rsid w:val="008A0474"/>
    <w:rsid w:val="008B06BD"/>
    <w:rsid w:val="008B1D19"/>
    <w:rsid w:val="008B36C7"/>
    <w:rsid w:val="008B42A7"/>
    <w:rsid w:val="008B4B8D"/>
    <w:rsid w:val="008B5D62"/>
    <w:rsid w:val="008C0A99"/>
    <w:rsid w:val="008C5BAE"/>
    <w:rsid w:val="008C60CE"/>
    <w:rsid w:val="008D039F"/>
    <w:rsid w:val="008D0AB2"/>
    <w:rsid w:val="008D0B14"/>
    <w:rsid w:val="008D147B"/>
    <w:rsid w:val="008D25F1"/>
    <w:rsid w:val="008D365C"/>
    <w:rsid w:val="008D3BAF"/>
    <w:rsid w:val="008D4253"/>
    <w:rsid w:val="008D6A10"/>
    <w:rsid w:val="008D7622"/>
    <w:rsid w:val="008D7EDA"/>
    <w:rsid w:val="008E081B"/>
    <w:rsid w:val="008E3756"/>
    <w:rsid w:val="008E3D85"/>
    <w:rsid w:val="008E5FBC"/>
    <w:rsid w:val="008F028B"/>
    <w:rsid w:val="008F4D23"/>
    <w:rsid w:val="008F5A63"/>
    <w:rsid w:val="008F66B1"/>
    <w:rsid w:val="009017E1"/>
    <w:rsid w:val="009021A6"/>
    <w:rsid w:val="009030BF"/>
    <w:rsid w:val="00903B52"/>
    <w:rsid w:val="00905F35"/>
    <w:rsid w:val="009068B3"/>
    <w:rsid w:val="0091032F"/>
    <w:rsid w:val="00913985"/>
    <w:rsid w:val="00914368"/>
    <w:rsid w:val="00914CA5"/>
    <w:rsid w:val="00916456"/>
    <w:rsid w:val="009168E8"/>
    <w:rsid w:val="00920EDE"/>
    <w:rsid w:val="00923303"/>
    <w:rsid w:val="00925AB3"/>
    <w:rsid w:val="00927554"/>
    <w:rsid w:val="00931076"/>
    <w:rsid w:val="0093133F"/>
    <w:rsid w:val="009345D9"/>
    <w:rsid w:val="00934B15"/>
    <w:rsid w:val="00935DAF"/>
    <w:rsid w:val="00936759"/>
    <w:rsid w:val="0093760D"/>
    <w:rsid w:val="00937DB6"/>
    <w:rsid w:val="00940AFE"/>
    <w:rsid w:val="00940C87"/>
    <w:rsid w:val="00940F72"/>
    <w:rsid w:val="009426DA"/>
    <w:rsid w:val="00942B62"/>
    <w:rsid w:val="00942BFF"/>
    <w:rsid w:val="009431D9"/>
    <w:rsid w:val="00944F80"/>
    <w:rsid w:val="009467A7"/>
    <w:rsid w:val="00947053"/>
    <w:rsid w:val="00947B81"/>
    <w:rsid w:val="009508CD"/>
    <w:rsid w:val="0095323B"/>
    <w:rsid w:val="009550D3"/>
    <w:rsid w:val="00955406"/>
    <w:rsid w:val="00956A0C"/>
    <w:rsid w:val="00956BD9"/>
    <w:rsid w:val="00962489"/>
    <w:rsid w:val="0096257C"/>
    <w:rsid w:val="00964F0B"/>
    <w:rsid w:val="009663E9"/>
    <w:rsid w:val="00966495"/>
    <w:rsid w:val="0096799F"/>
    <w:rsid w:val="00967CD3"/>
    <w:rsid w:val="00970081"/>
    <w:rsid w:val="009719EC"/>
    <w:rsid w:val="00973286"/>
    <w:rsid w:val="00974FB4"/>
    <w:rsid w:val="00976731"/>
    <w:rsid w:val="00977872"/>
    <w:rsid w:val="00977DEF"/>
    <w:rsid w:val="009805A4"/>
    <w:rsid w:val="009824F7"/>
    <w:rsid w:val="0098683F"/>
    <w:rsid w:val="00987431"/>
    <w:rsid w:val="00990C2C"/>
    <w:rsid w:val="0099120B"/>
    <w:rsid w:val="00991A09"/>
    <w:rsid w:val="00993FC9"/>
    <w:rsid w:val="00995191"/>
    <w:rsid w:val="00995891"/>
    <w:rsid w:val="00995AE1"/>
    <w:rsid w:val="00995C2F"/>
    <w:rsid w:val="009A1C19"/>
    <w:rsid w:val="009A2120"/>
    <w:rsid w:val="009A2F8A"/>
    <w:rsid w:val="009A3160"/>
    <w:rsid w:val="009A348A"/>
    <w:rsid w:val="009A5171"/>
    <w:rsid w:val="009A665E"/>
    <w:rsid w:val="009A6B9E"/>
    <w:rsid w:val="009B231E"/>
    <w:rsid w:val="009B584F"/>
    <w:rsid w:val="009C07B4"/>
    <w:rsid w:val="009C0C22"/>
    <w:rsid w:val="009C237F"/>
    <w:rsid w:val="009C4323"/>
    <w:rsid w:val="009D1B6E"/>
    <w:rsid w:val="009D3762"/>
    <w:rsid w:val="009E03D7"/>
    <w:rsid w:val="009E0C1D"/>
    <w:rsid w:val="009E1844"/>
    <w:rsid w:val="009E2E15"/>
    <w:rsid w:val="009F0D1B"/>
    <w:rsid w:val="009F2BBC"/>
    <w:rsid w:val="009F34F2"/>
    <w:rsid w:val="009F5B8F"/>
    <w:rsid w:val="009F5BBD"/>
    <w:rsid w:val="009F696D"/>
    <w:rsid w:val="009F6BC6"/>
    <w:rsid w:val="009F6E27"/>
    <w:rsid w:val="009F74EF"/>
    <w:rsid w:val="009F75FF"/>
    <w:rsid w:val="00A02826"/>
    <w:rsid w:val="00A075AF"/>
    <w:rsid w:val="00A1196C"/>
    <w:rsid w:val="00A12233"/>
    <w:rsid w:val="00A145AA"/>
    <w:rsid w:val="00A15490"/>
    <w:rsid w:val="00A15D5A"/>
    <w:rsid w:val="00A16B64"/>
    <w:rsid w:val="00A17328"/>
    <w:rsid w:val="00A1741E"/>
    <w:rsid w:val="00A177B1"/>
    <w:rsid w:val="00A22543"/>
    <w:rsid w:val="00A23A20"/>
    <w:rsid w:val="00A24443"/>
    <w:rsid w:val="00A24CED"/>
    <w:rsid w:val="00A25A01"/>
    <w:rsid w:val="00A26485"/>
    <w:rsid w:val="00A268B9"/>
    <w:rsid w:val="00A2690D"/>
    <w:rsid w:val="00A269CF"/>
    <w:rsid w:val="00A2703A"/>
    <w:rsid w:val="00A30918"/>
    <w:rsid w:val="00A3297D"/>
    <w:rsid w:val="00A33DFF"/>
    <w:rsid w:val="00A35115"/>
    <w:rsid w:val="00A35375"/>
    <w:rsid w:val="00A35642"/>
    <w:rsid w:val="00A35C36"/>
    <w:rsid w:val="00A35DBE"/>
    <w:rsid w:val="00A3699E"/>
    <w:rsid w:val="00A36D9A"/>
    <w:rsid w:val="00A4052F"/>
    <w:rsid w:val="00A413DD"/>
    <w:rsid w:val="00A42905"/>
    <w:rsid w:val="00A451DC"/>
    <w:rsid w:val="00A51293"/>
    <w:rsid w:val="00A52631"/>
    <w:rsid w:val="00A534BD"/>
    <w:rsid w:val="00A554AB"/>
    <w:rsid w:val="00A57062"/>
    <w:rsid w:val="00A5749E"/>
    <w:rsid w:val="00A61B0E"/>
    <w:rsid w:val="00A637BB"/>
    <w:rsid w:val="00A63DD7"/>
    <w:rsid w:val="00A64861"/>
    <w:rsid w:val="00A67781"/>
    <w:rsid w:val="00A701AC"/>
    <w:rsid w:val="00A708FF"/>
    <w:rsid w:val="00A70D91"/>
    <w:rsid w:val="00A7107B"/>
    <w:rsid w:val="00A75A8E"/>
    <w:rsid w:val="00A761F9"/>
    <w:rsid w:val="00A76236"/>
    <w:rsid w:val="00A7767C"/>
    <w:rsid w:val="00A8151B"/>
    <w:rsid w:val="00A815D8"/>
    <w:rsid w:val="00A859CC"/>
    <w:rsid w:val="00A9041D"/>
    <w:rsid w:val="00A92470"/>
    <w:rsid w:val="00A92B53"/>
    <w:rsid w:val="00A93B96"/>
    <w:rsid w:val="00A93E7E"/>
    <w:rsid w:val="00A94FA6"/>
    <w:rsid w:val="00A96FBF"/>
    <w:rsid w:val="00AA1858"/>
    <w:rsid w:val="00AA2158"/>
    <w:rsid w:val="00AA2474"/>
    <w:rsid w:val="00AA3930"/>
    <w:rsid w:val="00AA4682"/>
    <w:rsid w:val="00AA49A0"/>
    <w:rsid w:val="00AA4E08"/>
    <w:rsid w:val="00AA5921"/>
    <w:rsid w:val="00AA6710"/>
    <w:rsid w:val="00AA699C"/>
    <w:rsid w:val="00AA69CF"/>
    <w:rsid w:val="00AA6C4F"/>
    <w:rsid w:val="00AB0681"/>
    <w:rsid w:val="00AB50C5"/>
    <w:rsid w:val="00AB58A3"/>
    <w:rsid w:val="00AB6092"/>
    <w:rsid w:val="00AB6171"/>
    <w:rsid w:val="00AB6286"/>
    <w:rsid w:val="00AB6404"/>
    <w:rsid w:val="00AC128F"/>
    <w:rsid w:val="00AC254B"/>
    <w:rsid w:val="00AC3A15"/>
    <w:rsid w:val="00AC6C31"/>
    <w:rsid w:val="00AD148C"/>
    <w:rsid w:val="00AD1584"/>
    <w:rsid w:val="00AD222D"/>
    <w:rsid w:val="00AD2E5A"/>
    <w:rsid w:val="00AD3E06"/>
    <w:rsid w:val="00AD405C"/>
    <w:rsid w:val="00AD4483"/>
    <w:rsid w:val="00AD520B"/>
    <w:rsid w:val="00AD5409"/>
    <w:rsid w:val="00AD682C"/>
    <w:rsid w:val="00AD739C"/>
    <w:rsid w:val="00AE1A0E"/>
    <w:rsid w:val="00AE3BCC"/>
    <w:rsid w:val="00AE524F"/>
    <w:rsid w:val="00AF228F"/>
    <w:rsid w:val="00AF367A"/>
    <w:rsid w:val="00AF3FD1"/>
    <w:rsid w:val="00AF4DBA"/>
    <w:rsid w:val="00B007AA"/>
    <w:rsid w:val="00B0092F"/>
    <w:rsid w:val="00B06B51"/>
    <w:rsid w:val="00B11FD8"/>
    <w:rsid w:val="00B12B0A"/>
    <w:rsid w:val="00B1316B"/>
    <w:rsid w:val="00B14587"/>
    <w:rsid w:val="00B147D8"/>
    <w:rsid w:val="00B1567F"/>
    <w:rsid w:val="00B1719E"/>
    <w:rsid w:val="00B171AC"/>
    <w:rsid w:val="00B21127"/>
    <w:rsid w:val="00B2369F"/>
    <w:rsid w:val="00B24A4E"/>
    <w:rsid w:val="00B254D7"/>
    <w:rsid w:val="00B2663D"/>
    <w:rsid w:val="00B30486"/>
    <w:rsid w:val="00B33651"/>
    <w:rsid w:val="00B378A4"/>
    <w:rsid w:val="00B4024D"/>
    <w:rsid w:val="00B41A6E"/>
    <w:rsid w:val="00B425C3"/>
    <w:rsid w:val="00B43033"/>
    <w:rsid w:val="00B440AD"/>
    <w:rsid w:val="00B44201"/>
    <w:rsid w:val="00B44A37"/>
    <w:rsid w:val="00B47864"/>
    <w:rsid w:val="00B479BB"/>
    <w:rsid w:val="00B47DEB"/>
    <w:rsid w:val="00B52185"/>
    <w:rsid w:val="00B5397E"/>
    <w:rsid w:val="00B53E7E"/>
    <w:rsid w:val="00B55425"/>
    <w:rsid w:val="00B55FD0"/>
    <w:rsid w:val="00B60F0B"/>
    <w:rsid w:val="00B6167F"/>
    <w:rsid w:val="00B6173B"/>
    <w:rsid w:val="00B62546"/>
    <w:rsid w:val="00B6342E"/>
    <w:rsid w:val="00B63526"/>
    <w:rsid w:val="00B63E92"/>
    <w:rsid w:val="00B7113F"/>
    <w:rsid w:val="00B71CD4"/>
    <w:rsid w:val="00B7285F"/>
    <w:rsid w:val="00B74752"/>
    <w:rsid w:val="00B90364"/>
    <w:rsid w:val="00B93086"/>
    <w:rsid w:val="00B930B3"/>
    <w:rsid w:val="00B9504F"/>
    <w:rsid w:val="00B970E0"/>
    <w:rsid w:val="00BA08B4"/>
    <w:rsid w:val="00BA2BCF"/>
    <w:rsid w:val="00BA5B14"/>
    <w:rsid w:val="00BA73B6"/>
    <w:rsid w:val="00BA7E27"/>
    <w:rsid w:val="00BB1064"/>
    <w:rsid w:val="00BB2603"/>
    <w:rsid w:val="00BB3279"/>
    <w:rsid w:val="00BB3342"/>
    <w:rsid w:val="00BB3F8B"/>
    <w:rsid w:val="00BB48DD"/>
    <w:rsid w:val="00BB4FCD"/>
    <w:rsid w:val="00BB5AD8"/>
    <w:rsid w:val="00BB6791"/>
    <w:rsid w:val="00BC04E9"/>
    <w:rsid w:val="00BC0687"/>
    <w:rsid w:val="00BC48C3"/>
    <w:rsid w:val="00BC5A6F"/>
    <w:rsid w:val="00BC5BAA"/>
    <w:rsid w:val="00BD06AC"/>
    <w:rsid w:val="00BD13EA"/>
    <w:rsid w:val="00BD241A"/>
    <w:rsid w:val="00BD25BC"/>
    <w:rsid w:val="00BD472B"/>
    <w:rsid w:val="00BD59E4"/>
    <w:rsid w:val="00BD5DEA"/>
    <w:rsid w:val="00BE01E0"/>
    <w:rsid w:val="00BE32DD"/>
    <w:rsid w:val="00BE3808"/>
    <w:rsid w:val="00BE40DD"/>
    <w:rsid w:val="00BE6154"/>
    <w:rsid w:val="00BF087B"/>
    <w:rsid w:val="00BF3BE7"/>
    <w:rsid w:val="00BF443C"/>
    <w:rsid w:val="00BF4BD7"/>
    <w:rsid w:val="00BF67D8"/>
    <w:rsid w:val="00BF6FAD"/>
    <w:rsid w:val="00C03957"/>
    <w:rsid w:val="00C03B88"/>
    <w:rsid w:val="00C05B27"/>
    <w:rsid w:val="00C062E9"/>
    <w:rsid w:val="00C079A4"/>
    <w:rsid w:val="00C07B64"/>
    <w:rsid w:val="00C10C77"/>
    <w:rsid w:val="00C13721"/>
    <w:rsid w:val="00C14F1A"/>
    <w:rsid w:val="00C14FE4"/>
    <w:rsid w:val="00C20366"/>
    <w:rsid w:val="00C206B5"/>
    <w:rsid w:val="00C2224F"/>
    <w:rsid w:val="00C2322F"/>
    <w:rsid w:val="00C23422"/>
    <w:rsid w:val="00C234E7"/>
    <w:rsid w:val="00C25B25"/>
    <w:rsid w:val="00C2757E"/>
    <w:rsid w:val="00C3066D"/>
    <w:rsid w:val="00C30BB4"/>
    <w:rsid w:val="00C314DB"/>
    <w:rsid w:val="00C3357E"/>
    <w:rsid w:val="00C3645B"/>
    <w:rsid w:val="00C37535"/>
    <w:rsid w:val="00C40438"/>
    <w:rsid w:val="00C40710"/>
    <w:rsid w:val="00C43966"/>
    <w:rsid w:val="00C454A6"/>
    <w:rsid w:val="00C47C7E"/>
    <w:rsid w:val="00C51C15"/>
    <w:rsid w:val="00C52416"/>
    <w:rsid w:val="00C530B4"/>
    <w:rsid w:val="00C543F4"/>
    <w:rsid w:val="00C54B59"/>
    <w:rsid w:val="00C54BD4"/>
    <w:rsid w:val="00C54ECF"/>
    <w:rsid w:val="00C558F8"/>
    <w:rsid w:val="00C625E8"/>
    <w:rsid w:val="00C6291C"/>
    <w:rsid w:val="00C62AB1"/>
    <w:rsid w:val="00C633CB"/>
    <w:rsid w:val="00C640BB"/>
    <w:rsid w:val="00C664CD"/>
    <w:rsid w:val="00C673A8"/>
    <w:rsid w:val="00C71A0E"/>
    <w:rsid w:val="00C73557"/>
    <w:rsid w:val="00C736B7"/>
    <w:rsid w:val="00C739A9"/>
    <w:rsid w:val="00C73B70"/>
    <w:rsid w:val="00C73F56"/>
    <w:rsid w:val="00C754EF"/>
    <w:rsid w:val="00C75BBA"/>
    <w:rsid w:val="00C76A57"/>
    <w:rsid w:val="00C77B5B"/>
    <w:rsid w:val="00C77CA4"/>
    <w:rsid w:val="00C802AB"/>
    <w:rsid w:val="00C81D4A"/>
    <w:rsid w:val="00C82CBF"/>
    <w:rsid w:val="00C82FB7"/>
    <w:rsid w:val="00C835E4"/>
    <w:rsid w:val="00C8545E"/>
    <w:rsid w:val="00C872E6"/>
    <w:rsid w:val="00C8762C"/>
    <w:rsid w:val="00C87D81"/>
    <w:rsid w:val="00C939F1"/>
    <w:rsid w:val="00C9576A"/>
    <w:rsid w:val="00CA00CE"/>
    <w:rsid w:val="00CA00F9"/>
    <w:rsid w:val="00CA0D19"/>
    <w:rsid w:val="00CA294E"/>
    <w:rsid w:val="00CA2961"/>
    <w:rsid w:val="00CA3040"/>
    <w:rsid w:val="00CA6AD2"/>
    <w:rsid w:val="00CA7075"/>
    <w:rsid w:val="00CA70BC"/>
    <w:rsid w:val="00CB3977"/>
    <w:rsid w:val="00CB43B1"/>
    <w:rsid w:val="00CB4C54"/>
    <w:rsid w:val="00CB50D7"/>
    <w:rsid w:val="00CB7177"/>
    <w:rsid w:val="00CB7CED"/>
    <w:rsid w:val="00CC070F"/>
    <w:rsid w:val="00CC100E"/>
    <w:rsid w:val="00CC1998"/>
    <w:rsid w:val="00CC199D"/>
    <w:rsid w:val="00CC1F44"/>
    <w:rsid w:val="00CC359E"/>
    <w:rsid w:val="00CC3DC0"/>
    <w:rsid w:val="00CC41AE"/>
    <w:rsid w:val="00CC4946"/>
    <w:rsid w:val="00CC64A1"/>
    <w:rsid w:val="00CC714E"/>
    <w:rsid w:val="00CD1910"/>
    <w:rsid w:val="00CE0B96"/>
    <w:rsid w:val="00CE109A"/>
    <w:rsid w:val="00CE4447"/>
    <w:rsid w:val="00CE5238"/>
    <w:rsid w:val="00CF2C3C"/>
    <w:rsid w:val="00CF30E9"/>
    <w:rsid w:val="00CF3B11"/>
    <w:rsid w:val="00CF4D4C"/>
    <w:rsid w:val="00CF7A3C"/>
    <w:rsid w:val="00CF7B03"/>
    <w:rsid w:val="00D03091"/>
    <w:rsid w:val="00D060D1"/>
    <w:rsid w:val="00D07B19"/>
    <w:rsid w:val="00D101E0"/>
    <w:rsid w:val="00D12D13"/>
    <w:rsid w:val="00D14C74"/>
    <w:rsid w:val="00D1545B"/>
    <w:rsid w:val="00D21547"/>
    <w:rsid w:val="00D249CA"/>
    <w:rsid w:val="00D2594A"/>
    <w:rsid w:val="00D270A4"/>
    <w:rsid w:val="00D305A4"/>
    <w:rsid w:val="00D31FE9"/>
    <w:rsid w:val="00D32547"/>
    <w:rsid w:val="00D337E4"/>
    <w:rsid w:val="00D33A93"/>
    <w:rsid w:val="00D34628"/>
    <w:rsid w:val="00D34E1B"/>
    <w:rsid w:val="00D376BA"/>
    <w:rsid w:val="00D41001"/>
    <w:rsid w:val="00D434A0"/>
    <w:rsid w:val="00D44EF8"/>
    <w:rsid w:val="00D45634"/>
    <w:rsid w:val="00D459D5"/>
    <w:rsid w:val="00D46D9F"/>
    <w:rsid w:val="00D5568A"/>
    <w:rsid w:val="00D60781"/>
    <w:rsid w:val="00D6223B"/>
    <w:rsid w:val="00D62D4D"/>
    <w:rsid w:val="00D62FF2"/>
    <w:rsid w:val="00D63D73"/>
    <w:rsid w:val="00D64452"/>
    <w:rsid w:val="00D651EC"/>
    <w:rsid w:val="00D66E1E"/>
    <w:rsid w:val="00D677BF"/>
    <w:rsid w:val="00D70696"/>
    <w:rsid w:val="00D71B5B"/>
    <w:rsid w:val="00D74AA3"/>
    <w:rsid w:val="00D753EC"/>
    <w:rsid w:val="00D75722"/>
    <w:rsid w:val="00D77A62"/>
    <w:rsid w:val="00D77AB0"/>
    <w:rsid w:val="00D80B68"/>
    <w:rsid w:val="00D80CF5"/>
    <w:rsid w:val="00D9194B"/>
    <w:rsid w:val="00D91A80"/>
    <w:rsid w:val="00D92518"/>
    <w:rsid w:val="00D96608"/>
    <w:rsid w:val="00DA5BBA"/>
    <w:rsid w:val="00DB0792"/>
    <w:rsid w:val="00DB26D2"/>
    <w:rsid w:val="00DB31C5"/>
    <w:rsid w:val="00DB320B"/>
    <w:rsid w:val="00DB3DFF"/>
    <w:rsid w:val="00DB519D"/>
    <w:rsid w:val="00DB67C9"/>
    <w:rsid w:val="00DC056D"/>
    <w:rsid w:val="00DC0BD3"/>
    <w:rsid w:val="00DC0C95"/>
    <w:rsid w:val="00DC2CAB"/>
    <w:rsid w:val="00DC38D2"/>
    <w:rsid w:val="00DC45AB"/>
    <w:rsid w:val="00DC4F0B"/>
    <w:rsid w:val="00DC7CBB"/>
    <w:rsid w:val="00DD1CC3"/>
    <w:rsid w:val="00DD220C"/>
    <w:rsid w:val="00DD4235"/>
    <w:rsid w:val="00DD6580"/>
    <w:rsid w:val="00DD7967"/>
    <w:rsid w:val="00DD7C49"/>
    <w:rsid w:val="00DE0A19"/>
    <w:rsid w:val="00DE1E5C"/>
    <w:rsid w:val="00DE42B9"/>
    <w:rsid w:val="00DE4CBE"/>
    <w:rsid w:val="00DE6859"/>
    <w:rsid w:val="00DE73C9"/>
    <w:rsid w:val="00DF15B2"/>
    <w:rsid w:val="00DF6051"/>
    <w:rsid w:val="00DF657D"/>
    <w:rsid w:val="00E0136A"/>
    <w:rsid w:val="00E01D7F"/>
    <w:rsid w:val="00E047E0"/>
    <w:rsid w:val="00E05C03"/>
    <w:rsid w:val="00E10314"/>
    <w:rsid w:val="00E1133A"/>
    <w:rsid w:val="00E11A4A"/>
    <w:rsid w:val="00E143D3"/>
    <w:rsid w:val="00E14798"/>
    <w:rsid w:val="00E17C72"/>
    <w:rsid w:val="00E21FC6"/>
    <w:rsid w:val="00E23FC9"/>
    <w:rsid w:val="00E241B6"/>
    <w:rsid w:val="00E24459"/>
    <w:rsid w:val="00E33868"/>
    <w:rsid w:val="00E340E5"/>
    <w:rsid w:val="00E3796E"/>
    <w:rsid w:val="00E40C67"/>
    <w:rsid w:val="00E431A9"/>
    <w:rsid w:val="00E445BE"/>
    <w:rsid w:val="00E45036"/>
    <w:rsid w:val="00E50607"/>
    <w:rsid w:val="00E50EF9"/>
    <w:rsid w:val="00E516C4"/>
    <w:rsid w:val="00E518BF"/>
    <w:rsid w:val="00E61E9F"/>
    <w:rsid w:val="00E6250F"/>
    <w:rsid w:val="00E64616"/>
    <w:rsid w:val="00E661ED"/>
    <w:rsid w:val="00E669E2"/>
    <w:rsid w:val="00E75A1B"/>
    <w:rsid w:val="00E76135"/>
    <w:rsid w:val="00E7689D"/>
    <w:rsid w:val="00E7729E"/>
    <w:rsid w:val="00E77543"/>
    <w:rsid w:val="00E82F4F"/>
    <w:rsid w:val="00E84D06"/>
    <w:rsid w:val="00E864DF"/>
    <w:rsid w:val="00E91680"/>
    <w:rsid w:val="00E919C4"/>
    <w:rsid w:val="00E9227E"/>
    <w:rsid w:val="00E92C58"/>
    <w:rsid w:val="00E93D84"/>
    <w:rsid w:val="00EA31C4"/>
    <w:rsid w:val="00EA4095"/>
    <w:rsid w:val="00EB0AD6"/>
    <w:rsid w:val="00EB1279"/>
    <w:rsid w:val="00EB2557"/>
    <w:rsid w:val="00EB2CC3"/>
    <w:rsid w:val="00EB349D"/>
    <w:rsid w:val="00EB38D0"/>
    <w:rsid w:val="00EB514C"/>
    <w:rsid w:val="00EC1252"/>
    <w:rsid w:val="00EC1C43"/>
    <w:rsid w:val="00EC2844"/>
    <w:rsid w:val="00EC4922"/>
    <w:rsid w:val="00EC5500"/>
    <w:rsid w:val="00EC645C"/>
    <w:rsid w:val="00EC7709"/>
    <w:rsid w:val="00ED14CD"/>
    <w:rsid w:val="00ED18F8"/>
    <w:rsid w:val="00ED6AA6"/>
    <w:rsid w:val="00EE332B"/>
    <w:rsid w:val="00EE3FD5"/>
    <w:rsid w:val="00EE477A"/>
    <w:rsid w:val="00EE6EDA"/>
    <w:rsid w:val="00EE742C"/>
    <w:rsid w:val="00EE778E"/>
    <w:rsid w:val="00EF0EB7"/>
    <w:rsid w:val="00EF3A24"/>
    <w:rsid w:val="00EF4072"/>
    <w:rsid w:val="00EF535D"/>
    <w:rsid w:val="00EF53FE"/>
    <w:rsid w:val="00EF54A3"/>
    <w:rsid w:val="00EF6719"/>
    <w:rsid w:val="00EF6C6C"/>
    <w:rsid w:val="00F0118E"/>
    <w:rsid w:val="00F038E2"/>
    <w:rsid w:val="00F056FC"/>
    <w:rsid w:val="00F0632F"/>
    <w:rsid w:val="00F069AE"/>
    <w:rsid w:val="00F069CB"/>
    <w:rsid w:val="00F10476"/>
    <w:rsid w:val="00F115B8"/>
    <w:rsid w:val="00F11CC4"/>
    <w:rsid w:val="00F11D54"/>
    <w:rsid w:val="00F135D8"/>
    <w:rsid w:val="00F144E1"/>
    <w:rsid w:val="00F1640C"/>
    <w:rsid w:val="00F1707A"/>
    <w:rsid w:val="00F26DCF"/>
    <w:rsid w:val="00F31299"/>
    <w:rsid w:val="00F33F03"/>
    <w:rsid w:val="00F3534A"/>
    <w:rsid w:val="00F35BFB"/>
    <w:rsid w:val="00F36ACC"/>
    <w:rsid w:val="00F40323"/>
    <w:rsid w:val="00F40B3B"/>
    <w:rsid w:val="00F420F7"/>
    <w:rsid w:val="00F42556"/>
    <w:rsid w:val="00F44465"/>
    <w:rsid w:val="00F4543D"/>
    <w:rsid w:val="00F50910"/>
    <w:rsid w:val="00F50913"/>
    <w:rsid w:val="00F5111A"/>
    <w:rsid w:val="00F51609"/>
    <w:rsid w:val="00F531B9"/>
    <w:rsid w:val="00F54A25"/>
    <w:rsid w:val="00F555B6"/>
    <w:rsid w:val="00F55BEB"/>
    <w:rsid w:val="00F55C25"/>
    <w:rsid w:val="00F57F7B"/>
    <w:rsid w:val="00F60E5D"/>
    <w:rsid w:val="00F62402"/>
    <w:rsid w:val="00F6544D"/>
    <w:rsid w:val="00F724E7"/>
    <w:rsid w:val="00F73727"/>
    <w:rsid w:val="00F75460"/>
    <w:rsid w:val="00F766A7"/>
    <w:rsid w:val="00F80EE3"/>
    <w:rsid w:val="00F81006"/>
    <w:rsid w:val="00F81C3E"/>
    <w:rsid w:val="00F81C5D"/>
    <w:rsid w:val="00F83F68"/>
    <w:rsid w:val="00F8458B"/>
    <w:rsid w:val="00F85325"/>
    <w:rsid w:val="00F85DF8"/>
    <w:rsid w:val="00F875F1"/>
    <w:rsid w:val="00F93782"/>
    <w:rsid w:val="00F93786"/>
    <w:rsid w:val="00F9446A"/>
    <w:rsid w:val="00F95FD1"/>
    <w:rsid w:val="00F97CDB"/>
    <w:rsid w:val="00FA39A2"/>
    <w:rsid w:val="00FA4521"/>
    <w:rsid w:val="00FA6259"/>
    <w:rsid w:val="00FA700C"/>
    <w:rsid w:val="00FA7518"/>
    <w:rsid w:val="00FA7B55"/>
    <w:rsid w:val="00FB25B1"/>
    <w:rsid w:val="00FB3340"/>
    <w:rsid w:val="00FB3FB5"/>
    <w:rsid w:val="00FB6FB6"/>
    <w:rsid w:val="00FB7798"/>
    <w:rsid w:val="00FC12CC"/>
    <w:rsid w:val="00FC15F4"/>
    <w:rsid w:val="00FC284A"/>
    <w:rsid w:val="00FC4DE6"/>
    <w:rsid w:val="00FD07C9"/>
    <w:rsid w:val="00FD1253"/>
    <w:rsid w:val="00FD22B1"/>
    <w:rsid w:val="00FD33F1"/>
    <w:rsid w:val="00FD3566"/>
    <w:rsid w:val="00FD4001"/>
    <w:rsid w:val="00FD5DEA"/>
    <w:rsid w:val="00FD6E9D"/>
    <w:rsid w:val="00FE1538"/>
    <w:rsid w:val="00FE22D4"/>
    <w:rsid w:val="00FE3DE2"/>
    <w:rsid w:val="00FE4DBC"/>
    <w:rsid w:val="00FE4EFA"/>
    <w:rsid w:val="00FE4F71"/>
    <w:rsid w:val="00FE5397"/>
    <w:rsid w:val="00FE54D7"/>
    <w:rsid w:val="00FF25AC"/>
    <w:rsid w:val="00FF3965"/>
    <w:rsid w:val="00FF5B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6593"/>
    <o:shapelayout v:ext="edit">
      <o:idmap v:ext="edit" data="1"/>
    </o:shapelayout>
  </w:shapeDefaults>
  <w:decimalSymbol w:val="."/>
  <w:listSeparator w:val=","/>
  <w14:docId w14:val="55AC1541"/>
  <w15:docId w15:val="{F5702A4C-82E3-4A62-8861-EA992D427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00F4"/>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4F00F4"/>
    <w:rPr>
      <w:rFonts w:ascii="Arial" w:hAnsi="Arial"/>
      <w:b/>
      <w:sz w:val="26"/>
    </w:rPr>
  </w:style>
  <w:style w:type="character" w:customStyle="1" w:styleId="BoxListBulletChar">
    <w:name w:val="Box List Bullet Char"/>
    <w:link w:val="BoxListBullet"/>
    <w:rsid w:val="004F00F4"/>
    <w:rPr>
      <w:rFonts w:ascii="Arial" w:hAnsi="Arial"/>
    </w:rPr>
  </w:style>
  <w:style w:type="character" w:customStyle="1" w:styleId="CommentTextChar">
    <w:name w:val="Comment Text Char"/>
    <w:basedOn w:val="DefaultParagraphFont"/>
    <w:link w:val="CommentText"/>
    <w:rsid w:val="004F00F4"/>
    <w:rPr>
      <w:szCs w:val="24"/>
    </w:rPr>
  </w:style>
  <w:style w:type="character" w:customStyle="1" w:styleId="Heading2Char">
    <w:name w:val="Heading 2 Char"/>
    <w:basedOn w:val="DefaultParagraphFont"/>
    <w:link w:val="Heading2"/>
    <w:rsid w:val="004F00F4"/>
    <w:rPr>
      <w:rFonts w:ascii="Arial" w:hAnsi="Arial"/>
      <w:b/>
      <w:sz w:val="32"/>
    </w:rPr>
  </w:style>
  <w:style w:type="character" w:customStyle="1" w:styleId="TableBodyTextChar">
    <w:name w:val="Table Body Text Char"/>
    <w:link w:val="TableBodyText"/>
    <w:rsid w:val="004F00F4"/>
    <w:rPr>
      <w:rFonts w:ascii="Arial" w:hAnsi="Arial"/>
      <w:sz w:val="18"/>
    </w:rPr>
  </w:style>
  <w:style w:type="character" w:customStyle="1" w:styleId="TableBulletChar">
    <w:name w:val="Table Bullet Char"/>
    <w:basedOn w:val="DefaultParagraphFont"/>
    <w:link w:val="TableBullet"/>
    <w:locked/>
    <w:rsid w:val="004F00F4"/>
    <w:rPr>
      <w:rFonts w:ascii="Arial" w:hAnsi="Arial"/>
      <w:sz w:val="18"/>
    </w:rPr>
  </w:style>
  <w:style w:type="character" w:customStyle="1" w:styleId="BoxChar">
    <w:name w:val="Box Char"/>
    <w:link w:val="Box"/>
    <w:rsid w:val="004F00F4"/>
    <w:rPr>
      <w:rFonts w:ascii="Arial" w:hAnsi="Arial"/>
    </w:rPr>
  </w:style>
  <w:style w:type="paragraph" w:customStyle="1" w:styleId="BoxSpace">
    <w:name w:val="Box Space"/>
    <w:basedOn w:val="BodyText"/>
    <w:rsid w:val="00680847"/>
    <w:pPr>
      <w:keepNext/>
      <w:spacing w:before="360" w:line="80" w:lineRule="exact"/>
      <w:jc w:val="left"/>
    </w:pPr>
  </w:style>
  <w:style w:type="character" w:customStyle="1" w:styleId="FootnoteTextChar">
    <w:name w:val="Footnote Text Char"/>
    <w:basedOn w:val="DefaultParagraphFont"/>
    <w:link w:val="FootnoteText"/>
    <w:rsid w:val="003C412A"/>
  </w:style>
  <w:style w:type="character" w:styleId="Hyperlink">
    <w:name w:val="Hyperlink"/>
    <w:basedOn w:val="DefaultParagraphFont"/>
    <w:rsid w:val="00591511"/>
    <w:rPr>
      <w:color w:val="78A22F" w:themeColor="hyperlink"/>
      <w:u w:val="single"/>
    </w:rPr>
  </w:style>
  <w:style w:type="paragraph" w:styleId="CommentSubject">
    <w:name w:val="annotation subject"/>
    <w:basedOn w:val="CommentText"/>
    <w:next w:val="CommentText"/>
    <w:link w:val="CommentSubjectChar"/>
    <w:rsid w:val="00510C07"/>
    <w:pPr>
      <w:spacing w:before="0" w:line="240" w:lineRule="auto"/>
      <w:ind w:left="0" w:firstLine="0"/>
    </w:pPr>
    <w:rPr>
      <w:b/>
      <w:bCs/>
      <w:szCs w:val="20"/>
    </w:rPr>
  </w:style>
  <w:style w:type="character" w:customStyle="1" w:styleId="CommentSubjectChar">
    <w:name w:val="Comment Subject Char"/>
    <w:basedOn w:val="CommentTextChar"/>
    <w:link w:val="CommentSubject"/>
    <w:rsid w:val="00510C07"/>
    <w:rPr>
      <w:b/>
      <w:bCs/>
      <w:szCs w:val="24"/>
    </w:rPr>
  </w:style>
  <w:style w:type="paragraph" w:styleId="Revision">
    <w:name w:val="Revision"/>
    <w:hidden/>
    <w:uiPriority w:val="99"/>
    <w:semiHidden/>
    <w:rsid w:val="00510C07"/>
    <w:rPr>
      <w:sz w:val="24"/>
      <w:szCs w:val="24"/>
    </w:rPr>
  </w:style>
  <w:style w:type="paragraph" w:customStyle="1" w:styleId="Default">
    <w:name w:val="Default"/>
    <w:rsid w:val="00925AB3"/>
    <w:pPr>
      <w:autoSpaceDE w:val="0"/>
      <w:autoSpaceDN w:val="0"/>
      <w:adjustRightInd w:val="0"/>
    </w:pPr>
    <w:rPr>
      <w:color w:val="000000"/>
      <w:sz w:val="24"/>
      <w:szCs w:val="24"/>
    </w:rPr>
  </w:style>
  <w:style w:type="character" w:customStyle="1" w:styleId="NoteChar">
    <w:name w:val="Note Char"/>
    <w:link w:val="Note"/>
    <w:rsid w:val="007D6965"/>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808242">
      <w:bodyDiv w:val="1"/>
      <w:marLeft w:val="0"/>
      <w:marRight w:val="0"/>
      <w:marTop w:val="0"/>
      <w:marBottom w:val="0"/>
      <w:divBdr>
        <w:top w:val="none" w:sz="0" w:space="0" w:color="auto"/>
        <w:left w:val="none" w:sz="0" w:space="0" w:color="auto"/>
        <w:bottom w:val="none" w:sz="0" w:space="0" w:color="auto"/>
        <w:right w:val="none" w:sz="0" w:space="0" w:color="auto"/>
      </w:divBdr>
    </w:div>
    <w:div w:id="127162521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9229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E77FA-B12A-45F7-B0A7-B50FFE3EF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4C67725</Template>
  <TotalTime>24</TotalTime>
  <Pages>63</Pages>
  <Words>18006</Words>
  <Characters>101095</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National Indigenous Reform Agreement (Closing the Gap) performance reporting 2017-18</vt:lpstr>
    </vt:vector>
  </TitlesOfParts>
  <Company>Productivity Commission</Company>
  <LinksUpToDate>false</LinksUpToDate>
  <CharactersWithSpaces>118864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Indigenous Reform Agreement (Closing the Gap) performance reporting 2017-18</dc:title>
  <dc:creator>Steering Committee for the Review of Government Service Provision</dc:creator>
  <cp:lastModifiedBy>Frech, Tanya</cp:lastModifiedBy>
  <cp:revision>7</cp:revision>
  <cp:lastPrinted>2018-11-22T23:16:00Z</cp:lastPrinted>
  <dcterms:created xsi:type="dcterms:W3CDTF">2018-12-18T01:12:00Z</dcterms:created>
  <dcterms:modified xsi:type="dcterms:W3CDTF">2019-01-28T23:12:00Z</dcterms:modified>
</cp:coreProperties>
</file>