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9A731" w14:textId="77777777" w:rsidR="006A3015" w:rsidRPr="00794141" w:rsidRDefault="006A3015" w:rsidP="006A3015">
      <w:pPr>
        <w:pStyle w:val="Heading1"/>
        <w:shd w:val="clear" w:color="auto" w:fill="FFFFFF" w:themeFill="background1"/>
        <w:rPr>
          <w:color w:val="FFFFFF" w:themeColor="background1"/>
          <w:sz w:val="16"/>
          <w:szCs w:val="16"/>
        </w:rPr>
      </w:pPr>
      <w:bookmarkStart w:id="0" w:name="_GoBack"/>
      <w:bookmarkEnd w:id="0"/>
      <w:r w:rsidRPr="00794141">
        <w:rPr>
          <w:color w:val="FFFFFF" w:themeColor="background1"/>
          <w:sz w:val="16"/>
          <w:szCs w:val="16"/>
        </w:rPr>
        <w:t xml:space="preserve">National Agreement Performance Information 2018-19: National Indigenous Reform Agreement </w:t>
      </w:r>
    </w:p>
    <w:p w14:paraId="4EDFBF7E" w14:textId="77777777" w:rsidR="006A3015" w:rsidRPr="00794141" w:rsidRDefault="006A3015" w:rsidP="006A3015">
      <w:pPr>
        <w:pStyle w:val="Copyrightbodytext"/>
        <w:shd w:val="clear" w:color="auto" w:fill="FFFFFF" w:themeFill="background1"/>
        <w:rPr>
          <w:color w:val="FFFFFF" w:themeColor="background1"/>
          <w:sz w:val="16"/>
          <w:szCs w:val="16"/>
        </w:rPr>
      </w:pPr>
      <w:r w:rsidRPr="00794141">
        <w:rPr>
          <w:color w:val="FFFFFF" w:themeColor="background1"/>
          <w:sz w:val="16"/>
          <w:szCs w:val="16"/>
        </w:rPr>
        <w:t xml:space="preserve">SCRGSP (Steering Committee for the Review of Government Service Provision), Productivity Commission. </w:t>
      </w:r>
    </w:p>
    <w:p w14:paraId="78C2238E" w14:textId="77777777" w:rsidR="006A3015" w:rsidRPr="00794141" w:rsidRDefault="006A3015" w:rsidP="006A3015">
      <w:pPr>
        <w:pStyle w:val="BodyText"/>
        <w:rPr>
          <w:color w:val="FFFFFF" w:themeColor="background1"/>
        </w:rPr>
      </w:pPr>
      <w:r>
        <w:rPr>
          <w:noProof/>
        </w:rPr>
        <w:drawing>
          <wp:anchor distT="0" distB="0" distL="114300" distR="114300" simplePos="0" relativeHeight="251659264" behindDoc="0" locked="0" layoutInCell="1" allowOverlap="1" wp14:anchorId="37FC9BB8" wp14:editId="70EEAE58">
            <wp:simplePos x="830580" y="830580"/>
            <wp:positionH relativeFrom="page">
              <wp:align>center</wp:align>
            </wp:positionH>
            <wp:positionV relativeFrom="page">
              <wp:align>center</wp:align>
            </wp:positionV>
            <wp:extent cx="7560000" cy="10692000"/>
            <wp:effectExtent l="0" t="0" r="3175" b="0"/>
            <wp:wrapNone/>
            <wp:docPr id="9" name="Picture 9" descr="Cover for National Agreement Performance Information 2018-19: National Indigenous Reform Agreement, Produced by the Productivity Commission for the Steering Committee for the Review of Government Service Pro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ra-national-agreement-report-2018-19-coverA4-web.pn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4ADAF62C" w14:textId="77777777" w:rsidR="006A3015" w:rsidRDefault="006A3015" w:rsidP="006A3015">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2019</w:t>
      </w:r>
    </w:p>
    <w:p w14:paraId="4D22CBED" w14:textId="77777777" w:rsidR="006A3015" w:rsidRPr="006A3015" w:rsidRDefault="006A3015" w:rsidP="006A3015">
      <w:pPr>
        <w:pStyle w:val="BodyText"/>
        <w:tabs>
          <w:tab w:val="left" w:pos="851"/>
        </w:tabs>
        <w:spacing w:before="200" w:after="120"/>
        <w:jc w:val="left"/>
        <w:rPr>
          <w:b/>
          <w:sz w:val="20"/>
        </w:rPr>
      </w:pPr>
      <w:bookmarkStart w:id="1" w:name="ISSN"/>
      <w:bookmarkEnd w:id="1"/>
      <w:r w:rsidRPr="006A3015">
        <w:rPr>
          <w:b/>
          <w:sz w:val="20"/>
        </w:rPr>
        <w:t>ISBN</w:t>
      </w:r>
      <w:r w:rsidRPr="006A3015">
        <w:rPr>
          <w:b/>
          <w:sz w:val="20"/>
        </w:rPr>
        <w:tab/>
        <w:t>978-1-74037-687-7</w:t>
      </w:r>
    </w:p>
    <w:p w14:paraId="4AF62A0C" w14:textId="77777777" w:rsidR="006A3015" w:rsidRDefault="006A3015" w:rsidP="006A3015">
      <w:pPr>
        <w:pStyle w:val="BodyText"/>
        <w:spacing w:after="120"/>
      </w:pPr>
      <w:r w:rsidRPr="00862D8F">
        <w:rPr>
          <w:noProof/>
          <w:sz w:val="22"/>
          <w:szCs w:val="22"/>
        </w:rPr>
        <w:drawing>
          <wp:inline distT="0" distB="0" distL="0" distR="0" wp14:anchorId="0FA35145" wp14:editId="07717BBE">
            <wp:extent cx="843280" cy="295043"/>
            <wp:effectExtent l="0" t="0" r="0" b="0"/>
            <wp:docPr id="10" name="Picture 10"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60B7FE3A" w14:textId="77777777" w:rsidR="006A3015" w:rsidRPr="006A3015" w:rsidRDefault="006A3015" w:rsidP="006A3015">
      <w:pPr>
        <w:pStyle w:val="Copyrightbodytext"/>
        <w:rPr>
          <w:sz w:val="20"/>
        </w:rPr>
      </w:pPr>
      <w:r w:rsidRPr="006A3015">
        <w:rPr>
          <w:sz w:val="20"/>
        </w:rPr>
        <w:t>Except for the Commonwealth Coat of Arms and content supplied by third parties, this copyright work is licensed under a Creative Commons Attribution 3.0 Australia licence. In essence, you are free to copy, communicate and adapt the work, as long as you attribute the work to the Steering Committee for the Review of Government Service Provision (but not in any way that suggests the Steering Committee endorses you or your use) and abide by the other licence terms. To view a copy of this licence, visit http://creativecommons.org/licenses/by/3.0/au.</w:t>
      </w:r>
    </w:p>
    <w:p w14:paraId="0DA0D82E" w14:textId="77777777" w:rsidR="006A3015" w:rsidRPr="008A3857" w:rsidRDefault="006A3015" w:rsidP="006A3015">
      <w:pPr>
        <w:pStyle w:val="Copyrightsubtitle"/>
      </w:pPr>
      <w:r w:rsidRPr="008A3857">
        <w:t>Third party copyright</w:t>
      </w:r>
    </w:p>
    <w:p w14:paraId="6E921FC5" w14:textId="77777777" w:rsidR="006A3015" w:rsidRPr="006A3015" w:rsidRDefault="006A3015" w:rsidP="006A3015">
      <w:pPr>
        <w:pStyle w:val="Copyrightbodytext"/>
        <w:rPr>
          <w:sz w:val="20"/>
        </w:rPr>
      </w:pPr>
      <w:r w:rsidRPr="006A3015">
        <w:rPr>
          <w:sz w:val="20"/>
        </w:rPr>
        <w:t>Wherever a third party holds copyright in this material, the copyright remains with that party. Their permission may be required to use the material, please contact them directly.</w:t>
      </w:r>
    </w:p>
    <w:p w14:paraId="76D9B835" w14:textId="77777777" w:rsidR="006A3015" w:rsidRPr="008A3857" w:rsidRDefault="006A3015" w:rsidP="006A3015">
      <w:pPr>
        <w:pStyle w:val="Copyrightsubtitle"/>
      </w:pPr>
      <w:r w:rsidRPr="008A3857">
        <w:t>Attribution</w:t>
      </w:r>
    </w:p>
    <w:p w14:paraId="197CBBF9" w14:textId="77777777" w:rsidR="006A3015" w:rsidRPr="006A3015" w:rsidRDefault="006A3015" w:rsidP="006A3015">
      <w:pPr>
        <w:pStyle w:val="Copyrightbodytext"/>
        <w:rPr>
          <w:sz w:val="20"/>
        </w:rPr>
      </w:pPr>
      <w:r w:rsidRPr="006A3015">
        <w:rPr>
          <w:sz w:val="20"/>
        </w:rPr>
        <w:t xml:space="preserve">This work should be attributed as follows, </w:t>
      </w:r>
      <w:r w:rsidRPr="006A3015">
        <w:rPr>
          <w:i/>
          <w:sz w:val="20"/>
        </w:rPr>
        <w:t>Source: Steering Committee for the Review of Government Service Provision, National Agreement Performance Information 2018-19: National Indigenous Reform Agreement.</w:t>
      </w:r>
    </w:p>
    <w:p w14:paraId="6143F687" w14:textId="77777777" w:rsidR="006A3015" w:rsidRPr="006A3015" w:rsidRDefault="006A3015" w:rsidP="006A3015">
      <w:pPr>
        <w:pStyle w:val="Copyrightbodytext"/>
        <w:spacing w:before="120"/>
        <w:rPr>
          <w:sz w:val="20"/>
        </w:rPr>
      </w:pPr>
      <w:r w:rsidRPr="006A3015">
        <w:rPr>
          <w:sz w:val="20"/>
        </w:rPr>
        <w:t xml:space="preserve">If you have adapted, modified or transformed this work in anyway, please use the following, </w:t>
      </w:r>
      <w:r w:rsidRPr="006A3015">
        <w:rPr>
          <w:i/>
          <w:sz w:val="20"/>
        </w:rPr>
        <w:t>Source: based on Steering Committee for the Review of Government Service Provision data, National Agreement Performance Information 2018-19: National Indigenous Reform Agreement.</w:t>
      </w:r>
    </w:p>
    <w:p w14:paraId="0755864B" w14:textId="77777777" w:rsidR="006A3015" w:rsidRPr="008A3857" w:rsidRDefault="006A3015" w:rsidP="006A3015">
      <w:pPr>
        <w:pStyle w:val="Copyrightsubtitle"/>
      </w:pPr>
      <w:r w:rsidRPr="008A3857">
        <w:t xml:space="preserve">An appropriate </w:t>
      </w:r>
      <w:r>
        <w:t>reference</w:t>
      </w:r>
      <w:r w:rsidRPr="008A3857">
        <w:t xml:space="preserve"> for this publication is:</w:t>
      </w:r>
    </w:p>
    <w:p w14:paraId="770D9846" w14:textId="77777777" w:rsidR="006A3015" w:rsidRPr="006A3015" w:rsidRDefault="006A3015" w:rsidP="006A3015">
      <w:pPr>
        <w:pStyle w:val="Copyrightbodytext"/>
        <w:rPr>
          <w:sz w:val="20"/>
        </w:rPr>
      </w:pPr>
      <w:r w:rsidRPr="006A3015">
        <w:rPr>
          <w:sz w:val="20"/>
        </w:rPr>
        <w:t xml:space="preserve">SCRGSP (Steering Committee for the Review of Government Service Provision) 2019, </w:t>
      </w:r>
      <w:r w:rsidRPr="006A3015">
        <w:rPr>
          <w:i/>
          <w:sz w:val="20"/>
        </w:rPr>
        <w:t>National Agreement Performance Information 2018-19: National Indigenous Reform Agreement</w:t>
      </w:r>
      <w:r w:rsidRPr="006A3015">
        <w:rPr>
          <w:sz w:val="20"/>
        </w:rPr>
        <w:t xml:space="preserve">, Productivity Commission, Canberra. </w:t>
      </w:r>
    </w:p>
    <w:p w14:paraId="5F97BC00" w14:textId="77777777" w:rsidR="006A3015" w:rsidRPr="008A3857" w:rsidRDefault="006A3015" w:rsidP="006A3015">
      <w:pPr>
        <w:pStyle w:val="Copyrightsubtitle"/>
      </w:pPr>
      <w:r w:rsidRPr="008A3857">
        <w:t>Publications enquiries</w:t>
      </w:r>
    </w:p>
    <w:p w14:paraId="5B142E88" w14:textId="77777777" w:rsidR="006A3015" w:rsidRPr="006A3015" w:rsidRDefault="006A3015" w:rsidP="006A3015">
      <w:pPr>
        <w:pStyle w:val="Copyrightbodytext"/>
        <w:rPr>
          <w:sz w:val="20"/>
        </w:rPr>
      </w:pPr>
      <w:r w:rsidRPr="006A3015">
        <w:rPr>
          <w:sz w:val="20"/>
        </w:rPr>
        <w:t xml:space="preserve">The Productivity Commission acts as the Secretariat for the Steering Committee for the Review of Government Service Provision. This report and previous editions are available from the Productivity Commission website at www.pc.gov.au. </w:t>
      </w:r>
    </w:p>
    <w:p w14:paraId="3049EBC7" w14:textId="77777777" w:rsidR="006A3015" w:rsidRPr="006A3015" w:rsidRDefault="006A3015" w:rsidP="006A3015">
      <w:pPr>
        <w:pStyle w:val="Copyrightbodytext"/>
        <w:rPr>
          <w:sz w:val="20"/>
        </w:rPr>
      </w:pPr>
      <w:r w:rsidRPr="006A3015">
        <w:rPr>
          <w:sz w:val="20"/>
        </w:rPr>
        <w:t xml:space="preserve">The Steering Committee welcomes enquiries and suggestions on the information contained in this report. Contact the Secretariat by phone: (03) 9653 2100 or email: gsp@pc.gov.au </w:t>
      </w:r>
    </w:p>
    <w:p w14:paraId="1EE6F900" w14:textId="77777777" w:rsidR="006A3015" w:rsidRDefault="006A3015" w:rsidP="006A3015">
      <w:pPr>
        <w:pStyle w:val="BoxSpaceAbove"/>
      </w:pPr>
    </w:p>
    <w:p w14:paraId="1DEB4853" w14:textId="77777777" w:rsidR="006A3015" w:rsidRDefault="006A3015" w:rsidP="006A3015">
      <w:pPr>
        <w:pStyle w:val="BodyText"/>
        <w:sectPr w:rsidR="006A3015" w:rsidSect="006A3015">
          <w:pgSz w:w="11907" w:h="16840" w:code="9"/>
          <w:pgMar w:top="1304" w:right="1304" w:bottom="567" w:left="1814" w:header="1701" w:footer="397" w:gutter="0"/>
          <w:pgNumType w:fmt="lowerRoman" w:start="1"/>
          <w:cols w:space="720"/>
          <w:titlePg/>
        </w:sectPr>
      </w:pPr>
      <w:bookmarkStart w:id="2" w:name="cov"/>
      <w:bookmarkEnd w:id="2"/>
    </w:p>
    <w:p w14:paraId="66424B07" w14:textId="77777777" w:rsidR="006A3015" w:rsidRPr="00E65FCE" w:rsidRDefault="006A3015" w:rsidP="006A3015">
      <w:pPr>
        <w:pStyle w:val="Heading1NotTOC"/>
        <w:rPr>
          <w:noProof/>
          <w:sz w:val="28"/>
          <w:szCs w:val="28"/>
        </w:rPr>
      </w:pPr>
      <w:bookmarkStart w:id="3" w:name="Contents"/>
      <w:bookmarkEnd w:id="3"/>
      <w:r w:rsidRPr="00E65FCE">
        <w:lastRenderedPageBreak/>
        <w:t>Contents</w:t>
      </w:r>
      <w:bookmarkStart w:id="4" w:name="InsertContents"/>
      <w:bookmarkEnd w:id="4"/>
    </w:p>
    <w:p w14:paraId="18453233" w14:textId="77777777" w:rsidR="006A3015" w:rsidRPr="00456DB1" w:rsidRDefault="006A3015" w:rsidP="006A3015">
      <w:pPr>
        <w:pStyle w:val="TOC1"/>
        <w:rPr>
          <w:rFonts w:asciiTheme="minorHAnsi" w:eastAsiaTheme="minorEastAsia" w:hAnsiTheme="minorHAnsi" w:cstheme="minorBidi"/>
          <w:b w:val="0"/>
          <w:noProof/>
          <w:sz w:val="22"/>
          <w:szCs w:val="22"/>
          <w:lang w:eastAsia="en-AU"/>
        </w:rPr>
      </w:pPr>
      <w:r w:rsidRPr="00456DB1">
        <w:rPr>
          <w:noProof/>
        </w:rPr>
        <w:t>Preface</w:t>
      </w:r>
      <w:r w:rsidRPr="00456DB1">
        <w:rPr>
          <w:noProof/>
        </w:rPr>
        <w:tab/>
        <w:t>iv</w:t>
      </w:r>
    </w:p>
    <w:p w14:paraId="31A37C29" w14:textId="77777777" w:rsidR="006A3015" w:rsidRPr="00456DB1" w:rsidRDefault="006A3015" w:rsidP="006A3015">
      <w:pPr>
        <w:pStyle w:val="TOC1"/>
        <w:rPr>
          <w:rFonts w:asciiTheme="minorHAnsi" w:eastAsiaTheme="minorEastAsia" w:hAnsiTheme="minorHAnsi" w:cstheme="minorBidi"/>
          <w:b w:val="0"/>
          <w:noProof/>
          <w:sz w:val="22"/>
          <w:szCs w:val="22"/>
          <w:lang w:eastAsia="en-AU"/>
        </w:rPr>
      </w:pPr>
      <w:r w:rsidRPr="00456DB1">
        <w:rPr>
          <w:noProof/>
        </w:rPr>
        <w:t>Steering Committee</w:t>
      </w:r>
      <w:r w:rsidRPr="00456DB1">
        <w:rPr>
          <w:noProof/>
        </w:rPr>
        <w:tab/>
        <w:t>v</w:t>
      </w:r>
    </w:p>
    <w:p w14:paraId="67DEFC1F" w14:textId="77777777" w:rsidR="006A3015" w:rsidRPr="00E65FCE" w:rsidRDefault="006A3015" w:rsidP="006A3015">
      <w:pPr>
        <w:pStyle w:val="TOC1"/>
        <w:rPr>
          <w:rFonts w:asciiTheme="minorHAnsi" w:eastAsiaTheme="minorEastAsia" w:hAnsiTheme="minorHAnsi" w:cstheme="minorBidi"/>
          <w:b w:val="0"/>
          <w:noProof/>
          <w:sz w:val="22"/>
          <w:szCs w:val="22"/>
          <w:lang w:eastAsia="en-AU"/>
        </w:rPr>
      </w:pPr>
      <w:r w:rsidRPr="00E65FCE">
        <w:rPr>
          <w:noProof/>
        </w:rPr>
        <w:t>National Indigenous Reform Agreement (Closing the Gap) performance reporting</w:t>
      </w:r>
      <w:r w:rsidRPr="00E65FCE">
        <w:rPr>
          <w:noProof/>
        </w:rPr>
        <w:tab/>
        <w:t>1</w:t>
      </w:r>
    </w:p>
    <w:p w14:paraId="707B192F" w14:textId="77777777" w:rsidR="006A3015" w:rsidRPr="00E65FCE" w:rsidRDefault="006A3015" w:rsidP="006A3015">
      <w:pPr>
        <w:pStyle w:val="TOC2"/>
        <w:rPr>
          <w:rFonts w:asciiTheme="minorHAnsi" w:eastAsiaTheme="minorEastAsia" w:hAnsiTheme="minorHAnsi" w:cstheme="minorBidi"/>
          <w:noProof/>
          <w:sz w:val="22"/>
          <w:szCs w:val="22"/>
          <w:lang w:eastAsia="en-AU"/>
        </w:rPr>
      </w:pPr>
      <w:r w:rsidRPr="00E65FCE">
        <w:rPr>
          <w:noProof/>
        </w:rPr>
        <w:t>Performance Reporting</w:t>
      </w:r>
      <w:r w:rsidRPr="00E65FCE">
        <w:rPr>
          <w:noProof/>
        </w:rPr>
        <w:tab/>
        <w:t>1</w:t>
      </w:r>
    </w:p>
    <w:p w14:paraId="3D821DCE" w14:textId="77777777" w:rsidR="006A3015" w:rsidRPr="00E65FCE" w:rsidRDefault="006A3015" w:rsidP="006A3015">
      <w:pPr>
        <w:pStyle w:val="TOC2"/>
        <w:rPr>
          <w:rFonts w:asciiTheme="minorHAnsi" w:eastAsiaTheme="minorEastAsia" w:hAnsiTheme="minorHAnsi" w:cstheme="minorBidi"/>
          <w:noProof/>
          <w:sz w:val="22"/>
          <w:szCs w:val="22"/>
          <w:lang w:eastAsia="en-AU"/>
        </w:rPr>
      </w:pPr>
      <w:r w:rsidRPr="00E65FCE">
        <w:rPr>
          <w:noProof/>
        </w:rPr>
        <w:t>COAG reform agenda and additional contextual information</w:t>
      </w:r>
      <w:r w:rsidRPr="00E65FCE">
        <w:rPr>
          <w:noProof/>
        </w:rPr>
        <w:tab/>
        <w:t>2</w:t>
      </w:r>
    </w:p>
    <w:p w14:paraId="43BE39E2" w14:textId="77777777" w:rsidR="006A3015" w:rsidRPr="00E65FCE" w:rsidRDefault="006A3015" w:rsidP="006A3015">
      <w:pPr>
        <w:pStyle w:val="TOC2"/>
        <w:rPr>
          <w:rFonts w:asciiTheme="minorHAnsi" w:eastAsiaTheme="minorEastAsia" w:hAnsiTheme="minorHAnsi" w:cstheme="minorBidi"/>
          <w:noProof/>
          <w:sz w:val="22"/>
          <w:szCs w:val="22"/>
          <w:lang w:eastAsia="en-AU"/>
        </w:rPr>
      </w:pPr>
      <w:r w:rsidRPr="00E65FCE">
        <w:rPr>
          <w:noProof/>
        </w:rPr>
        <w:t>Changes from the previous National Indigenous Reform Agreement performance report</w:t>
      </w:r>
      <w:r w:rsidRPr="00E65FCE">
        <w:rPr>
          <w:noProof/>
        </w:rPr>
        <w:tab/>
      </w:r>
      <w:r>
        <w:rPr>
          <w:noProof/>
        </w:rPr>
        <w:t>5</w:t>
      </w:r>
    </w:p>
    <w:p w14:paraId="73BF68F7" w14:textId="77777777" w:rsidR="006A3015" w:rsidRPr="00E65FCE" w:rsidRDefault="006A3015" w:rsidP="006A3015">
      <w:pPr>
        <w:pStyle w:val="TOC2"/>
        <w:rPr>
          <w:rFonts w:asciiTheme="minorHAnsi" w:eastAsiaTheme="minorEastAsia" w:hAnsiTheme="minorHAnsi" w:cstheme="minorBidi"/>
          <w:noProof/>
          <w:sz w:val="22"/>
          <w:szCs w:val="22"/>
          <w:lang w:eastAsia="en-AU"/>
        </w:rPr>
      </w:pPr>
      <w:r w:rsidRPr="00E65FCE">
        <w:rPr>
          <w:noProof/>
        </w:rPr>
        <w:t>Performance targets</w:t>
      </w:r>
      <w:r w:rsidRPr="00E65FCE">
        <w:rPr>
          <w:noProof/>
        </w:rPr>
        <w:tab/>
        <w:t>6</w:t>
      </w:r>
    </w:p>
    <w:p w14:paraId="112AD215" w14:textId="77777777" w:rsidR="006A3015" w:rsidRPr="00E65FCE" w:rsidRDefault="006A3015" w:rsidP="006A3015">
      <w:pPr>
        <w:pStyle w:val="TOC2"/>
        <w:rPr>
          <w:rFonts w:asciiTheme="minorHAnsi" w:eastAsiaTheme="minorEastAsia" w:hAnsiTheme="minorHAnsi" w:cstheme="minorBidi"/>
          <w:noProof/>
          <w:sz w:val="22"/>
          <w:szCs w:val="22"/>
          <w:lang w:eastAsia="en-AU"/>
        </w:rPr>
      </w:pPr>
      <w:r w:rsidRPr="00E65FCE">
        <w:rPr>
          <w:noProof/>
        </w:rPr>
        <w:t>Performance indicators</w:t>
      </w:r>
      <w:r w:rsidRPr="00E65FCE">
        <w:rPr>
          <w:noProof/>
        </w:rPr>
        <w:tab/>
        <w:t>18</w:t>
      </w:r>
    </w:p>
    <w:p w14:paraId="32CA16F8" w14:textId="77777777" w:rsidR="006A3015" w:rsidRPr="00E65FCE" w:rsidRDefault="006A3015" w:rsidP="006A3015">
      <w:pPr>
        <w:pStyle w:val="TOC2"/>
        <w:rPr>
          <w:rFonts w:asciiTheme="minorHAnsi" w:eastAsiaTheme="minorEastAsia" w:hAnsiTheme="minorHAnsi" w:cstheme="minorBidi"/>
          <w:noProof/>
          <w:sz w:val="22"/>
          <w:szCs w:val="22"/>
          <w:lang w:eastAsia="en-AU"/>
        </w:rPr>
      </w:pPr>
      <w:r w:rsidRPr="00E65FCE">
        <w:rPr>
          <w:noProof/>
        </w:rPr>
        <w:t>References</w:t>
      </w:r>
      <w:r w:rsidRPr="00E65FCE">
        <w:rPr>
          <w:noProof/>
        </w:rPr>
        <w:tab/>
        <w:t>62</w:t>
      </w:r>
    </w:p>
    <w:p w14:paraId="0DDFE96F" w14:textId="77777777" w:rsidR="006A3015" w:rsidRPr="00E65FCE" w:rsidRDefault="006A3015" w:rsidP="006A3015">
      <w:pPr>
        <w:pStyle w:val="TOC2"/>
        <w:rPr>
          <w:rFonts w:asciiTheme="minorHAnsi" w:eastAsiaTheme="minorEastAsia" w:hAnsiTheme="minorHAnsi" w:cstheme="minorBidi"/>
          <w:noProof/>
          <w:sz w:val="22"/>
          <w:szCs w:val="22"/>
          <w:lang w:eastAsia="en-AU"/>
        </w:rPr>
      </w:pPr>
      <w:r w:rsidRPr="00E65FCE">
        <w:rPr>
          <w:noProof/>
        </w:rPr>
        <w:t>Acronyms and abbreviations</w:t>
      </w:r>
      <w:r w:rsidRPr="00E65FCE">
        <w:rPr>
          <w:noProof/>
        </w:rPr>
        <w:tab/>
        <w:t>63</w:t>
      </w:r>
    </w:p>
    <w:p w14:paraId="620B09C9" w14:textId="77777777" w:rsidR="006A3015" w:rsidRPr="00E65FCE" w:rsidRDefault="006A3015" w:rsidP="006A3015">
      <w:pPr>
        <w:pStyle w:val="TOC2"/>
        <w:rPr>
          <w:rFonts w:asciiTheme="minorHAnsi" w:eastAsiaTheme="minorEastAsia" w:hAnsiTheme="minorHAnsi" w:cstheme="minorBidi"/>
          <w:noProof/>
          <w:sz w:val="22"/>
          <w:szCs w:val="22"/>
          <w:lang w:eastAsia="en-AU"/>
        </w:rPr>
      </w:pPr>
      <w:r w:rsidRPr="00E65FCE">
        <w:rPr>
          <w:noProof/>
        </w:rPr>
        <w:t>Glossary</w:t>
      </w:r>
      <w:r w:rsidRPr="00E65FCE">
        <w:rPr>
          <w:noProof/>
        </w:rPr>
        <w:tab/>
        <w:t>65</w:t>
      </w:r>
    </w:p>
    <w:p w14:paraId="3BFBCCDC" w14:textId="77777777" w:rsidR="006A3015" w:rsidRDefault="006A3015" w:rsidP="006A3015">
      <w:pPr>
        <w:pStyle w:val="BodyText"/>
      </w:pPr>
    </w:p>
    <w:p w14:paraId="45EEF614" w14:textId="77777777" w:rsidR="006A3015" w:rsidRDefault="006A3015" w:rsidP="006A3015">
      <w:pPr>
        <w:pStyle w:val="BodyText"/>
        <w:sectPr w:rsidR="006A3015" w:rsidSect="007448F7">
          <w:headerReference w:type="even" r:id="rId10"/>
          <w:headerReference w:type="default" r:id="rId11"/>
          <w:footerReference w:type="even" r:id="rId12"/>
          <w:footerReference w:type="default" r:id="rId13"/>
          <w:type w:val="oddPage"/>
          <w:pgSz w:w="11907" w:h="16840" w:code="9"/>
          <w:pgMar w:top="1985" w:right="1304" w:bottom="1247" w:left="1814" w:header="1701" w:footer="397" w:gutter="0"/>
          <w:pgNumType w:fmt="lowerRoman"/>
          <w:cols w:space="720"/>
        </w:sectPr>
      </w:pPr>
    </w:p>
    <w:p w14:paraId="7B633527" w14:textId="77777777" w:rsidR="006A3015" w:rsidRDefault="006A3015" w:rsidP="006A3015">
      <w:pPr>
        <w:pStyle w:val="Heading1"/>
      </w:pPr>
      <w:bookmarkStart w:id="5" w:name="Abbreviations"/>
      <w:bookmarkStart w:id="6" w:name="RDnote"/>
      <w:bookmarkStart w:id="7" w:name="_Toc438545442"/>
      <w:bookmarkStart w:id="8" w:name="_Toc438545477"/>
      <w:bookmarkEnd w:id="5"/>
      <w:bookmarkEnd w:id="6"/>
      <w:r>
        <w:lastRenderedPageBreak/>
        <w:t>Preface</w:t>
      </w:r>
      <w:bookmarkEnd w:id="7"/>
      <w:bookmarkEnd w:id="8"/>
    </w:p>
    <w:p w14:paraId="6767FEEA" w14:textId="5AD6A103" w:rsidR="006A3015" w:rsidRDefault="006A3015" w:rsidP="006A301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8"/>
      </w:tblGrid>
      <w:tr w:rsidR="006A3015" w14:paraId="140A4926" w14:textId="77777777" w:rsidTr="00290CDC">
        <w:trPr>
          <w:tblHeader/>
        </w:trPr>
        <w:tc>
          <w:tcPr>
            <w:tcW w:w="5000" w:type="pct"/>
            <w:tcBorders>
              <w:top w:val="single" w:sz="6" w:space="0" w:color="78A22F"/>
              <w:left w:val="nil"/>
              <w:bottom w:val="nil"/>
              <w:right w:val="nil"/>
            </w:tcBorders>
            <w:shd w:val="clear" w:color="auto" w:fill="F2F2F2"/>
          </w:tcPr>
          <w:p w14:paraId="1BAB41DC" w14:textId="77777777" w:rsidR="006A3015" w:rsidRDefault="006A3015" w:rsidP="00290CDC">
            <w:pPr>
              <w:pStyle w:val="BoxTitle"/>
            </w:pPr>
          </w:p>
        </w:tc>
      </w:tr>
      <w:tr w:rsidR="006A3015" w14:paraId="2954F969" w14:textId="77777777" w:rsidTr="00290CDC">
        <w:tc>
          <w:tcPr>
            <w:tcW w:w="5000" w:type="pct"/>
            <w:tcBorders>
              <w:top w:val="nil"/>
              <w:left w:val="nil"/>
              <w:bottom w:val="nil"/>
              <w:right w:val="nil"/>
            </w:tcBorders>
            <w:shd w:val="clear" w:color="auto" w:fill="F2F2F2"/>
          </w:tcPr>
          <w:p w14:paraId="69A5016E" w14:textId="77777777" w:rsidR="006A3015" w:rsidRDefault="006A3015" w:rsidP="00290CDC">
            <w:pPr>
              <w:pStyle w:val="Box"/>
            </w:pPr>
            <w:r w:rsidRPr="008E66FE">
              <w:t>The Steering Committee for the Review of Government Service Provision was requested by the Council of Australian Governments (COAG) to collate information for the independent assessment of progress towards COAG's Closing the Gap targets.</w:t>
            </w:r>
          </w:p>
          <w:p w14:paraId="7A34D5DD" w14:textId="77777777" w:rsidR="006A3015" w:rsidRDefault="006A3015" w:rsidP="00290CDC">
            <w:pPr>
              <w:pStyle w:val="Box"/>
            </w:pPr>
            <w:r w:rsidRPr="008E66FE">
              <w:t>From the 2014-15 cycle onwards, there has been no formal assessment report. For the 2013-14 cycle, the assessment body was the Productivity Commission, and in earlier years, the COAG Reform Council.</w:t>
            </w:r>
          </w:p>
          <w:p w14:paraId="57FD779E" w14:textId="77777777" w:rsidR="006A3015" w:rsidRDefault="006A3015" w:rsidP="00290CDC">
            <w:pPr>
              <w:pStyle w:val="Box"/>
            </w:pPr>
            <w:r>
              <w:t>This report is the Steering Committee’s 2018-19</w:t>
            </w:r>
            <w:r w:rsidRPr="008E66FE">
              <w:t xml:space="preserve"> </w:t>
            </w:r>
            <w:r>
              <w:t>data collation for the Department of the Prime Minister and Cabinet. The report contains the following information:</w:t>
            </w:r>
          </w:p>
          <w:p w14:paraId="31E2DDD0" w14:textId="77777777" w:rsidR="006A3015" w:rsidRDefault="006A3015" w:rsidP="006A3015">
            <w:pPr>
              <w:pStyle w:val="BoxListBullet"/>
            </w:pPr>
            <w:r>
              <w:t>overview of the performance indicators, performance targets and key issues in performance reporting for the NIRA</w:t>
            </w:r>
          </w:p>
          <w:p w14:paraId="6764403D" w14:textId="77777777" w:rsidR="006A3015" w:rsidRDefault="006A3015" w:rsidP="006A3015">
            <w:pPr>
              <w:pStyle w:val="BoxListBullet"/>
            </w:pPr>
            <w:r>
              <w:t>individual indicator specifications and summaries of data issues</w:t>
            </w:r>
          </w:p>
          <w:p w14:paraId="0C014F89" w14:textId="77777777" w:rsidR="006A3015" w:rsidRDefault="006A3015" w:rsidP="006A3015">
            <w:pPr>
              <w:pStyle w:val="BoxListBullet"/>
              <w:tabs>
                <w:tab w:val="clear" w:pos="284"/>
                <w:tab w:val="num" w:pos="360"/>
              </w:tabs>
            </w:pPr>
            <w:r>
              <w:t>attachment tables containing the performance data. Attachment tables are also available in Excel format.</w:t>
            </w:r>
          </w:p>
        </w:tc>
      </w:tr>
      <w:tr w:rsidR="006A3015" w14:paraId="2864C10D" w14:textId="77777777" w:rsidTr="00290CDC">
        <w:tc>
          <w:tcPr>
            <w:tcW w:w="5000" w:type="pct"/>
            <w:tcBorders>
              <w:top w:val="nil"/>
              <w:left w:val="nil"/>
              <w:bottom w:val="single" w:sz="6" w:space="0" w:color="78A22F"/>
              <w:right w:val="nil"/>
            </w:tcBorders>
            <w:shd w:val="clear" w:color="auto" w:fill="F2F2F2"/>
          </w:tcPr>
          <w:p w14:paraId="3BF1054A" w14:textId="77777777" w:rsidR="006A3015" w:rsidRDefault="006A3015" w:rsidP="00290CDC">
            <w:pPr>
              <w:pStyle w:val="Box"/>
              <w:spacing w:before="0" w:line="120" w:lineRule="exact"/>
            </w:pPr>
          </w:p>
        </w:tc>
      </w:tr>
      <w:tr w:rsidR="006A3015" w:rsidRPr="000863A5" w14:paraId="3583831D" w14:textId="77777777" w:rsidTr="00290CDC">
        <w:tc>
          <w:tcPr>
            <w:tcW w:w="5000" w:type="pct"/>
            <w:tcBorders>
              <w:top w:val="single" w:sz="6" w:space="0" w:color="78A22F"/>
              <w:left w:val="nil"/>
              <w:bottom w:val="nil"/>
              <w:right w:val="nil"/>
            </w:tcBorders>
          </w:tcPr>
          <w:p w14:paraId="3C4EC90B" w14:textId="76EBDEFB" w:rsidR="006A3015" w:rsidRPr="00626D32" w:rsidRDefault="006A3015" w:rsidP="00290CDC">
            <w:pPr>
              <w:pStyle w:val="BoxSpaceBelow"/>
            </w:pPr>
          </w:p>
        </w:tc>
      </w:tr>
    </w:tbl>
    <w:p w14:paraId="5A0CCF1D" w14:textId="77777777" w:rsidR="006A3015" w:rsidRDefault="006A3015" w:rsidP="006A3015">
      <w:pPr>
        <w:pStyle w:val="BodyText"/>
      </w:pPr>
    </w:p>
    <w:p w14:paraId="387281EC" w14:textId="77777777" w:rsidR="006A3015" w:rsidRDefault="006A3015" w:rsidP="006A3015">
      <w:pPr>
        <w:pStyle w:val="BodyText"/>
        <w:sectPr w:rsidR="006A3015" w:rsidSect="002E7C67">
          <w:headerReference w:type="even" r:id="rId14"/>
          <w:headerReference w:type="default" r:id="rId15"/>
          <w:footerReference w:type="even" r:id="rId16"/>
          <w:footerReference w:type="default" r:id="rId17"/>
          <w:pgSz w:w="11906" w:h="16838" w:code="9"/>
          <w:pgMar w:top="1985" w:right="1304" w:bottom="1247" w:left="1814" w:header="1701" w:footer="397" w:gutter="0"/>
          <w:pgNumType w:fmt="lowerRoman"/>
          <w:cols w:space="708"/>
          <w:docGrid w:linePitch="360"/>
        </w:sectPr>
      </w:pPr>
    </w:p>
    <w:p w14:paraId="1BEF1447" w14:textId="77777777" w:rsidR="006A3015" w:rsidRDefault="006A3015" w:rsidP="006A3015">
      <w:pPr>
        <w:pStyle w:val="Heading1"/>
      </w:pPr>
      <w:bookmarkStart w:id="9" w:name="_Toc438545443"/>
      <w:bookmarkStart w:id="10" w:name="_Toc438545478"/>
      <w:r>
        <w:lastRenderedPageBreak/>
        <w:t>Steering Committee</w:t>
      </w:r>
      <w:bookmarkEnd w:id="9"/>
      <w:bookmarkEnd w:id="10"/>
    </w:p>
    <w:p w14:paraId="3DE99D98" w14:textId="77777777" w:rsidR="006A3015" w:rsidRDefault="006A3015" w:rsidP="006A3015">
      <w:pPr>
        <w:pStyle w:val="BodyText"/>
        <w:rPr>
          <w:lang w:eastAsia="en-US"/>
        </w:rPr>
      </w:pPr>
      <w:r>
        <w:rPr>
          <w:lang w:eastAsia="en-US"/>
        </w:rPr>
        <w:t>This Report was produced under the direction of the Steering Committee for the Review of Government Service Provision (SCRGSP). The Steering Committee comprises the following current members:</w:t>
      </w:r>
    </w:p>
    <w:p w14:paraId="464F93BB" w14:textId="77777777" w:rsidR="006A3015" w:rsidRPr="004C5C50" w:rsidRDefault="006A3015" w:rsidP="006A3015">
      <w:pPr>
        <w:pStyle w:val="BodyText"/>
        <w:tabs>
          <w:tab w:val="left" w:pos="2835"/>
          <w:tab w:val="left" w:pos="4395"/>
        </w:tabs>
        <w:ind w:right="-142"/>
        <w:jc w:val="left"/>
        <w:rPr>
          <w:lang w:eastAsia="en-US"/>
        </w:rPr>
      </w:pPr>
      <w:r w:rsidRPr="004C5C50">
        <w:rPr>
          <w:lang w:eastAsia="en-US"/>
        </w:rPr>
        <w:t>Mr Michael Brennan</w:t>
      </w:r>
      <w:r w:rsidRPr="004C5C50">
        <w:rPr>
          <w:lang w:eastAsia="en-US"/>
        </w:rPr>
        <w:tab/>
        <w:t>Chair</w:t>
      </w:r>
      <w:r w:rsidRPr="004C5C50">
        <w:rPr>
          <w:lang w:eastAsia="en-US"/>
        </w:rPr>
        <w:tab/>
        <w:t>Productivity Commission</w:t>
      </w:r>
      <w:r w:rsidRPr="004C5C50">
        <w:rPr>
          <w:lang w:eastAsia="en-US"/>
        </w:rPr>
        <w:br/>
      </w:r>
      <w:r w:rsidRPr="004C5C50">
        <w:rPr>
          <w:lang w:eastAsia="en-US"/>
        </w:rPr>
        <w:br/>
        <w:t>Ms Joanne Evans</w:t>
      </w:r>
      <w:r w:rsidRPr="004C5C50">
        <w:rPr>
          <w:lang w:eastAsia="en-US"/>
        </w:rPr>
        <w:tab/>
        <w:t>Aust. Govt.</w:t>
      </w:r>
      <w:r w:rsidRPr="004C5C50">
        <w:rPr>
          <w:lang w:eastAsia="en-US"/>
        </w:rPr>
        <w:tab/>
        <w:t>The Treasury</w:t>
      </w:r>
      <w:r w:rsidRPr="004C5C50">
        <w:rPr>
          <w:lang w:eastAsia="en-US"/>
        </w:rPr>
        <w:br/>
        <w:t xml:space="preserve">Ms Clare Firth </w:t>
      </w:r>
      <w:r w:rsidRPr="004C5C50">
        <w:rPr>
          <w:lang w:eastAsia="en-US"/>
        </w:rPr>
        <w:tab/>
        <w:t>Aust. Govt.</w:t>
      </w:r>
      <w:r w:rsidRPr="004C5C50">
        <w:rPr>
          <w:lang w:eastAsia="en-US"/>
        </w:rPr>
        <w:tab/>
        <w:t>Department of the Prime Minister and Cabinet</w:t>
      </w:r>
    </w:p>
    <w:p w14:paraId="75E339A8" w14:textId="77777777" w:rsidR="006A3015" w:rsidRPr="004C5C50" w:rsidRDefault="006A3015" w:rsidP="006A3015">
      <w:pPr>
        <w:pStyle w:val="BodyText"/>
        <w:tabs>
          <w:tab w:val="left" w:pos="2835"/>
          <w:tab w:val="left" w:pos="4395"/>
        </w:tabs>
        <w:jc w:val="left"/>
        <w:rPr>
          <w:lang w:eastAsia="en-US"/>
        </w:rPr>
      </w:pPr>
      <w:r w:rsidRPr="004C5C50">
        <w:rPr>
          <w:lang w:eastAsia="en-US"/>
        </w:rPr>
        <w:t>Mr Joshua Greenwood</w:t>
      </w:r>
      <w:r w:rsidRPr="004C5C50">
        <w:rPr>
          <w:lang w:eastAsia="en-US"/>
        </w:rPr>
        <w:tab/>
        <w:t>NSW</w:t>
      </w:r>
      <w:r w:rsidRPr="004C5C50">
        <w:rPr>
          <w:lang w:eastAsia="en-US"/>
        </w:rPr>
        <w:tab/>
        <w:t>NSW Treasury</w:t>
      </w:r>
      <w:r w:rsidRPr="004C5C50">
        <w:rPr>
          <w:lang w:eastAsia="en-US"/>
        </w:rPr>
        <w:br/>
        <w:t>Ms Anita Truninger</w:t>
      </w:r>
      <w:r w:rsidRPr="004C5C50">
        <w:rPr>
          <w:lang w:eastAsia="en-US"/>
        </w:rPr>
        <w:tab/>
        <w:t>NSW</w:t>
      </w:r>
      <w:r w:rsidRPr="004C5C50">
        <w:rPr>
          <w:lang w:eastAsia="en-US"/>
        </w:rPr>
        <w:tab/>
        <w:t>Department of Premier and Cabinet</w:t>
      </w:r>
    </w:p>
    <w:p w14:paraId="2927E23C" w14:textId="77777777" w:rsidR="006A3015" w:rsidRPr="004C5C50" w:rsidRDefault="006A3015" w:rsidP="006A3015">
      <w:pPr>
        <w:pStyle w:val="BodyText"/>
        <w:tabs>
          <w:tab w:val="left" w:pos="2835"/>
          <w:tab w:val="left" w:pos="4395"/>
        </w:tabs>
        <w:jc w:val="left"/>
        <w:rPr>
          <w:lang w:eastAsia="en-US"/>
        </w:rPr>
      </w:pPr>
      <w:r w:rsidRPr="004C5C50">
        <w:rPr>
          <w:lang w:eastAsia="en-US"/>
        </w:rPr>
        <w:t>Dr Lauren Costello</w:t>
      </w:r>
      <w:r w:rsidRPr="004C5C50">
        <w:rPr>
          <w:lang w:eastAsia="en-US"/>
        </w:rPr>
        <w:tab/>
        <w:t>Vic</w:t>
      </w:r>
      <w:r w:rsidRPr="004C5C50">
        <w:rPr>
          <w:lang w:eastAsia="en-US"/>
        </w:rPr>
        <w:tab/>
        <w:t>Department of Premier and Cabinet</w:t>
      </w:r>
      <w:r w:rsidRPr="004C5C50">
        <w:rPr>
          <w:lang w:eastAsia="en-US"/>
        </w:rPr>
        <w:br/>
        <w:t>Ms Teresa Fels</w:t>
      </w:r>
      <w:r w:rsidRPr="004C5C50">
        <w:rPr>
          <w:lang w:eastAsia="en-US"/>
        </w:rPr>
        <w:tab/>
        <w:t>Vic</w:t>
      </w:r>
      <w:r w:rsidRPr="004C5C50">
        <w:rPr>
          <w:lang w:eastAsia="en-US"/>
        </w:rPr>
        <w:tab/>
        <w:t>Department of Treasury and Finance</w:t>
      </w:r>
    </w:p>
    <w:p w14:paraId="7A1EE98A" w14:textId="77777777" w:rsidR="006A3015" w:rsidRPr="004C5C50" w:rsidRDefault="006A3015" w:rsidP="006A3015">
      <w:pPr>
        <w:pStyle w:val="BodyText"/>
        <w:tabs>
          <w:tab w:val="left" w:pos="2835"/>
          <w:tab w:val="left" w:pos="4395"/>
        </w:tabs>
        <w:jc w:val="left"/>
        <w:rPr>
          <w:lang w:eastAsia="en-US"/>
        </w:rPr>
      </w:pPr>
      <w:r w:rsidRPr="004C5C50">
        <w:rPr>
          <w:lang w:eastAsia="en-US"/>
        </w:rPr>
        <w:t>Ms Nicole Tabb</w:t>
      </w:r>
      <w:r w:rsidRPr="004C5C50">
        <w:rPr>
          <w:lang w:eastAsia="en-US"/>
        </w:rPr>
        <w:tab/>
        <w:t>Qld</w:t>
      </w:r>
      <w:r w:rsidRPr="004C5C50">
        <w:rPr>
          <w:lang w:eastAsia="en-US"/>
        </w:rPr>
        <w:tab/>
        <w:t>Department of the Premier and Cabinet</w:t>
      </w:r>
      <w:r w:rsidRPr="004C5C50">
        <w:rPr>
          <w:lang w:eastAsia="en-US"/>
        </w:rPr>
        <w:br/>
        <w:t>Ms Catherine McFadyen</w:t>
      </w:r>
      <w:r w:rsidRPr="004C5C50">
        <w:rPr>
          <w:lang w:eastAsia="en-US"/>
        </w:rPr>
        <w:tab/>
        <w:t>Qld</w:t>
      </w:r>
      <w:r w:rsidRPr="004C5C50">
        <w:rPr>
          <w:lang w:eastAsia="en-US"/>
        </w:rPr>
        <w:tab/>
        <w:t>Queensland Treasury</w:t>
      </w:r>
    </w:p>
    <w:p w14:paraId="0EF259DB" w14:textId="77777777" w:rsidR="006A3015" w:rsidRPr="004C5C50" w:rsidRDefault="006A3015" w:rsidP="006A3015">
      <w:pPr>
        <w:pStyle w:val="BodyText"/>
        <w:tabs>
          <w:tab w:val="left" w:pos="2835"/>
          <w:tab w:val="left" w:pos="4395"/>
        </w:tabs>
        <w:jc w:val="left"/>
        <w:rPr>
          <w:lang w:eastAsia="en-US"/>
        </w:rPr>
      </w:pPr>
      <w:r w:rsidRPr="004C5C50">
        <w:rPr>
          <w:lang w:eastAsia="en-US"/>
        </w:rPr>
        <w:t xml:space="preserve">Ms </w:t>
      </w:r>
      <w:r w:rsidRPr="004C5C50">
        <w:rPr>
          <w:szCs w:val="24"/>
        </w:rPr>
        <w:t>Sarah Norton</w:t>
      </w:r>
      <w:r w:rsidRPr="004C5C50">
        <w:rPr>
          <w:lang w:eastAsia="en-US"/>
        </w:rPr>
        <w:tab/>
        <w:t>WA</w:t>
      </w:r>
      <w:r w:rsidRPr="004C5C50">
        <w:rPr>
          <w:lang w:eastAsia="en-US"/>
        </w:rPr>
        <w:tab/>
        <w:t>Department of the Premier and Cabinet</w:t>
      </w:r>
      <w:r w:rsidRPr="004C5C50">
        <w:rPr>
          <w:lang w:eastAsia="en-US"/>
        </w:rPr>
        <w:br/>
        <w:t>Mr Kurt Sibma</w:t>
      </w:r>
      <w:r w:rsidRPr="004C5C50">
        <w:rPr>
          <w:lang w:eastAsia="en-US"/>
        </w:rPr>
        <w:tab/>
        <w:t>WA</w:t>
      </w:r>
      <w:r w:rsidRPr="004C5C50">
        <w:rPr>
          <w:lang w:eastAsia="en-US"/>
        </w:rPr>
        <w:tab/>
        <w:t>Department of Treasury</w:t>
      </w:r>
    </w:p>
    <w:p w14:paraId="026DF0D1" w14:textId="77777777" w:rsidR="006A3015" w:rsidRPr="004C5C50" w:rsidRDefault="006A3015" w:rsidP="006A3015">
      <w:pPr>
        <w:pStyle w:val="BodyText"/>
        <w:tabs>
          <w:tab w:val="left" w:pos="2835"/>
          <w:tab w:val="left" w:pos="4395"/>
        </w:tabs>
        <w:jc w:val="left"/>
        <w:rPr>
          <w:lang w:eastAsia="en-US"/>
        </w:rPr>
      </w:pPr>
      <w:r w:rsidRPr="004C5C50">
        <w:rPr>
          <w:lang w:eastAsia="en-US"/>
        </w:rPr>
        <w:t>Ms Tammie Pribanic</w:t>
      </w:r>
      <w:r w:rsidRPr="004C5C50">
        <w:rPr>
          <w:lang w:eastAsia="en-US"/>
        </w:rPr>
        <w:tab/>
        <w:t>SA</w:t>
      </w:r>
      <w:r w:rsidRPr="004C5C50">
        <w:rPr>
          <w:lang w:eastAsia="en-US"/>
        </w:rPr>
        <w:tab/>
        <w:t>Department of Treasury and Finance</w:t>
      </w:r>
      <w:r w:rsidRPr="004C5C50">
        <w:rPr>
          <w:lang w:eastAsia="en-US"/>
        </w:rPr>
        <w:br/>
        <w:t>Mr Chris McGowan</w:t>
      </w:r>
      <w:r w:rsidRPr="004C5C50">
        <w:rPr>
          <w:lang w:eastAsia="en-US"/>
        </w:rPr>
        <w:tab/>
        <w:t>SA</w:t>
      </w:r>
      <w:r w:rsidRPr="004C5C50">
        <w:rPr>
          <w:lang w:eastAsia="en-US"/>
        </w:rPr>
        <w:tab/>
        <w:t>Department of the Premier and Cabinet</w:t>
      </w:r>
    </w:p>
    <w:p w14:paraId="4EBC35A0" w14:textId="77777777" w:rsidR="006A3015" w:rsidRPr="004C5C50" w:rsidRDefault="006A3015" w:rsidP="006A3015">
      <w:pPr>
        <w:pStyle w:val="BodyText"/>
        <w:tabs>
          <w:tab w:val="left" w:pos="2835"/>
          <w:tab w:val="left" w:pos="4395"/>
        </w:tabs>
        <w:jc w:val="left"/>
        <w:rPr>
          <w:lang w:eastAsia="en-US"/>
        </w:rPr>
      </w:pPr>
      <w:r w:rsidRPr="004C5C50">
        <w:rPr>
          <w:lang w:eastAsia="en-US"/>
        </w:rPr>
        <w:t>Mr Craig Limkin</w:t>
      </w:r>
      <w:r w:rsidRPr="004C5C50">
        <w:rPr>
          <w:lang w:eastAsia="en-US"/>
        </w:rPr>
        <w:tab/>
        <w:t>Tas</w:t>
      </w:r>
      <w:r w:rsidRPr="004C5C50">
        <w:rPr>
          <w:lang w:eastAsia="en-US"/>
        </w:rPr>
        <w:tab/>
        <w:t>Department of Premier and Cabinet</w:t>
      </w:r>
    </w:p>
    <w:p w14:paraId="256221B5" w14:textId="77777777" w:rsidR="006A3015" w:rsidRPr="004C5C50" w:rsidRDefault="006A3015" w:rsidP="006A3015">
      <w:pPr>
        <w:pStyle w:val="BodyText"/>
        <w:tabs>
          <w:tab w:val="left" w:pos="2835"/>
          <w:tab w:val="left" w:pos="4395"/>
        </w:tabs>
        <w:jc w:val="left"/>
        <w:rPr>
          <w:lang w:eastAsia="en-US"/>
        </w:rPr>
      </w:pPr>
      <w:r w:rsidRPr="004C5C50">
        <w:rPr>
          <w:lang w:eastAsia="en-US"/>
        </w:rPr>
        <w:t>Mr Sam Engele</w:t>
      </w:r>
      <w:r w:rsidRPr="004C5C50">
        <w:rPr>
          <w:lang w:eastAsia="en-US"/>
        </w:rPr>
        <w:tab/>
        <w:t>ACT</w:t>
      </w:r>
      <w:r w:rsidRPr="004C5C50">
        <w:rPr>
          <w:lang w:eastAsia="en-US"/>
        </w:rPr>
        <w:tab/>
        <w:t xml:space="preserve">Chief Minister, Treasury and Economic </w:t>
      </w:r>
      <w:r w:rsidRPr="004C5C50">
        <w:rPr>
          <w:lang w:eastAsia="en-US"/>
        </w:rPr>
        <w:tab/>
      </w:r>
      <w:r w:rsidRPr="004C5C50">
        <w:rPr>
          <w:lang w:eastAsia="en-US"/>
        </w:rPr>
        <w:tab/>
      </w:r>
      <w:r w:rsidRPr="004C5C50">
        <w:rPr>
          <w:lang w:eastAsia="en-US"/>
        </w:rPr>
        <w:tab/>
        <w:t>Development Directorate</w:t>
      </w:r>
      <w:r w:rsidRPr="004C5C50">
        <w:rPr>
          <w:lang w:eastAsia="en-US"/>
        </w:rPr>
        <w:tab/>
      </w:r>
    </w:p>
    <w:p w14:paraId="40B3DA6C" w14:textId="77777777" w:rsidR="006A3015" w:rsidRPr="004C5C50" w:rsidRDefault="006A3015" w:rsidP="006A3015">
      <w:pPr>
        <w:pStyle w:val="BodyText"/>
        <w:tabs>
          <w:tab w:val="left" w:pos="2835"/>
          <w:tab w:val="left" w:pos="4395"/>
        </w:tabs>
        <w:jc w:val="left"/>
        <w:rPr>
          <w:lang w:eastAsia="en-US"/>
        </w:rPr>
      </w:pPr>
      <w:r w:rsidRPr="004C5C50">
        <w:rPr>
          <w:lang w:eastAsia="en-US"/>
        </w:rPr>
        <w:t>Ms Nadia Phillips</w:t>
      </w:r>
      <w:r w:rsidRPr="004C5C50">
        <w:rPr>
          <w:lang w:eastAsia="en-US"/>
        </w:rPr>
        <w:tab/>
        <w:t>NT</w:t>
      </w:r>
      <w:r w:rsidRPr="004C5C50">
        <w:rPr>
          <w:lang w:eastAsia="en-US"/>
        </w:rPr>
        <w:tab/>
        <w:t>Department of the Chief Minister</w:t>
      </w:r>
      <w:r w:rsidRPr="004C5C50">
        <w:rPr>
          <w:lang w:eastAsia="en-US"/>
        </w:rPr>
        <w:tab/>
      </w:r>
      <w:r w:rsidRPr="004C5C50">
        <w:rPr>
          <w:lang w:eastAsia="en-US"/>
        </w:rPr>
        <w:tab/>
      </w:r>
      <w:r w:rsidRPr="004C5C50">
        <w:rPr>
          <w:lang w:eastAsia="en-US"/>
        </w:rPr>
        <w:br/>
        <w:t>Ms Nardia Harris</w:t>
      </w:r>
      <w:r w:rsidRPr="004C5C50">
        <w:rPr>
          <w:lang w:eastAsia="en-US"/>
        </w:rPr>
        <w:tab/>
        <w:t>NT</w:t>
      </w:r>
      <w:r w:rsidRPr="004C5C50">
        <w:rPr>
          <w:lang w:eastAsia="en-US"/>
        </w:rPr>
        <w:tab/>
        <w:t>Department of Treasury and Finance</w:t>
      </w:r>
    </w:p>
    <w:p w14:paraId="4ECF2784" w14:textId="77777777" w:rsidR="006A3015" w:rsidRPr="004C5C50" w:rsidRDefault="006A3015" w:rsidP="006A3015">
      <w:pPr>
        <w:pStyle w:val="BodyText"/>
        <w:tabs>
          <w:tab w:val="left" w:pos="2835"/>
          <w:tab w:val="left" w:pos="4395"/>
        </w:tabs>
        <w:jc w:val="left"/>
        <w:rPr>
          <w:lang w:eastAsia="en-US"/>
        </w:rPr>
      </w:pPr>
      <w:r w:rsidRPr="004C5C50">
        <w:rPr>
          <w:lang w:eastAsia="en-US"/>
        </w:rPr>
        <w:t>Dr Paul Jelfs</w:t>
      </w:r>
      <w:r w:rsidRPr="004C5C50">
        <w:rPr>
          <w:lang w:eastAsia="en-US"/>
        </w:rPr>
        <w:tab/>
      </w:r>
      <w:r w:rsidRPr="004C5C50">
        <w:rPr>
          <w:lang w:eastAsia="en-US"/>
        </w:rPr>
        <w:tab/>
        <w:t>Australian Bureau of Statistics</w:t>
      </w:r>
    </w:p>
    <w:p w14:paraId="398A0054" w14:textId="3300A1CE" w:rsidR="006A3015" w:rsidRDefault="006A3015" w:rsidP="006A3015">
      <w:pPr>
        <w:pStyle w:val="BodyText"/>
        <w:tabs>
          <w:tab w:val="left" w:pos="2835"/>
          <w:tab w:val="left" w:pos="4395"/>
        </w:tabs>
        <w:jc w:val="left"/>
        <w:rPr>
          <w:lang w:eastAsia="en-US"/>
        </w:rPr>
      </w:pPr>
      <w:r w:rsidRPr="004C5C50">
        <w:rPr>
          <w:lang w:eastAsia="en-US"/>
        </w:rPr>
        <w:t>Mr Matthew James</w:t>
      </w:r>
      <w:r w:rsidRPr="004C5C50">
        <w:rPr>
          <w:lang w:eastAsia="en-US"/>
        </w:rPr>
        <w:tab/>
      </w:r>
      <w:r w:rsidRPr="004C5C50">
        <w:rPr>
          <w:lang w:eastAsia="en-US"/>
        </w:rPr>
        <w:tab/>
        <w:t>Australian Institute of Health and</w:t>
      </w:r>
      <w:r>
        <w:rPr>
          <w:lang w:eastAsia="en-US"/>
        </w:rPr>
        <w:t xml:space="preserve"> Welfare</w:t>
      </w:r>
      <w:r>
        <w:rPr>
          <w:lang w:eastAsia="en-US"/>
        </w:rPr>
        <w:br w:type="page"/>
      </w:r>
    </w:p>
    <w:p w14:paraId="7E3B760C" w14:textId="77777777" w:rsidR="006A3015" w:rsidRPr="004E243A" w:rsidRDefault="006A3015" w:rsidP="00780FE3">
      <w:pPr>
        <w:pStyle w:val="BodyText"/>
        <w:spacing w:after="240"/>
        <w:rPr>
          <w:lang w:eastAsia="en-US"/>
        </w:rPr>
      </w:pPr>
      <w:r>
        <w:rPr>
          <w:lang w:eastAsia="en-US"/>
        </w:rPr>
        <w:lastRenderedPageBreak/>
        <w:t xml:space="preserve">People who also served on the Steering Committee during the production of this report include: </w:t>
      </w:r>
    </w:p>
    <w:p w14:paraId="2C3F632A" w14:textId="21D5C768" w:rsidR="006A3015" w:rsidRDefault="006A3015" w:rsidP="00780FE3">
      <w:pPr>
        <w:tabs>
          <w:tab w:val="left" w:pos="2835"/>
        </w:tabs>
        <w:spacing w:after="240"/>
        <w:ind w:left="4536" w:hanging="4536"/>
      </w:pPr>
      <w:r w:rsidRPr="002676AB">
        <w:t>Mr Durham Bennett</w:t>
      </w:r>
      <w:r>
        <w:tab/>
      </w:r>
      <w:r w:rsidRPr="002676AB">
        <w:t>Aust. Govt.</w:t>
      </w:r>
      <w:r w:rsidRPr="002676AB">
        <w:tab/>
        <w:t>Department of the Prime Minister and Cabinet</w:t>
      </w:r>
    </w:p>
    <w:p w14:paraId="16CC1488" w14:textId="214FA724" w:rsidR="006A3015" w:rsidRDefault="006A3015" w:rsidP="00780FE3">
      <w:pPr>
        <w:tabs>
          <w:tab w:val="left" w:pos="2835"/>
        </w:tabs>
        <w:spacing w:after="240"/>
        <w:ind w:left="4536" w:hanging="4536"/>
      </w:pPr>
      <w:r w:rsidRPr="00AD2853">
        <w:rPr>
          <w:lang w:eastAsia="en-US"/>
        </w:rPr>
        <w:t xml:space="preserve">Ms </w:t>
      </w:r>
      <w:r>
        <w:rPr>
          <w:lang w:eastAsia="en-US"/>
        </w:rPr>
        <w:t>Natalie McCall</w:t>
      </w:r>
      <w:r w:rsidRPr="00AD2853">
        <w:rPr>
          <w:lang w:eastAsia="en-US"/>
        </w:rPr>
        <w:tab/>
      </w:r>
      <w:r w:rsidRPr="00AD2853">
        <w:t>NSW</w:t>
      </w:r>
      <w:r w:rsidRPr="00AD2853">
        <w:tab/>
        <w:t>Department of Premier and Cabinet</w:t>
      </w:r>
    </w:p>
    <w:p w14:paraId="2E3C69D1" w14:textId="07CBD910" w:rsidR="006A3015" w:rsidRPr="004C4A5F" w:rsidRDefault="006A3015" w:rsidP="00780FE3">
      <w:pPr>
        <w:tabs>
          <w:tab w:val="left" w:pos="2835"/>
        </w:tabs>
        <w:spacing w:after="240"/>
        <w:ind w:left="4536" w:hanging="4536"/>
      </w:pPr>
      <w:r w:rsidRPr="004C4A5F">
        <w:t>Ms Janelle Thurlby</w:t>
      </w:r>
      <w:r w:rsidRPr="004C4A5F">
        <w:tab/>
        <w:t>Qld</w:t>
      </w:r>
      <w:r w:rsidRPr="004C4A5F">
        <w:tab/>
        <w:t>Queensland Treasury</w:t>
      </w:r>
    </w:p>
    <w:p w14:paraId="459CAB9C" w14:textId="24663DBE" w:rsidR="006A3015" w:rsidRDefault="006A3015" w:rsidP="00780FE3">
      <w:pPr>
        <w:tabs>
          <w:tab w:val="left" w:pos="2835"/>
        </w:tabs>
        <w:spacing w:after="240"/>
        <w:ind w:left="4536" w:hanging="4536"/>
      </w:pPr>
      <w:r w:rsidRPr="004E243A">
        <w:t>Ms Melissa Rudez</w:t>
      </w:r>
      <w:r w:rsidRPr="004E243A">
        <w:tab/>
        <w:t>WA</w:t>
      </w:r>
      <w:r w:rsidRPr="004E243A">
        <w:tab/>
        <w:t xml:space="preserve">Department of </w:t>
      </w:r>
      <w:r w:rsidR="00780FE3">
        <w:t>the Premier and Cabinet</w:t>
      </w:r>
    </w:p>
    <w:p w14:paraId="267055D7" w14:textId="76849BF0" w:rsidR="006A3015" w:rsidRPr="002676AB" w:rsidRDefault="006A3015" w:rsidP="00780FE3">
      <w:pPr>
        <w:tabs>
          <w:tab w:val="left" w:pos="2835"/>
        </w:tabs>
        <w:spacing w:after="240"/>
        <w:ind w:left="4536" w:hanging="4536"/>
      </w:pPr>
      <w:r w:rsidRPr="002676AB">
        <w:t>Ms Ruth McArdle</w:t>
      </w:r>
      <w:r w:rsidRPr="002676AB">
        <w:tab/>
        <w:t>Tas</w:t>
      </w:r>
      <w:r w:rsidRPr="002676AB">
        <w:tab/>
        <w:t>Department of Premier and Cabinet</w:t>
      </w:r>
    </w:p>
    <w:p w14:paraId="3E99EE99" w14:textId="3686E792" w:rsidR="006A3015" w:rsidRPr="002676AB" w:rsidRDefault="006A3015" w:rsidP="00780FE3">
      <w:pPr>
        <w:tabs>
          <w:tab w:val="left" w:pos="2835"/>
        </w:tabs>
        <w:spacing w:after="240"/>
        <w:ind w:left="4536" w:hanging="4536"/>
      </w:pPr>
      <w:r w:rsidRPr="002676AB">
        <w:t>Ms Mellissa Gray</w:t>
      </w:r>
      <w:r w:rsidRPr="002676AB">
        <w:tab/>
        <w:t>Tas</w:t>
      </w:r>
      <w:r w:rsidRPr="002676AB">
        <w:tab/>
        <w:t>Department of Premier and Cabinet</w:t>
      </w:r>
    </w:p>
    <w:p w14:paraId="25AAF93A" w14:textId="015B5A86" w:rsidR="006A3015" w:rsidRPr="002676AB" w:rsidRDefault="006A3015" w:rsidP="00780FE3">
      <w:pPr>
        <w:tabs>
          <w:tab w:val="left" w:pos="2835"/>
        </w:tabs>
        <w:spacing w:after="240"/>
        <w:ind w:left="4536" w:hanging="4536"/>
      </w:pPr>
      <w:r w:rsidRPr="002676AB">
        <w:t>Ms Jean Doherty</w:t>
      </w:r>
      <w:r w:rsidRPr="002676AB">
        <w:tab/>
        <w:t>NT</w:t>
      </w:r>
      <w:r w:rsidRPr="002676AB">
        <w:tab/>
        <w:t>De</w:t>
      </w:r>
      <w:r w:rsidR="00780FE3">
        <w:t>partment of the Chief Minister</w:t>
      </w:r>
    </w:p>
    <w:p w14:paraId="339238DE" w14:textId="22A3FA8B" w:rsidR="006A3015" w:rsidRDefault="006A3015" w:rsidP="00780FE3">
      <w:pPr>
        <w:tabs>
          <w:tab w:val="left" w:pos="2835"/>
        </w:tabs>
        <w:spacing w:after="240"/>
        <w:ind w:left="4536" w:hanging="4536"/>
      </w:pPr>
      <w:r w:rsidRPr="00CA7CFB">
        <w:t>Ms Jenny Hargreaves</w:t>
      </w:r>
      <w:r w:rsidRPr="00CA7CFB">
        <w:tab/>
      </w:r>
      <w:r>
        <w:tab/>
      </w:r>
      <w:r w:rsidRPr="00CA7CFB">
        <w:t>Australian Institute of Health and Welfare</w:t>
      </w:r>
    </w:p>
    <w:p w14:paraId="0B9C6E79" w14:textId="77777777" w:rsidR="006A3015" w:rsidRDefault="006A3015" w:rsidP="006A3015"/>
    <w:p w14:paraId="0B46D8EC" w14:textId="77777777" w:rsidR="006A3015" w:rsidRDefault="006A3015" w:rsidP="006A3015">
      <w:pPr>
        <w:sectPr w:rsidR="006A3015" w:rsidSect="00EE6254">
          <w:headerReference w:type="even" r:id="rId18"/>
          <w:headerReference w:type="default" r:id="rId19"/>
          <w:footerReference w:type="even" r:id="rId20"/>
          <w:footerReference w:type="default" r:id="rId21"/>
          <w:type w:val="oddPage"/>
          <w:pgSz w:w="11907" w:h="16840" w:code="9"/>
          <w:pgMar w:top="1332" w:right="1304" w:bottom="1247" w:left="1814" w:header="1701" w:footer="397" w:gutter="0"/>
          <w:pgNumType w:fmt="lowerRoman"/>
          <w:cols w:space="720"/>
        </w:sectPr>
      </w:pPr>
    </w:p>
    <w:p w14:paraId="350A19C6" w14:textId="77777777" w:rsidR="00666E02" w:rsidRDefault="00057AE9" w:rsidP="00152E6B">
      <w:pPr>
        <w:pStyle w:val="Heading1"/>
      </w:pPr>
      <w:r>
        <w:lastRenderedPageBreak/>
        <w:t>National Indigenous Reform Agreement (Closing the Gap) performance reporting</w:t>
      </w:r>
    </w:p>
    <w:p w14:paraId="5F8B8D48" w14:textId="77777777" w:rsidR="00591511" w:rsidRPr="00E41AF6" w:rsidRDefault="00591511" w:rsidP="00591511">
      <w:pPr>
        <w:pStyle w:val="Heading2"/>
      </w:pPr>
      <w:r w:rsidRPr="00E41AF6">
        <w:t>Performance Reporting</w:t>
      </w:r>
    </w:p>
    <w:p w14:paraId="07B7E085" w14:textId="600E3EA4" w:rsidR="00591511" w:rsidRDefault="00591511" w:rsidP="00591511">
      <w:pPr>
        <w:pStyle w:val="BodyText"/>
      </w:pPr>
      <w:r>
        <w:t xml:space="preserve">This is the </w:t>
      </w:r>
      <w:r w:rsidR="00C640A5">
        <w:t xml:space="preserve">eleventh </w:t>
      </w:r>
      <w:r w:rsidRPr="00841D2E">
        <w:rPr>
          <w:i/>
        </w:rPr>
        <w:t>National Indigenous Reform Agreement</w:t>
      </w:r>
      <w:r>
        <w:t xml:space="preserve"> (NIRA) performance report prepared by the Steering Committee. This report provide</w:t>
      </w:r>
      <w:r w:rsidR="0000643B">
        <w:t>s</w:t>
      </w:r>
      <w:r>
        <w:t xml:space="preserve"> performance information for the NIRA performance indicator framework (COAG 2012).</w:t>
      </w:r>
    </w:p>
    <w:p w14:paraId="342D0E3B" w14:textId="20D135F8" w:rsidR="00591511" w:rsidRDefault="00591511" w:rsidP="00591511">
      <w:pPr>
        <w:pStyle w:val="BodyText"/>
      </w:pPr>
      <w:r>
        <w:t>The NIRA includes the performance categories of ‘performance indicators’ and ‘performance targets’. The Steering Committee provides information and available data for both these performance categories. The links between the objectives, outcomes and associated performance categories in the NIRA are illustrated in figure</w:t>
      </w:r>
      <w:r w:rsidR="003A7EAD">
        <w:t> </w:t>
      </w:r>
      <w:r>
        <w:t>1.</w:t>
      </w:r>
    </w:p>
    <w:p w14:paraId="3F87C4F3" w14:textId="77777777" w:rsidR="009719EC" w:rsidRDefault="009719EC" w:rsidP="00AA69CF">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9719EC" w14:paraId="2641DE3A" w14:textId="77777777" w:rsidTr="008F5A63">
        <w:tc>
          <w:tcPr>
            <w:tcW w:w="8789" w:type="dxa"/>
            <w:tcBorders>
              <w:top w:val="single" w:sz="6" w:space="0" w:color="78A22F"/>
              <w:left w:val="nil"/>
              <w:bottom w:val="nil"/>
              <w:right w:val="nil"/>
            </w:tcBorders>
            <w:shd w:val="clear" w:color="auto" w:fill="auto"/>
          </w:tcPr>
          <w:p w14:paraId="569B7E1C" w14:textId="54936F65" w:rsidR="009719EC" w:rsidRPr="00176D3F" w:rsidRDefault="009719EC" w:rsidP="00F62402">
            <w:pPr>
              <w:pStyle w:val="FigureTitle"/>
            </w:pPr>
            <w:r w:rsidRPr="00784A05">
              <w:rPr>
                <w:b w:val="0"/>
              </w:rPr>
              <w:t xml:space="preserve">Figure </w:t>
            </w:r>
            <w:r w:rsidR="009508CD">
              <w:rPr>
                <w:b w:val="0"/>
                <w:noProof/>
              </w:rPr>
              <w:t>1</w:t>
            </w:r>
            <w:r>
              <w:tab/>
            </w:r>
            <w:r w:rsidRPr="00841D2E">
              <w:t>NIRA performance reporting</w:t>
            </w:r>
            <w:r w:rsidR="006A3015">
              <w:rPr>
                <w:rStyle w:val="NoteLabel"/>
                <w:b/>
              </w:rPr>
              <w:t>a,</w:t>
            </w:r>
            <w:r w:rsidRPr="00841D2E">
              <w:rPr>
                <w:rStyle w:val="NoteLabel"/>
                <w:b/>
              </w:rPr>
              <w:t>b</w:t>
            </w:r>
          </w:p>
        </w:tc>
      </w:tr>
      <w:tr w:rsidR="009719EC" w14:paraId="19D9195F" w14:textId="77777777" w:rsidTr="008F5A63">
        <w:tc>
          <w:tcPr>
            <w:tcW w:w="8789"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9719EC" w14:paraId="6DA11468" w14:textId="77777777" w:rsidTr="00AA69CF">
              <w:trPr>
                <w:jc w:val="center"/>
              </w:trPr>
              <w:tc>
                <w:tcPr>
                  <w:tcW w:w="5000" w:type="pct"/>
                  <w:tcBorders>
                    <w:top w:val="nil"/>
                    <w:bottom w:val="nil"/>
                  </w:tcBorders>
                </w:tcPr>
                <w:p w14:paraId="47F719AE" w14:textId="77777777" w:rsidR="009719EC" w:rsidRDefault="009719EC" w:rsidP="00AA69CF">
                  <w:pPr>
                    <w:pStyle w:val="Figure"/>
                    <w:spacing w:before="60" w:after="60"/>
                  </w:pPr>
                  <w:r>
                    <w:rPr>
                      <w:noProof/>
                    </w:rPr>
                    <mc:AlternateContent>
                      <mc:Choice Requires="wpc">
                        <w:drawing>
                          <wp:inline distT="0" distB="0" distL="0" distR="0" wp14:anchorId="2E688562" wp14:editId="781410B4">
                            <wp:extent cx="5511165" cy="2400300"/>
                            <wp:effectExtent l="0" t="0" r="0" b="0"/>
                            <wp:docPr id="8" name="Canvas 2" descr="Title: NIRA performance reporting - Description: This diagram depicts the way in which the objective of the NIRA links with the outcomes, performance targets and performance indicators. The objectives and outcomes of the NIRA Agreement will be achieved through a range of outputs. And to assist the community to assess the performance of governments toward achieving these outcomes, performance will be indicated by the performance indicators. The aspirational objective of the NIRA is that working together with Indigenous Australians to Close the Gap in Indigenous disadvantage.&#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AutoShape 4" descr="Figure 1 NIRA performance reporting&#10;&#10;Objective&#10;&#10;Working together with Indigenous Australians to Close the Gap in Indigenous disadvantage"/>
                                    <wps:cNvSpPr>
                                      <a:spLocks noChangeArrowheads="1"/>
                                    </wps:cNvSpPr>
                                    <wps:spPr bwMode="auto">
                                      <a:xfrm>
                                        <a:off x="83820" y="571500"/>
                                        <a:ext cx="1059180" cy="1143000"/>
                                      </a:xfrm>
                                      <a:prstGeom prst="roundRect">
                                        <a:avLst>
                                          <a:gd name="adj" fmla="val 16667"/>
                                        </a:avLst>
                                      </a:prstGeom>
                                      <a:solidFill>
                                        <a:srgbClr val="FFFFFF"/>
                                      </a:solidFill>
                                      <a:ln w="9525">
                                        <a:solidFill>
                                          <a:srgbClr val="000000"/>
                                        </a:solidFill>
                                        <a:round/>
                                        <a:headEnd/>
                                        <a:tailEnd/>
                                      </a:ln>
                                    </wps:spPr>
                                    <wps:txbx>
                                      <w:txbxContent>
                                        <w:p w14:paraId="22423F39" w14:textId="77777777" w:rsidR="004A793A" w:rsidRDefault="004A793A" w:rsidP="009719EC">
                                          <w:pPr>
                                            <w:spacing w:after="120"/>
                                            <w:rPr>
                                              <w:rFonts w:ascii="Arial" w:hAnsi="Arial" w:cs="Arial"/>
                                              <w:b/>
                                              <w:sz w:val="18"/>
                                              <w:szCs w:val="18"/>
                                            </w:rPr>
                                          </w:pPr>
                                          <w:r>
                                            <w:rPr>
                                              <w:rFonts w:ascii="Arial" w:hAnsi="Arial" w:cs="Arial"/>
                                              <w:b/>
                                              <w:sz w:val="18"/>
                                              <w:szCs w:val="18"/>
                                            </w:rPr>
                                            <w:t>Objective</w:t>
                                          </w:r>
                                        </w:p>
                                        <w:p w14:paraId="628044B2" w14:textId="76C46EC5" w:rsidR="004A793A" w:rsidRPr="00252FDD" w:rsidRDefault="004A793A" w:rsidP="009719EC">
                                          <w:pPr>
                                            <w:spacing w:after="120"/>
                                            <w:rPr>
                                              <w:rFonts w:ascii="Arial" w:hAnsi="Arial" w:cs="Arial"/>
                                              <w:i/>
                                              <w:sz w:val="16"/>
                                              <w:szCs w:val="16"/>
                                            </w:rPr>
                                          </w:pPr>
                                          <w:r w:rsidRPr="00252FDD">
                                            <w:rPr>
                                              <w:rFonts w:ascii="Arial" w:hAnsi="Arial" w:cs="Arial"/>
                                              <w:i/>
                                              <w:sz w:val="16"/>
                                              <w:szCs w:val="16"/>
                                            </w:rPr>
                                            <w:t xml:space="preserve">Working together with </w:t>
                                          </w:r>
                                          <w:r>
                                            <w:rPr>
                                              <w:rFonts w:ascii="Arial" w:hAnsi="Arial" w:cs="Arial"/>
                                              <w:i/>
                                              <w:sz w:val="16"/>
                                              <w:szCs w:val="16"/>
                                            </w:rPr>
                                            <w:t xml:space="preserve">Aboriginal and Torres Strait Islander </w:t>
                                          </w:r>
                                          <w:r w:rsidRPr="00252FDD">
                                            <w:rPr>
                                              <w:rFonts w:ascii="Arial" w:hAnsi="Arial" w:cs="Arial"/>
                                              <w:i/>
                                              <w:sz w:val="16"/>
                                              <w:szCs w:val="16"/>
                                            </w:rPr>
                                            <w:t>Australians to Close the Gap in disadvantage</w:t>
                                          </w:r>
                                        </w:p>
                                      </w:txbxContent>
                                    </wps:txbx>
                                    <wps:bodyPr rot="0" vert="horz" wrap="square" lIns="18000" tIns="18000" rIns="18000" bIns="18000" anchor="t" anchorCtr="0" upright="1">
                                      <a:noAutofit/>
                                    </wps:bodyPr>
                                  </wps:wsp>
                                  <wps:wsp>
                                    <wps:cNvPr id="2" name="AutoShape 5" descr="Figure 1 NIRA performance reporting&#10;&#10;Performance targets&#10;&#10;eg. Close the life expenctancy gap within a generation"/>
                                    <wps:cNvSpPr>
                                      <a:spLocks noChangeArrowheads="1"/>
                                    </wps:cNvSpPr>
                                    <wps:spPr bwMode="auto">
                                      <a:xfrm>
                                        <a:off x="2781300" y="571500"/>
                                        <a:ext cx="1143000" cy="1143000"/>
                                      </a:xfrm>
                                      <a:prstGeom prst="roundRect">
                                        <a:avLst>
                                          <a:gd name="adj" fmla="val 16667"/>
                                        </a:avLst>
                                      </a:prstGeom>
                                      <a:solidFill>
                                        <a:srgbClr val="DDDDDD"/>
                                      </a:solidFill>
                                      <a:ln w="9525">
                                        <a:solidFill>
                                          <a:srgbClr val="000000"/>
                                        </a:solidFill>
                                        <a:round/>
                                        <a:headEnd/>
                                        <a:tailEnd/>
                                      </a:ln>
                                    </wps:spPr>
                                    <wps:txbx>
                                      <w:txbxContent>
                                        <w:p w14:paraId="205F5DF4" w14:textId="77777777" w:rsidR="004A793A" w:rsidRDefault="004A793A" w:rsidP="009719EC">
                                          <w:pPr>
                                            <w:spacing w:after="100" w:afterAutospacing="1"/>
                                            <w:rPr>
                                              <w:rFonts w:ascii="Arial" w:hAnsi="Arial" w:cs="Arial"/>
                                              <w:b/>
                                              <w:sz w:val="18"/>
                                              <w:szCs w:val="18"/>
                                            </w:rPr>
                                          </w:pPr>
                                          <w:r>
                                            <w:rPr>
                                              <w:rFonts w:ascii="Arial" w:hAnsi="Arial" w:cs="Arial"/>
                                              <w:b/>
                                              <w:sz w:val="18"/>
                                              <w:szCs w:val="18"/>
                                            </w:rPr>
                                            <w:t>Performance targets</w:t>
                                          </w:r>
                                        </w:p>
                                        <w:p w14:paraId="05A419B5" w14:textId="77777777" w:rsidR="004A793A" w:rsidRPr="0026587F" w:rsidRDefault="004A793A" w:rsidP="009719EC">
                                          <w:pPr>
                                            <w:spacing w:after="100" w:afterAutospacing="1"/>
                                            <w:rPr>
                                              <w:rFonts w:ascii="Arial" w:hAnsi="Arial" w:cs="Arial"/>
                                              <w:i/>
                                              <w:sz w:val="16"/>
                                              <w:szCs w:val="16"/>
                                            </w:rPr>
                                          </w:pPr>
                                          <w:r>
                                            <w:rPr>
                                              <w:rFonts w:ascii="Arial" w:hAnsi="Arial" w:cs="Arial"/>
                                              <w:i/>
                                              <w:sz w:val="16"/>
                                              <w:szCs w:val="16"/>
                                            </w:rPr>
                                            <w:t>eg. Close the life expectancy gap within a generation</w:t>
                                          </w:r>
                                        </w:p>
                                        <w:p w14:paraId="037AF3D9" w14:textId="77777777" w:rsidR="004A793A" w:rsidRDefault="004A793A" w:rsidP="009719EC"/>
                                      </w:txbxContent>
                                    </wps:txbx>
                                    <wps:bodyPr rot="0" vert="horz" wrap="square" lIns="18000" tIns="18000" rIns="18000" bIns="18000" anchor="t" anchorCtr="0" upright="1">
                                      <a:noAutofit/>
                                    </wps:bodyPr>
                                  </wps:wsp>
                                  <wps:wsp>
                                    <wps:cNvPr id="3" name="AutoShape 6" descr="Figure 1 NIRA performance reporting&#10;&#10;Performance indicators&#10;&#10;eg. Estimated life expectancy at birth"/>
                                    <wps:cNvSpPr>
                                      <a:spLocks noChangeArrowheads="1"/>
                                    </wps:cNvSpPr>
                                    <wps:spPr bwMode="auto">
                                      <a:xfrm>
                                        <a:off x="4181475" y="571500"/>
                                        <a:ext cx="1151890" cy="1143000"/>
                                      </a:xfrm>
                                      <a:prstGeom prst="roundRect">
                                        <a:avLst>
                                          <a:gd name="adj" fmla="val 16667"/>
                                        </a:avLst>
                                      </a:prstGeom>
                                      <a:solidFill>
                                        <a:srgbClr val="DDDDDD"/>
                                      </a:solidFill>
                                      <a:ln w="9525">
                                        <a:solidFill>
                                          <a:srgbClr val="000000"/>
                                        </a:solidFill>
                                        <a:round/>
                                        <a:headEnd/>
                                        <a:tailEnd/>
                                      </a:ln>
                                    </wps:spPr>
                                    <wps:txbx>
                                      <w:txbxContent>
                                        <w:p w14:paraId="7E6F8F3F" w14:textId="77777777" w:rsidR="004A793A" w:rsidRPr="00235B33" w:rsidRDefault="004A793A" w:rsidP="009719EC">
                                          <w:pPr>
                                            <w:spacing w:after="120"/>
                                            <w:rPr>
                                              <w:rFonts w:ascii="Arial" w:hAnsi="Arial" w:cs="Arial"/>
                                              <w:b/>
                                              <w:sz w:val="18"/>
                                              <w:szCs w:val="18"/>
                                            </w:rPr>
                                          </w:pPr>
                                          <w:r>
                                            <w:rPr>
                                              <w:rFonts w:ascii="Arial" w:hAnsi="Arial" w:cs="Arial"/>
                                              <w:b/>
                                              <w:sz w:val="18"/>
                                              <w:szCs w:val="18"/>
                                            </w:rPr>
                                            <w:t>Performance indicators</w:t>
                                          </w:r>
                                        </w:p>
                                        <w:p w14:paraId="18D76C2F" w14:textId="77777777" w:rsidR="004A793A" w:rsidRPr="00235B33" w:rsidRDefault="004A793A" w:rsidP="009719EC">
                                          <w:pPr>
                                            <w:rPr>
                                              <w:rFonts w:ascii="Arial" w:hAnsi="Arial" w:cs="Arial"/>
                                              <w:i/>
                                              <w:sz w:val="18"/>
                                              <w:szCs w:val="18"/>
                                            </w:rPr>
                                          </w:pPr>
                                          <w:r>
                                            <w:rPr>
                                              <w:rFonts w:ascii="Arial" w:hAnsi="Arial" w:cs="Arial"/>
                                              <w:i/>
                                              <w:sz w:val="16"/>
                                              <w:szCs w:val="16"/>
                                            </w:rPr>
                                            <w:t>eg. Estimated life expectancy at birth</w:t>
                                          </w:r>
                                        </w:p>
                                        <w:p w14:paraId="1B5E0A23" w14:textId="77777777" w:rsidR="004A793A" w:rsidRPr="00C523F7" w:rsidRDefault="004A793A" w:rsidP="009719EC">
                                          <w:pPr>
                                            <w:rPr>
                                              <w:rFonts w:ascii="Arial" w:hAnsi="Arial" w:cs="Arial"/>
                                              <w:i/>
                                              <w:sz w:val="16"/>
                                              <w:szCs w:val="16"/>
                                            </w:rPr>
                                          </w:pPr>
                                        </w:p>
                                      </w:txbxContent>
                                    </wps:txbx>
                                    <wps:bodyPr rot="0" vert="horz" wrap="square" lIns="18000" tIns="18000" rIns="18000" bIns="18000" anchor="t" anchorCtr="0" upright="1">
                                      <a:noAutofit/>
                                    </wps:bodyPr>
                                  </wps:wsp>
                                  <wps:wsp>
                                    <wps:cNvPr id="4" name="AutoShape 7"/>
                                    <wps:cNvCnPr>
                                      <a:cxnSpLocks noChangeShapeType="1"/>
                                      <a:stCxn id="6" idx="3"/>
                                    </wps:cNvCnPr>
                                    <wps:spPr bwMode="auto">
                                      <a:xfrm>
                                        <a:off x="2514600" y="1143000"/>
                                        <a:ext cx="26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8"/>
                                    <wps:cNvCnPr>
                                      <a:cxnSpLocks noChangeShapeType="1"/>
                                    </wps:cNvCnPr>
                                    <wps:spPr bwMode="auto">
                                      <a:xfrm>
                                        <a:off x="3924300" y="1143635"/>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9" descr="Figure 1 NIRA performance reporting&#10;&#10;Outcomes&#10;&#10;eg. Indigenous people remain healthy and free of preventable disease"/>
                                    <wps:cNvSpPr>
                                      <a:spLocks noChangeArrowheads="1"/>
                                    </wps:cNvSpPr>
                                    <wps:spPr bwMode="auto">
                                      <a:xfrm>
                                        <a:off x="1371600" y="571500"/>
                                        <a:ext cx="1143000" cy="1143000"/>
                                      </a:xfrm>
                                      <a:prstGeom prst="roundRect">
                                        <a:avLst>
                                          <a:gd name="adj" fmla="val 16667"/>
                                        </a:avLst>
                                      </a:prstGeom>
                                      <a:solidFill>
                                        <a:srgbClr val="FFFFFF"/>
                                      </a:solidFill>
                                      <a:ln w="9525">
                                        <a:solidFill>
                                          <a:srgbClr val="000000"/>
                                        </a:solidFill>
                                        <a:round/>
                                        <a:headEnd/>
                                        <a:tailEnd/>
                                      </a:ln>
                                    </wps:spPr>
                                    <wps:txbx>
                                      <w:txbxContent>
                                        <w:p w14:paraId="7E0167D6" w14:textId="77777777" w:rsidR="004A793A" w:rsidRPr="00235B33" w:rsidRDefault="004A793A" w:rsidP="009719EC">
                                          <w:pPr>
                                            <w:spacing w:after="120"/>
                                            <w:rPr>
                                              <w:rFonts w:ascii="Arial" w:hAnsi="Arial" w:cs="Arial"/>
                                              <w:b/>
                                              <w:sz w:val="18"/>
                                              <w:szCs w:val="18"/>
                                            </w:rPr>
                                          </w:pPr>
                                          <w:r w:rsidRPr="00235B33">
                                            <w:rPr>
                                              <w:rFonts w:ascii="Arial" w:hAnsi="Arial" w:cs="Arial"/>
                                              <w:b/>
                                              <w:sz w:val="18"/>
                                              <w:szCs w:val="18"/>
                                            </w:rPr>
                                            <w:t>Outcomes</w:t>
                                          </w:r>
                                        </w:p>
                                        <w:p w14:paraId="16F97289" w14:textId="77777777" w:rsidR="004A793A" w:rsidRPr="00235B33" w:rsidRDefault="004A793A" w:rsidP="009719EC">
                                          <w:pPr>
                                            <w:rPr>
                                              <w:rFonts w:ascii="Arial" w:hAnsi="Arial" w:cs="Arial"/>
                                              <w:sz w:val="16"/>
                                              <w:szCs w:val="16"/>
                                            </w:rPr>
                                          </w:pPr>
                                          <w:r>
                                            <w:rPr>
                                              <w:rFonts w:ascii="Arial" w:hAnsi="Arial" w:cs="Arial"/>
                                              <w:i/>
                                              <w:sz w:val="16"/>
                                              <w:szCs w:val="16"/>
                                            </w:rPr>
                                            <w:t>eg. Aboriginal and Torres Strait Islander people remain healthy and free of preventable disease</w:t>
                                          </w:r>
                                        </w:p>
                                        <w:p w14:paraId="7AABAAA3" w14:textId="77777777" w:rsidR="004A793A" w:rsidRPr="00235B33" w:rsidRDefault="004A793A" w:rsidP="009719EC">
                                          <w:pPr>
                                            <w:rPr>
                                              <w:rFonts w:ascii="Arial" w:hAnsi="Arial" w:cs="Arial"/>
                                              <w:sz w:val="18"/>
                                              <w:szCs w:val="18"/>
                                            </w:rPr>
                                          </w:pPr>
                                        </w:p>
                                      </w:txbxContent>
                                    </wps:txbx>
                                    <wps:bodyPr rot="0" vert="horz" wrap="square" lIns="18000" tIns="18000" rIns="18000" bIns="18000" anchor="t" anchorCtr="0" upright="1">
                                      <a:noAutofit/>
                                    </wps:bodyPr>
                                  </wps:wsp>
                                  <wps:wsp>
                                    <wps:cNvPr id="7" name="AutoShape 10"/>
                                    <wps:cNvCnPr>
                                      <a:cxnSpLocks noChangeShapeType="1"/>
                                      <a:endCxn id="6" idx="1"/>
                                    </wps:cNvCnPr>
                                    <wps:spPr bwMode="auto">
                                      <a:xfrm>
                                        <a:off x="1143000" y="1142365"/>
                                        <a:ext cx="228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E688562" id="Canvas 2" o:spid="_x0000_s1026" editas="canvas" alt="Title: NIRA performance reporting - Description: This diagram depicts the way in which the objective of the NIRA links with the outcomes, performance targets and performance indicators. The objectives and outcomes of the NIRA Agreement will be achieved through a range of outputs. And to assist the community to assess the performance of governments toward achieving these outcomes, performance will be indicated by the performance indicators. The aspirational objective of the NIRA is that working together with Indigenous Australians to Close the Gap in Indigenous disadvantage.&#10;" style="width:433.95pt;height:189pt;mso-position-horizontal-relative:char;mso-position-vertical-relative:line" coordsize="55111,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itle: NIRA performance reporting - Description: This diagram depicts the way in which the objective of the NIRA links with the outcomes, performance targets and performance indicators. The objectives and outcomes of the NIRA Agreement will be achieved through a range of outputs. And to assist the community to assess the performance of governments toward achieving these outcomes, performance will be indicated by the performance indicators. The aspirational objective of the NIRA is that working together with Indigenous Australians to Close the Gap in Indigenous disadvantage.&#10;" style="position:absolute;width:55111;height:24003;visibility:visible;mso-wrap-style:square">
                              <v:fill o:detectmouseclick="t"/>
                              <v:path o:connecttype="none"/>
                            </v:shape>
                            <v:roundrect id="AutoShape 4" o:spid="_x0000_s1028" alt="Figure 1 NIRA performance reporting&#10;&#10;Objective&#10;&#10;Working together with Indigenous Australians to Close the Gap in Indigenous disadvantage" style="position:absolute;left:838;top:5715;width:10592;height:114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LaBcEA&#10;AADaAAAADwAAAGRycy9kb3ducmV2LnhtbERPS2vCQBC+F/wPywi9lLqxhyjRVYIgiKXBR8HrkJ0m&#10;odnZkF2T9N93A4Kn4eN7zno7mFp01LrKsoL5LAJBnFtdcaHg+7p/X4JwHlljbZkU/JGD7WbyssZE&#10;257P1F18IUIIuwQVlN43iZQuL8mgm9mGOHA/tjXoA2wLqVvsQ7ip5UcUxdJgxaGhxIZ2JeW/l7tR&#10;sDh9zo/cpzd6I1t/pdkxOxexUq/TIV2B8DT4p/jhPugwH8ZXxis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y2gXBAAAA2gAAAA8AAAAAAAAAAAAAAAAAmAIAAGRycy9kb3du&#10;cmV2LnhtbFBLBQYAAAAABAAEAPUAAACGAwAAAAA=&#10;">
                              <v:textbox inset=".5mm,.5mm,.5mm,.5mm">
                                <w:txbxContent>
                                  <w:p w14:paraId="22423F39" w14:textId="77777777" w:rsidR="004A793A" w:rsidRDefault="004A793A" w:rsidP="009719EC">
                                    <w:pPr>
                                      <w:spacing w:after="120"/>
                                      <w:rPr>
                                        <w:rFonts w:ascii="Arial" w:hAnsi="Arial" w:cs="Arial"/>
                                        <w:b/>
                                        <w:sz w:val="18"/>
                                        <w:szCs w:val="18"/>
                                      </w:rPr>
                                    </w:pPr>
                                    <w:r>
                                      <w:rPr>
                                        <w:rFonts w:ascii="Arial" w:hAnsi="Arial" w:cs="Arial"/>
                                        <w:b/>
                                        <w:sz w:val="18"/>
                                        <w:szCs w:val="18"/>
                                      </w:rPr>
                                      <w:t>Objective</w:t>
                                    </w:r>
                                  </w:p>
                                  <w:p w14:paraId="628044B2" w14:textId="76C46EC5" w:rsidR="004A793A" w:rsidRPr="00252FDD" w:rsidRDefault="004A793A" w:rsidP="009719EC">
                                    <w:pPr>
                                      <w:spacing w:after="120"/>
                                      <w:rPr>
                                        <w:rFonts w:ascii="Arial" w:hAnsi="Arial" w:cs="Arial"/>
                                        <w:i/>
                                        <w:sz w:val="16"/>
                                        <w:szCs w:val="16"/>
                                      </w:rPr>
                                    </w:pPr>
                                    <w:r w:rsidRPr="00252FDD">
                                      <w:rPr>
                                        <w:rFonts w:ascii="Arial" w:hAnsi="Arial" w:cs="Arial"/>
                                        <w:i/>
                                        <w:sz w:val="16"/>
                                        <w:szCs w:val="16"/>
                                      </w:rPr>
                                      <w:t xml:space="preserve">Working together with </w:t>
                                    </w:r>
                                    <w:r>
                                      <w:rPr>
                                        <w:rFonts w:ascii="Arial" w:hAnsi="Arial" w:cs="Arial"/>
                                        <w:i/>
                                        <w:sz w:val="16"/>
                                        <w:szCs w:val="16"/>
                                      </w:rPr>
                                      <w:t xml:space="preserve">Aboriginal and Torres Strait Islander </w:t>
                                    </w:r>
                                    <w:r w:rsidRPr="00252FDD">
                                      <w:rPr>
                                        <w:rFonts w:ascii="Arial" w:hAnsi="Arial" w:cs="Arial"/>
                                        <w:i/>
                                        <w:sz w:val="16"/>
                                        <w:szCs w:val="16"/>
                                      </w:rPr>
                                      <w:t>Australians to Close the Gap in disadvantage</w:t>
                                    </w:r>
                                  </w:p>
                                </w:txbxContent>
                              </v:textbox>
                            </v:roundrect>
                            <v:roundrect id="AutoShape 5" o:spid="_x0000_s1029" alt="Figure 1 NIRA performance reporting&#10;&#10;Performance targets&#10;&#10;eg. Close the life expenctancy gap within a generation" style="position:absolute;left:27813;top:5715;width:11430;height:114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81psUA&#10;AADaAAAADwAAAGRycy9kb3ducmV2LnhtbESPQWvCQBSE74L/YXmF3symKQRJXUUEaWihok0P3h7Z&#10;ZxLMvk2z2xj767uC0OMwM98wi9VoWjFQ7xrLCp6iGARxaXXDlYLiczubg3AeWWNrmRRcycFqOZ0s&#10;MNP2wnsaDr4SAcIuQwW1910mpStrMugi2xEH72R7gz7IvpK6x0uAm1YmcZxKgw2HhRo72tRUng8/&#10;RkH6kRTpe47t1+vz/vh77b536/hNqceHcf0CwtPo/8P3dq4VJHC7Em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DzWmxQAAANoAAAAPAAAAAAAAAAAAAAAAAJgCAABkcnMv&#10;ZG93bnJldi54bWxQSwUGAAAAAAQABAD1AAAAigMAAAAA&#10;" fillcolor="#ddd">
                              <v:textbox inset=".5mm,.5mm,.5mm,.5mm">
                                <w:txbxContent>
                                  <w:p w14:paraId="205F5DF4" w14:textId="77777777" w:rsidR="004A793A" w:rsidRDefault="004A793A" w:rsidP="009719EC">
                                    <w:pPr>
                                      <w:spacing w:after="100" w:afterAutospacing="1"/>
                                      <w:rPr>
                                        <w:rFonts w:ascii="Arial" w:hAnsi="Arial" w:cs="Arial"/>
                                        <w:b/>
                                        <w:sz w:val="18"/>
                                        <w:szCs w:val="18"/>
                                      </w:rPr>
                                    </w:pPr>
                                    <w:r>
                                      <w:rPr>
                                        <w:rFonts w:ascii="Arial" w:hAnsi="Arial" w:cs="Arial"/>
                                        <w:b/>
                                        <w:sz w:val="18"/>
                                        <w:szCs w:val="18"/>
                                      </w:rPr>
                                      <w:t>Performance targets</w:t>
                                    </w:r>
                                  </w:p>
                                  <w:p w14:paraId="05A419B5" w14:textId="77777777" w:rsidR="004A793A" w:rsidRPr="0026587F" w:rsidRDefault="004A793A" w:rsidP="009719EC">
                                    <w:pPr>
                                      <w:spacing w:after="100" w:afterAutospacing="1"/>
                                      <w:rPr>
                                        <w:rFonts w:ascii="Arial" w:hAnsi="Arial" w:cs="Arial"/>
                                        <w:i/>
                                        <w:sz w:val="16"/>
                                        <w:szCs w:val="16"/>
                                      </w:rPr>
                                    </w:pPr>
                                    <w:r>
                                      <w:rPr>
                                        <w:rFonts w:ascii="Arial" w:hAnsi="Arial" w:cs="Arial"/>
                                        <w:i/>
                                        <w:sz w:val="16"/>
                                        <w:szCs w:val="16"/>
                                      </w:rPr>
                                      <w:t>eg. Close the life expectancy gap within a generation</w:t>
                                    </w:r>
                                  </w:p>
                                  <w:p w14:paraId="037AF3D9" w14:textId="77777777" w:rsidR="004A793A" w:rsidRDefault="004A793A" w:rsidP="009719EC"/>
                                </w:txbxContent>
                              </v:textbox>
                            </v:roundrect>
                            <v:roundrect id="AutoShape 6" o:spid="_x0000_s1030" alt="Figure 1 NIRA performance reporting&#10;&#10;Performance indicators&#10;&#10;eg. Estimated life expectancy at birth" style="position:absolute;left:41814;top:5715;width:11519;height:114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OQPcQA&#10;AADaAAAADwAAAGRycy9kb3ducmV2LnhtbESPQYvCMBSE74L/ITzBm6YqFOkaRQRZcWFFrYe9PZq3&#10;bdnmpTZZrf56Iwgeh5n5hpktWlOJCzWutKxgNIxAEGdWl5wrSI/rwRSE88gaK8uk4EYOFvNuZ4aJ&#10;tlfe0+XgcxEg7BJUUHhfJ1K6rCCDbmhr4uD92sagD7LJpW7wGuCmkuMoiqXBksNCgTWtCsr+Dv9G&#10;Qfw9TuOvDVanz8n+536rz7tltFWq32uXHyA8tf4dfrU3WsEEnlfCD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DkD3EAAAA2gAAAA8AAAAAAAAAAAAAAAAAmAIAAGRycy9k&#10;b3ducmV2LnhtbFBLBQYAAAAABAAEAPUAAACJAwAAAAA=&#10;" fillcolor="#ddd">
                              <v:textbox inset=".5mm,.5mm,.5mm,.5mm">
                                <w:txbxContent>
                                  <w:p w14:paraId="7E6F8F3F" w14:textId="77777777" w:rsidR="004A793A" w:rsidRPr="00235B33" w:rsidRDefault="004A793A" w:rsidP="009719EC">
                                    <w:pPr>
                                      <w:spacing w:after="120"/>
                                      <w:rPr>
                                        <w:rFonts w:ascii="Arial" w:hAnsi="Arial" w:cs="Arial"/>
                                        <w:b/>
                                        <w:sz w:val="18"/>
                                        <w:szCs w:val="18"/>
                                      </w:rPr>
                                    </w:pPr>
                                    <w:r>
                                      <w:rPr>
                                        <w:rFonts w:ascii="Arial" w:hAnsi="Arial" w:cs="Arial"/>
                                        <w:b/>
                                        <w:sz w:val="18"/>
                                        <w:szCs w:val="18"/>
                                      </w:rPr>
                                      <w:t>Performance indicators</w:t>
                                    </w:r>
                                  </w:p>
                                  <w:p w14:paraId="18D76C2F" w14:textId="77777777" w:rsidR="004A793A" w:rsidRPr="00235B33" w:rsidRDefault="004A793A" w:rsidP="009719EC">
                                    <w:pPr>
                                      <w:rPr>
                                        <w:rFonts w:ascii="Arial" w:hAnsi="Arial" w:cs="Arial"/>
                                        <w:i/>
                                        <w:sz w:val="18"/>
                                        <w:szCs w:val="18"/>
                                      </w:rPr>
                                    </w:pPr>
                                    <w:r>
                                      <w:rPr>
                                        <w:rFonts w:ascii="Arial" w:hAnsi="Arial" w:cs="Arial"/>
                                        <w:i/>
                                        <w:sz w:val="16"/>
                                        <w:szCs w:val="16"/>
                                      </w:rPr>
                                      <w:t>eg. Estimated life expectancy at birth</w:t>
                                    </w:r>
                                  </w:p>
                                  <w:p w14:paraId="1B5E0A23" w14:textId="77777777" w:rsidR="004A793A" w:rsidRPr="00C523F7" w:rsidRDefault="004A793A" w:rsidP="009719EC">
                                    <w:pPr>
                                      <w:rPr>
                                        <w:rFonts w:ascii="Arial" w:hAnsi="Arial" w:cs="Arial"/>
                                        <w:i/>
                                        <w:sz w:val="16"/>
                                        <w:szCs w:val="16"/>
                                      </w:rPr>
                                    </w:pPr>
                                  </w:p>
                                </w:txbxContent>
                              </v:textbox>
                            </v:roundrect>
                            <v:shapetype id="_x0000_t32" coordsize="21600,21600" o:spt="32" o:oned="t" path="m,l21600,21600e" filled="f">
                              <v:path arrowok="t" fillok="f" o:connecttype="none"/>
                              <o:lock v:ext="edit" shapetype="t"/>
                            </v:shapetype>
                            <v:shape id="AutoShape 7" o:spid="_x0000_s1031" type="#_x0000_t32" style="position:absolute;left:25146;top:11430;width:26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 id="AutoShape 8" o:spid="_x0000_s1032" type="#_x0000_t32" style="position:absolute;left:39243;top:11436;width:25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roundrect id="AutoShape 9" o:spid="_x0000_s1033" alt="Figure 1 NIRA performance reporting&#10;&#10;Outcomes&#10;&#10;eg. Indigenous people remain healthy and free of preventable disease" style="position:absolute;left:13716;top:5715;width:11430;height:114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tCccQA&#10;AADaAAAADwAAAGRycy9kb3ducmV2LnhtbESPzWrDMBCE74W8g9hALqWRnYMbXMvGBAoloaH5gV4X&#10;a2ubWCtjKbHz9lGh0OMwM98wWTGZTtxocK1lBfEyAkFcWd1yreB8en9Zg3AeWWNnmRTcyUGRz54y&#10;TLUd+UC3o69FgLBLUUHjfZ9K6aqGDLql7YmD92MHgz7IoZZ6wDHATSdXUZRIgy2HhQZ72jRUXY5X&#10;o+D1axdveSy/6Zls91nut/tDnSi1mE/lGwhPk/8P/7U/tIIEfq+EGy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bQnHEAAAA2gAAAA8AAAAAAAAAAAAAAAAAmAIAAGRycy9k&#10;b3ducmV2LnhtbFBLBQYAAAAABAAEAPUAAACJAwAAAAA=&#10;">
                              <v:textbox inset=".5mm,.5mm,.5mm,.5mm">
                                <w:txbxContent>
                                  <w:p w14:paraId="7E0167D6" w14:textId="77777777" w:rsidR="004A793A" w:rsidRPr="00235B33" w:rsidRDefault="004A793A" w:rsidP="009719EC">
                                    <w:pPr>
                                      <w:spacing w:after="120"/>
                                      <w:rPr>
                                        <w:rFonts w:ascii="Arial" w:hAnsi="Arial" w:cs="Arial"/>
                                        <w:b/>
                                        <w:sz w:val="18"/>
                                        <w:szCs w:val="18"/>
                                      </w:rPr>
                                    </w:pPr>
                                    <w:r w:rsidRPr="00235B33">
                                      <w:rPr>
                                        <w:rFonts w:ascii="Arial" w:hAnsi="Arial" w:cs="Arial"/>
                                        <w:b/>
                                        <w:sz w:val="18"/>
                                        <w:szCs w:val="18"/>
                                      </w:rPr>
                                      <w:t>Outcomes</w:t>
                                    </w:r>
                                  </w:p>
                                  <w:p w14:paraId="16F97289" w14:textId="77777777" w:rsidR="004A793A" w:rsidRPr="00235B33" w:rsidRDefault="004A793A" w:rsidP="009719EC">
                                    <w:pPr>
                                      <w:rPr>
                                        <w:rFonts w:ascii="Arial" w:hAnsi="Arial" w:cs="Arial"/>
                                        <w:sz w:val="16"/>
                                        <w:szCs w:val="16"/>
                                      </w:rPr>
                                    </w:pPr>
                                    <w:r>
                                      <w:rPr>
                                        <w:rFonts w:ascii="Arial" w:hAnsi="Arial" w:cs="Arial"/>
                                        <w:i/>
                                        <w:sz w:val="16"/>
                                        <w:szCs w:val="16"/>
                                      </w:rPr>
                                      <w:t>eg. Aboriginal and Torres Strait Islander people remain healthy and free of preventable disease</w:t>
                                    </w:r>
                                  </w:p>
                                  <w:p w14:paraId="7AABAAA3" w14:textId="77777777" w:rsidR="004A793A" w:rsidRPr="00235B33" w:rsidRDefault="004A793A" w:rsidP="009719EC">
                                    <w:pPr>
                                      <w:rPr>
                                        <w:rFonts w:ascii="Arial" w:hAnsi="Arial" w:cs="Arial"/>
                                        <w:sz w:val="18"/>
                                        <w:szCs w:val="18"/>
                                      </w:rPr>
                                    </w:pPr>
                                  </w:p>
                                </w:txbxContent>
                              </v:textbox>
                            </v:roundrect>
                            <v:shape id="AutoShape 10" o:spid="_x0000_s1034" type="#_x0000_t32" style="position:absolute;left:11430;top:11423;width:228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w10:anchorlock/>
                          </v:group>
                        </w:pict>
                      </mc:Fallback>
                    </mc:AlternateContent>
                  </w:r>
                </w:p>
              </w:tc>
            </w:tr>
          </w:tbl>
          <w:p w14:paraId="5798BEB5" w14:textId="77777777" w:rsidR="009719EC" w:rsidRDefault="009719EC" w:rsidP="00AA69CF">
            <w:pPr>
              <w:pStyle w:val="Figure"/>
            </w:pPr>
          </w:p>
        </w:tc>
      </w:tr>
      <w:tr w:rsidR="009719EC" w:rsidRPr="00176D3F" w14:paraId="2EEEBD9B" w14:textId="77777777" w:rsidTr="008F5A63">
        <w:tc>
          <w:tcPr>
            <w:tcW w:w="8789" w:type="dxa"/>
            <w:tcBorders>
              <w:top w:val="nil"/>
              <w:left w:val="nil"/>
              <w:bottom w:val="nil"/>
              <w:right w:val="nil"/>
            </w:tcBorders>
            <w:shd w:val="clear" w:color="auto" w:fill="auto"/>
          </w:tcPr>
          <w:p w14:paraId="38AF0F67" w14:textId="77777777" w:rsidR="009719EC" w:rsidRPr="00176D3F" w:rsidRDefault="009719EC" w:rsidP="00AA69CF">
            <w:pPr>
              <w:pStyle w:val="Note"/>
            </w:pPr>
            <w:r>
              <w:rPr>
                <w:rStyle w:val="NoteLabel"/>
              </w:rPr>
              <w:t>a</w:t>
            </w:r>
            <w:r>
              <w:t xml:space="preserve"> </w:t>
            </w:r>
            <w:r w:rsidRPr="00841D2E">
              <w:t xml:space="preserve">Shaded boxes indicate categories of performance information included in this report. </w:t>
            </w:r>
            <w:r>
              <w:rPr>
                <w:rStyle w:val="NoteLabel"/>
              </w:rPr>
              <w:t>b</w:t>
            </w:r>
            <w:r>
              <w:t xml:space="preserve"> </w:t>
            </w:r>
            <w:r w:rsidRPr="00841D2E">
              <w:t>Although the NIRA has multiple outcomes, performance indicators, and performance targets, only one example of each is included in this figure for illustrative purposes.</w:t>
            </w:r>
          </w:p>
        </w:tc>
      </w:tr>
      <w:tr w:rsidR="009719EC" w14:paraId="707488B9" w14:textId="77777777" w:rsidTr="008F5A63">
        <w:tc>
          <w:tcPr>
            <w:tcW w:w="8789" w:type="dxa"/>
            <w:tcBorders>
              <w:top w:val="nil"/>
              <w:left w:val="nil"/>
              <w:bottom w:val="single" w:sz="6" w:space="0" w:color="78A22F"/>
              <w:right w:val="nil"/>
            </w:tcBorders>
            <w:shd w:val="clear" w:color="auto" w:fill="auto"/>
          </w:tcPr>
          <w:p w14:paraId="17ECBF53" w14:textId="77777777" w:rsidR="009719EC" w:rsidRDefault="009719EC" w:rsidP="00AA69CF">
            <w:pPr>
              <w:pStyle w:val="Figurespace"/>
            </w:pPr>
          </w:p>
        </w:tc>
      </w:tr>
      <w:tr w:rsidR="009719EC" w:rsidRPr="000863A5" w14:paraId="4F89B35F" w14:textId="77777777" w:rsidTr="008F5A63">
        <w:tc>
          <w:tcPr>
            <w:tcW w:w="8789" w:type="dxa"/>
            <w:tcBorders>
              <w:top w:val="single" w:sz="6" w:space="0" w:color="78A22F"/>
              <w:left w:val="nil"/>
              <w:bottom w:val="nil"/>
              <w:right w:val="nil"/>
            </w:tcBorders>
          </w:tcPr>
          <w:p w14:paraId="41AE1C8A" w14:textId="77777777" w:rsidR="009719EC" w:rsidRPr="00626D32" w:rsidRDefault="009719EC" w:rsidP="00AA69CF">
            <w:pPr>
              <w:pStyle w:val="BoxSpaceBelow"/>
            </w:pPr>
          </w:p>
        </w:tc>
      </w:tr>
    </w:tbl>
    <w:p w14:paraId="70B32A29" w14:textId="77777777" w:rsidR="009719EC" w:rsidRDefault="009719EC" w:rsidP="00591511">
      <w:pPr>
        <w:pStyle w:val="BodyText"/>
      </w:pPr>
    </w:p>
    <w:p w14:paraId="24656141" w14:textId="32085EC0" w:rsidR="00591511" w:rsidRPr="00E41AF6" w:rsidRDefault="00591511" w:rsidP="00591511">
      <w:pPr>
        <w:pStyle w:val="Heading2"/>
      </w:pPr>
      <w:r w:rsidRPr="00E41AF6">
        <w:lastRenderedPageBreak/>
        <w:t>COAG reform agenda</w:t>
      </w:r>
      <w:r>
        <w:t xml:space="preserve"> and additional contextual information</w:t>
      </w:r>
    </w:p>
    <w:p w14:paraId="6A6D497C" w14:textId="3BB4E77B" w:rsidR="00232B67" w:rsidRDefault="00591511" w:rsidP="00232B67">
      <w:pPr>
        <w:pStyle w:val="BodyText"/>
      </w:pPr>
      <w:r>
        <w:t xml:space="preserve">The overarching objective of the NIRA is to implement intergovernmental reforms to close the gap in </w:t>
      </w:r>
      <w:r w:rsidR="003A624B">
        <w:t xml:space="preserve">Aboriginal and Torres Strait Islander </w:t>
      </w:r>
      <w:r>
        <w:t>disadvantage</w:t>
      </w:r>
      <w:r w:rsidR="00232B67">
        <w:t xml:space="preserve">. </w:t>
      </w:r>
      <w:r w:rsidR="00926756">
        <w:t>In</w:t>
      </w:r>
      <w:r w:rsidR="002B0E0A">
        <w:t xml:space="preserve"> </w:t>
      </w:r>
      <w:r w:rsidR="00232B67">
        <w:t>December 2007 (COAG 2007), March 2008 (COAG 2008), May 2014 (COAG 2014) and December 2015 (COAG 2015) COAG announced seven Closing the Gap targets:</w:t>
      </w:r>
    </w:p>
    <w:p w14:paraId="15C590E8" w14:textId="2A9327DE" w:rsidR="00591511" w:rsidRDefault="00591511" w:rsidP="00232B67">
      <w:pPr>
        <w:pStyle w:val="ListNumber2"/>
      </w:pPr>
      <w:r>
        <w:t>closing the life expectancy gap within a generation (by 2031)</w:t>
      </w:r>
    </w:p>
    <w:p w14:paraId="5754C12A" w14:textId="77777777" w:rsidR="00591511" w:rsidRDefault="00591511" w:rsidP="00591511">
      <w:pPr>
        <w:pStyle w:val="ListNumber2"/>
      </w:pPr>
      <w:r>
        <w:t>halving the gap in mortality rates for Indigenous children under five within a decade (by 2018)</w:t>
      </w:r>
    </w:p>
    <w:p w14:paraId="69833A87" w14:textId="3C16F7A9" w:rsidR="00591511" w:rsidRDefault="00F42556" w:rsidP="00591511">
      <w:pPr>
        <w:pStyle w:val="ListNumber2"/>
      </w:pPr>
      <w:r>
        <w:t>95 per cent of all Indigenous four</w:t>
      </w:r>
      <w:r w:rsidR="00FA5150">
        <w:noBreakHyphen/>
      </w:r>
      <w:r>
        <w:t>year olds enrolled in early childhood education (by 2025)</w:t>
      </w:r>
    </w:p>
    <w:p w14:paraId="6A6937D0" w14:textId="77777777" w:rsidR="00591511" w:rsidRDefault="00591511" w:rsidP="00591511">
      <w:pPr>
        <w:pStyle w:val="ListNumber2"/>
      </w:pPr>
      <w:r>
        <w:t>halving the gap for Indigenous students in reading, writing and numeracy within a decade (by 2018)</w:t>
      </w:r>
    </w:p>
    <w:p w14:paraId="618F208B" w14:textId="77777777" w:rsidR="00591511" w:rsidRDefault="00591511" w:rsidP="00591511">
      <w:pPr>
        <w:pStyle w:val="ListNumber2"/>
      </w:pPr>
      <w:r>
        <w:t>halving the gap for Indigenous students in year 12 attainment or equivalent attainment rates (by 2020)</w:t>
      </w:r>
    </w:p>
    <w:p w14:paraId="4AE0699C" w14:textId="0F3E6960" w:rsidR="00591511" w:rsidRDefault="00591511" w:rsidP="00591511">
      <w:pPr>
        <w:pStyle w:val="ListNumber2"/>
      </w:pPr>
      <w:r>
        <w:t>halving the gap in employment outcomes between Indigenous and non</w:t>
      </w:r>
      <w:r w:rsidR="00FA5150">
        <w:noBreakHyphen/>
      </w:r>
      <w:r>
        <w:t>Indigenous Australians within a decade (by 2018)</w:t>
      </w:r>
    </w:p>
    <w:p w14:paraId="1E405BD7" w14:textId="5D55CADF" w:rsidR="00F724E7" w:rsidRDefault="00230A24" w:rsidP="00591511">
      <w:pPr>
        <w:pStyle w:val="ListNumber2"/>
      </w:pPr>
      <w:r>
        <w:t>closing</w:t>
      </w:r>
      <w:r w:rsidR="00AF3FD1">
        <w:t xml:space="preserve"> the gap between Indigenous and non</w:t>
      </w:r>
      <w:r w:rsidR="00FA5150">
        <w:noBreakHyphen/>
      </w:r>
      <w:r w:rsidR="00AF3FD1">
        <w:t>Indigenous school attendance within five years (by 2018)</w:t>
      </w:r>
      <w:r>
        <w:t>.</w:t>
      </w:r>
    </w:p>
    <w:p w14:paraId="26101C9A" w14:textId="77777777" w:rsidR="00591511" w:rsidRDefault="00591511" w:rsidP="00591511">
      <w:pPr>
        <w:pStyle w:val="BodyText"/>
      </w:pPr>
      <w:r w:rsidRPr="00E648E7">
        <w:t>Reporting against COAG targets is provided in this report under the section on ‘Performance targets’.</w:t>
      </w:r>
    </w:p>
    <w:p w14:paraId="4380FE95" w14:textId="77777777" w:rsidR="0037302B" w:rsidRPr="004766A7" w:rsidRDefault="0037302B" w:rsidP="00662E2F">
      <w:pPr>
        <w:pStyle w:val="BodyText"/>
      </w:pPr>
      <w:r w:rsidRPr="004766A7">
        <w:t xml:space="preserve">At </w:t>
      </w:r>
      <w:r w:rsidRPr="00662E2F">
        <w:t>its December 2016 meeting, COAG agreed to refresh the Closing the Gap agenda. In October 2018, 14 Aboriginal and Torres Strait Islander peak bodies wrote to the Prime Minister, Premiers and Chief Ministers to ask that changes to Closing the Gap not be agreed without formal input and support from Aboriginal and Torres Strait Islander communities. In December 2018, COAG committed to a formal partnership between the Commonwealth, State and Territory governments, and Aboriginal and Torres Strait Islander representatives (COAG 2018) to develop and implement a new national agreement on closing the gap. At the same meeting, COAG also agreed to establish a Ministerial Council on Closing the Gap, known as the Joint Council, which includes representation by Aboriginal and Torres Strait Islander people through the National Coalition of Aboriginal and Torres Strait Islander Peak Organisations.</w:t>
      </w:r>
      <w:r w:rsidRPr="004766A7">
        <w:rPr>
          <w:shd w:val="clear" w:color="auto" w:fill="FFFF00"/>
        </w:rPr>
        <w:t xml:space="preserve"> </w:t>
      </w:r>
    </w:p>
    <w:p w14:paraId="6F3AEE54" w14:textId="77777777" w:rsidR="0037302B" w:rsidRDefault="0037302B" w:rsidP="00662E2F">
      <w:pPr>
        <w:pStyle w:val="BodyText"/>
      </w:pPr>
      <w:r w:rsidRPr="004766A7">
        <w:t>A formal Partnership Agreement between COAG and the National Coalition of Aboriginal and Torres Strait Islander Peak Organisations came into effect in March 2019 (COAG </w:t>
      </w:r>
      <w:r w:rsidRPr="00662E2F">
        <w:t xml:space="preserve">2019) and outlines the partnership’s joint responsibility for “…agreeing the design, policy principles and priorities, implementation principles, oversight and monitoring of the national Closing the Gap framework and associated targets, and the review of the [NIRA]…” (COAG 2019, para 15). A National Agreement on Closing the Gap is being drafted for endorsement </w:t>
      </w:r>
      <w:r w:rsidRPr="00662E2F">
        <w:lastRenderedPageBreak/>
        <w:t>by the Joint Council, ahead of its consideration</w:t>
      </w:r>
      <w:r w:rsidRPr="004766A7">
        <w:t xml:space="preserve"> by </w:t>
      </w:r>
      <w:r w:rsidRPr="00662E2F">
        <w:t>COAG in 2020. This</w:t>
      </w:r>
      <w:r w:rsidRPr="004766A7">
        <w:t xml:space="preserve"> process does not affect targets and indicators for this cycle of reporting.</w:t>
      </w:r>
    </w:p>
    <w:p w14:paraId="65A18893" w14:textId="5EBC5450" w:rsidR="009C1ED3" w:rsidRPr="00662E2F" w:rsidRDefault="00591511" w:rsidP="00662E2F">
      <w:pPr>
        <w:pStyle w:val="BodyText"/>
      </w:pPr>
      <w:r>
        <w:t>Additional contextual factors</w:t>
      </w:r>
      <w:r w:rsidRPr="00DE591F">
        <w:t xml:space="preserve"> that may </w:t>
      </w:r>
      <w:r w:rsidR="00AA69CF">
        <w:t>influence</w:t>
      </w:r>
      <w:r w:rsidRPr="00DE591F">
        <w:t xml:space="preserve"> </w:t>
      </w:r>
      <w:r w:rsidR="003A624B">
        <w:t>Aboriginal and Torres Strait Islander</w:t>
      </w:r>
      <w:r w:rsidRPr="00DE591F">
        <w:t xml:space="preserve"> outcomes</w:t>
      </w:r>
      <w:r>
        <w:t xml:space="preserve"> are available in previous NIRA performance reports</w:t>
      </w:r>
      <w:r w:rsidR="00AA69CF">
        <w:t xml:space="preserve"> </w:t>
      </w:r>
      <w:r>
        <w:t>and the Overcoming Indigenous Disadvantage: Key Indicators (OID) report, with the most recent OID report released in November 201</w:t>
      </w:r>
      <w:r w:rsidR="00F93786">
        <w:t>6 (SCRGSP 2016</w:t>
      </w:r>
      <w:r>
        <w:t xml:space="preserve">). The OID report measures the wellbeing of Aboriginal and Torres Strait Islander Australians, and Aboriginal and Torres Strait Islander Australians were </w:t>
      </w:r>
      <w:r w:rsidR="00F3520D">
        <w:t xml:space="preserve">involved </w:t>
      </w:r>
      <w:r>
        <w:t xml:space="preserve">in the development and production of the report. </w:t>
      </w:r>
      <w:r w:rsidR="002216AD" w:rsidRPr="000E1A1E">
        <w:t xml:space="preserve">The </w:t>
      </w:r>
      <w:r w:rsidR="00B930B3">
        <w:t xml:space="preserve">OID </w:t>
      </w:r>
      <w:r w:rsidR="002216AD" w:rsidRPr="000E1A1E">
        <w:t>report provides information about outcomes across a range of strategic areas, such as early child development, education and training, healthy lives, economic participation, home environment, and safe and supportive communities.</w:t>
      </w:r>
      <w:r w:rsidR="00FE3DE2">
        <w:t xml:space="preserve"> As part of the terms of reference for the OID report, it includes indicators aligned with those in this report.</w:t>
      </w:r>
    </w:p>
    <w:p w14:paraId="28C9BF8F" w14:textId="26634D23" w:rsidR="0037302B" w:rsidRPr="00416152" w:rsidRDefault="0037302B" w:rsidP="00662E2F">
      <w:pPr>
        <w:pStyle w:val="BodyText"/>
      </w:pPr>
      <w:r w:rsidRPr="00387952">
        <w:t>The next OID report is due to be released at the end of 2020. The importance of structural and/or systemic issues as contextual factors is anticipated to be highlighted in the 2020 OID report.</w:t>
      </w:r>
      <w:r w:rsidR="00F34E12">
        <w:t xml:space="preserve"> </w:t>
      </w:r>
    </w:p>
    <w:p w14:paraId="1651C81B" w14:textId="4E5EBA14" w:rsidR="00591511" w:rsidRDefault="00591511" w:rsidP="00591511">
      <w:pPr>
        <w:pStyle w:val="BodyText"/>
      </w:pPr>
      <w:r w:rsidRPr="00E648E7">
        <w:t xml:space="preserve">In December 2007, COAG committed to reporting transparently on expenditure on services to </w:t>
      </w:r>
      <w:r w:rsidRPr="0047453B">
        <w:t>Aboriginal and Torres Strait Islander Australians</w:t>
      </w:r>
      <w:r w:rsidRPr="00E648E7">
        <w:t xml:space="preserve"> </w:t>
      </w:r>
      <w:r w:rsidR="00F57F7B">
        <w:t>(</w:t>
      </w:r>
      <w:r w:rsidRPr="00E648E7">
        <w:t xml:space="preserve">COAG 2007). The Indigenous Expenditure Reports </w:t>
      </w:r>
      <w:r>
        <w:t>(IER</w:t>
      </w:r>
      <w:r w:rsidR="00B930B3">
        <w:t>s</w:t>
      </w:r>
      <w:r>
        <w:t xml:space="preserve">) </w:t>
      </w:r>
      <w:r w:rsidRPr="00E648E7">
        <w:t xml:space="preserve">provide estimates of expenditure by the Australian Government and State and Territory governments, mapped to the COAG Building </w:t>
      </w:r>
      <w:r>
        <w:t xml:space="preserve">Blocks (as far as practicable). The most recent IER was released in </w:t>
      </w:r>
      <w:r w:rsidR="0026135D">
        <w:t xml:space="preserve">October 2017 </w:t>
      </w:r>
      <w:r w:rsidR="00094D38">
        <w:t xml:space="preserve">(SCRGSP </w:t>
      </w:r>
      <w:r w:rsidR="0026135D">
        <w:t>2017</w:t>
      </w:r>
      <w:r>
        <w:t>).</w:t>
      </w:r>
    </w:p>
    <w:p w14:paraId="0EAF674D" w14:textId="1FEF5342" w:rsidR="00EC7709" w:rsidRDefault="009F75FF" w:rsidP="00EC7709">
      <w:pPr>
        <w:pStyle w:val="BodyText"/>
      </w:pPr>
      <w:r>
        <w:t>T</w:t>
      </w:r>
      <w:r w:rsidR="00EC7709">
        <w:t>echnical data quality information is included in this report against the ‘Comments on data quality’ boxes under each indicator</w:t>
      </w:r>
      <w:r w:rsidR="005779AF">
        <w:t>,</w:t>
      </w:r>
      <w:r w:rsidR="00EC7709">
        <w:t xml:space="preserve"> detailing key information relevant for interpreting the performance data. </w:t>
      </w:r>
      <w:r>
        <w:t xml:space="preserve">More detailed </w:t>
      </w:r>
      <w:r w:rsidR="00EC7709">
        <w:t xml:space="preserve">Data Quality Statements </w:t>
      </w:r>
      <w:r>
        <w:t xml:space="preserve">are available from the </w:t>
      </w:r>
      <w:r w:rsidR="00EC7709">
        <w:t>Metadata Online Registry (METeOR) which is publically accessible via the AIHW website.</w:t>
      </w:r>
    </w:p>
    <w:p w14:paraId="7A1ABC27" w14:textId="77777777" w:rsidR="004F00F4" w:rsidRDefault="004F00F4">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4F00F4" w14:paraId="1A437F7D" w14:textId="77777777" w:rsidTr="00C02EA8">
        <w:tc>
          <w:tcPr>
            <w:tcW w:w="8789" w:type="dxa"/>
            <w:tcBorders>
              <w:top w:val="single" w:sz="6" w:space="0" w:color="78A22F"/>
              <w:left w:val="nil"/>
              <w:bottom w:val="nil"/>
              <w:right w:val="nil"/>
            </w:tcBorders>
            <w:shd w:val="clear" w:color="auto" w:fill="F2F2F2"/>
          </w:tcPr>
          <w:p w14:paraId="6EB1136F" w14:textId="77777777" w:rsidR="004F00F4" w:rsidRDefault="004F00F4" w:rsidP="0073114E">
            <w:pPr>
              <w:pStyle w:val="BoxTitle"/>
            </w:pPr>
            <w:r>
              <w:rPr>
                <w:b w:val="0"/>
              </w:rPr>
              <w:t xml:space="preserve">Box </w:t>
            </w:r>
            <w:r w:rsidR="009508CD">
              <w:rPr>
                <w:b w:val="0"/>
                <w:noProof/>
              </w:rPr>
              <w:t>1</w:t>
            </w:r>
            <w:r>
              <w:tab/>
              <w:t>Key issues in reporting against the NIRA</w:t>
            </w:r>
          </w:p>
        </w:tc>
      </w:tr>
      <w:tr w:rsidR="004F00F4" w14:paraId="48D82EB8" w14:textId="77777777" w:rsidTr="00C02EA8">
        <w:trPr>
          <w:cantSplit/>
        </w:trPr>
        <w:tc>
          <w:tcPr>
            <w:tcW w:w="8789" w:type="dxa"/>
            <w:tcBorders>
              <w:top w:val="nil"/>
              <w:left w:val="nil"/>
              <w:right w:val="nil"/>
            </w:tcBorders>
            <w:shd w:val="clear" w:color="auto" w:fill="F2F2F2"/>
          </w:tcPr>
          <w:p w14:paraId="2A7EA31F" w14:textId="625325A5" w:rsidR="004F00F4" w:rsidRPr="00B74752" w:rsidRDefault="004F00F4" w:rsidP="008822BF">
            <w:pPr>
              <w:pStyle w:val="BoxHeading1"/>
            </w:pPr>
            <w:r w:rsidRPr="004F00F4">
              <w:t>General comments</w:t>
            </w:r>
          </w:p>
          <w:p w14:paraId="5CBFE6C6" w14:textId="1F59591E" w:rsidR="00090060" w:rsidRDefault="004F00F4" w:rsidP="00254F5E">
            <w:pPr>
              <w:pStyle w:val="BoxListBullet"/>
            </w:pPr>
            <w:r w:rsidRPr="00E007DE">
              <w:t xml:space="preserve">Measures for some of the indicators are not reliable for jurisdictions with small </w:t>
            </w:r>
            <w:r w:rsidR="003A624B">
              <w:t xml:space="preserve">Aboriginal and Torres Strait Islander </w:t>
            </w:r>
            <w:r w:rsidRPr="00E007DE">
              <w:t xml:space="preserve">populations and/or changing levels of </w:t>
            </w:r>
            <w:r w:rsidR="006C47FE">
              <w:t>Aboriginal and Torres Strait Islander</w:t>
            </w:r>
            <w:r w:rsidRPr="00E007DE">
              <w:t xml:space="preserve"> identification. I</w:t>
            </w:r>
            <w:r w:rsidR="002216AD">
              <w:t>n particular</w:t>
            </w:r>
            <w:r w:rsidR="004D0AF1">
              <w:t xml:space="preserve">, </w:t>
            </w:r>
            <w:r w:rsidR="00715F6E">
              <w:t>Aboriginal and Torres Strait Islander</w:t>
            </w:r>
            <w:r w:rsidR="00715F6E" w:rsidRPr="00E007DE">
              <w:t xml:space="preserve"> mortality </w:t>
            </w:r>
            <w:r w:rsidR="00715F6E">
              <w:t>are not</w:t>
            </w:r>
            <w:r w:rsidR="00715F6E" w:rsidRPr="00E007DE">
              <w:t xml:space="preserve"> reported for Victoria, Tasmania and the ACT</w:t>
            </w:r>
            <w:r w:rsidR="00715F6E">
              <w:t>, which affects</w:t>
            </w:r>
            <w:r w:rsidR="00090060">
              <w:t>:</w:t>
            </w:r>
            <w:r w:rsidR="00715F6E">
              <w:t xml:space="preserve"> </w:t>
            </w:r>
          </w:p>
          <w:p w14:paraId="3B737B6C" w14:textId="41BC8F04" w:rsidR="00090060" w:rsidRDefault="00715F6E">
            <w:pPr>
              <w:pStyle w:val="BoxListBullet2"/>
            </w:pPr>
            <w:r>
              <w:t xml:space="preserve">performance target b (halve the gap in under five mortality rates) </w:t>
            </w:r>
          </w:p>
          <w:p w14:paraId="7EDB9460" w14:textId="65E696CE" w:rsidR="00702A62" w:rsidRDefault="00715F6E" w:rsidP="00E32E3F">
            <w:pPr>
              <w:pStyle w:val="BoxListBullet2"/>
            </w:pPr>
            <w:r w:rsidRPr="00E007DE">
              <w:t>performance indicators 2</w:t>
            </w:r>
            <w:r>
              <w:t xml:space="preserve"> (mortality rate) </w:t>
            </w:r>
            <w:r w:rsidRPr="00E007DE">
              <w:t>and 6</w:t>
            </w:r>
            <w:r>
              <w:t xml:space="preserve"> (under 5 mortality rate</w:t>
            </w:r>
            <w:r w:rsidRPr="00E007DE">
              <w:t>).</w:t>
            </w:r>
            <w:r w:rsidR="00A57A38" w:rsidRPr="00372153">
              <w:rPr>
                <w:strike/>
                <w:shd w:val="clear" w:color="auto" w:fill="FFFF00"/>
              </w:rPr>
              <w:t xml:space="preserve"> </w:t>
            </w:r>
          </w:p>
        </w:tc>
      </w:tr>
      <w:tr w:rsidR="00C02EA8" w14:paraId="7D858AE8" w14:textId="77777777" w:rsidTr="00C02EA8">
        <w:tc>
          <w:tcPr>
            <w:tcW w:w="8789" w:type="dxa"/>
            <w:tcBorders>
              <w:top w:val="nil"/>
              <w:left w:val="nil"/>
              <w:bottom w:val="nil"/>
              <w:right w:val="nil"/>
            </w:tcBorders>
            <w:shd w:val="clear" w:color="auto" w:fill="F2F2F2"/>
          </w:tcPr>
          <w:p w14:paraId="465D1F46" w14:textId="0DC278B3" w:rsidR="00C02EA8" w:rsidRDefault="00C02EA8" w:rsidP="00C70B17">
            <w:pPr>
              <w:pStyle w:val="Continued"/>
            </w:pPr>
            <w:r w:rsidRPr="00315070">
              <w:t xml:space="preserve"> (</w:t>
            </w:r>
            <w:r w:rsidRPr="00DB0CCE">
              <w:t>continued</w:t>
            </w:r>
            <w:r w:rsidRPr="00315070">
              <w:t xml:space="preserve"> next page)</w:t>
            </w:r>
          </w:p>
        </w:tc>
      </w:tr>
      <w:tr w:rsidR="00C02EA8" w14:paraId="2AB7D28A" w14:textId="77777777" w:rsidTr="00C02EA8">
        <w:tc>
          <w:tcPr>
            <w:tcW w:w="8789" w:type="dxa"/>
            <w:tcBorders>
              <w:top w:val="nil"/>
              <w:left w:val="nil"/>
              <w:bottom w:val="single" w:sz="6" w:space="0" w:color="78A22F"/>
              <w:right w:val="nil"/>
            </w:tcBorders>
            <w:shd w:val="clear" w:color="auto" w:fill="F2F2F2"/>
          </w:tcPr>
          <w:p w14:paraId="072ED541" w14:textId="77777777" w:rsidR="00C02EA8" w:rsidRDefault="00C02EA8" w:rsidP="00C70B17">
            <w:pPr>
              <w:pStyle w:val="Box"/>
              <w:keepNext w:val="0"/>
              <w:spacing w:before="0" w:line="120" w:lineRule="exact"/>
            </w:pPr>
          </w:p>
        </w:tc>
      </w:tr>
      <w:tr w:rsidR="00C02EA8" w:rsidRPr="000863A5" w14:paraId="461C158A" w14:textId="77777777" w:rsidTr="00C02EA8">
        <w:tc>
          <w:tcPr>
            <w:tcW w:w="8789" w:type="dxa"/>
            <w:tcBorders>
              <w:top w:val="single" w:sz="6" w:space="0" w:color="78A22F"/>
              <w:left w:val="nil"/>
              <w:bottom w:val="nil"/>
              <w:right w:val="nil"/>
            </w:tcBorders>
          </w:tcPr>
          <w:p w14:paraId="34AC03D7" w14:textId="77777777" w:rsidR="00C02EA8" w:rsidRPr="00626D32" w:rsidRDefault="00C02EA8" w:rsidP="00C70B17">
            <w:pPr>
              <w:pStyle w:val="BoxSpaceBelow"/>
            </w:pPr>
          </w:p>
        </w:tc>
      </w:tr>
    </w:tbl>
    <w:p w14:paraId="222847C5" w14:textId="77777777" w:rsidR="00C02EA8" w:rsidRDefault="00C02EA8" w:rsidP="00C02EA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02EA8" w14:paraId="18A52F45" w14:textId="77777777" w:rsidTr="00C02EA8">
        <w:tc>
          <w:tcPr>
            <w:tcW w:w="5000" w:type="pct"/>
            <w:tcBorders>
              <w:top w:val="single" w:sz="6" w:space="0" w:color="78A22F"/>
              <w:left w:val="nil"/>
              <w:bottom w:val="nil"/>
              <w:right w:val="nil"/>
            </w:tcBorders>
            <w:shd w:val="clear" w:color="auto" w:fill="F2F2F2"/>
          </w:tcPr>
          <w:p w14:paraId="5E12F746" w14:textId="38A83C63" w:rsidR="00C02EA8" w:rsidRDefault="00C02EA8" w:rsidP="00C02EA8">
            <w:pPr>
              <w:pStyle w:val="BoxTitle"/>
            </w:pPr>
            <w:r>
              <w:rPr>
                <w:b w:val="0"/>
              </w:rPr>
              <w:t>Box 1</w:t>
            </w:r>
            <w:r>
              <w:tab/>
            </w:r>
            <w:r w:rsidRPr="00EA0D57">
              <w:rPr>
                <w:rStyle w:val="Continuedintitle"/>
              </w:rPr>
              <w:t>(continued</w:t>
            </w:r>
            <w:r>
              <w:rPr>
                <w:rStyle w:val="Continuedintitle"/>
              </w:rPr>
              <w:t>)</w:t>
            </w:r>
          </w:p>
        </w:tc>
      </w:tr>
      <w:tr w:rsidR="00C02EA8" w14:paraId="42649F37" w14:textId="77777777" w:rsidTr="00C02EA8">
        <w:trPr>
          <w:cantSplit/>
        </w:trPr>
        <w:tc>
          <w:tcPr>
            <w:tcW w:w="5000" w:type="pct"/>
            <w:tcBorders>
              <w:top w:val="nil"/>
              <w:left w:val="nil"/>
              <w:right w:val="nil"/>
            </w:tcBorders>
            <w:shd w:val="clear" w:color="auto" w:fill="F2F2F2"/>
          </w:tcPr>
          <w:p w14:paraId="5A343C12" w14:textId="77777777" w:rsidR="00E32E3F" w:rsidRDefault="00E32E3F" w:rsidP="00E32E3F">
            <w:pPr>
              <w:pStyle w:val="BoxListBullet"/>
              <w:keepNext w:val="0"/>
            </w:pPr>
            <w:r>
              <w:t>The</w:t>
            </w:r>
            <w:r w:rsidRPr="00E007DE">
              <w:t xml:space="preserve"> accuracy of </w:t>
            </w:r>
            <w:r>
              <w:t xml:space="preserve">Aboriginal and Torres Strait Islander </w:t>
            </w:r>
            <w:r w:rsidRPr="00E007DE">
              <w:t>counts in administrative data is affected by the relatively large proportion of people for whom Indigenous status is recorded as not stated or, in some cases, recorded incorrectly as non</w:t>
            </w:r>
            <w:r>
              <w:noBreakHyphen/>
            </w:r>
            <w:r w:rsidRPr="00E007DE">
              <w:t>Indigenous.</w:t>
            </w:r>
          </w:p>
          <w:p w14:paraId="36B518BF" w14:textId="6AF62A6E" w:rsidR="00E32E3F" w:rsidRPr="00E32E3F" w:rsidRDefault="00E32E3F" w:rsidP="00E32E3F">
            <w:pPr>
              <w:pStyle w:val="BoxListBullet"/>
            </w:pPr>
            <w:r w:rsidRPr="00410D62">
              <w:t>For</w:t>
            </w:r>
            <w:r w:rsidRPr="003F77CB">
              <w:t xml:space="preserve"> this report, where Aboriginal and Torres Strait Islander population </w:t>
            </w:r>
            <w:r>
              <w:t xml:space="preserve">data </w:t>
            </w:r>
            <w:r w:rsidRPr="003F77CB">
              <w:t>are required to calculate rates</w:t>
            </w:r>
            <w:r>
              <w:t xml:space="preserve">, </w:t>
            </w:r>
            <w:r w:rsidRPr="003F77CB">
              <w:t>these data are based on the 201</w:t>
            </w:r>
            <w:r>
              <w:t>6</w:t>
            </w:r>
            <w:r w:rsidRPr="003F77CB">
              <w:t xml:space="preserve"> Census</w:t>
            </w:r>
            <w:r>
              <w:t xml:space="preserve"> — performance targets b and c (95 per cent of all Indigenous four</w:t>
            </w:r>
            <w:r>
              <w:noBreakHyphen/>
              <w:t>year</w:t>
            </w:r>
            <w:r>
              <w:noBreakHyphen/>
              <w:t>olds enrolled in early childhood education) and performance indicators 2, 6, and 10 (the early childhood education enrolment rate measure)</w:t>
            </w:r>
            <w:r w:rsidRPr="003F77CB">
              <w:t xml:space="preserve">. </w:t>
            </w:r>
            <w:r>
              <w:t xml:space="preserve">Historical data have been revised for a 2016 Census base for performance indicators 2 and 6 (to 2006) and performance indicator 10 (to 2015). </w:t>
            </w:r>
            <w:r w:rsidRPr="00094492">
              <w:t xml:space="preserve">Aboriginal and Torres Strait Islander </w:t>
            </w:r>
            <w:r>
              <w:t>population backcast</w:t>
            </w:r>
            <w:r w:rsidRPr="00094492">
              <w:t xml:space="preserve"> estimates are based on assumptions. Uncertainty of the estimates increa</w:t>
            </w:r>
            <w:r>
              <w:t xml:space="preserve">ses as the time from the Census </w:t>
            </w:r>
            <w:r w:rsidRPr="00094492">
              <w:t>base year increases</w:t>
            </w:r>
            <w:r w:rsidR="00662E2F">
              <w:t>.</w:t>
            </w:r>
            <w:r w:rsidRPr="00372153">
              <w:rPr>
                <w:strike/>
                <w:shd w:val="clear" w:color="auto" w:fill="FFFF00"/>
              </w:rPr>
              <w:t xml:space="preserve"> </w:t>
            </w:r>
          </w:p>
          <w:p w14:paraId="6064E78F" w14:textId="5C833A24" w:rsidR="00C02EA8" w:rsidRDefault="00C02EA8" w:rsidP="00E32E3F">
            <w:pPr>
              <w:pStyle w:val="BoxListBullet"/>
            </w:pPr>
            <w:r>
              <w:t>Non</w:t>
            </w:r>
            <w:r w:rsidR="00FA5150">
              <w:noBreakHyphen/>
            </w:r>
            <w:r>
              <w:t xml:space="preserve">Indigenous population estimates are available for Census years only. </w:t>
            </w:r>
            <w:r w:rsidRPr="003F77CB">
              <w:t>For non</w:t>
            </w:r>
            <w:r w:rsidR="00FA5150">
              <w:noBreakHyphen/>
            </w:r>
            <w:r w:rsidRPr="003F77CB">
              <w:t>Census years the non</w:t>
            </w:r>
            <w:r w:rsidR="00FA5150">
              <w:noBreakHyphen/>
            </w:r>
            <w:r w:rsidRPr="003F77CB">
              <w:t>Indigenous population is calculated by subtracting the 201</w:t>
            </w:r>
            <w:r>
              <w:t>6</w:t>
            </w:r>
            <w:r w:rsidRPr="003F77CB">
              <w:t xml:space="preserve"> Census</w:t>
            </w:r>
            <w:r w:rsidR="00FA5150">
              <w:noBreakHyphen/>
            </w:r>
            <w:r w:rsidRPr="003F77CB">
              <w:t xml:space="preserve">based Aboriginal and Torres Strait Islander </w:t>
            </w:r>
            <w:r>
              <w:t>population</w:t>
            </w:r>
            <w:r w:rsidRPr="003F77CB">
              <w:t xml:space="preserve"> from </w:t>
            </w:r>
            <w:r>
              <w:t>total e</w:t>
            </w:r>
            <w:r w:rsidRPr="003F77CB">
              <w:t xml:space="preserve">stimated </w:t>
            </w:r>
            <w:r>
              <w:t>r</w:t>
            </w:r>
            <w:r w:rsidRPr="003F77CB">
              <w:t xml:space="preserve">esident </w:t>
            </w:r>
            <w:r>
              <w:t>p</w:t>
            </w:r>
            <w:r w:rsidRPr="003F77CB">
              <w:t xml:space="preserve">opulation. Such figures have a degree of uncertainty and should be used with caution, particularly as time from the base year of the projection series </w:t>
            </w:r>
            <w:r>
              <w:t xml:space="preserve">(2016) </w:t>
            </w:r>
            <w:r w:rsidRPr="003F77CB">
              <w:t xml:space="preserve">increases. </w:t>
            </w:r>
          </w:p>
          <w:p w14:paraId="1A1448F8" w14:textId="77777777" w:rsidR="00C02EA8" w:rsidRDefault="00C02EA8" w:rsidP="00C70B17">
            <w:pPr>
              <w:pStyle w:val="BoxListBullet"/>
              <w:keepNext w:val="0"/>
            </w:pPr>
            <w:r w:rsidRPr="00A63DD7">
              <w:t xml:space="preserve">Multiple data sources have been used to construct measures for some indicators. </w:t>
            </w:r>
            <w:r w:rsidRPr="00A63DD7">
              <w:rPr>
                <w:rStyle w:val="BoxChar"/>
              </w:rPr>
              <w:t xml:space="preserve">Comments on </w:t>
            </w:r>
            <w:r w:rsidRPr="003F77CB">
              <w:rPr>
                <w:rStyle w:val="BoxChar"/>
              </w:rPr>
              <w:t>the</w:t>
            </w:r>
            <w:r w:rsidRPr="00A63DD7">
              <w:rPr>
                <w:rStyle w:val="BoxChar"/>
              </w:rPr>
              <w:t xml:space="preserve"> comparability of different data sources within a measure </w:t>
            </w:r>
            <w:r>
              <w:rPr>
                <w:rStyle w:val="BoxChar"/>
              </w:rPr>
              <w:t xml:space="preserve">are </w:t>
            </w:r>
            <w:r w:rsidRPr="00A63DD7">
              <w:rPr>
                <w:rStyle w:val="BoxChar"/>
              </w:rPr>
              <w:t>provided where applicable.</w:t>
            </w:r>
          </w:p>
          <w:p w14:paraId="17401AC7" w14:textId="77777777" w:rsidR="00C02EA8" w:rsidRPr="00E007DE" w:rsidRDefault="00C02EA8" w:rsidP="00C70B17">
            <w:pPr>
              <w:pStyle w:val="BoxHeading1"/>
            </w:pPr>
            <w:r w:rsidRPr="00E007DE">
              <w:t>Performance targets</w:t>
            </w:r>
          </w:p>
          <w:p w14:paraId="114FFF1D" w14:textId="77777777" w:rsidR="00C02EA8" w:rsidRDefault="00C02EA8" w:rsidP="00C70B17">
            <w:pPr>
              <w:pStyle w:val="BoxListBullet"/>
            </w:pPr>
            <w:r w:rsidRPr="00E007DE">
              <w:t xml:space="preserve">Data for all performance targets are sourced from related performance indicators. </w:t>
            </w:r>
          </w:p>
          <w:p w14:paraId="186A28C5" w14:textId="3653B509" w:rsidR="00C02EA8" w:rsidRDefault="00C02EA8" w:rsidP="00C02EA8">
            <w:pPr>
              <w:pStyle w:val="BoxListBullet"/>
            </w:pPr>
            <w:r>
              <w:t>This report includes updated data for all performance targets except target a (closing the life expectancy gap within a generation).</w:t>
            </w:r>
          </w:p>
          <w:p w14:paraId="637A10D5" w14:textId="77777777" w:rsidR="00C02EA8" w:rsidRPr="00E007DE" w:rsidRDefault="00C02EA8" w:rsidP="00C70B17">
            <w:pPr>
              <w:pStyle w:val="BoxHeading1"/>
            </w:pPr>
            <w:r w:rsidRPr="00E007DE">
              <w:t>Performance indicators</w:t>
            </w:r>
          </w:p>
          <w:p w14:paraId="62D53630" w14:textId="3E23B8A0" w:rsidR="00C02EA8" w:rsidRDefault="00C02EA8" w:rsidP="00C70B17">
            <w:pPr>
              <w:pStyle w:val="BoxListBullet"/>
            </w:pPr>
            <w:r>
              <w:t>This report includes updated data for 14 of the 15 performance indicators. Indicator 1 (</w:t>
            </w:r>
            <w:r w:rsidRPr="003F6D08">
              <w:t>Estimated life expectancy at birth</w:t>
            </w:r>
            <w:r>
              <w:t>) is not able to be updated.</w:t>
            </w:r>
            <w:r w:rsidR="007F7B2C">
              <w:t xml:space="preserve"> </w:t>
            </w:r>
            <w:r w:rsidR="007F7B2C" w:rsidRPr="006341FA">
              <w:t>Indicator 11 (Reading, writing and numeracy) is able to updated for this report (includes 2018 data), but current year data (2019 data) are not available which continues the year lag introduced in the previous edition of this report.</w:t>
            </w:r>
          </w:p>
          <w:p w14:paraId="4C004BB1" w14:textId="77777777" w:rsidR="00C02EA8" w:rsidRDefault="00C02EA8" w:rsidP="00C70B17">
            <w:pPr>
              <w:pStyle w:val="BoxListBullet"/>
            </w:pPr>
            <w:r w:rsidRPr="006F7E4A">
              <w:t>For three indicators, both multiple</w:t>
            </w:r>
            <w:r w:rsidRPr="00E007DE">
              <w:t xml:space="preserve"> year aggregate data and single year data </w:t>
            </w:r>
            <w:r>
              <w:t xml:space="preserve">are reported </w:t>
            </w:r>
            <w:r w:rsidRPr="00E007DE">
              <w:t>(performance indicators 2</w:t>
            </w:r>
            <w:r>
              <w:t xml:space="preserve"> (mortality rate)</w:t>
            </w:r>
            <w:r w:rsidRPr="00E007DE">
              <w:t>, 6</w:t>
            </w:r>
            <w:r>
              <w:t xml:space="preserve"> (under 5 mortality rate)</w:t>
            </w:r>
            <w:r w:rsidRPr="00E007DE">
              <w:t xml:space="preserve"> and 7</w:t>
            </w:r>
            <w:r>
              <w:t xml:space="preserve"> (babies born of low birth weight</w:t>
            </w:r>
            <w:r w:rsidRPr="00E007DE">
              <w:t>). Multiple year aggregates are provided to enable disaggregation by State and Territory — the most recent aggregate years’ data should be used for current period analysis. However, multiple year aggregates make it difficult to determine trends over time, as each reporting year incorporates the previous years. Following an assessment of the reliability of the data, single year data are prov</w:t>
            </w:r>
            <w:r>
              <w:t xml:space="preserve">ided for time series analysis. </w:t>
            </w:r>
          </w:p>
        </w:tc>
      </w:tr>
      <w:tr w:rsidR="00C02EA8" w14:paraId="1E757E08" w14:textId="77777777" w:rsidTr="00C02EA8">
        <w:trPr>
          <w:cantSplit/>
        </w:trPr>
        <w:tc>
          <w:tcPr>
            <w:tcW w:w="5000" w:type="pct"/>
            <w:tcBorders>
              <w:top w:val="nil"/>
              <w:left w:val="nil"/>
              <w:bottom w:val="single" w:sz="6" w:space="0" w:color="78A22F"/>
              <w:right w:val="nil"/>
            </w:tcBorders>
            <w:shd w:val="clear" w:color="auto" w:fill="F2F2F2"/>
          </w:tcPr>
          <w:p w14:paraId="293CD99F" w14:textId="77777777" w:rsidR="00C02EA8" w:rsidRDefault="00C02EA8" w:rsidP="00C70B17">
            <w:pPr>
              <w:pStyle w:val="Box"/>
              <w:spacing w:before="0" w:line="120" w:lineRule="exact"/>
            </w:pPr>
          </w:p>
        </w:tc>
      </w:tr>
      <w:tr w:rsidR="00C02EA8" w:rsidRPr="000863A5" w14:paraId="2DA28E75" w14:textId="77777777" w:rsidTr="00C02EA8">
        <w:tc>
          <w:tcPr>
            <w:tcW w:w="5000" w:type="pct"/>
            <w:tcBorders>
              <w:top w:val="single" w:sz="6" w:space="0" w:color="78A22F"/>
              <w:left w:val="nil"/>
              <w:bottom w:val="nil"/>
              <w:right w:val="nil"/>
            </w:tcBorders>
          </w:tcPr>
          <w:p w14:paraId="1C70C782" w14:textId="77777777" w:rsidR="00C02EA8" w:rsidRPr="00626D32" w:rsidRDefault="00C02EA8" w:rsidP="00C70B17">
            <w:pPr>
              <w:pStyle w:val="BoxSpaceBelow"/>
            </w:pPr>
          </w:p>
        </w:tc>
      </w:tr>
    </w:tbl>
    <w:p w14:paraId="2EBC2228" w14:textId="77777777" w:rsidR="00C02EA8" w:rsidRDefault="00C02EA8" w:rsidP="00C02EA8">
      <w:pPr>
        <w:pStyle w:val="BodyText"/>
      </w:pPr>
    </w:p>
    <w:p w14:paraId="22C54C9A" w14:textId="77777777" w:rsidR="00024BF6" w:rsidRPr="00D84ACC" w:rsidRDefault="00024BF6" w:rsidP="00254F5E">
      <w:pPr>
        <w:pStyle w:val="BoxSpaceBelow"/>
      </w:pPr>
      <w:r>
        <w:br w:type="page"/>
      </w:r>
    </w:p>
    <w:p w14:paraId="0A4520B2" w14:textId="666DF10C" w:rsidR="004F00F4" w:rsidRPr="00306077" w:rsidRDefault="004F00F4" w:rsidP="004F00F4">
      <w:pPr>
        <w:pStyle w:val="Heading2"/>
      </w:pPr>
      <w:r w:rsidRPr="00306077">
        <w:lastRenderedPageBreak/>
        <w:t>Changes from the previous National Indigenous Reform Agreement performance report</w:t>
      </w:r>
    </w:p>
    <w:p w14:paraId="19041306" w14:textId="2D9C841F" w:rsidR="004F00F4" w:rsidRDefault="004F00F4" w:rsidP="004F00F4">
      <w:pPr>
        <w:pStyle w:val="BodyText"/>
      </w:pPr>
      <w:r w:rsidRPr="005803F4">
        <w:t>Table</w:t>
      </w:r>
      <w:r w:rsidR="0026099E">
        <w:t> </w:t>
      </w:r>
      <w:r w:rsidRPr="005803F4">
        <w:t xml:space="preserve">1 details changes to indicator specifications, measures </w:t>
      </w:r>
      <w:r>
        <w:t>and</w:t>
      </w:r>
      <w:r w:rsidRPr="005803F4">
        <w:t xml:space="preserve"> data from the previous </w:t>
      </w:r>
      <w:r>
        <w:t xml:space="preserve">NIRA </w:t>
      </w:r>
      <w:r w:rsidRPr="005803F4">
        <w:t>performance report.</w:t>
      </w:r>
    </w:p>
    <w:p w14:paraId="50397AD0" w14:textId="12A19447" w:rsidR="00595E18" w:rsidRDefault="00595E18" w:rsidP="00EE332B">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595E18" w14:paraId="6F548479" w14:textId="77777777" w:rsidTr="00EE332B">
        <w:trPr>
          <w:tblHeader/>
        </w:trPr>
        <w:tc>
          <w:tcPr>
            <w:tcW w:w="5000" w:type="pct"/>
            <w:tcBorders>
              <w:top w:val="single" w:sz="6" w:space="0" w:color="78A22F"/>
              <w:left w:val="nil"/>
              <w:bottom w:val="nil"/>
              <w:right w:val="nil"/>
            </w:tcBorders>
            <w:shd w:val="clear" w:color="auto" w:fill="auto"/>
          </w:tcPr>
          <w:p w14:paraId="7840F719" w14:textId="6ADBAA5C" w:rsidR="00595E18" w:rsidRPr="00784A05" w:rsidRDefault="00595E18" w:rsidP="00595E18">
            <w:pPr>
              <w:pStyle w:val="TableTitle"/>
            </w:pPr>
            <w:r>
              <w:rPr>
                <w:b w:val="0"/>
              </w:rPr>
              <w:t xml:space="preserve">Table </w:t>
            </w:r>
            <w:r w:rsidR="002E28E5">
              <w:rPr>
                <w:b w:val="0"/>
                <w:noProof/>
              </w:rPr>
              <w:t>1</w:t>
            </w:r>
            <w:r>
              <w:tab/>
            </w:r>
            <w:r w:rsidRPr="00D87AA9">
              <w:t>Changes from the previous NIRA performance report</w:t>
            </w:r>
          </w:p>
        </w:tc>
      </w:tr>
      <w:tr w:rsidR="00595E18" w14:paraId="0453E9AC" w14:textId="77777777" w:rsidTr="00EE332B">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402"/>
              <w:gridCol w:w="5103"/>
            </w:tblGrid>
            <w:tr w:rsidR="00595E18" w14:paraId="1F3D7970" w14:textId="77777777" w:rsidTr="008822BF">
              <w:trPr>
                <w:tblHeader/>
              </w:trPr>
              <w:tc>
                <w:tcPr>
                  <w:tcW w:w="2000" w:type="pct"/>
                  <w:tcBorders>
                    <w:top w:val="single" w:sz="6" w:space="0" w:color="BFBFBF"/>
                    <w:bottom w:val="single" w:sz="6" w:space="0" w:color="BFBFBF"/>
                  </w:tcBorders>
                  <w:shd w:val="clear" w:color="auto" w:fill="auto"/>
                  <w:tcMar>
                    <w:top w:w="28" w:type="dxa"/>
                  </w:tcMar>
                </w:tcPr>
                <w:p w14:paraId="5C529644" w14:textId="611F1023" w:rsidR="00595E18" w:rsidRDefault="00595E18" w:rsidP="000D6945">
                  <w:pPr>
                    <w:pStyle w:val="TableColumnHeading"/>
                    <w:jc w:val="left"/>
                  </w:pPr>
                  <w:r>
                    <w:t>Change</w:t>
                  </w:r>
                  <w:r w:rsidR="00A62E7E">
                    <w:t xml:space="preserve"> </w:t>
                  </w:r>
                </w:p>
              </w:tc>
              <w:tc>
                <w:tcPr>
                  <w:tcW w:w="3000" w:type="pct"/>
                  <w:tcBorders>
                    <w:top w:val="single" w:sz="6" w:space="0" w:color="BFBFBF"/>
                    <w:bottom w:val="single" w:sz="6" w:space="0" w:color="BFBFBF"/>
                  </w:tcBorders>
                  <w:shd w:val="clear" w:color="auto" w:fill="auto"/>
                  <w:tcMar>
                    <w:top w:w="28" w:type="dxa"/>
                  </w:tcMar>
                </w:tcPr>
                <w:p w14:paraId="3E24A793" w14:textId="2396694F" w:rsidR="00595E18" w:rsidRDefault="00595E18" w:rsidP="000D6945">
                  <w:pPr>
                    <w:pStyle w:val="TableColumnHeading"/>
                    <w:ind w:right="28"/>
                    <w:jc w:val="left"/>
                  </w:pPr>
                  <w:r>
                    <w:t>Performance information category</w:t>
                  </w:r>
                </w:p>
              </w:tc>
            </w:tr>
            <w:tr w:rsidR="00595E18" w14:paraId="1034B8E4" w14:textId="77777777" w:rsidTr="008822BF">
              <w:tc>
                <w:tcPr>
                  <w:tcW w:w="2000" w:type="pct"/>
                  <w:tcBorders>
                    <w:top w:val="single" w:sz="6" w:space="0" w:color="BFBFBF"/>
                    <w:bottom w:val="single" w:sz="6" w:space="0" w:color="BFBFBF"/>
                  </w:tcBorders>
                </w:tcPr>
                <w:p w14:paraId="06E99D00" w14:textId="285B305A" w:rsidR="00595E18" w:rsidRDefault="00595E18" w:rsidP="000D6945">
                  <w:pPr>
                    <w:pStyle w:val="TableUnitsRow"/>
                    <w:jc w:val="left"/>
                  </w:pPr>
                  <w:r>
                    <w:t>Historical data have been revised to incorporate revised cause of death data</w:t>
                  </w:r>
                  <w:r w:rsidR="0093760D">
                    <w:t>.</w:t>
                  </w:r>
                </w:p>
              </w:tc>
              <w:tc>
                <w:tcPr>
                  <w:tcW w:w="3000" w:type="pct"/>
                  <w:tcBorders>
                    <w:top w:val="single" w:sz="6" w:space="0" w:color="BFBFBF"/>
                    <w:bottom w:val="single" w:sz="6" w:space="0" w:color="BFBFBF"/>
                  </w:tcBorders>
                </w:tcPr>
                <w:p w14:paraId="64CE1D7F" w14:textId="77777777" w:rsidR="00595E18" w:rsidRDefault="00595E18" w:rsidP="000D6945">
                  <w:pPr>
                    <w:pStyle w:val="TableBodyText"/>
                    <w:jc w:val="left"/>
                  </w:pPr>
                  <w:r>
                    <w:t>NIRA performance indicator 2</w:t>
                  </w:r>
                </w:p>
                <w:p w14:paraId="5C0D95B2" w14:textId="524E70BF" w:rsidR="00595E18" w:rsidRDefault="00595E18" w:rsidP="000D6945">
                  <w:pPr>
                    <w:pStyle w:val="TableUnitsRow"/>
                    <w:ind w:right="28"/>
                    <w:jc w:val="left"/>
                  </w:pPr>
                  <w:r>
                    <w:t>NIRA performance indicator 6</w:t>
                  </w:r>
                </w:p>
              </w:tc>
            </w:tr>
            <w:tr w:rsidR="000B1D42" w14:paraId="32608AED" w14:textId="77777777" w:rsidTr="008822BF">
              <w:tc>
                <w:tcPr>
                  <w:tcW w:w="2000" w:type="pct"/>
                  <w:tcBorders>
                    <w:top w:val="single" w:sz="6" w:space="0" w:color="BFBFBF"/>
                    <w:bottom w:val="single" w:sz="6" w:space="0" w:color="BFBFBF"/>
                  </w:tcBorders>
                </w:tcPr>
                <w:p w14:paraId="65F7FB2A" w14:textId="1DE2E6E9" w:rsidR="000B1D42" w:rsidRDefault="000B1D42" w:rsidP="000B1D42">
                  <w:pPr>
                    <w:pStyle w:val="TableUnitsRow"/>
                    <w:jc w:val="left"/>
                  </w:pPr>
                  <w:r>
                    <w:t>Historical data have been revised to incorporate revised population estimates</w:t>
                  </w:r>
                  <w:r w:rsidR="00316934">
                    <w:t xml:space="preserve"> and projections</w:t>
                  </w:r>
                  <w:r>
                    <w:t>.</w:t>
                  </w:r>
                </w:p>
              </w:tc>
              <w:tc>
                <w:tcPr>
                  <w:tcW w:w="3000" w:type="pct"/>
                  <w:tcBorders>
                    <w:top w:val="single" w:sz="6" w:space="0" w:color="BFBFBF"/>
                    <w:bottom w:val="single" w:sz="6" w:space="0" w:color="BFBFBF"/>
                  </w:tcBorders>
                </w:tcPr>
                <w:p w14:paraId="5A2AA6F8" w14:textId="77777777" w:rsidR="000B1D42" w:rsidRDefault="000B1D42" w:rsidP="000B1D42">
                  <w:pPr>
                    <w:pStyle w:val="TableBodyText"/>
                    <w:jc w:val="left"/>
                  </w:pPr>
                  <w:r>
                    <w:t>NIRA performance indicator 2</w:t>
                  </w:r>
                </w:p>
                <w:p w14:paraId="2EFF6F56" w14:textId="2A8EE659" w:rsidR="000B1D42" w:rsidRDefault="00316934" w:rsidP="000B1D42">
                  <w:pPr>
                    <w:pStyle w:val="TableUnitsRow"/>
                    <w:jc w:val="left"/>
                  </w:pPr>
                  <w:r>
                    <w:t xml:space="preserve">NIRA performance target b and related </w:t>
                  </w:r>
                  <w:r w:rsidR="000B1D42">
                    <w:t>NIRA performance indicator 6</w:t>
                  </w:r>
                </w:p>
                <w:p w14:paraId="756B59CA" w14:textId="24C13E8E" w:rsidR="000B1D42" w:rsidRDefault="00316934" w:rsidP="00316934">
                  <w:pPr>
                    <w:pStyle w:val="TableUnitsRow"/>
                    <w:jc w:val="left"/>
                  </w:pPr>
                  <w:r>
                    <w:t xml:space="preserve">NIRA performance target c and related </w:t>
                  </w:r>
                  <w:r w:rsidR="000B1D42">
                    <w:t xml:space="preserve">NIRA performance indicator </w:t>
                  </w:r>
                  <w:r w:rsidR="00A62E7E">
                    <w:t>10</w:t>
                  </w:r>
                </w:p>
              </w:tc>
            </w:tr>
            <w:tr w:rsidR="00316934" w14:paraId="414D9F11" w14:textId="77777777" w:rsidTr="00316934">
              <w:tc>
                <w:tcPr>
                  <w:tcW w:w="2000" w:type="pct"/>
                  <w:tcBorders>
                    <w:top w:val="single" w:sz="6" w:space="0" w:color="BFBFBF"/>
                    <w:bottom w:val="single" w:sz="6" w:space="0" w:color="BFBFBF"/>
                  </w:tcBorders>
                </w:tcPr>
                <w:p w14:paraId="1DE9D68C" w14:textId="23BAF6A9" w:rsidR="00316934" w:rsidRDefault="00316934" w:rsidP="00316934">
                  <w:pPr>
                    <w:pStyle w:val="TableUnitsRow"/>
                    <w:jc w:val="left"/>
                  </w:pPr>
                  <w:r>
                    <w:t>Pooled data from the National Health Survey and Survey of income and Housing was used to derive the non</w:t>
                  </w:r>
                  <w:r w:rsidR="00FA5150">
                    <w:noBreakHyphen/>
                  </w:r>
                  <w:r>
                    <w:t>Indigenous comparator for 2017</w:t>
                  </w:r>
                  <w:r w:rsidR="00FA5150">
                    <w:noBreakHyphen/>
                  </w:r>
                  <w:r>
                    <w:t>18</w:t>
                  </w:r>
                </w:p>
              </w:tc>
              <w:tc>
                <w:tcPr>
                  <w:tcW w:w="3000" w:type="pct"/>
                  <w:tcBorders>
                    <w:top w:val="single" w:sz="6" w:space="0" w:color="BFBFBF"/>
                    <w:bottom w:val="single" w:sz="6" w:space="0" w:color="BFBFBF"/>
                  </w:tcBorders>
                </w:tcPr>
                <w:p w14:paraId="2ED876AD" w14:textId="5C79BBCD" w:rsidR="00316934" w:rsidRDefault="00316934" w:rsidP="00316934">
                  <w:pPr>
                    <w:pStyle w:val="TableBodyText"/>
                    <w:jc w:val="left"/>
                  </w:pPr>
                  <w:r>
                    <w:t>NIRA performance indicator 3</w:t>
                  </w:r>
                </w:p>
              </w:tc>
            </w:tr>
            <w:tr w:rsidR="00387952" w14:paraId="2F65318C" w14:textId="77777777" w:rsidTr="00387952">
              <w:tc>
                <w:tcPr>
                  <w:tcW w:w="2000" w:type="pct"/>
                  <w:tcBorders>
                    <w:top w:val="single" w:sz="6" w:space="0" w:color="BFBFBF"/>
                    <w:bottom w:val="single" w:sz="6" w:space="0" w:color="BFBFBF"/>
                  </w:tcBorders>
                </w:tcPr>
                <w:p w14:paraId="792B6D27" w14:textId="38929CA0" w:rsidR="00387952" w:rsidRDefault="00387952" w:rsidP="0048054E">
                  <w:pPr>
                    <w:pStyle w:val="TableUnitsRow"/>
                    <w:jc w:val="left"/>
                  </w:pPr>
                  <w:r>
                    <w:t>Revised data for a</w:t>
                  </w:r>
                  <w:r w:rsidRPr="00DA574B">
                    <w:t xml:space="preserve">lcohol risk levels, by Indigenous status, </w:t>
                  </w:r>
                  <w:r>
                    <w:t>have been provided for 2011–13 to address an error in earlier data provision.</w:t>
                  </w:r>
                </w:p>
              </w:tc>
              <w:tc>
                <w:tcPr>
                  <w:tcW w:w="3000" w:type="pct"/>
                  <w:tcBorders>
                    <w:top w:val="single" w:sz="6" w:space="0" w:color="BFBFBF"/>
                    <w:bottom w:val="single" w:sz="6" w:space="0" w:color="BFBFBF"/>
                  </w:tcBorders>
                </w:tcPr>
                <w:p w14:paraId="12077C2A" w14:textId="7A9AF3FE" w:rsidR="00387952" w:rsidRDefault="00387952" w:rsidP="00387952">
                  <w:pPr>
                    <w:pStyle w:val="TableBodyText"/>
                    <w:jc w:val="left"/>
                  </w:pPr>
                  <w:r>
                    <w:t>NIRA performance indicator 4</w:t>
                  </w:r>
                </w:p>
                <w:p w14:paraId="74DF2396" w14:textId="4299C431" w:rsidR="00387952" w:rsidRDefault="00387952" w:rsidP="00387952">
                  <w:pPr>
                    <w:pStyle w:val="TableUnitsRow"/>
                    <w:jc w:val="left"/>
                  </w:pPr>
                </w:p>
              </w:tc>
            </w:tr>
            <w:tr w:rsidR="0048054E" w14:paraId="6FABB820" w14:textId="77777777" w:rsidTr="00387952">
              <w:tc>
                <w:tcPr>
                  <w:tcW w:w="2000" w:type="pct"/>
                  <w:tcBorders>
                    <w:top w:val="single" w:sz="6" w:space="0" w:color="BFBFBF"/>
                    <w:bottom w:val="single" w:sz="6" w:space="0" w:color="BFBFBF"/>
                  </w:tcBorders>
                </w:tcPr>
                <w:p w14:paraId="1AF51CE3" w14:textId="6F19E805" w:rsidR="0048054E" w:rsidRDefault="0048054E" w:rsidP="0048054E">
                  <w:pPr>
                    <w:pStyle w:val="TableUnitsRow"/>
                    <w:jc w:val="left"/>
                  </w:pPr>
                  <w:r w:rsidRPr="009E2F53">
                    <w:t>2018 NAPLAN data were available for this Report (not available in time for inclusion in the previous Report), but 2019 data were not available.</w:t>
                  </w:r>
                </w:p>
              </w:tc>
              <w:tc>
                <w:tcPr>
                  <w:tcW w:w="3000" w:type="pct"/>
                  <w:tcBorders>
                    <w:top w:val="single" w:sz="6" w:space="0" w:color="BFBFBF"/>
                    <w:bottom w:val="single" w:sz="6" w:space="0" w:color="BFBFBF"/>
                  </w:tcBorders>
                </w:tcPr>
                <w:p w14:paraId="4861EC1C" w14:textId="4FE705C5" w:rsidR="0048054E" w:rsidRDefault="0048054E" w:rsidP="0048054E">
                  <w:pPr>
                    <w:pStyle w:val="TableBodyText"/>
                    <w:jc w:val="left"/>
                  </w:pPr>
                  <w:r w:rsidRPr="009E2F53">
                    <w:t>NIRA performance target d and related NIRA performance indicator 11</w:t>
                  </w:r>
                </w:p>
              </w:tc>
            </w:tr>
          </w:tbl>
          <w:p w14:paraId="7B90FD57" w14:textId="77777777" w:rsidR="00595E18" w:rsidRDefault="00595E18" w:rsidP="00EE332B">
            <w:pPr>
              <w:pStyle w:val="Box"/>
            </w:pPr>
          </w:p>
        </w:tc>
      </w:tr>
      <w:tr w:rsidR="00595E18" w14:paraId="075B9E9A" w14:textId="77777777" w:rsidTr="00EE332B">
        <w:tc>
          <w:tcPr>
            <w:tcW w:w="5000" w:type="pct"/>
            <w:tcBorders>
              <w:top w:val="nil"/>
              <w:left w:val="nil"/>
              <w:bottom w:val="single" w:sz="6" w:space="0" w:color="78A22F"/>
              <w:right w:val="nil"/>
            </w:tcBorders>
            <w:shd w:val="clear" w:color="auto" w:fill="auto"/>
          </w:tcPr>
          <w:p w14:paraId="22FAB76D" w14:textId="77777777" w:rsidR="00595E18" w:rsidRDefault="00595E18" w:rsidP="00EE332B">
            <w:pPr>
              <w:pStyle w:val="Box"/>
              <w:spacing w:before="0" w:line="120" w:lineRule="exact"/>
            </w:pPr>
          </w:p>
        </w:tc>
      </w:tr>
      <w:tr w:rsidR="00595E18" w:rsidRPr="000863A5" w14:paraId="13BCB417" w14:textId="77777777" w:rsidTr="00EE332B">
        <w:tc>
          <w:tcPr>
            <w:tcW w:w="5000" w:type="pct"/>
            <w:tcBorders>
              <w:top w:val="single" w:sz="6" w:space="0" w:color="78A22F"/>
              <w:left w:val="nil"/>
              <w:bottom w:val="nil"/>
              <w:right w:val="nil"/>
            </w:tcBorders>
          </w:tcPr>
          <w:p w14:paraId="60E030CB" w14:textId="5BC22682" w:rsidR="00595E18" w:rsidRPr="00626D32" w:rsidRDefault="00595E18" w:rsidP="00EE332B">
            <w:pPr>
              <w:pStyle w:val="BoxSpaceBelow"/>
            </w:pPr>
          </w:p>
        </w:tc>
      </w:tr>
    </w:tbl>
    <w:p w14:paraId="772942F6" w14:textId="77777777" w:rsidR="00595E18" w:rsidRDefault="00595E18" w:rsidP="004F00F4">
      <w:pPr>
        <w:pStyle w:val="BodyText"/>
      </w:pPr>
    </w:p>
    <w:p w14:paraId="18017DC2" w14:textId="77777777" w:rsidR="002848C7" w:rsidRPr="00D77AB0" w:rsidRDefault="002848C7" w:rsidP="005D07B6">
      <w:pPr>
        <w:pStyle w:val="BodyText"/>
      </w:pPr>
    </w:p>
    <w:p w14:paraId="0C4235D9" w14:textId="77777777" w:rsidR="004F00F4" w:rsidRPr="00D77AB0" w:rsidRDefault="004F00F4" w:rsidP="005D07B6">
      <w:pPr>
        <w:pStyle w:val="ListBullet"/>
      </w:pPr>
      <w:r w:rsidRPr="003E4220">
        <w:rPr>
          <w:b/>
        </w:rPr>
        <w:br w:type="page"/>
      </w:r>
    </w:p>
    <w:p w14:paraId="63188C6A" w14:textId="77777777" w:rsidR="00804F78" w:rsidRDefault="00804F78" w:rsidP="0079305E">
      <w:pPr>
        <w:pStyle w:val="Heading2"/>
      </w:pPr>
      <w:r>
        <w:lastRenderedPageBreak/>
        <w:t>Performance targets</w:t>
      </w:r>
    </w:p>
    <w:p w14:paraId="3FCF9C65" w14:textId="77777777" w:rsidR="00804F78" w:rsidRDefault="00804F78" w:rsidP="00804F78">
      <w:pPr>
        <w:pStyle w:val="BodyText"/>
      </w:pPr>
      <w:r>
        <w:t>COAG has agreed to the following NIRA targets:</w:t>
      </w:r>
    </w:p>
    <w:p w14:paraId="1AAF9906" w14:textId="18B18417" w:rsidR="00804F78" w:rsidRDefault="00804F78" w:rsidP="00B6173B">
      <w:pPr>
        <w:pStyle w:val="ListNumber2"/>
        <w:numPr>
          <w:ilvl w:val="1"/>
          <w:numId w:val="22"/>
        </w:numPr>
      </w:pPr>
      <w:r>
        <w:t>close the gap in life expectancy between Indigenous and non</w:t>
      </w:r>
      <w:r w:rsidR="00FA5150">
        <w:noBreakHyphen/>
      </w:r>
      <w:r>
        <w:t>Indigenous Australians by 2031</w:t>
      </w:r>
    </w:p>
    <w:p w14:paraId="5D8E35D9" w14:textId="77777777" w:rsidR="00804F78" w:rsidRDefault="00804F78" w:rsidP="00B6173B">
      <w:pPr>
        <w:pStyle w:val="ListNumber2"/>
        <w:numPr>
          <w:ilvl w:val="1"/>
          <w:numId w:val="22"/>
        </w:numPr>
      </w:pPr>
      <w:r>
        <w:t>halve the gap in mortality rates for Indigenous children under five by 2018</w:t>
      </w:r>
    </w:p>
    <w:p w14:paraId="33B4A84A" w14:textId="430695EE" w:rsidR="00B52185" w:rsidRDefault="00B52185" w:rsidP="00B6173B">
      <w:pPr>
        <w:pStyle w:val="ListNumber2"/>
        <w:numPr>
          <w:ilvl w:val="1"/>
          <w:numId w:val="22"/>
        </w:numPr>
      </w:pPr>
      <w:r>
        <w:t>95 per cent of all Indigenous four</w:t>
      </w:r>
      <w:r w:rsidR="00FA5150">
        <w:noBreakHyphen/>
      </w:r>
      <w:r>
        <w:t>year olds enrolled in early childhood education (by 2025)</w:t>
      </w:r>
    </w:p>
    <w:p w14:paraId="34A8EC49" w14:textId="77777777" w:rsidR="00804F78" w:rsidRDefault="00804F78" w:rsidP="00B6173B">
      <w:pPr>
        <w:pStyle w:val="ListNumber2"/>
        <w:numPr>
          <w:ilvl w:val="1"/>
          <w:numId w:val="22"/>
        </w:numPr>
      </w:pPr>
      <w:r>
        <w:t>halve the gap in reading, writing and numeracy achievement for Indigenous children by 2018</w:t>
      </w:r>
    </w:p>
    <w:p w14:paraId="4F7D7859" w14:textId="77777777" w:rsidR="00804F78" w:rsidRDefault="00804F78" w:rsidP="00B6173B">
      <w:pPr>
        <w:pStyle w:val="ListNumber2"/>
        <w:numPr>
          <w:ilvl w:val="1"/>
          <w:numId w:val="22"/>
        </w:numPr>
      </w:pPr>
      <w:r>
        <w:t>halve the gap in year 12 or equivalent attainment rates for Indigenous young people by 2020</w:t>
      </w:r>
    </w:p>
    <w:p w14:paraId="1B7EC148" w14:textId="57B2BEAD" w:rsidR="00AA4682" w:rsidRDefault="00804F78" w:rsidP="00B6173B">
      <w:pPr>
        <w:pStyle w:val="ListNumber2"/>
        <w:numPr>
          <w:ilvl w:val="1"/>
          <w:numId w:val="22"/>
        </w:numPr>
        <w:tabs>
          <w:tab w:val="left" w:pos="7088"/>
        </w:tabs>
      </w:pPr>
      <w:r>
        <w:t>halve the gap in employment outcomes between Indigenous and non</w:t>
      </w:r>
      <w:r w:rsidR="00FA5150">
        <w:noBreakHyphen/>
      </w:r>
      <w:r>
        <w:t xml:space="preserve">Indigenous Australians by 2018 </w:t>
      </w:r>
    </w:p>
    <w:p w14:paraId="68C99D8D" w14:textId="4F7D33BE" w:rsidR="00804F78" w:rsidRDefault="00AA4682" w:rsidP="00B6173B">
      <w:pPr>
        <w:pStyle w:val="ListNumber2"/>
        <w:numPr>
          <w:ilvl w:val="1"/>
          <w:numId w:val="22"/>
        </w:numPr>
        <w:tabs>
          <w:tab w:val="left" w:pos="7088"/>
        </w:tabs>
      </w:pPr>
      <w:r>
        <w:t>close the gap between Indigenous and non</w:t>
      </w:r>
      <w:r w:rsidR="00FA5150">
        <w:noBreakHyphen/>
      </w:r>
      <w:r>
        <w:t>Indigenous school attendance within five years (by 2018).</w:t>
      </w:r>
    </w:p>
    <w:p w14:paraId="19AE257B" w14:textId="033C2356" w:rsidR="008925F7" w:rsidRDefault="00804F78" w:rsidP="00D91A80">
      <w:pPr>
        <w:pStyle w:val="BodyText"/>
      </w:pPr>
      <w:r w:rsidRPr="00A30918">
        <w:t>Schedule G of the NIRA discusses the magnitude of the improvement necessary to meet each of the Closing the Gap targets and provides national level trajectories. State and Territory trajectories were developed by the National Indigenous Reform Agreement Performance Information Management Group (</w:t>
      </w:r>
      <w:r w:rsidR="00A62E7E" w:rsidRPr="00A30918">
        <w:t>NIRAPIMG</w:t>
      </w:r>
      <w:r w:rsidRPr="00A30918">
        <w:t>), a sub</w:t>
      </w:r>
      <w:r w:rsidR="00FA5150">
        <w:noBreakHyphen/>
      </w:r>
      <w:r w:rsidRPr="00A30918">
        <w:t xml:space="preserve">committee of the [then] COAG Working Group on Indigenous Reform. The State and Territory trajectories </w:t>
      </w:r>
      <w:r w:rsidR="00E0136A">
        <w:t xml:space="preserve">are used for </w:t>
      </w:r>
      <w:r w:rsidR="00283B68">
        <w:t>assessing</w:t>
      </w:r>
      <w:r w:rsidR="008925F7">
        <w:t xml:space="preserve"> </w:t>
      </w:r>
      <w:r w:rsidR="00E0136A">
        <w:t>progress against the targets</w:t>
      </w:r>
      <w:r w:rsidR="008925F7">
        <w:t>.</w:t>
      </w:r>
    </w:p>
    <w:p w14:paraId="48E0B1CE" w14:textId="06B663D5" w:rsidR="00804F78" w:rsidRPr="00A65765" w:rsidRDefault="008925F7" w:rsidP="00A62E7E">
      <w:pPr>
        <w:pStyle w:val="BodyText"/>
      </w:pPr>
      <w:r>
        <w:t xml:space="preserve">Amendments to the trajectories are managed through the NIRAPIMG </w:t>
      </w:r>
      <w:r w:rsidR="00CF30E9">
        <w:t xml:space="preserve">and </w:t>
      </w:r>
      <w:r w:rsidR="00744688">
        <w:t xml:space="preserve">have been </w:t>
      </w:r>
      <w:r>
        <w:t xml:space="preserve">endorsed through the </w:t>
      </w:r>
      <w:r w:rsidR="00CF30E9">
        <w:t xml:space="preserve">relevant </w:t>
      </w:r>
      <w:r>
        <w:t>governance body</w:t>
      </w:r>
      <w:r w:rsidR="00D07B19">
        <w:t xml:space="preserve"> (previously the COAG Working Group on Indigenous Reform</w:t>
      </w:r>
      <w:r w:rsidR="00A62E7E">
        <w:t xml:space="preserve">, </w:t>
      </w:r>
      <w:r w:rsidR="002E79A4">
        <w:t xml:space="preserve">then </w:t>
      </w:r>
      <w:r w:rsidR="00A62E7E">
        <w:t>COAG Senior Officials</w:t>
      </w:r>
      <w:r w:rsidR="00D07B19">
        <w:t>)</w:t>
      </w:r>
      <w:r w:rsidR="00804F78" w:rsidRPr="00A30918">
        <w:t>. Following revisions by the ABS to the 2005</w:t>
      </w:r>
      <w:r w:rsidR="000F1314">
        <w:t>–</w:t>
      </w:r>
      <w:r w:rsidR="00804F78" w:rsidRPr="00A30918">
        <w:t xml:space="preserve">2007 </w:t>
      </w:r>
      <w:r w:rsidR="006C47FE">
        <w:t>Aboriginal and Torres Strait Islander</w:t>
      </w:r>
      <w:r w:rsidR="00804F78" w:rsidRPr="00A30918">
        <w:t xml:space="preserve"> life expectancy estimates (baseline for NIRA target (a)) in 2013, the trajectory for the life expectancy target was amended. </w:t>
      </w:r>
      <w:r w:rsidR="00A62E7E">
        <w:t xml:space="preserve">In 2015, trajectories for the new school attendance target were developed. </w:t>
      </w:r>
      <w:r w:rsidR="00A62E7E" w:rsidRPr="00662E2F">
        <w:t>The mortality</w:t>
      </w:r>
      <w:r w:rsidR="005B4BB4" w:rsidRPr="00662E2F">
        <w:t xml:space="preserve"> and early childhood education</w:t>
      </w:r>
      <w:r w:rsidR="00A62E7E" w:rsidRPr="00662E2F">
        <w:t xml:space="preserve"> trajectories </w:t>
      </w:r>
      <w:r w:rsidR="002E79A4" w:rsidRPr="00662E2F">
        <w:t xml:space="preserve">will </w:t>
      </w:r>
      <w:r w:rsidR="0076063B" w:rsidRPr="00662E2F">
        <w:t xml:space="preserve">need to </w:t>
      </w:r>
      <w:r w:rsidR="002E79A4" w:rsidRPr="00662E2F">
        <w:t xml:space="preserve">be </w:t>
      </w:r>
      <w:r w:rsidR="007F7B2C" w:rsidRPr="00662E2F">
        <w:t>amended</w:t>
      </w:r>
      <w:r w:rsidR="00A62E7E" w:rsidRPr="00662E2F">
        <w:t xml:space="preserve"> to reflect the </w:t>
      </w:r>
      <w:r w:rsidR="007F7B2C" w:rsidRPr="00662E2F">
        <w:t xml:space="preserve">updated </w:t>
      </w:r>
      <w:r w:rsidR="00A62E7E" w:rsidRPr="00662E2F">
        <w:t xml:space="preserve">Aboriginal and Torres Strait </w:t>
      </w:r>
      <w:r w:rsidR="00A62E7E" w:rsidRPr="00387952">
        <w:t xml:space="preserve">Islander </w:t>
      </w:r>
      <w:r w:rsidR="00A62E7E" w:rsidRPr="00A65765">
        <w:t>and the non</w:t>
      </w:r>
      <w:r w:rsidR="00FA5150" w:rsidRPr="00A65765">
        <w:noBreakHyphen/>
      </w:r>
      <w:r w:rsidR="00A62E7E" w:rsidRPr="00A65765">
        <w:t xml:space="preserve">Indigenous </w:t>
      </w:r>
      <w:r w:rsidR="007F7B2C" w:rsidRPr="00A65765">
        <w:t>population data (re</w:t>
      </w:r>
      <w:r w:rsidR="00FA5150" w:rsidRPr="00A65765">
        <w:noBreakHyphen/>
      </w:r>
      <w:r w:rsidR="007F7B2C" w:rsidRPr="00A65765">
        <w:t>based to the 2016 Census) which have resulted in revised</w:t>
      </w:r>
      <w:r w:rsidR="008F59D4" w:rsidRPr="00A65765">
        <w:t xml:space="preserve"> data for the </w:t>
      </w:r>
      <w:r w:rsidR="007F7B2C" w:rsidRPr="00A65765">
        <w:t xml:space="preserve">rates </w:t>
      </w:r>
      <w:r w:rsidR="008F59D4" w:rsidRPr="00A65765">
        <w:t>back to the baseline years</w:t>
      </w:r>
      <w:r w:rsidR="005B4BB4" w:rsidRPr="00A65765">
        <w:t xml:space="preserve"> being</w:t>
      </w:r>
      <w:r w:rsidR="005B4BB4" w:rsidRPr="00A65765">
        <w:rPr>
          <w:strike/>
        </w:rPr>
        <w:t xml:space="preserve"> </w:t>
      </w:r>
      <w:r w:rsidR="007F7B2C" w:rsidRPr="00A65765">
        <w:t>included in this report.</w:t>
      </w:r>
    </w:p>
    <w:p w14:paraId="6F1208AB" w14:textId="77777777" w:rsidR="00804F78" w:rsidRDefault="00804F78" w:rsidP="0079305E">
      <w:pPr>
        <w:pStyle w:val="BodyText"/>
      </w:pPr>
      <w:r w:rsidRPr="00A65765">
        <w:t>This report includes the most recent available data</w:t>
      </w:r>
      <w:r>
        <w:t xml:space="preserve"> for each target. However, any assessment of performance relative to the trajectories is outside the scope of this report.</w:t>
      </w:r>
      <w:r w:rsidR="00AF4DBA">
        <w:t xml:space="preserve"> </w:t>
      </w:r>
    </w:p>
    <w:p w14:paraId="21E38A59" w14:textId="77777777" w:rsidR="00804F78" w:rsidRPr="00937031" w:rsidRDefault="008657ED" w:rsidP="0079305E">
      <w:pPr>
        <w:pStyle w:val="BodyText"/>
      </w:pPr>
      <w:r w:rsidRPr="008657ED">
        <w:t xml:space="preserve">Data for the performance </w:t>
      </w:r>
      <w:r>
        <w:t>targets</w:t>
      </w:r>
      <w:r w:rsidRPr="008657ED">
        <w:t xml:space="preserve"> in this report are presented in attachments identified in references throughout this report by a ‘NIRA’ prefix.</w:t>
      </w:r>
      <w:r w:rsidR="00804F78" w:rsidRPr="00937031">
        <w:br w:type="page"/>
      </w:r>
    </w:p>
    <w:p w14:paraId="313F467C" w14:textId="349B0DCB" w:rsidR="004F00F4" w:rsidRDefault="004F00F4" w:rsidP="004F00F4">
      <w:pPr>
        <w:pStyle w:val="Heading3"/>
      </w:pPr>
      <w:r w:rsidRPr="00C67FAA">
        <w:lastRenderedPageBreak/>
        <w:t>Performance target (a) — close the gap in life expectancy between Indigenous and non</w:t>
      </w:r>
      <w:r w:rsidR="00FA5150">
        <w:noBreakHyphen/>
      </w:r>
      <w:r w:rsidRPr="00C67FAA">
        <w:t>Indigenous Australians by 2031</w:t>
      </w:r>
    </w:p>
    <w:p w14:paraId="637FC7D4" w14:textId="77777777" w:rsidR="004F00F4" w:rsidRPr="00941378" w:rsidRDefault="004F00F4" w:rsidP="008F5A63">
      <w:pPr>
        <w:pStyle w:val="BoxSpaceAbove"/>
        <w:spacing w:before="120"/>
      </w:pPr>
    </w:p>
    <w:tbl>
      <w:tblPr>
        <w:tblW w:w="0" w:type="auto"/>
        <w:tblCellMar>
          <w:left w:w="0" w:type="dxa"/>
          <w:right w:w="0" w:type="dxa"/>
        </w:tblCellMar>
        <w:tblLook w:val="0000" w:firstRow="0" w:lastRow="0" w:firstColumn="0" w:lastColumn="0" w:noHBand="0" w:noVBand="0"/>
      </w:tblPr>
      <w:tblGrid>
        <w:gridCol w:w="1985"/>
        <w:gridCol w:w="6804"/>
      </w:tblGrid>
      <w:tr w:rsidR="004F00F4" w:rsidRPr="00A273D1" w14:paraId="5CEA9255" w14:textId="77777777" w:rsidTr="00E1133A">
        <w:tc>
          <w:tcPr>
            <w:tcW w:w="1985" w:type="dxa"/>
          </w:tcPr>
          <w:p w14:paraId="0C5F56D5" w14:textId="4570AFC0" w:rsidR="004F00F4" w:rsidRPr="00A273D1" w:rsidRDefault="004F00F4" w:rsidP="000D6945">
            <w:pPr>
              <w:pStyle w:val="TableBodyNA"/>
            </w:pPr>
            <w:r w:rsidRPr="00B82DC5">
              <w:t>Key amendments fro</w:t>
            </w:r>
            <w:r w:rsidR="004F74A0">
              <w:t>m previous cycle of reporting:</w:t>
            </w:r>
          </w:p>
        </w:tc>
        <w:tc>
          <w:tcPr>
            <w:tcW w:w="6804" w:type="dxa"/>
          </w:tcPr>
          <w:p w14:paraId="4092DB0F" w14:textId="751FB4F2" w:rsidR="004F00F4" w:rsidRPr="00A273D1" w:rsidRDefault="004F00F4" w:rsidP="000D6945">
            <w:pPr>
              <w:pStyle w:val="TableBodyNA"/>
            </w:pPr>
            <w:r w:rsidRPr="005332B8">
              <w:t xml:space="preserve">This target is unchanged from </w:t>
            </w:r>
            <w:r w:rsidR="002C180B">
              <w:t xml:space="preserve">the </w:t>
            </w:r>
            <w:r w:rsidRPr="005332B8">
              <w:t xml:space="preserve">previous </w:t>
            </w:r>
            <w:r w:rsidR="00F555B6">
              <w:t>NIRA performance report</w:t>
            </w:r>
            <w:r w:rsidRPr="005332B8">
              <w:t>.</w:t>
            </w:r>
          </w:p>
        </w:tc>
      </w:tr>
      <w:tr w:rsidR="004F00F4" w:rsidRPr="00D87AA9" w14:paraId="6DC6F9FE" w14:textId="77777777" w:rsidTr="00E1133A">
        <w:tc>
          <w:tcPr>
            <w:tcW w:w="1985" w:type="dxa"/>
          </w:tcPr>
          <w:p w14:paraId="2DFCB673" w14:textId="77777777" w:rsidR="004F00F4" w:rsidRPr="00D87AA9" w:rsidRDefault="004F00F4" w:rsidP="000D6945">
            <w:pPr>
              <w:pStyle w:val="TableBodyNA"/>
            </w:pPr>
            <w:r w:rsidRPr="00D87AA9">
              <w:t>Outcome:</w:t>
            </w:r>
          </w:p>
        </w:tc>
        <w:tc>
          <w:tcPr>
            <w:tcW w:w="6804" w:type="dxa"/>
          </w:tcPr>
          <w:p w14:paraId="60E289A2" w14:textId="0F134506" w:rsidR="004F00F4" w:rsidRPr="00D87AA9" w:rsidRDefault="004F00F4" w:rsidP="000D6945">
            <w:pPr>
              <w:pStyle w:val="TableBodyNA"/>
            </w:pPr>
            <w:r w:rsidRPr="00BF614C">
              <w:t>The aim of the target is to close the life expectancy gap within a generation (by 2031)</w:t>
            </w:r>
          </w:p>
        </w:tc>
      </w:tr>
      <w:tr w:rsidR="004F00F4" w:rsidRPr="00D87AA9" w14:paraId="5C2FE44F" w14:textId="77777777" w:rsidTr="00E1133A">
        <w:tc>
          <w:tcPr>
            <w:tcW w:w="1985" w:type="dxa"/>
          </w:tcPr>
          <w:p w14:paraId="057185EE" w14:textId="77777777" w:rsidR="004F00F4" w:rsidRPr="00D87AA9" w:rsidRDefault="004F00F4" w:rsidP="000D6945">
            <w:pPr>
              <w:pStyle w:val="TableBodyNA"/>
            </w:pPr>
            <w:r w:rsidRPr="00D87AA9">
              <w:t xml:space="preserve">Measure: </w:t>
            </w:r>
          </w:p>
          <w:p w14:paraId="6F2BAA4A" w14:textId="77777777" w:rsidR="004F00F4" w:rsidRPr="00D87AA9" w:rsidRDefault="004F00F4" w:rsidP="000D6945">
            <w:pPr>
              <w:pStyle w:val="TableBodyNA"/>
            </w:pPr>
          </w:p>
        </w:tc>
        <w:tc>
          <w:tcPr>
            <w:tcW w:w="6804" w:type="dxa"/>
          </w:tcPr>
          <w:p w14:paraId="7930C6E0" w14:textId="77777777" w:rsidR="004F00F4" w:rsidRDefault="004F00F4" w:rsidP="000D6945">
            <w:pPr>
              <w:pStyle w:val="TableBodyNA"/>
            </w:pPr>
            <w:r>
              <w:t>The average number of years new born babies could expect to live, if they experienced the age/sex specific death rates that applied at their birth throughout their lifetimes by Indigenous status.</w:t>
            </w:r>
          </w:p>
          <w:p w14:paraId="4607B9CA" w14:textId="77777777" w:rsidR="004F00F4" w:rsidRDefault="00C8545E" w:rsidP="000D6945">
            <w:pPr>
              <w:pStyle w:val="TableBodyNA"/>
            </w:pPr>
            <w:r>
              <w:t>The measure is defined as:</w:t>
            </w:r>
          </w:p>
          <w:p w14:paraId="19E75EE3" w14:textId="1F86B753" w:rsidR="004F00F4" w:rsidRPr="00D87AA9" w:rsidRDefault="004F00F4" w:rsidP="000D6945">
            <w:pPr>
              <w:pStyle w:val="TableBodyNA"/>
            </w:pPr>
            <w:r>
              <w:t>Direct estimation of the life expectancy gap</w:t>
            </w:r>
            <w:r w:rsidR="00DB3DFF">
              <w:t xml:space="preserve"> at birth</w:t>
            </w:r>
            <w:r>
              <w:t xml:space="preserve"> between </w:t>
            </w:r>
            <w:r w:rsidR="003A624B">
              <w:t xml:space="preserve">Aboriginal and Torres Strait Islander </w:t>
            </w:r>
            <w:r>
              <w:t>and non</w:t>
            </w:r>
            <w:r w:rsidR="00FA5150">
              <w:noBreakHyphen/>
            </w:r>
            <w:r>
              <w:t>Indigenous Australians using the average number of deaths in the relevant three–year period and the estimated resident population at the mid</w:t>
            </w:r>
            <w:r w:rsidR="00FA5150">
              <w:noBreakHyphen/>
            </w:r>
            <w:r>
              <w:t>point of that three</w:t>
            </w:r>
            <w:r w:rsidR="00FA5150">
              <w:noBreakHyphen/>
            </w:r>
            <w:r>
              <w:t>year period, with adjustments for incomplete identification by I</w:t>
            </w:r>
            <w:r w:rsidR="004F74A0">
              <w:t>ndigenous status</w:t>
            </w:r>
          </w:p>
        </w:tc>
      </w:tr>
      <w:tr w:rsidR="004F00F4" w:rsidRPr="00D87AA9" w14:paraId="27BBF9E5" w14:textId="77777777" w:rsidTr="00E1133A">
        <w:tc>
          <w:tcPr>
            <w:tcW w:w="1985" w:type="dxa"/>
            <w:shd w:val="clear" w:color="auto" w:fill="auto"/>
          </w:tcPr>
          <w:p w14:paraId="7774E4CD" w14:textId="448ADD66" w:rsidR="004F00F4" w:rsidRPr="00D87AA9" w:rsidRDefault="004F74A0" w:rsidP="000D6945">
            <w:pPr>
              <w:pStyle w:val="TableBodyNA"/>
            </w:pPr>
            <w:r>
              <w:t>Related performance indicators:</w:t>
            </w:r>
          </w:p>
        </w:tc>
        <w:tc>
          <w:tcPr>
            <w:tcW w:w="6804" w:type="dxa"/>
            <w:shd w:val="clear" w:color="auto" w:fill="auto"/>
          </w:tcPr>
          <w:p w14:paraId="5A7A7A8B" w14:textId="77777777" w:rsidR="004F00F4" w:rsidRPr="00D87AA9" w:rsidRDefault="004F00F4" w:rsidP="000D6945">
            <w:pPr>
              <w:pStyle w:val="TableBodyNA"/>
            </w:pPr>
            <w:r w:rsidRPr="00BF614C">
              <w:t>Performance indicator 1: Estimated life expectancy at birth</w:t>
            </w:r>
          </w:p>
        </w:tc>
      </w:tr>
      <w:tr w:rsidR="004F00F4" w:rsidRPr="00D87AA9" w14:paraId="63075C8F" w14:textId="77777777" w:rsidTr="00E1133A">
        <w:tc>
          <w:tcPr>
            <w:tcW w:w="1985" w:type="dxa"/>
            <w:shd w:val="clear" w:color="auto" w:fill="auto"/>
          </w:tcPr>
          <w:p w14:paraId="716E8009" w14:textId="77777777" w:rsidR="004F00F4" w:rsidRPr="00D87AA9" w:rsidRDefault="004F00F4" w:rsidP="000D6945">
            <w:pPr>
              <w:pStyle w:val="TableBodyNA"/>
            </w:pPr>
            <w:r w:rsidRPr="00D87AA9">
              <w:t>Data source:</w:t>
            </w:r>
          </w:p>
          <w:p w14:paraId="3732BBCD" w14:textId="77777777" w:rsidR="004F00F4" w:rsidRPr="00D87AA9" w:rsidRDefault="004F00F4" w:rsidP="000D6945">
            <w:pPr>
              <w:pStyle w:val="TableBodyNA"/>
            </w:pPr>
          </w:p>
        </w:tc>
        <w:tc>
          <w:tcPr>
            <w:tcW w:w="6804" w:type="dxa"/>
            <w:shd w:val="clear" w:color="auto" w:fill="auto"/>
          </w:tcPr>
          <w:p w14:paraId="40ADB50C" w14:textId="703C16EC" w:rsidR="004F00F4" w:rsidRPr="00D87AA9" w:rsidRDefault="004F00F4" w:rsidP="000D6945">
            <w:pPr>
              <w:pStyle w:val="TableBodyNA"/>
            </w:pPr>
            <w:r w:rsidRPr="004177E0">
              <w:rPr>
                <w:i/>
              </w:rPr>
              <w:t>Numerator and denominator</w:t>
            </w:r>
            <w:r w:rsidRPr="00BF614C">
              <w:t xml:space="preserve"> — ABS </w:t>
            </w:r>
            <w:r w:rsidR="003A624B">
              <w:rPr>
                <w:u w:val="single"/>
              </w:rPr>
              <w:t xml:space="preserve">Aboriginal and Torres Strait Islander </w:t>
            </w:r>
            <w:r w:rsidRPr="004177E0">
              <w:rPr>
                <w:u w:val="single"/>
              </w:rPr>
              <w:t>and non</w:t>
            </w:r>
            <w:r w:rsidR="00FA5150">
              <w:rPr>
                <w:u w:val="single"/>
              </w:rPr>
              <w:noBreakHyphen/>
            </w:r>
            <w:r w:rsidRPr="004177E0">
              <w:rPr>
                <w:u w:val="single"/>
              </w:rPr>
              <w:t>Indigenous life tables</w:t>
            </w:r>
            <w:r w:rsidRPr="00BF614C">
              <w:t xml:space="preserve"> (Life tables). Data are calculated for three year periods and reported every five years</w:t>
            </w:r>
          </w:p>
        </w:tc>
      </w:tr>
      <w:tr w:rsidR="004F00F4" w:rsidRPr="00D87AA9" w14:paraId="0E8D9DF1" w14:textId="77777777" w:rsidTr="00E1133A">
        <w:tc>
          <w:tcPr>
            <w:tcW w:w="1985" w:type="dxa"/>
            <w:shd w:val="clear" w:color="auto" w:fill="auto"/>
          </w:tcPr>
          <w:p w14:paraId="60D37E71" w14:textId="4419C192" w:rsidR="004F00F4" w:rsidRPr="00D87AA9" w:rsidRDefault="004F00F4" w:rsidP="000D6945">
            <w:pPr>
              <w:pStyle w:val="TableBodyNA"/>
            </w:pPr>
            <w:r w:rsidRPr="00D87AA9">
              <w:t>Data provider:</w:t>
            </w:r>
          </w:p>
        </w:tc>
        <w:tc>
          <w:tcPr>
            <w:tcW w:w="6804" w:type="dxa"/>
            <w:shd w:val="clear" w:color="auto" w:fill="auto"/>
          </w:tcPr>
          <w:p w14:paraId="2CA69ACE" w14:textId="77777777" w:rsidR="004F00F4" w:rsidRPr="00D87AA9" w:rsidRDefault="004F00F4" w:rsidP="000D6945">
            <w:pPr>
              <w:pStyle w:val="TableBodyNA"/>
            </w:pPr>
            <w:r w:rsidRPr="00BF614C">
              <w:t>ABS</w:t>
            </w:r>
          </w:p>
        </w:tc>
      </w:tr>
      <w:tr w:rsidR="004F00F4" w:rsidRPr="00D87AA9" w14:paraId="7EF93C34" w14:textId="77777777" w:rsidTr="0076063B">
        <w:tc>
          <w:tcPr>
            <w:tcW w:w="1985" w:type="dxa"/>
            <w:shd w:val="clear" w:color="auto" w:fill="auto"/>
          </w:tcPr>
          <w:p w14:paraId="5761F64B" w14:textId="3A0E380C" w:rsidR="004F00F4" w:rsidRPr="00D87AA9" w:rsidRDefault="004F00F4" w:rsidP="000D6945">
            <w:pPr>
              <w:pStyle w:val="TableBodyNA"/>
            </w:pPr>
            <w:r w:rsidRPr="00D87AA9">
              <w:t>D</w:t>
            </w:r>
            <w:r w:rsidR="004F74A0">
              <w:t>ata availability:</w:t>
            </w:r>
          </w:p>
        </w:tc>
        <w:tc>
          <w:tcPr>
            <w:tcW w:w="6804" w:type="dxa"/>
            <w:shd w:val="clear" w:color="auto" w:fill="auto"/>
          </w:tcPr>
          <w:p w14:paraId="64327682" w14:textId="229DDDE3" w:rsidR="004F00F4" w:rsidRPr="004177E0" w:rsidRDefault="00647634" w:rsidP="002E79A4">
            <w:pPr>
              <w:pStyle w:val="TableBodyNA"/>
              <w:rPr>
                <w:i/>
              </w:rPr>
            </w:pPr>
            <w:r>
              <w:t xml:space="preserve">No new data </w:t>
            </w:r>
            <w:r w:rsidR="00A62E7E">
              <w:t xml:space="preserve">are </w:t>
            </w:r>
            <w:r>
              <w:t xml:space="preserve">available for this report </w:t>
            </w:r>
          </w:p>
        </w:tc>
      </w:tr>
      <w:tr w:rsidR="004F00F4" w:rsidRPr="00D87AA9" w14:paraId="72E05A24" w14:textId="77777777" w:rsidTr="00E1133A">
        <w:tc>
          <w:tcPr>
            <w:tcW w:w="1985" w:type="dxa"/>
            <w:shd w:val="clear" w:color="auto" w:fill="auto"/>
          </w:tcPr>
          <w:p w14:paraId="7E6EA8E1" w14:textId="54DC5F1E" w:rsidR="004F00F4" w:rsidRPr="00D87AA9" w:rsidRDefault="004F00F4" w:rsidP="000D6945">
            <w:pPr>
              <w:pStyle w:val="TableBodyNA"/>
            </w:pPr>
            <w:r w:rsidRPr="00D87AA9">
              <w:t>Baseline:</w:t>
            </w:r>
          </w:p>
        </w:tc>
        <w:tc>
          <w:tcPr>
            <w:tcW w:w="6804" w:type="dxa"/>
            <w:shd w:val="clear" w:color="auto" w:fill="auto"/>
          </w:tcPr>
          <w:p w14:paraId="389979BF" w14:textId="0B6CA102" w:rsidR="004F00F4" w:rsidRPr="00D87AA9" w:rsidRDefault="004F00F4" w:rsidP="000D6945">
            <w:pPr>
              <w:pStyle w:val="TableBodyNA"/>
            </w:pPr>
            <w:r>
              <w:t xml:space="preserve">The baseline for the target is 2006 using the </w:t>
            </w:r>
            <w:r w:rsidR="004F74A0">
              <w:t>three</w:t>
            </w:r>
            <w:r w:rsidR="00FA5150">
              <w:noBreakHyphen/>
            </w:r>
            <w:r w:rsidR="004F74A0">
              <w:t>year average of 2005–2007</w:t>
            </w:r>
          </w:p>
        </w:tc>
      </w:tr>
      <w:tr w:rsidR="004F00F4" w:rsidRPr="00D87AA9" w14:paraId="089C7C23" w14:textId="77777777" w:rsidTr="00E1133A">
        <w:tc>
          <w:tcPr>
            <w:tcW w:w="1985" w:type="dxa"/>
            <w:shd w:val="clear" w:color="auto" w:fill="auto"/>
          </w:tcPr>
          <w:p w14:paraId="23EF1B67" w14:textId="26EE022E" w:rsidR="00E1133A" w:rsidRPr="00D87AA9" w:rsidRDefault="004F00F4" w:rsidP="000D6945">
            <w:pPr>
              <w:pStyle w:val="TableBodyNA"/>
            </w:pPr>
            <w:r w:rsidRPr="00D87AA9">
              <w:t>Cross tabulations provided:</w:t>
            </w:r>
          </w:p>
        </w:tc>
        <w:tc>
          <w:tcPr>
            <w:tcW w:w="6804" w:type="dxa"/>
            <w:shd w:val="clear" w:color="auto" w:fill="auto"/>
          </w:tcPr>
          <w:p w14:paraId="26FB0FDE" w14:textId="77777777" w:rsidR="004F00F4" w:rsidRPr="00D87AA9" w:rsidRDefault="004F00F4" w:rsidP="000D6945">
            <w:pPr>
              <w:pStyle w:val="TableBodyNA"/>
            </w:pPr>
            <w:r>
              <w:t>Nil</w:t>
            </w:r>
          </w:p>
        </w:tc>
      </w:tr>
    </w:tbl>
    <w:p w14:paraId="7652FEF0" w14:textId="77777777" w:rsidR="006A77A1" w:rsidRDefault="006A77A1">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6A77A1" w14:paraId="6CF77140" w14:textId="77777777" w:rsidTr="008F5A63">
        <w:tc>
          <w:tcPr>
            <w:tcW w:w="8789" w:type="dxa"/>
            <w:tcBorders>
              <w:top w:val="single" w:sz="6" w:space="0" w:color="78A22F"/>
              <w:left w:val="nil"/>
              <w:bottom w:val="nil"/>
              <w:right w:val="nil"/>
            </w:tcBorders>
            <w:shd w:val="clear" w:color="auto" w:fill="F2F2F2"/>
          </w:tcPr>
          <w:p w14:paraId="690B2E2D" w14:textId="70856884" w:rsidR="006A77A1" w:rsidRDefault="006A77A1" w:rsidP="005A2C27">
            <w:pPr>
              <w:pStyle w:val="BoxTitle"/>
              <w:rPr>
                <w:i/>
              </w:rPr>
            </w:pPr>
            <w:r>
              <w:rPr>
                <w:b w:val="0"/>
              </w:rPr>
              <w:t xml:space="preserve">Box </w:t>
            </w:r>
            <w:r w:rsidR="005A2C27">
              <w:rPr>
                <w:b w:val="0"/>
              </w:rPr>
              <w:t>2</w:t>
            </w:r>
            <w:r w:rsidR="004D5060">
              <w:tab/>
              <w:t xml:space="preserve">Comment on </w:t>
            </w:r>
            <w:r w:rsidR="005A2C27">
              <w:t>data availability</w:t>
            </w:r>
          </w:p>
        </w:tc>
      </w:tr>
      <w:tr w:rsidR="006A77A1" w14:paraId="652FA13F" w14:textId="77777777" w:rsidTr="008F5A63">
        <w:trPr>
          <w:cantSplit/>
        </w:trPr>
        <w:tc>
          <w:tcPr>
            <w:tcW w:w="8789" w:type="dxa"/>
            <w:tcBorders>
              <w:top w:val="nil"/>
              <w:left w:val="nil"/>
              <w:bottom w:val="nil"/>
              <w:right w:val="nil"/>
            </w:tcBorders>
            <w:shd w:val="clear" w:color="auto" w:fill="F2F2F2"/>
          </w:tcPr>
          <w:p w14:paraId="6579FE0E" w14:textId="77777777" w:rsidR="002E79A4" w:rsidRDefault="005A2C27" w:rsidP="005A2C27">
            <w:pPr>
              <w:pStyle w:val="Box"/>
            </w:pPr>
            <w:r>
              <w:t xml:space="preserve">No new data </w:t>
            </w:r>
            <w:r w:rsidR="00A62E7E">
              <w:t>a</w:t>
            </w:r>
            <w:r>
              <w:t xml:space="preserve">re available for this report. </w:t>
            </w:r>
          </w:p>
          <w:p w14:paraId="7D03C3D5" w14:textId="739E2796" w:rsidR="005A2C27" w:rsidRDefault="00A62E7E" w:rsidP="005A2C27">
            <w:pPr>
              <w:pStyle w:val="Box"/>
            </w:pPr>
            <w:r w:rsidRPr="001A56E2">
              <w:t xml:space="preserve">Data </w:t>
            </w:r>
            <w:r w:rsidR="002E79A4">
              <w:t xml:space="preserve">for 2015–2017 </w:t>
            </w:r>
            <w:r w:rsidRPr="001A56E2">
              <w:t>were included in the 201</w:t>
            </w:r>
            <w:r>
              <w:t>7</w:t>
            </w:r>
            <w:r w:rsidR="00FA5150">
              <w:noBreakHyphen/>
            </w:r>
            <w:r w:rsidRPr="001A56E2">
              <w:t>1</w:t>
            </w:r>
            <w:r>
              <w:t>8</w:t>
            </w:r>
            <w:r w:rsidRPr="001A56E2">
              <w:t xml:space="preserve"> NIRA performance report.</w:t>
            </w:r>
            <w:r w:rsidR="002E79A4">
              <w:t xml:space="preserve"> Data for 2010–2012 and revised data for 2005–2007 were included in the 2012</w:t>
            </w:r>
            <w:r w:rsidR="00FA5150">
              <w:noBreakHyphen/>
            </w:r>
            <w:r w:rsidR="002E79A4">
              <w:t>13 NIRA performance report.</w:t>
            </w:r>
            <w:r w:rsidR="001C7003">
              <w:t xml:space="preserve"> </w:t>
            </w:r>
          </w:p>
          <w:p w14:paraId="5743F58A" w14:textId="61742589" w:rsidR="00304577" w:rsidRDefault="005A2C27" w:rsidP="005A2C27">
            <w:pPr>
              <w:pStyle w:val="Box"/>
            </w:pPr>
            <w:r>
              <w:t>All</w:t>
            </w:r>
            <w:r w:rsidR="00FA5150">
              <w:noBreakHyphen/>
            </w:r>
            <w:r>
              <w:t>cause mortality rates (provided for performance indicator 2) are used as an inter</w:t>
            </w:r>
            <w:r w:rsidR="00FA5150">
              <w:noBreakHyphen/>
            </w:r>
            <w:r>
              <w:t>censal proxy for life expectancy estimates.</w:t>
            </w:r>
          </w:p>
        </w:tc>
      </w:tr>
      <w:tr w:rsidR="006A77A1" w14:paraId="002BF1F5" w14:textId="77777777" w:rsidTr="008F5A63">
        <w:trPr>
          <w:cantSplit/>
        </w:trPr>
        <w:tc>
          <w:tcPr>
            <w:tcW w:w="8789" w:type="dxa"/>
            <w:tcBorders>
              <w:top w:val="nil"/>
              <w:left w:val="nil"/>
              <w:bottom w:val="single" w:sz="6" w:space="0" w:color="78A22F"/>
              <w:right w:val="nil"/>
            </w:tcBorders>
            <w:shd w:val="clear" w:color="auto" w:fill="F2F2F2"/>
          </w:tcPr>
          <w:p w14:paraId="6F49E03A" w14:textId="77777777" w:rsidR="006A77A1" w:rsidRDefault="006A77A1">
            <w:pPr>
              <w:pStyle w:val="Box"/>
              <w:spacing w:before="0" w:line="120" w:lineRule="exact"/>
            </w:pPr>
          </w:p>
        </w:tc>
      </w:tr>
      <w:tr w:rsidR="006A77A1" w:rsidRPr="000863A5" w14:paraId="3372C469" w14:textId="77777777" w:rsidTr="008F5A63">
        <w:tc>
          <w:tcPr>
            <w:tcW w:w="8789" w:type="dxa"/>
            <w:tcBorders>
              <w:top w:val="single" w:sz="6" w:space="0" w:color="78A22F"/>
              <w:left w:val="nil"/>
              <w:bottom w:val="nil"/>
              <w:right w:val="nil"/>
            </w:tcBorders>
          </w:tcPr>
          <w:p w14:paraId="30EDF23C" w14:textId="77777777" w:rsidR="006A77A1" w:rsidRPr="00626D32" w:rsidRDefault="006A77A1" w:rsidP="00937DB6">
            <w:pPr>
              <w:pStyle w:val="BoxSpaceBelow"/>
            </w:pPr>
          </w:p>
        </w:tc>
      </w:tr>
    </w:tbl>
    <w:p w14:paraId="54E5C57D" w14:textId="77777777" w:rsidR="002B469C" w:rsidRDefault="002B469C" w:rsidP="002B469C">
      <w:pPr>
        <w:pStyle w:val="BodyText"/>
        <w:rPr>
          <w:rFonts w:ascii="Arial" w:hAnsi="Arial"/>
          <w:sz w:val="26"/>
        </w:rPr>
      </w:pPr>
      <w:r>
        <w:br w:type="page"/>
      </w:r>
    </w:p>
    <w:p w14:paraId="0DD621FB" w14:textId="77777777" w:rsidR="004F00F4" w:rsidRPr="002B469C" w:rsidRDefault="004F00F4" w:rsidP="002B469C">
      <w:pPr>
        <w:pStyle w:val="Heading3"/>
      </w:pPr>
      <w:r w:rsidRPr="002B469C">
        <w:lastRenderedPageBreak/>
        <w:t>Performance target (b) — halve the gap in mortality rates for Indigenous children under five by 2018</w:t>
      </w:r>
    </w:p>
    <w:p w14:paraId="6AE25E4B" w14:textId="77777777" w:rsidR="004F00F4" w:rsidRPr="00941378" w:rsidRDefault="004F00F4" w:rsidP="00411F19">
      <w:pPr>
        <w:pStyle w:val="BoxSpaceAbove"/>
        <w:spacing w:before="120"/>
      </w:pPr>
    </w:p>
    <w:tbl>
      <w:tblPr>
        <w:tblW w:w="0" w:type="auto"/>
        <w:tblCellMar>
          <w:left w:w="0" w:type="dxa"/>
          <w:right w:w="0" w:type="dxa"/>
        </w:tblCellMar>
        <w:tblLook w:val="0000" w:firstRow="0" w:lastRow="0" w:firstColumn="0" w:lastColumn="0" w:noHBand="0" w:noVBand="0"/>
      </w:tblPr>
      <w:tblGrid>
        <w:gridCol w:w="1985"/>
        <w:gridCol w:w="6804"/>
      </w:tblGrid>
      <w:tr w:rsidR="004F00F4" w:rsidRPr="00D87AA9" w14:paraId="116F7897" w14:textId="77777777" w:rsidTr="00680847">
        <w:tc>
          <w:tcPr>
            <w:tcW w:w="1985" w:type="dxa"/>
          </w:tcPr>
          <w:p w14:paraId="34001F4B" w14:textId="73D08D67" w:rsidR="004F00F4" w:rsidRPr="00C625E8" w:rsidRDefault="004F00F4" w:rsidP="000D6945">
            <w:pPr>
              <w:pStyle w:val="TableBodyNA"/>
            </w:pPr>
            <w:r w:rsidRPr="00B82DC5">
              <w:t>Key amendments fr</w:t>
            </w:r>
            <w:r w:rsidR="00C625E8">
              <w:t>om previous cycle of reporting:</w:t>
            </w:r>
          </w:p>
        </w:tc>
        <w:tc>
          <w:tcPr>
            <w:tcW w:w="6804" w:type="dxa"/>
          </w:tcPr>
          <w:p w14:paraId="03BD54EB" w14:textId="2751287C" w:rsidR="00327B35" w:rsidRPr="00D87AA9" w:rsidRDefault="00327B35" w:rsidP="00A62E7E">
            <w:pPr>
              <w:pStyle w:val="TableBodyNA"/>
            </w:pPr>
            <w:r>
              <w:t xml:space="preserve">Single year </w:t>
            </w:r>
            <w:r w:rsidR="00A62E7E">
              <w:t xml:space="preserve">historical </w:t>
            </w:r>
            <w:r>
              <w:t xml:space="preserve">data have been </w:t>
            </w:r>
            <w:r w:rsidR="00A62E7E">
              <w:t>resupplied (</w:t>
            </w:r>
            <w:r>
              <w:t>2006</w:t>
            </w:r>
            <w:r w:rsidR="00A62E7E">
              <w:t xml:space="preserve"> to 2017)</w:t>
            </w:r>
            <w:r>
              <w:t xml:space="preserve"> due to </w:t>
            </w:r>
            <w:r w:rsidR="00A62E7E">
              <w:t xml:space="preserve">new ABS Aboriginal and Torres Strait Islander </w:t>
            </w:r>
            <w:r>
              <w:t xml:space="preserve">population </w:t>
            </w:r>
            <w:r w:rsidR="00A62E7E">
              <w:t>data</w:t>
            </w:r>
            <w:r>
              <w:t>.</w:t>
            </w:r>
          </w:p>
        </w:tc>
      </w:tr>
      <w:tr w:rsidR="004F00F4" w:rsidRPr="00D87AA9" w14:paraId="2F375AB3" w14:textId="77777777" w:rsidTr="00680847">
        <w:tc>
          <w:tcPr>
            <w:tcW w:w="1985" w:type="dxa"/>
          </w:tcPr>
          <w:p w14:paraId="7C71FBB0" w14:textId="77777777" w:rsidR="004F00F4" w:rsidRPr="00D87AA9" w:rsidRDefault="004F00F4" w:rsidP="000D6945">
            <w:pPr>
              <w:pStyle w:val="TableBodyNA"/>
            </w:pPr>
            <w:r w:rsidRPr="00D87AA9">
              <w:t>Outcome:</w:t>
            </w:r>
          </w:p>
        </w:tc>
        <w:tc>
          <w:tcPr>
            <w:tcW w:w="6804" w:type="dxa"/>
          </w:tcPr>
          <w:p w14:paraId="718FA845" w14:textId="2F6B941F" w:rsidR="004F00F4" w:rsidRPr="00D87AA9" w:rsidRDefault="004F00F4" w:rsidP="000D6945">
            <w:pPr>
              <w:pStyle w:val="TableBodyNA"/>
            </w:pPr>
            <w:r w:rsidRPr="00BF614C">
              <w:t xml:space="preserve">The aim of the target is to halve the gap in mortality rates for </w:t>
            </w:r>
            <w:r w:rsidR="009431D9">
              <w:t>Aboriginal and Torres Strait Islander</w:t>
            </w:r>
            <w:r w:rsidRPr="00BF614C">
              <w:t xml:space="preserve"> children under five within a decade (by 2018) (10 years from 2008 — the </w:t>
            </w:r>
            <w:r w:rsidR="00EB22C4" w:rsidRPr="00BF614C">
              <w:t>baseline period)</w:t>
            </w:r>
          </w:p>
        </w:tc>
      </w:tr>
      <w:tr w:rsidR="004F00F4" w:rsidRPr="00D87AA9" w14:paraId="2F6F5AB7" w14:textId="77777777" w:rsidTr="00680847">
        <w:tc>
          <w:tcPr>
            <w:tcW w:w="1985" w:type="dxa"/>
          </w:tcPr>
          <w:p w14:paraId="799F53C6" w14:textId="77777777" w:rsidR="004F00F4" w:rsidRPr="00D87AA9" w:rsidRDefault="004F00F4" w:rsidP="000D6945">
            <w:pPr>
              <w:pStyle w:val="TableBodyNA"/>
            </w:pPr>
            <w:r w:rsidRPr="00D87AA9">
              <w:t xml:space="preserve">Measure: </w:t>
            </w:r>
          </w:p>
          <w:p w14:paraId="705DCF75" w14:textId="77777777" w:rsidR="004F00F4" w:rsidRPr="00D87AA9" w:rsidRDefault="004F00F4" w:rsidP="000D6945">
            <w:pPr>
              <w:pStyle w:val="TableBodyNA"/>
            </w:pPr>
          </w:p>
        </w:tc>
        <w:tc>
          <w:tcPr>
            <w:tcW w:w="6804" w:type="dxa"/>
          </w:tcPr>
          <w:p w14:paraId="59ECB782" w14:textId="77777777" w:rsidR="004F00F4" w:rsidRPr="00BF614C" w:rsidRDefault="004F00F4" w:rsidP="000D6945">
            <w:pPr>
              <w:pStyle w:val="TableBodyNA"/>
            </w:pPr>
            <w:r w:rsidRPr="00BF614C">
              <w:t>Mortality rates for children aged less than five years, by Indigenous status.</w:t>
            </w:r>
          </w:p>
          <w:p w14:paraId="2CEF44FB" w14:textId="77777777" w:rsidR="004F00F4" w:rsidRPr="00BF614C" w:rsidRDefault="004F00F4" w:rsidP="000420EF">
            <w:pPr>
              <w:pStyle w:val="TableBodyNA"/>
            </w:pPr>
            <w:r w:rsidRPr="00BF614C">
              <w:t>The measure is defined as:</w:t>
            </w:r>
          </w:p>
          <w:p w14:paraId="72362CAB" w14:textId="6F8AEF64" w:rsidR="004F00F4" w:rsidRPr="00BF614C" w:rsidRDefault="004F00F4" w:rsidP="00680847">
            <w:pPr>
              <w:pStyle w:val="TableBullet"/>
              <w:rPr>
                <w:szCs w:val="24"/>
              </w:rPr>
            </w:pPr>
            <w:r w:rsidRPr="0078783D">
              <w:rPr>
                <w:i/>
              </w:rPr>
              <w:t>Numerator</w:t>
            </w:r>
            <w:r w:rsidRPr="00BF614C">
              <w:t xml:space="preserve"> </w:t>
            </w:r>
            <w:r w:rsidR="009F3665">
              <w:t>—</w:t>
            </w:r>
            <w:r w:rsidR="009F3665" w:rsidRPr="00BF614C">
              <w:t xml:space="preserve"> </w:t>
            </w:r>
            <w:r w:rsidRPr="00BF614C">
              <w:t xml:space="preserve">number of deaths among children aged 0–4 years </w:t>
            </w:r>
          </w:p>
          <w:p w14:paraId="235C9402" w14:textId="400EC112" w:rsidR="004F00F4" w:rsidRPr="00BF614C" w:rsidRDefault="004F00F4" w:rsidP="00680847">
            <w:pPr>
              <w:pStyle w:val="TableBullet"/>
              <w:rPr>
                <w:szCs w:val="24"/>
              </w:rPr>
            </w:pPr>
            <w:r w:rsidRPr="0078783D">
              <w:rPr>
                <w:i/>
              </w:rPr>
              <w:t>Denominator</w:t>
            </w:r>
            <w:r w:rsidRPr="00BF614C">
              <w:t xml:space="preserve"> </w:t>
            </w:r>
            <w:r w:rsidR="009F3665">
              <w:t>—</w:t>
            </w:r>
            <w:r w:rsidR="009F3665" w:rsidRPr="00BF614C">
              <w:t xml:space="preserve"> </w:t>
            </w:r>
            <w:r w:rsidRPr="00BF614C">
              <w:t>total population of children aged 0–4 years</w:t>
            </w:r>
          </w:p>
          <w:p w14:paraId="6959A72D" w14:textId="1368D525" w:rsidR="004F00F4" w:rsidRPr="00BF614C" w:rsidRDefault="004F00F4" w:rsidP="000D6945">
            <w:pPr>
              <w:pStyle w:val="TableBodyNA"/>
            </w:pPr>
            <w:r w:rsidRPr="00BF614C">
              <w:t xml:space="preserve">presented as a </w:t>
            </w:r>
            <w:r w:rsidRPr="004177E0">
              <w:t>rate per 100 000 population</w:t>
            </w:r>
          </w:p>
        </w:tc>
      </w:tr>
      <w:tr w:rsidR="004F00F4" w:rsidRPr="00D87AA9" w14:paraId="3D7AA2C0" w14:textId="77777777" w:rsidTr="00680847">
        <w:tc>
          <w:tcPr>
            <w:tcW w:w="1985" w:type="dxa"/>
            <w:shd w:val="clear" w:color="auto" w:fill="auto"/>
          </w:tcPr>
          <w:p w14:paraId="0BF89F3C" w14:textId="4C324F08" w:rsidR="004F00F4" w:rsidRPr="00190845" w:rsidRDefault="00C625E8" w:rsidP="000D6945">
            <w:pPr>
              <w:pStyle w:val="TableBodyNA"/>
            </w:pPr>
            <w:r>
              <w:t>Related performance indicators:</w:t>
            </w:r>
          </w:p>
        </w:tc>
        <w:tc>
          <w:tcPr>
            <w:tcW w:w="6804" w:type="dxa"/>
            <w:shd w:val="clear" w:color="auto" w:fill="auto"/>
          </w:tcPr>
          <w:p w14:paraId="5C016B34" w14:textId="37C5B69F" w:rsidR="004F00F4" w:rsidRPr="00BF614C" w:rsidRDefault="004F00F4" w:rsidP="000D6945">
            <w:pPr>
              <w:pStyle w:val="TableBodyNA"/>
            </w:pPr>
            <w:r w:rsidRPr="00BF614C">
              <w:t>Performance indicator 6: Child under five mortality rate by leading cause</w:t>
            </w:r>
          </w:p>
        </w:tc>
      </w:tr>
      <w:tr w:rsidR="004F00F4" w:rsidRPr="00D87AA9" w14:paraId="55C3C0CD" w14:textId="77777777" w:rsidTr="00680847">
        <w:tc>
          <w:tcPr>
            <w:tcW w:w="1985" w:type="dxa"/>
            <w:shd w:val="clear" w:color="auto" w:fill="auto"/>
          </w:tcPr>
          <w:p w14:paraId="24C27911" w14:textId="77777777" w:rsidR="004F00F4" w:rsidRPr="00D87AA9" w:rsidRDefault="004F00F4" w:rsidP="000D6945">
            <w:pPr>
              <w:pStyle w:val="TableBodyNA"/>
            </w:pPr>
            <w:r w:rsidRPr="00D87AA9">
              <w:t>Data source:</w:t>
            </w:r>
          </w:p>
          <w:p w14:paraId="53AB486F" w14:textId="77777777" w:rsidR="004F00F4" w:rsidRPr="00D87AA9" w:rsidRDefault="004F00F4" w:rsidP="000D6945">
            <w:pPr>
              <w:pStyle w:val="TableBodyNA"/>
            </w:pPr>
          </w:p>
        </w:tc>
        <w:tc>
          <w:tcPr>
            <w:tcW w:w="6804" w:type="dxa"/>
            <w:shd w:val="clear" w:color="auto" w:fill="auto"/>
          </w:tcPr>
          <w:p w14:paraId="6D069A32" w14:textId="77777777" w:rsidR="004F00F4" w:rsidRDefault="004F00F4" w:rsidP="000D6945">
            <w:pPr>
              <w:pStyle w:val="TableBodyNA"/>
            </w:pPr>
            <w:r w:rsidRPr="004177E0">
              <w:rPr>
                <w:i/>
              </w:rPr>
              <w:t>Numerator</w:t>
            </w:r>
            <w:r>
              <w:t xml:space="preserve"> — ABS </w:t>
            </w:r>
            <w:r w:rsidRPr="000D6945">
              <w:rPr>
                <w:u w:val="single"/>
              </w:rPr>
              <w:t>Death Registrations</w:t>
            </w:r>
            <w:r w:rsidRPr="004177E0">
              <w:t xml:space="preserve"> Collection</w:t>
            </w:r>
            <w:r>
              <w:t xml:space="preserve">. </w:t>
            </w:r>
          </w:p>
          <w:p w14:paraId="378A7553" w14:textId="23AB88DA" w:rsidR="004F00F4" w:rsidRPr="00D87AA9" w:rsidRDefault="004F00F4" w:rsidP="00EB22C4">
            <w:pPr>
              <w:pStyle w:val="TableBodyNA"/>
            </w:pPr>
            <w:r w:rsidRPr="004177E0">
              <w:rPr>
                <w:i/>
              </w:rPr>
              <w:t>Denominator</w:t>
            </w:r>
            <w:r>
              <w:t xml:space="preserve"> — ABS </w:t>
            </w:r>
            <w:r w:rsidRPr="004177E0">
              <w:rPr>
                <w:u w:val="single"/>
              </w:rPr>
              <w:t>Estimated Resident Population</w:t>
            </w:r>
            <w:r>
              <w:t xml:space="preserve"> (ERP) for total population. </w:t>
            </w:r>
            <w:r w:rsidR="00AD222D">
              <w:t xml:space="preserve">ABS </w:t>
            </w:r>
            <w:r w:rsidRPr="004177E0">
              <w:rPr>
                <w:u w:val="single"/>
              </w:rPr>
              <w:t>Estimates and Projections</w:t>
            </w:r>
            <w:r>
              <w:t xml:space="preserve"> for </w:t>
            </w:r>
            <w:r w:rsidR="003A624B">
              <w:t>Aboriginal and Torres Strait Islander</w:t>
            </w:r>
            <w:r>
              <w:t xml:space="preserve"> population. Non</w:t>
            </w:r>
            <w:r w:rsidR="00FA5150">
              <w:noBreakHyphen/>
            </w:r>
            <w:r>
              <w:t xml:space="preserve">Indigenous population estimates are calculated by subtracting </w:t>
            </w:r>
            <w:r w:rsidR="00D12D13">
              <w:t xml:space="preserve">Aboriginal and Torres Strait Islander </w:t>
            </w:r>
            <w:r>
              <w:t xml:space="preserve">population </w:t>
            </w:r>
            <w:r w:rsidR="00055D5D">
              <w:t>estimates/</w:t>
            </w:r>
            <w:r>
              <w:t xml:space="preserve">projections from the total population estimates. </w:t>
            </w:r>
            <w:r w:rsidR="00055D5D">
              <w:t>A</w:t>
            </w:r>
            <w:r w:rsidRPr="002F0DB5">
              <w:t xml:space="preserve">ll </w:t>
            </w:r>
            <w:r w:rsidR="00EB22C4">
              <w:t xml:space="preserve">mortality rates are derived using </w:t>
            </w:r>
            <w:r w:rsidR="00E002E4" w:rsidRPr="002F0DB5">
              <w:t>20</w:t>
            </w:r>
            <w:r w:rsidR="00E002E4">
              <w:t>16</w:t>
            </w:r>
            <w:r w:rsidR="00E002E4" w:rsidRPr="002F0DB5">
              <w:t xml:space="preserve"> </w:t>
            </w:r>
            <w:r w:rsidRPr="002F0DB5">
              <w:t>Census</w:t>
            </w:r>
            <w:r w:rsidR="00FA5150">
              <w:noBreakHyphen/>
            </w:r>
            <w:r w:rsidRPr="002F0DB5">
              <w:t>based</w:t>
            </w:r>
            <w:r w:rsidR="00EB22C4">
              <w:t xml:space="preserve"> Aboriginal and Torres Strait Islander populations</w:t>
            </w:r>
            <w:r w:rsidRPr="002F0DB5">
              <w:t>.</w:t>
            </w:r>
          </w:p>
        </w:tc>
      </w:tr>
      <w:tr w:rsidR="004F00F4" w:rsidRPr="00D87AA9" w14:paraId="1526CFE2" w14:textId="77777777" w:rsidTr="00680847">
        <w:tc>
          <w:tcPr>
            <w:tcW w:w="1985" w:type="dxa"/>
            <w:shd w:val="clear" w:color="auto" w:fill="auto"/>
          </w:tcPr>
          <w:p w14:paraId="0D86332D" w14:textId="3783EF65" w:rsidR="004F00F4" w:rsidRPr="00D87AA9" w:rsidRDefault="004F00F4" w:rsidP="000D6945">
            <w:pPr>
              <w:pStyle w:val="TableBodyNA"/>
            </w:pPr>
            <w:r w:rsidRPr="00D87AA9">
              <w:t xml:space="preserve">Data </w:t>
            </w:r>
            <w:r w:rsidR="00C625E8">
              <w:t>provider:</w:t>
            </w:r>
          </w:p>
        </w:tc>
        <w:tc>
          <w:tcPr>
            <w:tcW w:w="6804" w:type="dxa"/>
            <w:shd w:val="clear" w:color="auto" w:fill="auto"/>
          </w:tcPr>
          <w:p w14:paraId="706606FB" w14:textId="77777777" w:rsidR="004F00F4" w:rsidRPr="00D87AA9" w:rsidRDefault="004F00F4" w:rsidP="000D6945">
            <w:pPr>
              <w:pStyle w:val="TableBodyNA"/>
            </w:pPr>
            <w:r w:rsidRPr="00BF614C">
              <w:t>ABS</w:t>
            </w:r>
          </w:p>
        </w:tc>
      </w:tr>
      <w:tr w:rsidR="004F00F4" w:rsidRPr="00D87AA9" w14:paraId="718FA129" w14:textId="77777777" w:rsidTr="00680847">
        <w:tc>
          <w:tcPr>
            <w:tcW w:w="1985" w:type="dxa"/>
            <w:shd w:val="clear" w:color="auto" w:fill="auto"/>
          </w:tcPr>
          <w:p w14:paraId="0D01DEF5" w14:textId="77777777" w:rsidR="004F00F4" w:rsidRPr="00D87AA9" w:rsidRDefault="004F00F4" w:rsidP="000D6945">
            <w:pPr>
              <w:pStyle w:val="TableBodyNA"/>
            </w:pPr>
            <w:r w:rsidRPr="00D87AA9">
              <w:t>Data availability:</w:t>
            </w:r>
          </w:p>
          <w:p w14:paraId="1BD305EB" w14:textId="77777777" w:rsidR="004F00F4" w:rsidRPr="00D87AA9" w:rsidRDefault="004F00F4" w:rsidP="000D6945">
            <w:pPr>
              <w:pStyle w:val="TableBodyNA"/>
            </w:pPr>
          </w:p>
        </w:tc>
        <w:tc>
          <w:tcPr>
            <w:tcW w:w="6804" w:type="dxa"/>
            <w:shd w:val="clear" w:color="auto" w:fill="auto"/>
          </w:tcPr>
          <w:p w14:paraId="0996C298" w14:textId="75EF43CA" w:rsidR="00AA4682" w:rsidRDefault="00E002E4" w:rsidP="000D6945">
            <w:pPr>
              <w:pStyle w:val="TableBodyNA"/>
            </w:pPr>
            <w:r>
              <w:t xml:space="preserve">2018 </w:t>
            </w:r>
            <w:r w:rsidR="00AA4682">
              <w:t>— Death</w:t>
            </w:r>
            <w:r w:rsidR="00EB22C4">
              <w:t xml:space="preserve"> Registrations</w:t>
            </w:r>
            <w:r w:rsidR="00AA4682">
              <w:t xml:space="preserve"> </w:t>
            </w:r>
          </w:p>
          <w:p w14:paraId="4E857969" w14:textId="1D4C1172" w:rsidR="004F00F4" w:rsidRPr="00D87AA9" w:rsidRDefault="00AA4682" w:rsidP="000D6945">
            <w:pPr>
              <w:pStyle w:val="TableBodyNA"/>
            </w:pPr>
            <w:r>
              <w:t>30</w:t>
            </w:r>
            <w:r w:rsidR="00F34E12">
              <w:t> </w:t>
            </w:r>
            <w:r>
              <w:t xml:space="preserve">June </w:t>
            </w:r>
            <w:r w:rsidR="00E002E4">
              <w:t>2018</w:t>
            </w:r>
            <w:r w:rsidR="00FE7AE3">
              <w:t xml:space="preserve"> (revised 2006 to 2017)</w:t>
            </w:r>
            <w:r w:rsidR="00E002E4">
              <w:t xml:space="preserve"> </w:t>
            </w:r>
            <w:r>
              <w:t xml:space="preserve">(based on </w:t>
            </w:r>
            <w:r w:rsidR="00E002E4">
              <w:t xml:space="preserve">2016 </w:t>
            </w:r>
            <w:r>
              <w:t>Census) — Population data</w:t>
            </w:r>
          </w:p>
        </w:tc>
      </w:tr>
      <w:tr w:rsidR="004F00F4" w:rsidRPr="00D87AA9" w14:paraId="1B760370" w14:textId="77777777" w:rsidTr="00680847">
        <w:tc>
          <w:tcPr>
            <w:tcW w:w="1985" w:type="dxa"/>
            <w:shd w:val="clear" w:color="auto" w:fill="auto"/>
          </w:tcPr>
          <w:p w14:paraId="18932886" w14:textId="6B97DC3F" w:rsidR="004F00F4" w:rsidRPr="00D87AA9" w:rsidRDefault="004F00F4" w:rsidP="000D6945">
            <w:pPr>
              <w:pStyle w:val="TableBodyNA"/>
            </w:pPr>
            <w:r w:rsidRPr="00D87AA9">
              <w:t>Baseline:</w:t>
            </w:r>
          </w:p>
        </w:tc>
        <w:tc>
          <w:tcPr>
            <w:tcW w:w="6804" w:type="dxa"/>
            <w:shd w:val="clear" w:color="auto" w:fill="auto"/>
          </w:tcPr>
          <w:p w14:paraId="60864E48" w14:textId="77777777" w:rsidR="004F00F4" w:rsidRPr="00D87AA9" w:rsidRDefault="004F00F4" w:rsidP="000D6945">
            <w:pPr>
              <w:pStyle w:val="TableBodyNA"/>
            </w:pPr>
            <w:r w:rsidRPr="00BF614C">
              <w:t>The baseline for the target is 2008</w:t>
            </w:r>
          </w:p>
        </w:tc>
      </w:tr>
      <w:tr w:rsidR="004F00F4" w:rsidRPr="00D87AA9" w14:paraId="39D2984B" w14:textId="77777777" w:rsidTr="00680847">
        <w:tc>
          <w:tcPr>
            <w:tcW w:w="1985" w:type="dxa"/>
            <w:shd w:val="clear" w:color="auto" w:fill="auto"/>
          </w:tcPr>
          <w:p w14:paraId="196EAD04" w14:textId="77777777" w:rsidR="004F00F4" w:rsidRPr="00D87AA9" w:rsidRDefault="004F00F4" w:rsidP="000D6945">
            <w:pPr>
              <w:pStyle w:val="TableBodyNA"/>
            </w:pPr>
            <w:r w:rsidRPr="00D87AA9">
              <w:t>Cross tabulations provided:</w:t>
            </w:r>
          </w:p>
        </w:tc>
        <w:tc>
          <w:tcPr>
            <w:tcW w:w="6804" w:type="dxa"/>
            <w:shd w:val="clear" w:color="auto" w:fill="auto"/>
          </w:tcPr>
          <w:p w14:paraId="6DC5015F" w14:textId="439BE300" w:rsidR="004F00F4" w:rsidRPr="00D87AA9" w:rsidRDefault="004F00F4" w:rsidP="008822BF">
            <w:pPr>
              <w:pStyle w:val="TableBodyNA"/>
            </w:pPr>
            <w:r>
              <w:t>(Single year) National</w:t>
            </w:r>
            <w:r w:rsidR="00A26485">
              <w:t xml:space="preserve"> (NSW, Queensland, WA, SA and the NT combined)</w:t>
            </w:r>
            <w:r>
              <w:t>, by Indigenous status</w:t>
            </w:r>
          </w:p>
        </w:tc>
      </w:tr>
    </w:tbl>
    <w:p w14:paraId="5F29359C" w14:textId="77777777" w:rsidR="004F00F4" w:rsidRDefault="004F00F4" w:rsidP="00411F19">
      <w:pPr>
        <w:pStyle w:val="BoxSpaceAbove"/>
        <w:spacing w:before="120"/>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4F00F4" w14:paraId="068C4053" w14:textId="77777777" w:rsidTr="008F5A63">
        <w:tc>
          <w:tcPr>
            <w:tcW w:w="8789" w:type="dxa"/>
            <w:tcBorders>
              <w:top w:val="single" w:sz="6" w:space="0" w:color="78A22F"/>
              <w:left w:val="nil"/>
              <w:bottom w:val="nil"/>
              <w:right w:val="nil"/>
            </w:tcBorders>
            <w:shd w:val="clear" w:color="auto" w:fill="F2F2F2"/>
          </w:tcPr>
          <w:p w14:paraId="4AFA7CA2" w14:textId="4E60546F" w:rsidR="004F00F4" w:rsidRDefault="004F00F4" w:rsidP="00055D5D">
            <w:pPr>
              <w:pStyle w:val="BoxTitle"/>
            </w:pPr>
            <w:r>
              <w:rPr>
                <w:b w:val="0"/>
              </w:rPr>
              <w:t xml:space="preserve">Box </w:t>
            </w:r>
            <w:r w:rsidR="00055D5D">
              <w:rPr>
                <w:b w:val="0"/>
              </w:rPr>
              <w:t>3</w:t>
            </w:r>
            <w:r>
              <w:tab/>
              <w:t>Results</w:t>
            </w:r>
          </w:p>
        </w:tc>
      </w:tr>
      <w:tr w:rsidR="004F00F4" w:rsidRPr="00DE42B9" w14:paraId="47E9CA6E" w14:textId="77777777" w:rsidTr="008F5A63">
        <w:trPr>
          <w:cantSplit/>
        </w:trPr>
        <w:tc>
          <w:tcPr>
            <w:tcW w:w="8789" w:type="dxa"/>
            <w:tcBorders>
              <w:top w:val="nil"/>
              <w:left w:val="nil"/>
              <w:bottom w:val="nil"/>
              <w:right w:val="nil"/>
            </w:tcBorders>
            <w:shd w:val="clear" w:color="auto" w:fill="F2F2F2"/>
          </w:tcPr>
          <w:p w14:paraId="4D8C7217" w14:textId="4A0530F0" w:rsidR="004F00F4" w:rsidRPr="00DE42B9" w:rsidRDefault="004F00F4" w:rsidP="004F00F4">
            <w:pPr>
              <w:pStyle w:val="Box"/>
            </w:pPr>
            <w:r w:rsidRPr="00DE42B9">
              <w:t xml:space="preserve">For this report, new data </w:t>
            </w:r>
            <w:r w:rsidR="005134CB">
              <w:t xml:space="preserve">are </w:t>
            </w:r>
            <w:r w:rsidRPr="00DE42B9">
              <w:t xml:space="preserve">available for </w:t>
            </w:r>
            <w:r w:rsidR="00E002E4" w:rsidRPr="00DE42B9">
              <w:t>201</w:t>
            </w:r>
            <w:r w:rsidR="00E002E4">
              <w:t>8</w:t>
            </w:r>
            <w:r w:rsidR="00843944">
              <w:t>.</w:t>
            </w:r>
          </w:p>
          <w:p w14:paraId="2001B034" w14:textId="4C133833" w:rsidR="004F00F4" w:rsidRPr="002518B5" w:rsidRDefault="004F00F4" w:rsidP="00973286">
            <w:pPr>
              <w:pStyle w:val="BoxListBullet"/>
            </w:pPr>
            <w:r w:rsidRPr="00DE42B9">
              <w:t>Data for single year mortality rates are presented in table NIRA.6.</w:t>
            </w:r>
            <w:r w:rsidRPr="002518B5">
              <w:t>1</w:t>
            </w:r>
            <w:r w:rsidR="00843944">
              <w:t xml:space="preserve"> (including revised data for 2006 to 2017)</w:t>
            </w:r>
            <w:r w:rsidRPr="002518B5">
              <w:t>.</w:t>
            </w:r>
          </w:p>
          <w:p w14:paraId="2DFC6CE1" w14:textId="709D7D17" w:rsidR="004F00F4" w:rsidRPr="00DE42B9" w:rsidRDefault="004F00F4" w:rsidP="00411F19">
            <w:pPr>
              <w:pStyle w:val="Box"/>
            </w:pPr>
            <w:r w:rsidRPr="00DE42B9">
              <w:t>Additional data are available</w:t>
            </w:r>
            <w:r w:rsidR="00973286">
              <w:t xml:space="preserve"> under performance indicator 6.</w:t>
            </w:r>
          </w:p>
        </w:tc>
      </w:tr>
      <w:tr w:rsidR="004F00F4" w14:paraId="170BDAAC" w14:textId="77777777" w:rsidTr="008F5A63">
        <w:trPr>
          <w:cantSplit/>
        </w:trPr>
        <w:tc>
          <w:tcPr>
            <w:tcW w:w="8789" w:type="dxa"/>
            <w:tcBorders>
              <w:top w:val="nil"/>
              <w:left w:val="nil"/>
              <w:bottom w:val="single" w:sz="6" w:space="0" w:color="78A22F"/>
              <w:right w:val="nil"/>
            </w:tcBorders>
            <w:shd w:val="clear" w:color="auto" w:fill="F2F2F2"/>
          </w:tcPr>
          <w:p w14:paraId="6F07BDDE" w14:textId="77777777" w:rsidR="004F00F4" w:rsidRDefault="004F00F4">
            <w:pPr>
              <w:pStyle w:val="Box"/>
              <w:spacing w:before="0" w:line="120" w:lineRule="exact"/>
            </w:pPr>
          </w:p>
        </w:tc>
      </w:tr>
      <w:tr w:rsidR="004F00F4" w:rsidRPr="000863A5" w14:paraId="2E0B3AE6" w14:textId="77777777" w:rsidTr="008F5A63">
        <w:tc>
          <w:tcPr>
            <w:tcW w:w="8789" w:type="dxa"/>
            <w:tcBorders>
              <w:top w:val="single" w:sz="6" w:space="0" w:color="78A22F"/>
              <w:left w:val="nil"/>
              <w:bottom w:val="nil"/>
              <w:right w:val="nil"/>
            </w:tcBorders>
          </w:tcPr>
          <w:p w14:paraId="3CD0B70D" w14:textId="77777777" w:rsidR="004F00F4" w:rsidRPr="00626D32" w:rsidRDefault="004F00F4" w:rsidP="00680847">
            <w:pPr>
              <w:pStyle w:val="BoxSpaceBelow"/>
            </w:pPr>
          </w:p>
        </w:tc>
      </w:tr>
    </w:tbl>
    <w:p w14:paraId="7FDF66D6" w14:textId="77777777" w:rsidR="004F00F4" w:rsidRDefault="004F00F4" w:rsidP="00411F19">
      <w:pPr>
        <w:pStyle w:val="BoxSpaceAbove"/>
        <w:spacing w:before="240"/>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4F00F4" w14:paraId="1A9D2F26" w14:textId="77777777" w:rsidTr="008F5A63">
        <w:tc>
          <w:tcPr>
            <w:tcW w:w="8789" w:type="dxa"/>
            <w:tcBorders>
              <w:top w:val="single" w:sz="6" w:space="0" w:color="78A22F"/>
              <w:left w:val="nil"/>
              <w:bottom w:val="nil"/>
              <w:right w:val="nil"/>
            </w:tcBorders>
            <w:shd w:val="clear" w:color="auto" w:fill="F2F2F2"/>
          </w:tcPr>
          <w:p w14:paraId="3879256A" w14:textId="2D1A3A37" w:rsidR="004F00F4" w:rsidRDefault="004F00F4" w:rsidP="00055D5D">
            <w:pPr>
              <w:pStyle w:val="BoxTitle"/>
            </w:pPr>
            <w:r>
              <w:rPr>
                <w:b w:val="0"/>
              </w:rPr>
              <w:t xml:space="preserve">Box </w:t>
            </w:r>
            <w:r w:rsidR="00055D5D">
              <w:rPr>
                <w:b w:val="0"/>
              </w:rPr>
              <w:t>4</w:t>
            </w:r>
            <w:r>
              <w:tab/>
              <w:t>Comment on data quality</w:t>
            </w:r>
          </w:p>
        </w:tc>
      </w:tr>
      <w:tr w:rsidR="004F00F4" w14:paraId="2EB8CA21" w14:textId="77777777" w:rsidTr="008F5A63">
        <w:trPr>
          <w:cantSplit/>
        </w:trPr>
        <w:tc>
          <w:tcPr>
            <w:tcW w:w="8789" w:type="dxa"/>
            <w:tcBorders>
              <w:top w:val="nil"/>
              <w:left w:val="nil"/>
              <w:bottom w:val="nil"/>
              <w:right w:val="nil"/>
            </w:tcBorders>
            <w:shd w:val="clear" w:color="auto" w:fill="F2F2F2"/>
          </w:tcPr>
          <w:p w14:paraId="1B267DE7" w14:textId="77777777" w:rsidR="004F00F4" w:rsidRDefault="004F00F4" w:rsidP="00680847">
            <w:pPr>
              <w:pStyle w:val="Box"/>
            </w:pPr>
            <w:r w:rsidRPr="001B1BB8">
              <w:t>Details are included in the comment on data quality for performance indicator 6.</w:t>
            </w:r>
          </w:p>
        </w:tc>
      </w:tr>
      <w:tr w:rsidR="004F00F4" w14:paraId="66995436" w14:textId="77777777" w:rsidTr="008F5A63">
        <w:trPr>
          <w:cantSplit/>
        </w:trPr>
        <w:tc>
          <w:tcPr>
            <w:tcW w:w="8789" w:type="dxa"/>
            <w:tcBorders>
              <w:top w:val="nil"/>
              <w:left w:val="nil"/>
              <w:bottom w:val="single" w:sz="6" w:space="0" w:color="78A22F"/>
              <w:right w:val="nil"/>
            </w:tcBorders>
            <w:shd w:val="clear" w:color="auto" w:fill="F2F2F2"/>
          </w:tcPr>
          <w:p w14:paraId="022F2B35" w14:textId="77777777" w:rsidR="004F00F4" w:rsidRDefault="004F00F4">
            <w:pPr>
              <w:pStyle w:val="Box"/>
              <w:spacing w:before="0" w:line="120" w:lineRule="exact"/>
            </w:pPr>
          </w:p>
        </w:tc>
      </w:tr>
      <w:tr w:rsidR="004F00F4" w:rsidRPr="000863A5" w14:paraId="7F33E0A5" w14:textId="77777777" w:rsidTr="008F5A63">
        <w:tc>
          <w:tcPr>
            <w:tcW w:w="8789" w:type="dxa"/>
            <w:tcBorders>
              <w:top w:val="single" w:sz="6" w:space="0" w:color="78A22F"/>
              <w:left w:val="nil"/>
              <w:bottom w:val="nil"/>
              <w:right w:val="nil"/>
            </w:tcBorders>
          </w:tcPr>
          <w:p w14:paraId="23409228" w14:textId="77777777" w:rsidR="004F00F4" w:rsidRPr="00626D32" w:rsidRDefault="004F00F4" w:rsidP="00680847">
            <w:pPr>
              <w:pStyle w:val="BoxSpaceBelow"/>
            </w:pPr>
          </w:p>
        </w:tc>
      </w:tr>
    </w:tbl>
    <w:p w14:paraId="3ECF0250" w14:textId="77777777" w:rsidR="00CA6134" w:rsidRDefault="00CA6134" w:rsidP="00CA6134">
      <w:pPr>
        <w:pStyle w:val="BodyText"/>
      </w:pPr>
      <w:r>
        <w:br w:type="page"/>
      </w:r>
    </w:p>
    <w:p w14:paraId="5B3EE90D" w14:textId="56C7C255" w:rsidR="00701439" w:rsidRDefault="004F00F4" w:rsidP="008F5A63">
      <w:pPr>
        <w:pStyle w:val="Heading3"/>
        <w:spacing w:after="120"/>
        <w:rPr>
          <w:b w:val="0"/>
          <w:sz w:val="18"/>
          <w:szCs w:val="18"/>
        </w:rPr>
      </w:pPr>
      <w:r w:rsidRPr="00D87AA9">
        <w:lastRenderedPageBreak/>
        <w:t xml:space="preserve">Performance target (c) — </w:t>
      </w:r>
      <w:r w:rsidR="00EC4922">
        <w:t>95 per cent of all Indigenous four</w:t>
      </w:r>
      <w:r w:rsidR="00FA5150">
        <w:noBreakHyphen/>
      </w:r>
      <w:r w:rsidR="00EC4922">
        <w:t>year olds enrolled in early c</w:t>
      </w:r>
      <w:r w:rsidR="00EC4922" w:rsidRPr="00C454A6">
        <w:t>hildhood education (by 2025)</w:t>
      </w:r>
      <w:r w:rsidR="00673682" w:rsidRPr="00C454A6">
        <w:rPr>
          <w:b w:val="0"/>
          <w:sz w:val="18"/>
          <w:szCs w:val="18"/>
        </w:rPr>
        <w:t xml:space="preserve"> </w:t>
      </w:r>
    </w:p>
    <w:tbl>
      <w:tblPr>
        <w:tblW w:w="0" w:type="auto"/>
        <w:tblCellMar>
          <w:left w:w="0" w:type="dxa"/>
          <w:right w:w="0" w:type="dxa"/>
        </w:tblCellMar>
        <w:tblLook w:val="0000" w:firstRow="0" w:lastRow="0" w:firstColumn="0" w:lastColumn="0" w:noHBand="0" w:noVBand="0"/>
      </w:tblPr>
      <w:tblGrid>
        <w:gridCol w:w="1985"/>
        <w:gridCol w:w="6804"/>
      </w:tblGrid>
      <w:tr w:rsidR="0077722E" w:rsidRPr="00C454A6" w14:paraId="639BC4DE" w14:textId="77777777" w:rsidTr="007F3549">
        <w:tc>
          <w:tcPr>
            <w:tcW w:w="1985" w:type="dxa"/>
          </w:tcPr>
          <w:p w14:paraId="3704577A" w14:textId="31B27370" w:rsidR="0077722E" w:rsidRPr="00C454A6" w:rsidRDefault="0077722E" w:rsidP="00CA6134">
            <w:pPr>
              <w:pStyle w:val="TableBodyNA"/>
            </w:pPr>
            <w:r w:rsidRPr="00C454A6">
              <w:t>Key amendments from previous cycle of reporting:</w:t>
            </w:r>
          </w:p>
        </w:tc>
        <w:tc>
          <w:tcPr>
            <w:tcW w:w="6804" w:type="dxa"/>
          </w:tcPr>
          <w:p w14:paraId="3C9CBA16" w14:textId="418612E5" w:rsidR="00EB22C4" w:rsidRPr="00C454A6" w:rsidRDefault="00EB22C4" w:rsidP="00EB22C4">
            <w:pPr>
              <w:pStyle w:val="TableBodyNA"/>
            </w:pPr>
            <w:r>
              <w:t>Single year historical data have been resupplied (2015 to 2017) due to new ABS Aboriginal and Torres Strait Islander population data.</w:t>
            </w:r>
          </w:p>
        </w:tc>
      </w:tr>
      <w:tr w:rsidR="0077722E" w:rsidRPr="00C454A6" w14:paraId="77DE78CB" w14:textId="77777777" w:rsidTr="007F3549">
        <w:tc>
          <w:tcPr>
            <w:tcW w:w="1985" w:type="dxa"/>
          </w:tcPr>
          <w:p w14:paraId="69DC618C" w14:textId="77777777" w:rsidR="0077722E" w:rsidRPr="00C454A6" w:rsidRDefault="0077722E" w:rsidP="00CA6134">
            <w:pPr>
              <w:pStyle w:val="TableBodyNA"/>
            </w:pPr>
            <w:r w:rsidRPr="00C454A6">
              <w:t>Outcome:</w:t>
            </w:r>
          </w:p>
        </w:tc>
        <w:tc>
          <w:tcPr>
            <w:tcW w:w="6804" w:type="dxa"/>
            <w:shd w:val="clear" w:color="auto" w:fill="auto"/>
          </w:tcPr>
          <w:p w14:paraId="2E43BE0B" w14:textId="35B19753" w:rsidR="0077722E" w:rsidRPr="00C454A6" w:rsidRDefault="0077722E" w:rsidP="00CA6134">
            <w:pPr>
              <w:pStyle w:val="TableBodyNA"/>
            </w:pPr>
            <w:r w:rsidRPr="00C454A6">
              <w:t>The aim of this target is that 95 per cent of all Indigenous four</w:t>
            </w:r>
            <w:r w:rsidR="00FA5150">
              <w:noBreakHyphen/>
            </w:r>
            <w:r w:rsidRPr="00C454A6">
              <w:t>year</w:t>
            </w:r>
            <w:r w:rsidR="00FA5150">
              <w:noBreakHyphen/>
            </w:r>
            <w:r w:rsidRPr="00C454A6">
              <w:t>olds are enrolled in earl</w:t>
            </w:r>
            <w:r w:rsidR="00C625E8">
              <w:t>y childhood education (by 2025)</w:t>
            </w:r>
          </w:p>
        </w:tc>
      </w:tr>
      <w:tr w:rsidR="0077722E" w:rsidRPr="00C454A6" w14:paraId="63842517" w14:textId="77777777" w:rsidTr="007F3549">
        <w:tc>
          <w:tcPr>
            <w:tcW w:w="1985" w:type="dxa"/>
          </w:tcPr>
          <w:p w14:paraId="2CCD0AEB" w14:textId="77777777" w:rsidR="0077722E" w:rsidRPr="00C454A6" w:rsidRDefault="0077722E" w:rsidP="00CA6134">
            <w:pPr>
              <w:pStyle w:val="TableBodyNA"/>
            </w:pPr>
            <w:r w:rsidRPr="00C454A6">
              <w:t xml:space="preserve">Measures: </w:t>
            </w:r>
          </w:p>
          <w:p w14:paraId="5128A6EC" w14:textId="77777777" w:rsidR="0077722E" w:rsidRPr="00C454A6" w:rsidRDefault="0077722E" w:rsidP="00CA6134">
            <w:pPr>
              <w:pStyle w:val="TableBodyNA"/>
              <w:rPr>
                <w:szCs w:val="18"/>
              </w:rPr>
            </w:pPr>
          </w:p>
        </w:tc>
        <w:tc>
          <w:tcPr>
            <w:tcW w:w="6804" w:type="dxa"/>
          </w:tcPr>
          <w:p w14:paraId="1F988580" w14:textId="77777777" w:rsidR="0077722E" w:rsidRPr="00C454A6" w:rsidRDefault="0077722E" w:rsidP="00CA6134">
            <w:pPr>
              <w:pStyle w:val="TableBodyNA"/>
            </w:pPr>
            <w:r w:rsidRPr="00C454A6">
              <w:t>There are two measures for this target:</w:t>
            </w:r>
          </w:p>
          <w:p w14:paraId="58998A66" w14:textId="77777777" w:rsidR="0077722E" w:rsidRPr="00CA6134" w:rsidRDefault="0077722E" w:rsidP="00CA6134">
            <w:pPr>
              <w:pStyle w:val="TableBodyNA"/>
              <w:rPr>
                <w:u w:val="single"/>
              </w:rPr>
            </w:pPr>
            <w:r w:rsidRPr="00CA6134">
              <w:rPr>
                <w:u w:val="single"/>
              </w:rPr>
              <w:t>Main measure:</w:t>
            </w:r>
          </w:p>
          <w:p w14:paraId="155F5F45" w14:textId="77777777" w:rsidR="0077722E" w:rsidRPr="00C454A6" w:rsidRDefault="0077722E" w:rsidP="00CA6134">
            <w:pPr>
              <w:pStyle w:val="TableBodyNA"/>
            </w:pPr>
            <w:r w:rsidRPr="00C454A6">
              <w:t xml:space="preserve">Measure (a): the proportion of children enrolled in a preschool program in the year before full time schooling. </w:t>
            </w:r>
          </w:p>
          <w:p w14:paraId="742B4F2F" w14:textId="77777777" w:rsidR="0077722E" w:rsidRPr="00C454A6" w:rsidRDefault="0077722E" w:rsidP="00CA6134">
            <w:pPr>
              <w:pStyle w:val="TableBodyNA"/>
            </w:pPr>
            <w:r w:rsidRPr="00C454A6">
              <w:t>The measure is defined as</w:t>
            </w:r>
          </w:p>
          <w:p w14:paraId="3C89C372" w14:textId="77777777" w:rsidR="0077722E" w:rsidRPr="00C454A6" w:rsidRDefault="0077722E" w:rsidP="007F3549">
            <w:pPr>
              <w:pStyle w:val="TableBullet"/>
              <w:spacing w:line="220" w:lineRule="atLeast"/>
              <w:rPr>
                <w:szCs w:val="18"/>
              </w:rPr>
            </w:pPr>
            <w:r w:rsidRPr="00C454A6">
              <w:rPr>
                <w:i/>
                <w:szCs w:val="18"/>
              </w:rPr>
              <w:t>Numerator</w:t>
            </w:r>
            <w:r w:rsidRPr="00C454A6">
              <w:rPr>
                <w:szCs w:val="18"/>
              </w:rPr>
              <w:t xml:space="preserve"> – Estimated number of children enrolled in a preschool program in the year before full time schooling</w:t>
            </w:r>
          </w:p>
          <w:p w14:paraId="0C1BD28B" w14:textId="77777777" w:rsidR="0077722E" w:rsidRPr="00C454A6" w:rsidRDefault="0077722E" w:rsidP="007F3549">
            <w:pPr>
              <w:pStyle w:val="TableBullet"/>
              <w:spacing w:line="220" w:lineRule="atLeast"/>
              <w:rPr>
                <w:szCs w:val="18"/>
              </w:rPr>
            </w:pPr>
            <w:r w:rsidRPr="00C454A6">
              <w:rPr>
                <w:i/>
                <w:szCs w:val="18"/>
              </w:rPr>
              <w:t>Denominator</w:t>
            </w:r>
            <w:r w:rsidRPr="00C454A6">
              <w:rPr>
                <w:szCs w:val="18"/>
              </w:rPr>
              <w:t xml:space="preserve"> – Estimated number of children in the year before full time school (based on adjusted potential population* age in months relating to school starting provisions in each state/territory).</w:t>
            </w:r>
          </w:p>
          <w:p w14:paraId="2268E814" w14:textId="77777777" w:rsidR="0077722E" w:rsidRPr="00C454A6" w:rsidRDefault="0077722E" w:rsidP="007F3549">
            <w:pPr>
              <w:pStyle w:val="TableBullet"/>
              <w:numPr>
                <w:ilvl w:val="0"/>
                <w:numId w:val="0"/>
              </w:numPr>
              <w:ind w:left="6"/>
              <w:rPr>
                <w:szCs w:val="18"/>
              </w:rPr>
            </w:pPr>
            <w:r w:rsidRPr="00C454A6">
              <w:rPr>
                <w:szCs w:val="18"/>
              </w:rPr>
              <w:t>presented as a percentage.</w:t>
            </w:r>
          </w:p>
          <w:p w14:paraId="7212E88F" w14:textId="77777777" w:rsidR="0077722E" w:rsidRDefault="0077722E" w:rsidP="00CA6134">
            <w:pPr>
              <w:pStyle w:val="TableBodyNA"/>
            </w:pPr>
            <w:r w:rsidRPr="00C454A6">
              <w:t>*Potential population: see specifications for performance indicator 10 measure (a) for information on the calculation of the potential population, and additional counting rules for</w:t>
            </w:r>
            <w:r w:rsidR="00C625E8">
              <w:t xml:space="preserve"> the numerator and denominator.</w:t>
            </w:r>
          </w:p>
          <w:p w14:paraId="66BFE25E" w14:textId="77777777" w:rsidR="00C625E8" w:rsidRPr="00CA6134" w:rsidRDefault="00C625E8" w:rsidP="00CA6134">
            <w:pPr>
              <w:pStyle w:val="TableBodyNA"/>
              <w:rPr>
                <w:u w:val="single"/>
              </w:rPr>
            </w:pPr>
            <w:r w:rsidRPr="00CA6134">
              <w:rPr>
                <w:u w:val="single"/>
              </w:rPr>
              <w:t xml:space="preserve">Supplementary measure: </w:t>
            </w:r>
          </w:p>
          <w:p w14:paraId="6A5C276F" w14:textId="77777777" w:rsidR="00C625E8" w:rsidRPr="00C625E8" w:rsidRDefault="00C625E8" w:rsidP="00CA6134">
            <w:pPr>
              <w:pStyle w:val="TableBodyNA"/>
            </w:pPr>
            <w:r w:rsidRPr="00C454A6">
              <w:t>Measure (b): the proportion of children attending a preschool program in the ye</w:t>
            </w:r>
            <w:r>
              <w:t xml:space="preserve">ar before full time schooling. </w:t>
            </w:r>
          </w:p>
          <w:p w14:paraId="6C61ADC1" w14:textId="77777777" w:rsidR="00C625E8" w:rsidRPr="00C454A6" w:rsidRDefault="00C625E8" w:rsidP="00CA6134">
            <w:pPr>
              <w:pStyle w:val="TableBodyNA"/>
            </w:pPr>
            <w:r w:rsidRPr="00C454A6">
              <w:t>The measure is defined as:</w:t>
            </w:r>
          </w:p>
          <w:p w14:paraId="7A53BC8C" w14:textId="77777777" w:rsidR="00C625E8" w:rsidRPr="00C454A6" w:rsidRDefault="00C625E8" w:rsidP="00C625E8">
            <w:pPr>
              <w:pStyle w:val="TableBullet"/>
            </w:pPr>
            <w:r w:rsidRPr="00C454A6">
              <w:rPr>
                <w:i/>
              </w:rPr>
              <w:t>Numerator</w:t>
            </w:r>
            <w:r w:rsidRPr="00C454A6">
              <w:t xml:space="preserve"> — the number children attending a preschool program </w:t>
            </w:r>
            <w:r>
              <w:t>(</w:t>
            </w:r>
            <w:r w:rsidRPr="00C454A6">
              <w:t>for at least one hour in the reference week</w:t>
            </w:r>
            <w:r>
              <w:t>) in the year before full time schooling</w:t>
            </w:r>
          </w:p>
          <w:p w14:paraId="79753560" w14:textId="3B296B49" w:rsidR="00C625E8" w:rsidRPr="00C454A6" w:rsidRDefault="00C625E8" w:rsidP="00C625E8">
            <w:pPr>
              <w:pStyle w:val="TableBullet"/>
            </w:pPr>
            <w:r w:rsidRPr="00C454A6">
              <w:rPr>
                <w:i/>
              </w:rPr>
              <w:t>Denominator</w:t>
            </w:r>
            <w:r w:rsidRPr="00C454A6">
              <w:t xml:space="preserve"> —</w:t>
            </w:r>
            <w:r w:rsidR="001A03C8">
              <w:t xml:space="preserve"> </w:t>
            </w:r>
            <w:r w:rsidRPr="00C454A6">
              <w:t>estimated number of children enrolled in a preschool program in the year before full time schooling.</w:t>
            </w:r>
          </w:p>
          <w:p w14:paraId="6B8B8BEE" w14:textId="208DA115" w:rsidR="00C625E8" w:rsidRPr="00C625E8" w:rsidRDefault="00C625E8" w:rsidP="00CA6134">
            <w:pPr>
              <w:pStyle w:val="TableBodyNA"/>
            </w:pPr>
            <w:r w:rsidRPr="00C454A6">
              <w:t>presented as a percentage.</w:t>
            </w:r>
          </w:p>
        </w:tc>
      </w:tr>
      <w:tr w:rsidR="0077722E" w:rsidRPr="00C454A6" w14:paraId="487D6E18" w14:textId="77777777" w:rsidTr="007F3549">
        <w:tc>
          <w:tcPr>
            <w:tcW w:w="1985" w:type="dxa"/>
            <w:shd w:val="clear" w:color="auto" w:fill="auto"/>
          </w:tcPr>
          <w:p w14:paraId="5F8FD851" w14:textId="77777777" w:rsidR="0077722E" w:rsidRPr="00C454A6" w:rsidRDefault="0077722E" w:rsidP="00CA6134">
            <w:pPr>
              <w:pStyle w:val="TableBodyNA"/>
            </w:pPr>
            <w:r w:rsidRPr="00C454A6">
              <w:t>Related performance indicators:</w:t>
            </w:r>
          </w:p>
          <w:p w14:paraId="2C6A8A05" w14:textId="77777777" w:rsidR="0077722E" w:rsidRPr="00C454A6" w:rsidRDefault="0077722E" w:rsidP="00CA6134">
            <w:pPr>
              <w:pStyle w:val="TableBodyNA"/>
            </w:pPr>
          </w:p>
        </w:tc>
        <w:tc>
          <w:tcPr>
            <w:tcW w:w="6804" w:type="dxa"/>
            <w:shd w:val="clear" w:color="auto" w:fill="auto"/>
          </w:tcPr>
          <w:p w14:paraId="71EA66FA" w14:textId="2026726A" w:rsidR="0077722E" w:rsidRPr="00C454A6" w:rsidRDefault="0077722E" w:rsidP="00CA6134">
            <w:pPr>
              <w:pStyle w:val="TableBodyNA"/>
            </w:pPr>
            <w:r w:rsidRPr="00C454A6">
              <w:t>Performance indicator 10: The proportion of Indigenous children, who are enrolled in (and attending, where possible to measure) a preschool program in the</w:t>
            </w:r>
            <w:r w:rsidR="00C625E8">
              <w:t xml:space="preserve"> year before formal schooling </w:t>
            </w:r>
          </w:p>
        </w:tc>
      </w:tr>
      <w:tr w:rsidR="00C625E8" w:rsidRPr="00C454A6" w14:paraId="40191606" w14:textId="77777777" w:rsidTr="007F3549">
        <w:tc>
          <w:tcPr>
            <w:tcW w:w="1985" w:type="dxa"/>
            <w:shd w:val="clear" w:color="auto" w:fill="auto"/>
          </w:tcPr>
          <w:p w14:paraId="30BDC588" w14:textId="1C698F28" w:rsidR="00C625E8" w:rsidRPr="00C454A6" w:rsidRDefault="00C625E8" w:rsidP="00CA6134">
            <w:pPr>
              <w:pStyle w:val="TableBodyNA"/>
            </w:pPr>
            <w:r w:rsidRPr="00C454A6">
              <w:t>Data source</w:t>
            </w:r>
            <w:r>
              <w:t>:</w:t>
            </w:r>
          </w:p>
        </w:tc>
        <w:tc>
          <w:tcPr>
            <w:tcW w:w="6804" w:type="dxa"/>
            <w:shd w:val="clear" w:color="auto" w:fill="auto"/>
          </w:tcPr>
          <w:p w14:paraId="50558C65" w14:textId="77777777" w:rsidR="00C625E8" w:rsidRPr="00CC1F44" w:rsidRDefault="00C625E8" w:rsidP="00CA6134">
            <w:pPr>
              <w:pStyle w:val="TableBodyNA"/>
            </w:pPr>
            <w:r w:rsidRPr="00CC1F44">
              <w:t>Main measure:</w:t>
            </w:r>
          </w:p>
          <w:p w14:paraId="7CF7F111" w14:textId="77777777" w:rsidR="00C625E8" w:rsidRPr="00C454A6" w:rsidRDefault="00C625E8" w:rsidP="00CA6134">
            <w:pPr>
              <w:pStyle w:val="TableBodyNA"/>
              <w:rPr>
                <w:i/>
              </w:rPr>
            </w:pPr>
            <w:r w:rsidRPr="00C454A6">
              <w:rPr>
                <w:i/>
              </w:rPr>
              <w:t xml:space="preserve">Numerator </w:t>
            </w:r>
            <w:r w:rsidRPr="00C454A6">
              <w:t xml:space="preserve">— ABS </w:t>
            </w:r>
            <w:r w:rsidRPr="008822BF">
              <w:rPr>
                <w:u w:val="single"/>
              </w:rPr>
              <w:t>National Early Childhood Education and Care Collection</w:t>
            </w:r>
            <w:r w:rsidRPr="00C454A6">
              <w:t xml:space="preserve"> (NECECC)</w:t>
            </w:r>
          </w:p>
          <w:p w14:paraId="4EE810C3" w14:textId="20798916" w:rsidR="00C625E8" w:rsidRDefault="00C625E8" w:rsidP="00CA6134">
            <w:pPr>
              <w:pStyle w:val="TableBodyNA"/>
            </w:pPr>
            <w:r w:rsidRPr="00C454A6">
              <w:rPr>
                <w:i/>
              </w:rPr>
              <w:t>Denominator</w:t>
            </w:r>
            <w:r w:rsidRPr="00C454A6">
              <w:t xml:space="preserve"> — ABS </w:t>
            </w:r>
            <w:r w:rsidRPr="008822BF">
              <w:rPr>
                <w:u w:val="single"/>
              </w:rPr>
              <w:t>Estimates and Projections</w:t>
            </w:r>
            <w:r w:rsidRPr="00C454A6">
              <w:t xml:space="preserve"> for </w:t>
            </w:r>
            <w:r w:rsidR="00055D5D">
              <w:t>Aboriginal and Torres Strait Islander</w:t>
            </w:r>
            <w:r w:rsidRPr="00C454A6">
              <w:t xml:space="preserve"> population. Non</w:t>
            </w:r>
            <w:r w:rsidR="00FA5150">
              <w:noBreakHyphen/>
            </w:r>
            <w:r w:rsidRPr="00C454A6">
              <w:t xml:space="preserve">Indigenous population estimates are calculated by subtracting </w:t>
            </w:r>
            <w:r w:rsidR="00055D5D">
              <w:t xml:space="preserve">Aboriginal and Torres Strait Islander </w:t>
            </w:r>
            <w:r w:rsidRPr="00C454A6">
              <w:t xml:space="preserve">population </w:t>
            </w:r>
            <w:r w:rsidR="00055D5D">
              <w:t>estimates/</w:t>
            </w:r>
            <w:r w:rsidRPr="00C454A6">
              <w:t xml:space="preserve">projections from total population estimates. </w:t>
            </w:r>
            <w:r>
              <w:t xml:space="preserve">Denominator includes deductions for children in the target age ranges who are enrolled in school from </w:t>
            </w:r>
            <w:r w:rsidRPr="008822BF">
              <w:rPr>
                <w:i/>
              </w:rPr>
              <w:t>ABS Schools Australia</w:t>
            </w:r>
            <w:r w:rsidR="004E207F">
              <w:t xml:space="preserve">. </w:t>
            </w:r>
          </w:p>
          <w:p w14:paraId="37D7DEC9" w14:textId="048F4857" w:rsidR="00C625E8" w:rsidRDefault="00C625E8" w:rsidP="00CA6134">
            <w:pPr>
              <w:pStyle w:val="TableBodyNA"/>
            </w:pPr>
            <w:r>
              <w:t>Supplementary measure</w:t>
            </w:r>
            <w:r w:rsidR="00E002E4">
              <w:t>:</w:t>
            </w:r>
          </w:p>
          <w:p w14:paraId="7B4FD130" w14:textId="6F8A859B" w:rsidR="00C625E8" w:rsidRPr="00C454A6" w:rsidRDefault="00C625E8" w:rsidP="00CA6134">
            <w:pPr>
              <w:pStyle w:val="TableBodyNA"/>
            </w:pPr>
            <w:r w:rsidRPr="00C454A6">
              <w:rPr>
                <w:i/>
              </w:rPr>
              <w:t>Numerator</w:t>
            </w:r>
            <w:r>
              <w:rPr>
                <w:i/>
              </w:rPr>
              <w:t xml:space="preserve"> and denominator</w:t>
            </w:r>
            <w:r w:rsidRPr="00C454A6">
              <w:rPr>
                <w:i/>
              </w:rPr>
              <w:t xml:space="preserve"> </w:t>
            </w:r>
            <w:r w:rsidRPr="00C454A6">
              <w:t xml:space="preserve">— ABS </w:t>
            </w:r>
            <w:r w:rsidRPr="008822BF">
              <w:rPr>
                <w:u w:val="single"/>
              </w:rPr>
              <w:t>National Early Childhood Education and Care Collection</w:t>
            </w:r>
            <w:r w:rsidRPr="00C454A6">
              <w:t xml:space="preserve"> (NECECC).</w:t>
            </w:r>
          </w:p>
        </w:tc>
      </w:tr>
      <w:tr w:rsidR="00C625E8" w:rsidRPr="00C454A6" w14:paraId="7790D368" w14:textId="77777777" w:rsidTr="007F3549">
        <w:tc>
          <w:tcPr>
            <w:tcW w:w="1985" w:type="dxa"/>
            <w:shd w:val="clear" w:color="auto" w:fill="auto"/>
          </w:tcPr>
          <w:p w14:paraId="37DF8170" w14:textId="518B6AF1" w:rsidR="00C625E8" w:rsidRPr="00C454A6" w:rsidRDefault="00C625E8" w:rsidP="00CA6134">
            <w:pPr>
              <w:pStyle w:val="TableBodyNA"/>
            </w:pPr>
            <w:r>
              <w:t>Data provider</w:t>
            </w:r>
          </w:p>
        </w:tc>
        <w:tc>
          <w:tcPr>
            <w:tcW w:w="6804" w:type="dxa"/>
            <w:shd w:val="clear" w:color="auto" w:fill="auto"/>
          </w:tcPr>
          <w:p w14:paraId="14756AD9" w14:textId="4628B539" w:rsidR="00C625E8" w:rsidRPr="00CC1F44" w:rsidRDefault="00C625E8" w:rsidP="00CA6134">
            <w:pPr>
              <w:pStyle w:val="TableBodyNA"/>
            </w:pPr>
            <w:r>
              <w:t>ABS</w:t>
            </w:r>
          </w:p>
        </w:tc>
      </w:tr>
      <w:tr w:rsidR="00C625E8" w:rsidRPr="00C454A6" w14:paraId="391C2958" w14:textId="77777777" w:rsidTr="007F3549">
        <w:tc>
          <w:tcPr>
            <w:tcW w:w="1985" w:type="dxa"/>
            <w:shd w:val="clear" w:color="auto" w:fill="auto"/>
          </w:tcPr>
          <w:p w14:paraId="105615D8" w14:textId="5AEC4AF3" w:rsidR="00C625E8" w:rsidRDefault="00C625E8" w:rsidP="00CA6134">
            <w:pPr>
              <w:pStyle w:val="TableBodyNA"/>
            </w:pPr>
            <w:r>
              <w:t>Data availability:</w:t>
            </w:r>
          </w:p>
        </w:tc>
        <w:tc>
          <w:tcPr>
            <w:tcW w:w="6804" w:type="dxa"/>
            <w:shd w:val="clear" w:color="auto" w:fill="auto"/>
          </w:tcPr>
          <w:p w14:paraId="52316704" w14:textId="7B000EE1" w:rsidR="00C625E8" w:rsidRPr="00C454A6" w:rsidRDefault="00E002E4" w:rsidP="00CA6134">
            <w:pPr>
              <w:pStyle w:val="TableBodyNA"/>
            </w:pPr>
            <w:r w:rsidRPr="00C454A6">
              <w:t>201</w:t>
            </w:r>
            <w:r>
              <w:t>8</w:t>
            </w:r>
            <w:r w:rsidRPr="00C454A6">
              <w:t xml:space="preserve"> </w:t>
            </w:r>
            <w:r w:rsidR="00C625E8" w:rsidRPr="00C454A6">
              <w:t>NECECC</w:t>
            </w:r>
          </w:p>
          <w:p w14:paraId="5190BFD5" w14:textId="3C01FA74" w:rsidR="00C625E8" w:rsidRDefault="00FE7AE3" w:rsidP="00CA6134">
            <w:pPr>
              <w:pStyle w:val="TableBodyNA"/>
            </w:pPr>
            <w:r>
              <w:t>30</w:t>
            </w:r>
            <w:r w:rsidR="00F34E12">
              <w:t> </w:t>
            </w:r>
            <w:r>
              <w:t>June 2018 (revised 2015 to 2017) (based on 2016 Census) — Population data</w:t>
            </w:r>
          </w:p>
        </w:tc>
      </w:tr>
      <w:tr w:rsidR="00C625E8" w:rsidRPr="00C454A6" w14:paraId="7881B4FB" w14:textId="77777777" w:rsidTr="007F3549">
        <w:tc>
          <w:tcPr>
            <w:tcW w:w="1985" w:type="dxa"/>
            <w:shd w:val="clear" w:color="auto" w:fill="auto"/>
          </w:tcPr>
          <w:p w14:paraId="561B58A4" w14:textId="29AC12FD" w:rsidR="00C625E8" w:rsidRDefault="00C625E8" w:rsidP="00CA6134">
            <w:pPr>
              <w:pStyle w:val="TableBodyNA"/>
            </w:pPr>
            <w:r>
              <w:t>Baseline:</w:t>
            </w:r>
          </w:p>
        </w:tc>
        <w:tc>
          <w:tcPr>
            <w:tcW w:w="6804" w:type="dxa"/>
            <w:shd w:val="clear" w:color="auto" w:fill="auto"/>
          </w:tcPr>
          <w:p w14:paraId="72245FF2" w14:textId="32474F13" w:rsidR="00C625E8" w:rsidRPr="00C454A6" w:rsidRDefault="00C625E8" w:rsidP="00CA6134">
            <w:pPr>
              <w:pStyle w:val="TableBodyNA"/>
            </w:pPr>
            <w:r w:rsidRPr="00C454A6">
              <w:t>The baseline for the target is 2015</w:t>
            </w:r>
          </w:p>
        </w:tc>
      </w:tr>
      <w:tr w:rsidR="00C625E8" w:rsidRPr="00C454A6" w14:paraId="46502548" w14:textId="77777777" w:rsidTr="007F3549">
        <w:tc>
          <w:tcPr>
            <w:tcW w:w="1985" w:type="dxa"/>
            <w:shd w:val="clear" w:color="auto" w:fill="auto"/>
          </w:tcPr>
          <w:p w14:paraId="2425A613" w14:textId="45F541A9" w:rsidR="00C625E8" w:rsidRDefault="00C625E8" w:rsidP="00CA6134">
            <w:pPr>
              <w:pStyle w:val="TableBodyNA"/>
            </w:pPr>
            <w:r w:rsidRPr="00C454A6">
              <w:t>Cross tabulations provided:</w:t>
            </w:r>
          </w:p>
        </w:tc>
        <w:tc>
          <w:tcPr>
            <w:tcW w:w="6804" w:type="dxa"/>
            <w:shd w:val="clear" w:color="auto" w:fill="auto"/>
          </w:tcPr>
          <w:p w14:paraId="76EFB4C1" w14:textId="7E00139C" w:rsidR="00C625E8" w:rsidRDefault="00C625E8" w:rsidP="00CA6134">
            <w:pPr>
              <w:pStyle w:val="TableBodyNA"/>
            </w:pPr>
            <w:r w:rsidRPr="00C454A6">
              <w:t>State and Territory</w:t>
            </w:r>
            <w:r w:rsidR="002D402D">
              <w:t>,</w:t>
            </w:r>
            <w:r w:rsidRPr="00C454A6">
              <w:t xml:space="preserve"> by Indigenous status</w:t>
            </w:r>
          </w:p>
          <w:p w14:paraId="5360DECC" w14:textId="77777777" w:rsidR="00C625E8" w:rsidRPr="00C454A6" w:rsidRDefault="00C625E8" w:rsidP="00CA6134">
            <w:pPr>
              <w:pStyle w:val="TableBodyNA"/>
            </w:pPr>
          </w:p>
        </w:tc>
      </w:tr>
    </w:tbl>
    <w:p w14:paraId="177F8AAA" w14:textId="19B41535" w:rsidR="004F00F4" w:rsidRDefault="004F00F4" w:rsidP="00C625E8"/>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4F00F4" w14:paraId="3850984F" w14:textId="77777777" w:rsidTr="008F5A63">
        <w:tc>
          <w:tcPr>
            <w:tcW w:w="8789" w:type="dxa"/>
            <w:tcBorders>
              <w:top w:val="single" w:sz="6" w:space="0" w:color="78A22F"/>
              <w:left w:val="nil"/>
              <w:bottom w:val="nil"/>
              <w:right w:val="nil"/>
            </w:tcBorders>
            <w:shd w:val="clear" w:color="auto" w:fill="F2F2F2"/>
          </w:tcPr>
          <w:p w14:paraId="12F767AA" w14:textId="3C1A38B3" w:rsidR="004F00F4" w:rsidRDefault="004F00F4" w:rsidP="00EB22C4">
            <w:pPr>
              <w:pStyle w:val="BoxTitle"/>
            </w:pPr>
            <w:r>
              <w:rPr>
                <w:b w:val="0"/>
              </w:rPr>
              <w:t xml:space="preserve">Box </w:t>
            </w:r>
            <w:r w:rsidR="00EB22C4">
              <w:rPr>
                <w:b w:val="0"/>
              </w:rPr>
              <w:t>5</w:t>
            </w:r>
            <w:r>
              <w:tab/>
              <w:t>Results</w:t>
            </w:r>
          </w:p>
        </w:tc>
      </w:tr>
      <w:tr w:rsidR="004F00F4" w:rsidRPr="004F00F4" w14:paraId="3C8AC9E0" w14:textId="77777777" w:rsidTr="008F5A63">
        <w:trPr>
          <w:cantSplit/>
        </w:trPr>
        <w:tc>
          <w:tcPr>
            <w:tcW w:w="8789" w:type="dxa"/>
            <w:tcBorders>
              <w:top w:val="nil"/>
              <w:left w:val="nil"/>
              <w:bottom w:val="nil"/>
              <w:right w:val="nil"/>
            </w:tcBorders>
            <w:shd w:val="clear" w:color="auto" w:fill="F2F2F2"/>
          </w:tcPr>
          <w:p w14:paraId="7ACB8272" w14:textId="04F4976A" w:rsidR="00973286" w:rsidRPr="00C454A6" w:rsidRDefault="00C454A6" w:rsidP="00AD2E5A">
            <w:pPr>
              <w:pStyle w:val="Box"/>
            </w:pPr>
            <w:r w:rsidRPr="00C454A6">
              <w:t xml:space="preserve">For this report, new data are available for </w:t>
            </w:r>
            <w:r w:rsidR="004E207F" w:rsidRPr="00C454A6">
              <w:t>201</w:t>
            </w:r>
            <w:r w:rsidR="004E207F">
              <w:t>8</w:t>
            </w:r>
            <w:r w:rsidRPr="00C454A6">
              <w:t xml:space="preserve">. </w:t>
            </w:r>
          </w:p>
          <w:p w14:paraId="609A6FBD" w14:textId="4E925A40" w:rsidR="00C454A6" w:rsidRPr="00C454A6" w:rsidRDefault="00C454A6" w:rsidP="00AD2E5A">
            <w:pPr>
              <w:pStyle w:val="BoxListBullet"/>
            </w:pPr>
            <w:r w:rsidRPr="00C454A6">
              <w:t>Data for children enrolled in a preschool program in the year before full time schooling, by Indigenous status are presented in table NIRA.10.1.</w:t>
            </w:r>
            <w:r w:rsidR="004E207F">
              <w:t xml:space="preserve"> </w:t>
            </w:r>
            <w:r w:rsidR="00843944">
              <w:t>Revised d</w:t>
            </w:r>
            <w:r w:rsidR="004E207F">
              <w:t xml:space="preserve">ata </w:t>
            </w:r>
            <w:r w:rsidR="00EB22C4">
              <w:t xml:space="preserve">for </w:t>
            </w:r>
            <w:r w:rsidR="004E207F">
              <w:t>2015 to 2017</w:t>
            </w:r>
            <w:r w:rsidR="00843944">
              <w:t xml:space="preserve"> are in </w:t>
            </w:r>
            <w:r w:rsidR="004E207F">
              <w:t>tables NIRA.10.4–6</w:t>
            </w:r>
            <w:r w:rsidR="00843944">
              <w:t>.</w:t>
            </w:r>
            <w:r w:rsidR="004E207F">
              <w:t xml:space="preserve"> </w:t>
            </w:r>
          </w:p>
          <w:p w14:paraId="134A0F14" w14:textId="2745537D" w:rsidR="00C454A6" w:rsidRPr="00C454A6" w:rsidRDefault="00C454A6" w:rsidP="00AD2E5A">
            <w:pPr>
              <w:pStyle w:val="BoxListBullet"/>
            </w:pPr>
            <w:r w:rsidRPr="00C454A6">
              <w:t>Data for children attending a preschool program in the year before full time schooling, by Indigenous status are presented in table NIRA.10.2.</w:t>
            </w:r>
          </w:p>
          <w:p w14:paraId="06EFE758" w14:textId="526FB3FE" w:rsidR="00C454A6" w:rsidRPr="00EF3A24" w:rsidRDefault="00C454A6" w:rsidP="00AD2E5A">
            <w:pPr>
              <w:pStyle w:val="Box"/>
              <w:rPr>
                <w:highlight w:val="yellow"/>
              </w:rPr>
            </w:pPr>
            <w:r w:rsidRPr="00C454A6">
              <w:t xml:space="preserve">Additional data are available under performance indicator 10. </w:t>
            </w:r>
          </w:p>
        </w:tc>
      </w:tr>
      <w:tr w:rsidR="004F00F4" w14:paraId="5381930D" w14:textId="77777777" w:rsidTr="008F5A63">
        <w:trPr>
          <w:cantSplit/>
        </w:trPr>
        <w:tc>
          <w:tcPr>
            <w:tcW w:w="8789" w:type="dxa"/>
            <w:tcBorders>
              <w:top w:val="nil"/>
              <w:left w:val="nil"/>
              <w:bottom w:val="single" w:sz="6" w:space="0" w:color="78A22F"/>
              <w:right w:val="nil"/>
            </w:tcBorders>
            <w:shd w:val="clear" w:color="auto" w:fill="F2F2F2"/>
          </w:tcPr>
          <w:p w14:paraId="336F64FA" w14:textId="77777777" w:rsidR="004F00F4" w:rsidRDefault="004F00F4" w:rsidP="00C454A6">
            <w:pPr>
              <w:pStyle w:val="Box"/>
              <w:pBdr>
                <w:right w:val="single" w:sz="6" w:space="4" w:color="auto"/>
              </w:pBdr>
              <w:spacing w:before="0" w:line="120" w:lineRule="exact"/>
            </w:pPr>
          </w:p>
        </w:tc>
      </w:tr>
      <w:tr w:rsidR="004F00F4" w:rsidRPr="000863A5" w14:paraId="09A36643" w14:textId="77777777" w:rsidTr="008F5A63">
        <w:tc>
          <w:tcPr>
            <w:tcW w:w="8789" w:type="dxa"/>
            <w:tcBorders>
              <w:top w:val="single" w:sz="6" w:space="0" w:color="78A22F"/>
              <w:left w:val="nil"/>
              <w:bottom w:val="nil"/>
              <w:right w:val="nil"/>
            </w:tcBorders>
          </w:tcPr>
          <w:p w14:paraId="2CF33776" w14:textId="77777777" w:rsidR="004F00F4" w:rsidRPr="00626D32" w:rsidRDefault="004F00F4" w:rsidP="00680847">
            <w:pPr>
              <w:pStyle w:val="BoxSpaceBelow"/>
            </w:pPr>
          </w:p>
        </w:tc>
      </w:tr>
    </w:tbl>
    <w:p w14:paraId="5C96DB40" w14:textId="77777777" w:rsidR="004F00F4" w:rsidRDefault="004F00F4">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4F00F4" w14:paraId="3F4C1673" w14:textId="77777777" w:rsidTr="008F5A63">
        <w:tc>
          <w:tcPr>
            <w:tcW w:w="8789" w:type="dxa"/>
            <w:tcBorders>
              <w:top w:val="single" w:sz="6" w:space="0" w:color="78A22F"/>
              <w:left w:val="nil"/>
              <w:bottom w:val="nil"/>
              <w:right w:val="nil"/>
            </w:tcBorders>
            <w:shd w:val="clear" w:color="auto" w:fill="F2F2F2"/>
          </w:tcPr>
          <w:p w14:paraId="226607F5" w14:textId="22590BA4" w:rsidR="004F00F4" w:rsidRDefault="004F00F4" w:rsidP="00EB22C4">
            <w:pPr>
              <w:pStyle w:val="BoxTitle"/>
            </w:pPr>
            <w:r>
              <w:rPr>
                <w:b w:val="0"/>
              </w:rPr>
              <w:t xml:space="preserve">Box </w:t>
            </w:r>
            <w:r w:rsidR="00EB22C4">
              <w:rPr>
                <w:b w:val="0"/>
              </w:rPr>
              <w:t>6</w:t>
            </w:r>
            <w:r>
              <w:tab/>
              <w:t>Comment on data quality</w:t>
            </w:r>
          </w:p>
        </w:tc>
      </w:tr>
      <w:tr w:rsidR="004F00F4" w14:paraId="337F1957" w14:textId="77777777" w:rsidTr="008F5A63">
        <w:trPr>
          <w:cantSplit/>
        </w:trPr>
        <w:tc>
          <w:tcPr>
            <w:tcW w:w="8789" w:type="dxa"/>
            <w:tcBorders>
              <w:top w:val="nil"/>
              <w:left w:val="nil"/>
              <w:bottom w:val="nil"/>
              <w:right w:val="nil"/>
            </w:tcBorders>
            <w:shd w:val="clear" w:color="auto" w:fill="F2F2F2"/>
          </w:tcPr>
          <w:p w14:paraId="65060873" w14:textId="77777777" w:rsidR="004F00F4" w:rsidRDefault="004F00F4" w:rsidP="00680847">
            <w:pPr>
              <w:pStyle w:val="Box"/>
            </w:pPr>
            <w:r>
              <w:t>Details are included in the comment on data quality for performance indicator 10.</w:t>
            </w:r>
          </w:p>
        </w:tc>
      </w:tr>
      <w:tr w:rsidR="004F00F4" w14:paraId="366E5F7A" w14:textId="77777777" w:rsidTr="008F5A63">
        <w:trPr>
          <w:cantSplit/>
        </w:trPr>
        <w:tc>
          <w:tcPr>
            <w:tcW w:w="8789" w:type="dxa"/>
            <w:tcBorders>
              <w:top w:val="nil"/>
              <w:left w:val="nil"/>
              <w:bottom w:val="single" w:sz="6" w:space="0" w:color="78A22F"/>
              <w:right w:val="nil"/>
            </w:tcBorders>
            <w:shd w:val="clear" w:color="auto" w:fill="F2F2F2"/>
          </w:tcPr>
          <w:p w14:paraId="2DFBF839" w14:textId="77777777" w:rsidR="004F00F4" w:rsidRDefault="004F00F4">
            <w:pPr>
              <w:pStyle w:val="Box"/>
              <w:spacing w:before="0" w:line="120" w:lineRule="exact"/>
            </w:pPr>
          </w:p>
        </w:tc>
      </w:tr>
      <w:tr w:rsidR="004F00F4" w:rsidRPr="000863A5" w14:paraId="2A433538" w14:textId="77777777" w:rsidTr="008F5A63">
        <w:tc>
          <w:tcPr>
            <w:tcW w:w="8789" w:type="dxa"/>
            <w:tcBorders>
              <w:top w:val="single" w:sz="6" w:space="0" w:color="78A22F"/>
              <w:left w:val="nil"/>
              <w:bottom w:val="nil"/>
              <w:right w:val="nil"/>
            </w:tcBorders>
          </w:tcPr>
          <w:p w14:paraId="43518AB6" w14:textId="77777777" w:rsidR="004F00F4" w:rsidRPr="00626D32" w:rsidRDefault="004F00F4" w:rsidP="00680847">
            <w:pPr>
              <w:pStyle w:val="BoxSpaceBelow"/>
            </w:pPr>
          </w:p>
        </w:tc>
      </w:tr>
    </w:tbl>
    <w:p w14:paraId="6F5D7BA9" w14:textId="77777777" w:rsidR="004F00F4" w:rsidRDefault="004F00F4" w:rsidP="004F00F4">
      <w:pPr>
        <w:pStyle w:val="BodyText"/>
        <w:rPr>
          <w:rFonts w:ascii="Arial" w:hAnsi="Arial"/>
          <w:sz w:val="20"/>
        </w:rPr>
      </w:pPr>
      <w:r>
        <w:br w:type="page"/>
      </w:r>
    </w:p>
    <w:p w14:paraId="705DE5D2" w14:textId="77777777" w:rsidR="004F00F4" w:rsidRDefault="004F00F4" w:rsidP="008F5A63">
      <w:pPr>
        <w:pStyle w:val="Heading3"/>
        <w:spacing w:after="120"/>
      </w:pPr>
      <w:r w:rsidRPr="00D87AA9">
        <w:lastRenderedPageBreak/>
        <w:t xml:space="preserve">Performance target (d) — halve the gap </w:t>
      </w:r>
      <w:r>
        <w:t>in reading, writing and numeracy achievement for Indigenous children by 2018</w:t>
      </w:r>
    </w:p>
    <w:tbl>
      <w:tblPr>
        <w:tblW w:w="0" w:type="auto"/>
        <w:tblCellMar>
          <w:left w:w="0" w:type="dxa"/>
          <w:right w:w="0" w:type="dxa"/>
        </w:tblCellMar>
        <w:tblLook w:val="0000" w:firstRow="0" w:lastRow="0" w:firstColumn="0" w:lastColumn="0" w:noHBand="0" w:noVBand="0"/>
      </w:tblPr>
      <w:tblGrid>
        <w:gridCol w:w="1985"/>
        <w:gridCol w:w="6804"/>
      </w:tblGrid>
      <w:tr w:rsidR="004F00F4" w:rsidRPr="00D87AA9" w14:paraId="280FA929" w14:textId="77777777" w:rsidTr="00680847">
        <w:tc>
          <w:tcPr>
            <w:tcW w:w="1985" w:type="dxa"/>
          </w:tcPr>
          <w:p w14:paraId="7B1A95EE" w14:textId="51DCC676" w:rsidR="004F00F4" w:rsidRPr="00D87AA9" w:rsidRDefault="004F00F4" w:rsidP="00CA6134">
            <w:pPr>
              <w:pStyle w:val="TableBodyNA"/>
            </w:pPr>
            <w:r w:rsidRPr="00B82DC5">
              <w:t xml:space="preserve">Key amendments from previous cycle </w:t>
            </w:r>
            <w:r w:rsidR="00C625E8">
              <w:t>of reporting:</w:t>
            </w:r>
          </w:p>
        </w:tc>
        <w:tc>
          <w:tcPr>
            <w:tcW w:w="6804" w:type="dxa"/>
          </w:tcPr>
          <w:p w14:paraId="45F6CC7D" w14:textId="5AC04D2D" w:rsidR="004F00F4" w:rsidRPr="00D87AA9" w:rsidRDefault="006341FA" w:rsidP="006341FA">
            <w:pPr>
              <w:pStyle w:val="TableBodyNA"/>
            </w:pPr>
            <w:r>
              <w:t>D</w:t>
            </w:r>
            <w:r w:rsidR="00625E4E">
              <w:t xml:space="preserve">ata </w:t>
            </w:r>
            <w:r>
              <w:t xml:space="preserve">for 2018 </w:t>
            </w:r>
            <w:r w:rsidR="00625E4E">
              <w:t>are available for this report.</w:t>
            </w:r>
          </w:p>
        </w:tc>
      </w:tr>
      <w:tr w:rsidR="00C625E8" w:rsidRPr="00D87AA9" w14:paraId="3CEEF1A5" w14:textId="77777777" w:rsidTr="00680847">
        <w:tc>
          <w:tcPr>
            <w:tcW w:w="1985" w:type="dxa"/>
          </w:tcPr>
          <w:p w14:paraId="0161587D" w14:textId="35B91DF9" w:rsidR="00C625E8" w:rsidRPr="00B82DC5" w:rsidRDefault="00C625E8" w:rsidP="00CA6134">
            <w:pPr>
              <w:pStyle w:val="TableBodyNA"/>
            </w:pPr>
            <w:r>
              <w:t>Outcome:</w:t>
            </w:r>
          </w:p>
        </w:tc>
        <w:tc>
          <w:tcPr>
            <w:tcW w:w="6804" w:type="dxa"/>
          </w:tcPr>
          <w:p w14:paraId="0E8C719B" w14:textId="4FAF59BD" w:rsidR="00C625E8" w:rsidRPr="00994C99" w:rsidRDefault="00C625E8" w:rsidP="00CA6134">
            <w:pPr>
              <w:pStyle w:val="TableBodyNA"/>
            </w:pPr>
            <w:r w:rsidRPr="00994C99">
              <w:t>The aim of this target is to halve the gap for Indigenous students in reading, writing and nu</w:t>
            </w:r>
            <w:r>
              <w:t>meracy within a decade (</w:t>
            </w:r>
            <w:r w:rsidR="00843944">
              <w:t>by 2018)</w:t>
            </w:r>
          </w:p>
        </w:tc>
      </w:tr>
      <w:tr w:rsidR="004F00F4" w:rsidRPr="00D87AA9" w14:paraId="1F532C69" w14:textId="77777777" w:rsidTr="00680847">
        <w:tc>
          <w:tcPr>
            <w:tcW w:w="1985" w:type="dxa"/>
          </w:tcPr>
          <w:p w14:paraId="022A9705" w14:textId="77777777" w:rsidR="004F00F4" w:rsidRPr="00D87AA9" w:rsidRDefault="004F00F4" w:rsidP="00CA6134">
            <w:pPr>
              <w:pStyle w:val="TableBodyNA"/>
            </w:pPr>
            <w:r w:rsidRPr="00D87AA9">
              <w:t xml:space="preserve">Measure: </w:t>
            </w:r>
          </w:p>
          <w:p w14:paraId="36F05B55" w14:textId="77777777" w:rsidR="004F00F4" w:rsidRPr="00D87AA9" w:rsidRDefault="004F00F4" w:rsidP="00CA6134">
            <w:pPr>
              <w:pStyle w:val="TableBodyNA"/>
            </w:pPr>
          </w:p>
        </w:tc>
        <w:tc>
          <w:tcPr>
            <w:tcW w:w="6804" w:type="dxa"/>
          </w:tcPr>
          <w:p w14:paraId="3DEC8E6B" w14:textId="77777777" w:rsidR="004F00F4" w:rsidRDefault="004F00F4" w:rsidP="00CA6134">
            <w:pPr>
              <w:pStyle w:val="TableBodyNA"/>
            </w:pPr>
            <w:r>
              <w:t>The measure is defined as the proportion of students at or above the national minimum standard for reading, writing and numeracy, in years 3, 5, 7 and 9, by Indigenous status</w:t>
            </w:r>
          </w:p>
          <w:p w14:paraId="60A7C591" w14:textId="25610C77" w:rsidR="004F00F4" w:rsidRPr="00CF6A16" w:rsidRDefault="004F00F4" w:rsidP="00CA6134">
            <w:pPr>
              <w:pStyle w:val="TableBodyNA"/>
            </w:pPr>
            <w:r>
              <w:t xml:space="preserve">[Note: National Assessment Program – Literacy and Numeracy (NAPLAN) reports the percentage of students who achieved at or above the national minimum standard. The complex process by which student scores are arrived at and distributed across the national achievement bands (using the Rasch model, a recognised analysis model for educational measurement) </w:t>
            </w:r>
            <w:r w:rsidR="00807379">
              <w:t xml:space="preserve">was </w:t>
            </w:r>
            <w:r>
              <w:t>agreed by states, territories and the Australian Government and endorsed by the then NAPLAN Expert Advisory Group. Due to the complexities of the methodology, it is not possible (with the data currently provided) to give a simple computation of the precise number of students at or above the national minimum standard, which is best reported in the bands designed for that purpose]</w:t>
            </w:r>
          </w:p>
        </w:tc>
      </w:tr>
      <w:tr w:rsidR="004F00F4" w:rsidRPr="00D87AA9" w14:paraId="5B9B7169" w14:textId="77777777" w:rsidTr="00680847">
        <w:tc>
          <w:tcPr>
            <w:tcW w:w="1985" w:type="dxa"/>
            <w:shd w:val="clear" w:color="auto" w:fill="auto"/>
          </w:tcPr>
          <w:p w14:paraId="03998376" w14:textId="172805FA" w:rsidR="004F00F4" w:rsidRPr="008C3B68" w:rsidRDefault="00C625E8" w:rsidP="00CA6134">
            <w:pPr>
              <w:pStyle w:val="TableBodyNA"/>
            </w:pPr>
            <w:r>
              <w:t>Related performance indicators:</w:t>
            </w:r>
          </w:p>
        </w:tc>
        <w:tc>
          <w:tcPr>
            <w:tcW w:w="6804" w:type="dxa"/>
            <w:shd w:val="clear" w:color="auto" w:fill="auto"/>
          </w:tcPr>
          <w:p w14:paraId="3354E9D5" w14:textId="77777777" w:rsidR="004F00F4" w:rsidRPr="00D87AA9" w:rsidRDefault="004F00F4" w:rsidP="00CA6134">
            <w:pPr>
              <w:pStyle w:val="TableBodyNA"/>
            </w:pPr>
            <w:r w:rsidRPr="00994C99">
              <w:t>Performance indicator 11: Percentage of students at or above the national minimum standard in reading, writing and numeracy for years 3, 5, 7 and 9</w:t>
            </w:r>
          </w:p>
        </w:tc>
      </w:tr>
      <w:tr w:rsidR="004F00F4" w:rsidRPr="00D87AA9" w14:paraId="4CEDEBC2" w14:textId="77777777" w:rsidTr="00680847">
        <w:tc>
          <w:tcPr>
            <w:tcW w:w="1985" w:type="dxa"/>
            <w:shd w:val="clear" w:color="auto" w:fill="auto"/>
          </w:tcPr>
          <w:p w14:paraId="32760059" w14:textId="757A0C01" w:rsidR="004F00F4" w:rsidRPr="00D87AA9" w:rsidRDefault="00C625E8" w:rsidP="00CA6134">
            <w:pPr>
              <w:pStyle w:val="TableBodyNA"/>
            </w:pPr>
            <w:r>
              <w:t>Data source:</w:t>
            </w:r>
          </w:p>
        </w:tc>
        <w:tc>
          <w:tcPr>
            <w:tcW w:w="6804" w:type="dxa"/>
            <w:shd w:val="clear" w:color="auto" w:fill="auto"/>
          </w:tcPr>
          <w:p w14:paraId="114631B7" w14:textId="662B6771" w:rsidR="004F00F4" w:rsidRPr="00183B59" w:rsidRDefault="004F00F4" w:rsidP="00CA6134">
            <w:pPr>
              <w:pStyle w:val="TableBodyNA"/>
            </w:pPr>
            <w:r w:rsidRPr="00994C99">
              <w:t xml:space="preserve">ACARA </w:t>
            </w:r>
            <w:r w:rsidRPr="00784D6B">
              <w:rPr>
                <w:u w:val="single"/>
              </w:rPr>
              <w:t>National Assessment Program — Literacy and Numeracy</w:t>
            </w:r>
            <w:r w:rsidRPr="00994C99">
              <w:t xml:space="preserve"> (NAPLAN). Data are collected annually</w:t>
            </w:r>
          </w:p>
        </w:tc>
      </w:tr>
      <w:tr w:rsidR="004F00F4" w:rsidRPr="00D87AA9" w14:paraId="4FFBDFD0" w14:textId="77777777" w:rsidTr="00680847">
        <w:tc>
          <w:tcPr>
            <w:tcW w:w="1985" w:type="dxa"/>
            <w:shd w:val="clear" w:color="auto" w:fill="auto"/>
          </w:tcPr>
          <w:p w14:paraId="13F8DBFD" w14:textId="2A2C353D" w:rsidR="004F00F4" w:rsidRPr="00D87AA9" w:rsidRDefault="00C625E8" w:rsidP="00CA6134">
            <w:pPr>
              <w:pStyle w:val="TableBodyNA"/>
            </w:pPr>
            <w:r>
              <w:t>Data provider:</w:t>
            </w:r>
          </w:p>
        </w:tc>
        <w:tc>
          <w:tcPr>
            <w:tcW w:w="6804" w:type="dxa"/>
            <w:shd w:val="clear" w:color="auto" w:fill="auto"/>
          </w:tcPr>
          <w:p w14:paraId="4D1C4124" w14:textId="77777777" w:rsidR="004F00F4" w:rsidRPr="00D87AA9" w:rsidRDefault="004F00F4" w:rsidP="00CA6134">
            <w:pPr>
              <w:pStyle w:val="TableBodyNA"/>
            </w:pPr>
            <w:r w:rsidRPr="00994C99">
              <w:t>ACARA</w:t>
            </w:r>
          </w:p>
        </w:tc>
      </w:tr>
      <w:tr w:rsidR="004F00F4" w:rsidRPr="00D87AA9" w14:paraId="15FA25BE" w14:textId="77777777" w:rsidTr="00680847">
        <w:tc>
          <w:tcPr>
            <w:tcW w:w="1985" w:type="dxa"/>
            <w:shd w:val="clear" w:color="auto" w:fill="auto"/>
          </w:tcPr>
          <w:p w14:paraId="259339B4" w14:textId="7D03412B" w:rsidR="004F00F4" w:rsidRPr="00D87AA9" w:rsidRDefault="00C625E8" w:rsidP="00CA6134">
            <w:pPr>
              <w:pStyle w:val="TableBodyNA"/>
            </w:pPr>
            <w:r>
              <w:t>Data availability:</w:t>
            </w:r>
          </w:p>
        </w:tc>
        <w:tc>
          <w:tcPr>
            <w:tcW w:w="6804" w:type="dxa"/>
            <w:shd w:val="clear" w:color="auto" w:fill="auto"/>
          </w:tcPr>
          <w:p w14:paraId="1C1969BD" w14:textId="432D0DCF" w:rsidR="004F00F4" w:rsidRPr="00D87AA9" w:rsidRDefault="00DB3C2B" w:rsidP="0048054E">
            <w:pPr>
              <w:pStyle w:val="TableBodyNA"/>
            </w:pPr>
            <w:r>
              <w:t>2018 — NAPLAN</w:t>
            </w:r>
          </w:p>
        </w:tc>
      </w:tr>
      <w:tr w:rsidR="004F00F4" w:rsidRPr="00D87AA9" w14:paraId="199008B5" w14:textId="77777777" w:rsidTr="00680847">
        <w:tc>
          <w:tcPr>
            <w:tcW w:w="1985" w:type="dxa"/>
            <w:shd w:val="clear" w:color="auto" w:fill="auto"/>
          </w:tcPr>
          <w:p w14:paraId="23687A3B" w14:textId="00E810ED" w:rsidR="004F00F4" w:rsidRPr="00D87AA9" w:rsidRDefault="00C625E8" w:rsidP="00CA6134">
            <w:pPr>
              <w:pStyle w:val="TableBodyNA"/>
            </w:pPr>
            <w:r>
              <w:t>Baseline:</w:t>
            </w:r>
          </w:p>
        </w:tc>
        <w:tc>
          <w:tcPr>
            <w:tcW w:w="6804" w:type="dxa"/>
            <w:shd w:val="clear" w:color="auto" w:fill="auto"/>
          </w:tcPr>
          <w:p w14:paraId="7A25DCAE" w14:textId="77777777" w:rsidR="004F00F4" w:rsidRPr="00D87AA9" w:rsidRDefault="004F00F4" w:rsidP="00CA6134">
            <w:pPr>
              <w:pStyle w:val="TableBodyNA"/>
            </w:pPr>
            <w:r w:rsidRPr="00994C99">
              <w:t>The baseline for the target is 2008</w:t>
            </w:r>
          </w:p>
        </w:tc>
      </w:tr>
      <w:tr w:rsidR="004F00F4" w:rsidRPr="00D87AA9" w14:paraId="683E59B8" w14:textId="77777777" w:rsidTr="0079305E">
        <w:trPr>
          <w:trHeight w:val="1093"/>
        </w:trPr>
        <w:tc>
          <w:tcPr>
            <w:tcW w:w="1985" w:type="dxa"/>
            <w:shd w:val="clear" w:color="auto" w:fill="auto"/>
          </w:tcPr>
          <w:p w14:paraId="45AAC738" w14:textId="77777777" w:rsidR="004F00F4" w:rsidRPr="00D87AA9" w:rsidRDefault="004F00F4" w:rsidP="00CA6134">
            <w:pPr>
              <w:pStyle w:val="TableBodyNA"/>
            </w:pPr>
            <w:r w:rsidRPr="00D87AA9">
              <w:t>Cross tabulations provided:</w:t>
            </w:r>
          </w:p>
          <w:p w14:paraId="43A9836A" w14:textId="77777777" w:rsidR="004F00F4" w:rsidRPr="00D87AA9" w:rsidRDefault="004F00F4" w:rsidP="00CA6134">
            <w:pPr>
              <w:pStyle w:val="TableBodyNA"/>
            </w:pPr>
          </w:p>
        </w:tc>
        <w:tc>
          <w:tcPr>
            <w:tcW w:w="6804" w:type="dxa"/>
            <w:shd w:val="clear" w:color="auto" w:fill="auto"/>
          </w:tcPr>
          <w:p w14:paraId="1FC91FB6" w14:textId="77777777" w:rsidR="00DB3C2B" w:rsidRDefault="00DB3C2B" w:rsidP="00CA6134">
            <w:pPr>
              <w:pStyle w:val="TableBodyNA"/>
            </w:pPr>
            <w:r>
              <w:t xml:space="preserve">For each year level (3, 5, 7 and 9 — reported individually), by: </w:t>
            </w:r>
          </w:p>
          <w:p w14:paraId="01D255D9" w14:textId="77777777" w:rsidR="00DB3C2B" w:rsidRDefault="00DB3C2B" w:rsidP="00DB3C2B">
            <w:pPr>
              <w:pStyle w:val="TableBullet"/>
            </w:pPr>
            <w:r>
              <w:t>l</w:t>
            </w:r>
            <w:r w:rsidRPr="00AF367A">
              <w:rPr>
                <w:rStyle w:val="TableBulletChar"/>
              </w:rPr>
              <w:t>e</w:t>
            </w:r>
            <w:r>
              <w:t>arning domain (reading, writing and numeracy — reported individually), by:</w:t>
            </w:r>
          </w:p>
          <w:p w14:paraId="0F89CA50" w14:textId="77777777" w:rsidR="00DB3C2B" w:rsidRDefault="00DB3C2B" w:rsidP="008822BF">
            <w:pPr>
              <w:pStyle w:val="TableBullet"/>
            </w:pPr>
            <w:r>
              <w:t>State and Territory, by</w:t>
            </w:r>
          </w:p>
          <w:p w14:paraId="3AEE6FA8" w14:textId="24B680F3" w:rsidR="004F00F4" w:rsidRPr="00D87AA9" w:rsidRDefault="00DB3C2B" w:rsidP="008822BF">
            <w:pPr>
              <w:pStyle w:val="TableBullet"/>
            </w:pPr>
            <w:r>
              <w:t>Indigenous status</w:t>
            </w:r>
          </w:p>
        </w:tc>
      </w:tr>
    </w:tbl>
    <w:p w14:paraId="012FF5DD" w14:textId="77777777" w:rsidR="00DB3C2B" w:rsidRDefault="00DB3C2B" w:rsidP="006A504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DB3C2B" w14:paraId="672FAD9A" w14:textId="77777777" w:rsidTr="008822BF">
        <w:tc>
          <w:tcPr>
            <w:tcW w:w="5000" w:type="pct"/>
            <w:tcBorders>
              <w:top w:val="single" w:sz="6" w:space="0" w:color="78A22F"/>
              <w:left w:val="nil"/>
              <w:bottom w:val="nil"/>
              <w:right w:val="nil"/>
            </w:tcBorders>
            <w:shd w:val="clear" w:color="auto" w:fill="F2F2F2"/>
          </w:tcPr>
          <w:p w14:paraId="27F7C43A" w14:textId="77777777" w:rsidR="00DB3C2B" w:rsidRDefault="00DB3C2B" w:rsidP="001F1684">
            <w:pPr>
              <w:pStyle w:val="BoxTitle"/>
            </w:pPr>
            <w:r>
              <w:rPr>
                <w:b w:val="0"/>
              </w:rPr>
              <w:t>Box 7</w:t>
            </w:r>
            <w:r>
              <w:tab/>
              <w:t>Results</w:t>
            </w:r>
          </w:p>
        </w:tc>
      </w:tr>
      <w:tr w:rsidR="00DB3C2B" w:rsidRPr="004F00F4" w14:paraId="46F1BA91" w14:textId="77777777" w:rsidTr="008822BF">
        <w:trPr>
          <w:cantSplit/>
        </w:trPr>
        <w:tc>
          <w:tcPr>
            <w:tcW w:w="5000" w:type="pct"/>
            <w:tcBorders>
              <w:top w:val="nil"/>
              <w:left w:val="nil"/>
              <w:bottom w:val="nil"/>
              <w:right w:val="nil"/>
            </w:tcBorders>
            <w:shd w:val="clear" w:color="auto" w:fill="F2F2F2"/>
          </w:tcPr>
          <w:p w14:paraId="43236D7E" w14:textId="05D438E8" w:rsidR="00843944" w:rsidRDefault="00DB3C2B" w:rsidP="001F1684">
            <w:pPr>
              <w:pStyle w:val="Box"/>
            </w:pPr>
            <w:r w:rsidRPr="004F00F4">
              <w:t>For this report, new data are available for 201</w:t>
            </w:r>
            <w:r>
              <w:t>8</w:t>
            </w:r>
            <w:r w:rsidRPr="004F00F4">
              <w:t xml:space="preserve">. </w:t>
            </w:r>
          </w:p>
          <w:p w14:paraId="2B23CBB2" w14:textId="32779F02" w:rsidR="00DB3C2B" w:rsidRPr="004F00F4" w:rsidRDefault="00DB3C2B" w:rsidP="008822BF">
            <w:pPr>
              <w:pStyle w:val="BoxListBullet"/>
            </w:pPr>
            <w:r w:rsidRPr="004F00F4">
              <w:t>Data for students at or above the national minimum standard by State and Territory, by Indigenous status, are presented in tables NIRA.11.1–16</w:t>
            </w:r>
            <w:r>
              <w:t>.</w:t>
            </w:r>
            <w:r w:rsidR="0047227D">
              <w:t xml:space="preserve"> </w:t>
            </w:r>
          </w:p>
          <w:p w14:paraId="174A2643" w14:textId="28428E81" w:rsidR="00DB3C2B" w:rsidRDefault="00DB3C2B" w:rsidP="001F1684">
            <w:pPr>
              <w:pStyle w:val="Box"/>
            </w:pPr>
            <w:r>
              <w:t xml:space="preserve">Data </w:t>
            </w:r>
            <w:r w:rsidR="00E50A18">
              <w:t>are available for: 2017 in the 2016</w:t>
            </w:r>
            <w:r w:rsidR="00FA5150">
              <w:noBreakHyphen/>
            </w:r>
            <w:r w:rsidR="00E50A18">
              <w:t>17 NIRA performance report; 2016 in the 2015</w:t>
            </w:r>
            <w:r w:rsidR="00FA5150">
              <w:noBreakHyphen/>
            </w:r>
            <w:r w:rsidR="00E50A18">
              <w:t xml:space="preserve">16 NIRA performance report; </w:t>
            </w:r>
            <w:r>
              <w:t>2015 in the 2014</w:t>
            </w:r>
            <w:r w:rsidR="00FA5150">
              <w:noBreakHyphen/>
            </w:r>
            <w:r>
              <w:t>15 NIRA performance report</w:t>
            </w:r>
            <w:r w:rsidR="00E50A18">
              <w:t xml:space="preserve">; </w:t>
            </w:r>
            <w:r>
              <w:t>2014 in the 2013</w:t>
            </w:r>
            <w:r w:rsidR="00FA5150">
              <w:noBreakHyphen/>
            </w:r>
            <w:r>
              <w:t>14 NIRA performance report</w:t>
            </w:r>
            <w:r w:rsidR="00E50A18">
              <w:t xml:space="preserve">; </w:t>
            </w:r>
            <w:r>
              <w:t>2013 in the 2012</w:t>
            </w:r>
            <w:r w:rsidR="00FA5150">
              <w:noBreakHyphen/>
            </w:r>
            <w:r>
              <w:t>13 NIRA report</w:t>
            </w:r>
            <w:r w:rsidR="00E50A18">
              <w:t xml:space="preserve">; </w:t>
            </w:r>
            <w:r>
              <w:t>2012 in the 2011</w:t>
            </w:r>
            <w:r w:rsidR="00FA5150">
              <w:noBreakHyphen/>
            </w:r>
            <w:r>
              <w:t>12 NIRA performance report</w:t>
            </w:r>
            <w:r w:rsidR="00E50A18">
              <w:t xml:space="preserve">; </w:t>
            </w:r>
            <w:r>
              <w:t>2011 and 2010 in the 2010</w:t>
            </w:r>
            <w:r w:rsidR="00FA5150">
              <w:noBreakHyphen/>
            </w:r>
            <w:r>
              <w:t>11 NIRA performance report</w:t>
            </w:r>
            <w:r w:rsidR="00E50A18">
              <w:t>;</w:t>
            </w:r>
            <w:r>
              <w:t xml:space="preserve"> and</w:t>
            </w:r>
            <w:r w:rsidR="00E50A18">
              <w:t xml:space="preserve">, </w:t>
            </w:r>
            <w:r>
              <w:t>2009 and 2008 in the 2009</w:t>
            </w:r>
            <w:r w:rsidR="00FA5150">
              <w:noBreakHyphen/>
            </w:r>
            <w:r>
              <w:t>10 NIRA performance report.</w:t>
            </w:r>
          </w:p>
          <w:p w14:paraId="12AA8D78" w14:textId="77777777" w:rsidR="00DB3C2B" w:rsidRDefault="00DB3C2B" w:rsidP="001F1684">
            <w:pPr>
              <w:pStyle w:val="Box"/>
            </w:pPr>
            <w:r w:rsidRPr="00DE42B9">
              <w:t>Additional data are available</w:t>
            </w:r>
            <w:r>
              <w:t xml:space="preserve"> under performance indicator 11.</w:t>
            </w:r>
          </w:p>
          <w:p w14:paraId="3401DFC1" w14:textId="77777777" w:rsidR="00DB3C2B" w:rsidRPr="004F00F4" w:rsidRDefault="00DB3C2B" w:rsidP="001F1684">
            <w:pPr>
              <w:pStyle w:val="Box"/>
            </w:pPr>
            <w:r w:rsidRPr="004F00F4">
              <w:t xml:space="preserve">Apparent differences may not be statistically significant and relevant confidence intervals may be requested directly </w:t>
            </w:r>
            <w:r>
              <w:t>from</w:t>
            </w:r>
            <w:r w:rsidRPr="004F00F4">
              <w:t xml:space="preserve"> the data provider. Different confidence intervals are required depending on the type of analysis. Confidence intervals for comparing data within years across jurisdictions are different from confidence intervals for comparing data across years wi</w:t>
            </w:r>
            <w:r>
              <w:t>thin and across jurisdictions.</w:t>
            </w:r>
          </w:p>
        </w:tc>
      </w:tr>
      <w:tr w:rsidR="00DB3C2B" w14:paraId="08440D73" w14:textId="77777777" w:rsidTr="008822BF">
        <w:trPr>
          <w:cantSplit/>
        </w:trPr>
        <w:tc>
          <w:tcPr>
            <w:tcW w:w="5000" w:type="pct"/>
            <w:tcBorders>
              <w:top w:val="nil"/>
              <w:left w:val="nil"/>
              <w:bottom w:val="single" w:sz="6" w:space="0" w:color="78A22F"/>
              <w:right w:val="nil"/>
            </w:tcBorders>
            <w:shd w:val="clear" w:color="auto" w:fill="F2F2F2"/>
          </w:tcPr>
          <w:p w14:paraId="428F2325" w14:textId="77777777" w:rsidR="00DB3C2B" w:rsidRDefault="00DB3C2B" w:rsidP="001F1684">
            <w:pPr>
              <w:pStyle w:val="Box"/>
              <w:spacing w:before="0" w:line="120" w:lineRule="exact"/>
            </w:pPr>
          </w:p>
        </w:tc>
      </w:tr>
      <w:tr w:rsidR="00DB3C2B" w:rsidRPr="000863A5" w14:paraId="5372030E" w14:textId="77777777" w:rsidTr="008822BF">
        <w:tc>
          <w:tcPr>
            <w:tcW w:w="5000" w:type="pct"/>
            <w:tcBorders>
              <w:top w:val="single" w:sz="6" w:space="0" w:color="78A22F"/>
              <w:left w:val="nil"/>
              <w:bottom w:val="nil"/>
              <w:right w:val="nil"/>
            </w:tcBorders>
          </w:tcPr>
          <w:p w14:paraId="35C4A170" w14:textId="77777777" w:rsidR="00DB3C2B" w:rsidRPr="00626D32" w:rsidRDefault="00DB3C2B" w:rsidP="001F1684">
            <w:pPr>
              <w:pStyle w:val="BoxSpaceBelow"/>
            </w:pPr>
          </w:p>
        </w:tc>
      </w:tr>
    </w:tbl>
    <w:p w14:paraId="57EC00DC" w14:textId="77777777" w:rsidR="00DB3C2B" w:rsidRDefault="00DB3C2B" w:rsidP="00DB3C2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DB3C2B" w14:paraId="0B074430" w14:textId="77777777" w:rsidTr="00E50A18">
        <w:tc>
          <w:tcPr>
            <w:tcW w:w="5000" w:type="pct"/>
            <w:tcBorders>
              <w:top w:val="single" w:sz="6" w:space="0" w:color="78A22F"/>
              <w:left w:val="nil"/>
              <w:bottom w:val="nil"/>
              <w:right w:val="nil"/>
            </w:tcBorders>
            <w:shd w:val="clear" w:color="auto" w:fill="F2F2F2"/>
          </w:tcPr>
          <w:p w14:paraId="13E9CA6C" w14:textId="77777777" w:rsidR="00DB3C2B" w:rsidRDefault="00DB3C2B" w:rsidP="001F1684">
            <w:pPr>
              <w:pStyle w:val="BoxTitle"/>
            </w:pPr>
            <w:r>
              <w:rPr>
                <w:b w:val="0"/>
              </w:rPr>
              <w:t>Box 8</w:t>
            </w:r>
            <w:r>
              <w:tab/>
              <w:t>Comment on data quality</w:t>
            </w:r>
          </w:p>
        </w:tc>
      </w:tr>
      <w:tr w:rsidR="00DB3C2B" w14:paraId="2A20F88A" w14:textId="77777777" w:rsidTr="00E50A18">
        <w:trPr>
          <w:cantSplit/>
        </w:trPr>
        <w:tc>
          <w:tcPr>
            <w:tcW w:w="5000" w:type="pct"/>
            <w:tcBorders>
              <w:top w:val="nil"/>
              <w:left w:val="nil"/>
              <w:bottom w:val="nil"/>
              <w:right w:val="nil"/>
            </w:tcBorders>
            <w:shd w:val="clear" w:color="auto" w:fill="F2F2F2"/>
          </w:tcPr>
          <w:p w14:paraId="30CFACB2" w14:textId="77777777" w:rsidR="00DB3C2B" w:rsidRDefault="00DB3C2B" w:rsidP="001F1684">
            <w:pPr>
              <w:pStyle w:val="Box"/>
            </w:pPr>
            <w:r>
              <w:t>Details are included in the comment on data quality for performance indicator 11.</w:t>
            </w:r>
          </w:p>
        </w:tc>
      </w:tr>
      <w:tr w:rsidR="00DB3C2B" w14:paraId="6142BDB3" w14:textId="77777777" w:rsidTr="00E50A18">
        <w:trPr>
          <w:cantSplit/>
        </w:trPr>
        <w:tc>
          <w:tcPr>
            <w:tcW w:w="5000" w:type="pct"/>
            <w:tcBorders>
              <w:top w:val="nil"/>
              <w:left w:val="nil"/>
              <w:bottom w:val="single" w:sz="6" w:space="0" w:color="78A22F"/>
              <w:right w:val="nil"/>
            </w:tcBorders>
            <w:shd w:val="clear" w:color="auto" w:fill="F2F2F2"/>
          </w:tcPr>
          <w:p w14:paraId="4DEB91BC" w14:textId="77777777" w:rsidR="00DB3C2B" w:rsidRDefault="00DB3C2B" w:rsidP="001F1684">
            <w:pPr>
              <w:pStyle w:val="Box"/>
              <w:spacing w:before="0" w:line="120" w:lineRule="exact"/>
            </w:pPr>
          </w:p>
        </w:tc>
      </w:tr>
      <w:tr w:rsidR="00DB3C2B" w:rsidRPr="000863A5" w14:paraId="04595CF1" w14:textId="77777777" w:rsidTr="00E50A18">
        <w:tc>
          <w:tcPr>
            <w:tcW w:w="5000" w:type="pct"/>
            <w:tcBorders>
              <w:top w:val="single" w:sz="6" w:space="0" w:color="78A22F"/>
              <w:left w:val="nil"/>
              <w:bottom w:val="nil"/>
              <w:right w:val="nil"/>
            </w:tcBorders>
          </w:tcPr>
          <w:p w14:paraId="58746527" w14:textId="77777777" w:rsidR="00DB3C2B" w:rsidRPr="00626D32" w:rsidRDefault="00DB3C2B" w:rsidP="001F1684">
            <w:pPr>
              <w:pStyle w:val="BoxSpaceBelow"/>
            </w:pPr>
          </w:p>
        </w:tc>
      </w:tr>
    </w:tbl>
    <w:p w14:paraId="51A63F8B" w14:textId="77777777" w:rsidR="00E50A18" w:rsidRDefault="00E50A18" w:rsidP="004F00F4">
      <w:pPr>
        <w:pStyle w:val="BodyText"/>
      </w:pPr>
    </w:p>
    <w:p w14:paraId="7B3F748F" w14:textId="77777777" w:rsidR="004F00F4" w:rsidRDefault="004F00F4" w:rsidP="004F00F4">
      <w:pPr>
        <w:pStyle w:val="BodyText"/>
        <w:rPr>
          <w:rFonts w:ascii="Arial" w:hAnsi="Arial"/>
          <w:sz w:val="20"/>
        </w:rPr>
      </w:pPr>
      <w:r>
        <w:br w:type="page"/>
      </w:r>
    </w:p>
    <w:p w14:paraId="4C677A54" w14:textId="77777777" w:rsidR="004F00F4" w:rsidRDefault="004F00F4" w:rsidP="008F5A63">
      <w:pPr>
        <w:pStyle w:val="Heading3"/>
        <w:spacing w:after="120"/>
      </w:pPr>
      <w:r w:rsidRPr="00D87AA9">
        <w:lastRenderedPageBreak/>
        <w:t xml:space="preserve">Performance target (e) — </w:t>
      </w:r>
      <w:r>
        <w:t>halve the gap in year 12 or equivalent attainment rates for Indigenous young people by 2020</w:t>
      </w:r>
    </w:p>
    <w:tbl>
      <w:tblPr>
        <w:tblW w:w="8793" w:type="dxa"/>
        <w:tblCellMar>
          <w:left w:w="0" w:type="dxa"/>
          <w:right w:w="0" w:type="dxa"/>
        </w:tblCellMar>
        <w:tblLook w:val="0000" w:firstRow="0" w:lastRow="0" w:firstColumn="0" w:lastColumn="0" w:noHBand="0" w:noVBand="0"/>
      </w:tblPr>
      <w:tblGrid>
        <w:gridCol w:w="1985"/>
        <w:gridCol w:w="6808"/>
      </w:tblGrid>
      <w:tr w:rsidR="004F00F4" w:rsidRPr="00D87AA9" w14:paraId="2E2BEA51" w14:textId="77777777" w:rsidTr="002B7EFC">
        <w:tc>
          <w:tcPr>
            <w:tcW w:w="1985" w:type="dxa"/>
          </w:tcPr>
          <w:p w14:paraId="38CCB3F8" w14:textId="77777777" w:rsidR="004F00F4" w:rsidRPr="00D87AA9" w:rsidRDefault="004F00F4" w:rsidP="00CA6134">
            <w:pPr>
              <w:pStyle w:val="TableBodyNA"/>
              <w:rPr>
                <w:i/>
              </w:rPr>
            </w:pPr>
            <w:r w:rsidRPr="00B82DC5">
              <w:t>Key amendments from previous cycle of reporting:</w:t>
            </w:r>
          </w:p>
        </w:tc>
        <w:tc>
          <w:tcPr>
            <w:tcW w:w="6808" w:type="dxa"/>
          </w:tcPr>
          <w:p w14:paraId="20210790" w14:textId="04D2E4F6" w:rsidR="004F00F4" w:rsidRPr="00D87AA9" w:rsidRDefault="002E49DE" w:rsidP="00CA6134">
            <w:pPr>
              <w:pStyle w:val="TableBodyNA"/>
              <w:rPr>
                <w:szCs w:val="24"/>
              </w:rPr>
            </w:pPr>
            <w:r w:rsidRPr="00994C99">
              <w:t xml:space="preserve">This target is unchanged from the previous </w:t>
            </w:r>
            <w:r>
              <w:t>NIRA performance report</w:t>
            </w:r>
            <w:r w:rsidRPr="00994C99">
              <w:t>.</w:t>
            </w:r>
          </w:p>
        </w:tc>
      </w:tr>
      <w:tr w:rsidR="004F00F4" w:rsidRPr="00D87AA9" w14:paraId="4372D57A" w14:textId="77777777" w:rsidTr="002B7EFC">
        <w:tc>
          <w:tcPr>
            <w:tcW w:w="1985" w:type="dxa"/>
          </w:tcPr>
          <w:p w14:paraId="65C8F872" w14:textId="77777777" w:rsidR="004F00F4" w:rsidRPr="00D87AA9" w:rsidRDefault="004F00F4" w:rsidP="00CA6134">
            <w:pPr>
              <w:pStyle w:val="TableBodyNA"/>
            </w:pPr>
            <w:r w:rsidRPr="00D87AA9">
              <w:t>Outcome:</w:t>
            </w:r>
          </w:p>
        </w:tc>
        <w:tc>
          <w:tcPr>
            <w:tcW w:w="6808" w:type="dxa"/>
          </w:tcPr>
          <w:p w14:paraId="39CE8937" w14:textId="77C70064" w:rsidR="004F00F4" w:rsidRPr="00D87AA9" w:rsidRDefault="004F00F4" w:rsidP="00CA6134">
            <w:pPr>
              <w:pStyle w:val="TableBodyNA"/>
            </w:pPr>
            <w:r w:rsidRPr="00994C99">
              <w:t>Halve the gap for Indigenous people aged 20–24 in Year 12 attainment or equivalent attainment rates (by 2020) (14 years from 2006 – the baseline period)</w:t>
            </w:r>
          </w:p>
        </w:tc>
      </w:tr>
      <w:tr w:rsidR="004F00F4" w:rsidRPr="00D87AA9" w14:paraId="53D0771D" w14:textId="77777777" w:rsidTr="002B7EFC">
        <w:tc>
          <w:tcPr>
            <w:tcW w:w="1985" w:type="dxa"/>
          </w:tcPr>
          <w:p w14:paraId="277482A3" w14:textId="77777777" w:rsidR="004F00F4" w:rsidRPr="00D87AA9" w:rsidRDefault="004F00F4" w:rsidP="00CA6134">
            <w:pPr>
              <w:pStyle w:val="TableBodyNA"/>
            </w:pPr>
            <w:r w:rsidRPr="00D87AA9">
              <w:t>Measure:</w:t>
            </w:r>
          </w:p>
          <w:p w14:paraId="3BC46E79" w14:textId="77777777" w:rsidR="004F00F4" w:rsidRPr="00D87AA9" w:rsidRDefault="004F00F4" w:rsidP="00CA6134">
            <w:pPr>
              <w:pStyle w:val="TableBodyNA"/>
            </w:pPr>
          </w:p>
        </w:tc>
        <w:tc>
          <w:tcPr>
            <w:tcW w:w="6808" w:type="dxa"/>
          </w:tcPr>
          <w:p w14:paraId="79CEE7D4" w14:textId="77777777" w:rsidR="004F00F4" w:rsidRDefault="004F00F4" w:rsidP="00CA6134">
            <w:pPr>
              <w:pStyle w:val="TableBodyNA"/>
            </w:pPr>
            <w:r>
              <w:t>Proportion of the 20−24 year old population having attained at least a Year 12 or equivalent or Australian Qualifications Framework (AQF) Certificate level II or above, by Indigenous status</w:t>
            </w:r>
          </w:p>
          <w:p w14:paraId="5A72FEA9" w14:textId="77777777" w:rsidR="004F00F4" w:rsidRDefault="004F00F4" w:rsidP="00CA6134">
            <w:pPr>
              <w:pStyle w:val="TableBodyNA"/>
            </w:pPr>
            <w:r>
              <w:t>The measure is defined as:</w:t>
            </w:r>
          </w:p>
          <w:p w14:paraId="08A0897E" w14:textId="6AB3425E" w:rsidR="004F00F4" w:rsidRDefault="004F00F4" w:rsidP="00680847">
            <w:pPr>
              <w:pStyle w:val="TableBullet"/>
              <w:rPr>
                <w:szCs w:val="24"/>
              </w:rPr>
            </w:pPr>
            <w:r w:rsidRPr="00C47FBF">
              <w:rPr>
                <w:i/>
              </w:rPr>
              <w:t>Numerator</w:t>
            </w:r>
            <w:r>
              <w:t xml:space="preserve"> — people aged 20–24 years who have completed year 12 or equivalent or whose level of highest non</w:t>
            </w:r>
            <w:r w:rsidR="00FA5150">
              <w:noBreakHyphen/>
            </w:r>
            <w:r>
              <w:t xml:space="preserve">school qualification is at AQF </w:t>
            </w:r>
            <w:r w:rsidR="00E50A18">
              <w:t>Certificate </w:t>
            </w:r>
            <w:r>
              <w:t xml:space="preserve">II or equivalent or above </w:t>
            </w:r>
          </w:p>
          <w:p w14:paraId="11C75010" w14:textId="77777777" w:rsidR="004F00F4" w:rsidRDefault="004F00F4" w:rsidP="00680847">
            <w:pPr>
              <w:pStyle w:val="TableBullet"/>
              <w:rPr>
                <w:szCs w:val="24"/>
              </w:rPr>
            </w:pPr>
            <w:r w:rsidRPr="00C47FBF">
              <w:rPr>
                <w:i/>
              </w:rPr>
              <w:t xml:space="preserve">Denominator </w:t>
            </w:r>
            <w:r>
              <w:t xml:space="preserve">— total population of people aged 20–24 years </w:t>
            </w:r>
          </w:p>
          <w:p w14:paraId="26572C83" w14:textId="77777777" w:rsidR="004F00F4" w:rsidRDefault="004F00F4" w:rsidP="00CA6134">
            <w:pPr>
              <w:pStyle w:val="TableBodyNA"/>
            </w:pPr>
            <w:r>
              <w:t xml:space="preserve">and is presented as a </w:t>
            </w:r>
            <w:r w:rsidRPr="00C47FBF">
              <w:rPr>
                <w:i/>
              </w:rPr>
              <w:t>rate per 100 population</w:t>
            </w:r>
          </w:p>
          <w:p w14:paraId="3BF252C4" w14:textId="4DFE0D6A" w:rsidR="004F00F4" w:rsidRDefault="004F00F4" w:rsidP="00CA6134">
            <w:pPr>
              <w:pStyle w:val="TableBodyNA"/>
            </w:pPr>
            <w:r>
              <w:t>People whose level of education was inadequately described are excluded from the calculatio</w:t>
            </w:r>
            <w:r w:rsidR="00177B9D">
              <w:t xml:space="preserve">n (numerator and denominator). </w:t>
            </w:r>
          </w:p>
          <w:p w14:paraId="61D8C37D" w14:textId="087DA300" w:rsidR="004F00F4" w:rsidRPr="00D87AA9" w:rsidRDefault="004F00F4" w:rsidP="00CA6134">
            <w:pPr>
              <w:pStyle w:val="TableBodyNA"/>
            </w:pPr>
            <w:r>
              <w:t>[Specific inclusions are subject to the use of Census or survey data — see in</w:t>
            </w:r>
            <w:r w:rsidR="00177B9D">
              <w:t>dicator</w:t>
            </w:r>
            <w:r w:rsidR="00E50A18">
              <w:t> </w:t>
            </w:r>
            <w:r w:rsidR="00177B9D">
              <w:t>12 for further details]</w:t>
            </w:r>
          </w:p>
        </w:tc>
      </w:tr>
      <w:tr w:rsidR="004F00F4" w:rsidRPr="00D87AA9" w14:paraId="522A2B45" w14:textId="77777777" w:rsidTr="002B7EFC">
        <w:tc>
          <w:tcPr>
            <w:tcW w:w="1985" w:type="dxa"/>
            <w:shd w:val="clear" w:color="auto" w:fill="auto"/>
          </w:tcPr>
          <w:p w14:paraId="7E06C544" w14:textId="7FE88CB5" w:rsidR="004F00F4" w:rsidRPr="00D87AA9" w:rsidRDefault="004F00F4" w:rsidP="00CA6134">
            <w:pPr>
              <w:pStyle w:val="TableBodyNA"/>
            </w:pPr>
            <w:r w:rsidRPr="00D87AA9">
              <w:t>Related performance indicator</w:t>
            </w:r>
            <w:r w:rsidR="00CE0B96">
              <w:t>/s</w:t>
            </w:r>
            <w:r w:rsidRPr="00D87AA9">
              <w:t>:</w:t>
            </w:r>
          </w:p>
        </w:tc>
        <w:tc>
          <w:tcPr>
            <w:tcW w:w="6808" w:type="dxa"/>
            <w:shd w:val="clear" w:color="auto" w:fill="auto"/>
          </w:tcPr>
          <w:p w14:paraId="64CAC666" w14:textId="77777777" w:rsidR="004F00F4" w:rsidRPr="00D87AA9" w:rsidRDefault="004F00F4" w:rsidP="00CA6134">
            <w:pPr>
              <w:pStyle w:val="TableBodyNA"/>
            </w:pPr>
            <w:r w:rsidRPr="00994C99">
              <w:t>Performance indicator 12: Attainment of Year 12 or equivalent</w:t>
            </w:r>
          </w:p>
        </w:tc>
      </w:tr>
      <w:tr w:rsidR="004F00F4" w:rsidRPr="00D87AA9" w14:paraId="13FA3206" w14:textId="77777777" w:rsidTr="002B7EFC">
        <w:tc>
          <w:tcPr>
            <w:tcW w:w="1985" w:type="dxa"/>
            <w:shd w:val="clear" w:color="auto" w:fill="auto"/>
          </w:tcPr>
          <w:p w14:paraId="36CAC557" w14:textId="77777777" w:rsidR="004F00F4" w:rsidRPr="00D87AA9" w:rsidRDefault="004F00F4" w:rsidP="00CA6134">
            <w:pPr>
              <w:pStyle w:val="TableBodyNA"/>
            </w:pPr>
            <w:r w:rsidRPr="00D87AA9">
              <w:t>Data source:</w:t>
            </w:r>
          </w:p>
          <w:p w14:paraId="1C017B31" w14:textId="77777777" w:rsidR="004F00F4" w:rsidRPr="00D87AA9" w:rsidRDefault="004F00F4" w:rsidP="00CA6134">
            <w:pPr>
              <w:pStyle w:val="TableBodyNA"/>
            </w:pPr>
          </w:p>
        </w:tc>
        <w:tc>
          <w:tcPr>
            <w:tcW w:w="6808" w:type="dxa"/>
            <w:shd w:val="clear" w:color="auto" w:fill="auto"/>
          </w:tcPr>
          <w:p w14:paraId="7FDFBF71" w14:textId="77777777" w:rsidR="004F00F4" w:rsidRPr="00CA6134" w:rsidRDefault="004F00F4" w:rsidP="00CA6134">
            <w:pPr>
              <w:pStyle w:val="TableBodyNA"/>
              <w:rPr>
                <w:u w:val="single"/>
              </w:rPr>
            </w:pPr>
            <w:r w:rsidRPr="00CA6134">
              <w:rPr>
                <w:u w:val="single"/>
              </w:rPr>
              <w:t>Main data collection</w:t>
            </w:r>
          </w:p>
          <w:p w14:paraId="45C05E8B" w14:textId="77777777" w:rsidR="004F00F4" w:rsidRDefault="004F00F4" w:rsidP="00CA6134">
            <w:pPr>
              <w:pStyle w:val="TableBodyNA"/>
            </w:pPr>
            <w:r w:rsidRPr="0078783D">
              <w:rPr>
                <w:i/>
              </w:rPr>
              <w:t>Numerator and denominator</w:t>
            </w:r>
            <w:r>
              <w:t xml:space="preserve"> — (Indigenous status)</w:t>
            </w:r>
            <w:r w:rsidR="00775A12">
              <w:t xml:space="preserve"> </w:t>
            </w:r>
            <w:r w:rsidR="00775A12" w:rsidRPr="00775A12">
              <w:t>ABS</w:t>
            </w:r>
            <w:r>
              <w:t xml:space="preserve"> </w:t>
            </w:r>
            <w:r w:rsidRPr="00DD75F8">
              <w:rPr>
                <w:u w:val="single"/>
              </w:rPr>
              <w:t xml:space="preserve">Census of Population and Housing </w:t>
            </w:r>
            <w:r>
              <w:t>(Census count of population). Data are available every 5 years.</w:t>
            </w:r>
          </w:p>
          <w:p w14:paraId="5F2CD4D9" w14:textId="69A3ADCD" w:rsidR="004F00F4" w:rsidRPr="00CA6134" w:rsidRDefault="004F00F4" w:rsidP="00CA6134">
            <w:pPr>
              <w:pStyle w:val="TableBodyNA"/>
              <w:rPr>
                <w:u w:val="single"/>
              </w:rPr>
            </w:pPr>
            <w:r w:rsidRPr="00CA6134">
              <w:rPr>
                <w:u w:val="single"/>
              </w:rPr>
              <w:t>Supplementary data collection</w:t>
            </w:r>
            <w:r w:rsidR="00CA6134" w:rsidRPr="00CA6134">
              <w:rPr>
                <w:u w:val="single"/>
              </w:rPr>
              <w:t xml:space="preserve"> </w:t>
            </w:r>
          </w:p>
          <w:p w14:paraId="55EE6A2A" w14:textId="77777777" w:rsidR="004F00F4" w:rsidRDefault="004F00F4" w:rsidP="00CA6134">
            <w:pPr>
              <w:pStyle w:val="TableBodyNA"/>
            </w:pPr>
            <w:r w:rsidRPr="00DD75F8">
              <w:rPr>
                <w:i/>
              </w:rPr>
              <w:t>Numerator and denominator</w:t>
            </w:r>
            <w:r>
              <w:t xml:space="preserve"> — </w:t>
            </w:r>
          </w:p>
          <w:p w14:paraId="366BA539" w14:textId="51BD2BC3" w:rsidR="004F00F4" w:rsidRDefault="004F00F4" w:rsidP="00CA6134">
            <w:pPr>
              <w:pStyle w:val="TableBodyNA"/>
            </w:pPr>
            <w:r>
              <w:t>(</w:t>
            </w:r>
            <w:r w:rsidR="009431D9">
              <w:t>Aboriginal and Torres Strait Islander</w:t>
            </w:r>
            <w:r>
              <w:t>) ABS</w:t>
            </w:r>
            <w:r w:rsidR="00E50A18">
              <w:t xml:space="preserve"> National Aboriginal and Torres Strait Islander Health Survey (NATSIHS)</w:t>
            </w:r>
            <w:r w:rsidR="00843944">
              <w:rPr>
                <w:rStyle w:val="FootnoteReference"/>
              </w:rPr>
              <w:footnoteReference w:id="2"/>
            </w:r>
            <w:r w:rsidR="00E50A18">
              <w:t xml:space="preserve"> and ABS</w:t>
            </w:r>
            <w:r>
              <w:t xml:space="preserve"> </w:t>
            </w:r>
            <w:r w:rsidRPr="00DD75F8">
              <w:rPr>
                <w:u w:val="single"/>
              </w:rPr>
              <w:t>National Aboriginal and Torres Strait Islander Social Survey</w:t>
            </w:r>
            <w:r>
              <w:t xml:space="preserve"> (NATSISS) — Data are available on a rotating 3</w:t>
            </w:r>
            <w:r w:rsidR="00FA5150">
              <w:noBreakHyphen/>
            </w:r>
            <w:r>
              <w:t xml:space="preserve">yearly cycle. </w:t>
            </w:r>
          </w:p>
          <w:p w14:paraId="6E7EDD3C" w14:textId="21A0C60F" w:rsidR="004F00F4" w:rsidRPr="00D87AA9" w:rsidRDefault="004F00F4" w:rsidP="004350B4">
            <w:pPr>
              <w:pStyle w:val="TableBodyNA"/>
            </w:pPr>
            <w:r>
              <w:t>(Non</w:t>
            </w:r>
            <w:r w:rsidR="00FA5150">
              <w:noBreakHyphen/>
            </w:r>
            <w:r>
              <w:t xml:space="preserve">Indigenous) ABS </w:t>
            </w:r>
            <w:r w:rsidRPr="00DD75F8">
              <w:rPr>
                <w:u w:val="single"/>
              </w:rPr>
              <w:t>Survey of Education and Work</w:t>
            </w:r>
            <w:r>
              <w:t xml:space="preserve"> (SEW)</w:t>
            </w:r>
            <w:r w:rsidR="002B469C">
              <w:t xml:space="preserve"> </w:t>
            </w:r>
            <w:r w:rsidR="00CA6134">
              <w:t xml:space="preserve">— </w:t>
            </w:r>
            <w:r w:rsidR="002B469C">
              <w:t>Data are available annually.</w:t>
            </w:r>
          </w:p>
        </w:tc>
      </w:tr>
      <w:tr w:rsidR="004F00F4" w:rsidRPr="00D87AA9" w14:paraId="459A14F8" w14:textId="77777777" w:rsidTr="002B7EFC">
        <w:tc>
          <w:tcPr>
            <w:tcW w:w="1985" w:type="dxa"/>
            <w:shd w:val="clear" w:color="auto" w:fill="auto"/>
          </w:tcPr>
          <w:p w14:paraId="27C05A5C" w14:textId="5DC0DC73" w:rsidR="004F00F4" w:rsidRPr="00D87AA9" w:rsidRDefault="00177B9D" w:rsidP="00CA6134">
            <w:pPr>
              <w:pStyle w:val="TableBodyNA"/>
            </w:pPr>
            <w:r>
              <w:t>Data provider:</w:t>
            </w:r>
          </w:p>
        </w:tc>
        <w:tc>
          <w:tcPr>
            <w:tcW w:w="6808" w:type="dxa"/>
            <w:shd w:val="clear" w:color="auto" w:fill="auto"/>
          </w:tcPr>
          <w:p w14:paraId="19574FB8" w14:textId="77777777" w:rsidR="004F00F4" w:rsidRPr="00D87AA9" w:rsidRDefault="004F00F4" w:rsidP="00CA6134">
            <w:pPr>
              <w:pStyle w:val="TableBodyNA"/>
            </w:pPr>
            <w:r w:rsidRPr="00AB4013">
              <w:t>ABS</w:t>
            </w:r>
          </w:p>
        </w:tc>
      </w:tr>
      <w:tr w:rsidR="00177B9D" w:rsidRPr="00D87AA9" w14:paraId="58644DBA" w14:textId="77777777" w:rsidTr="002B7EFC">
        <w:tc>
          <w:tcPr>
            <w:tcW w:w="1985" w:type="dxa"/>
            <w:shd w:val="clear" w:color="auto" w:fill="auto"/>
          </w:tcPr>
          <w:p w14:paraId="11B7210D" w14:textId="20A9F0CE" w:rsidR="00177B9D" w:rsidRDefault="00177B9D" w:rsidP="00CA6134">
            <w:pPr>
              <w:pStyle w:val="TableBodyNA"/>
            </w:pPr>
            <w:r>
              <w:t>Data availability:</w:t>
            </w:r>
          </w:p>
        </w:tc>
        <w:tc>
          <w:tcPr>
            <w:tcW w:w="6808" w:type="dxa"/>
            <w:shd w:val="clear" w:color="auto" w:fill="auto"/>
          </w:tcPr>
          <w:p w14:paraId="4CEBAF6B" w14:textId="77777777" w:rsidR="00177B9D" w:rsidRPr="00CA6134" w:rsidRDefault="00177B9D" w:rsidP="00CA6134">
            <w:pPr>
              <w:pStyle w:val="TableBodyNA"/>
              <w:rPr>
                <w:u w:val="single"/>
              </w:rPr>
            </w:pPr>
            <w:r w:rsidRPr="00CA6134">
              <w:rPr>
                <w:u w:val="single"/>
              </w:rPr>
              <w:t>Main data collection</w:t>
            </w:r>
          </w:p>
          <w:p w14:paraId="08B5763D" w14:textId="68C360F8" w:rsidR="00177B9D" w:rsidRDefault="008D4253" w:rsidP="00CA6134">
            <w:pPr>
              <w:pStyle w:val="TableBodyNA"/>
            </w:pPr>
            <w:r>
              <w:t>No new data available</w:t>
            </w:r>
          </w:p>
          <w:p w14:paraId="3485B7E3" w14:textId="77777777" w:rsidR="00177B9D" w:rsidRPr="00CA6134" w:rsidRDefault="00177B9D" w:rsidP="00CA6134">
            <w:pPr>
              <w:pStyle w:val="TableBodyNA"/>
              <w:rPr>
                <w:u w:val="single"/>
              </w:rPr>
            </w:pPr>
            <w:r w:rsidRPr="00CA6134">
              <w:rPr>
                <w:u w:val="single"/>
              </w:rPr>
              <w:t>Supplementary data collection</w:t>
            </w:r>
          </w:p>
          <w:p w14:paraId="465CB7E9" w14:textId="7F3DC45D" w:rsidR="00177B9D" w:rsidRDefault="00E50A18" w:rsidP="00CA6134">
            <w:pPr>
              <w:pStyle w:val="TableBodyNA"/>
            </w:pPr>
            <w:r>
              <w:t>2018</w:t>
            </w:r>
            <w:r w:rsidR="00FA5150">
              <w:noBreakHyphen/>
            </w:r>
            <w:r>
              <w:t>19 (Aboriginal and Torres Strait Islander) — NATSIHS</w:t>
            </w:r>
          </w:p>
          <w:p w14:paraId="397BAB38" w14:textId="306375C3" w:rsidR="00E50A18" w:rsidRPr="00AB4013" w:rsidRDefault="00E50A18" w:rsidP="00CA6134">
            <w:pPr>
              <w:pStyle w:val="TableBodyNA"/>
            </w:pPr>
            <w:r>
              <w:t>2018 (non</w:t>
            </w:r>
            <w:r w:rsidR="00FA5150">
              <w:noBreakHyphen/>
            </w:r>
            <w:r>
              <w:t>Indigenous) — SEW</w:t>
            </w:r>
          </w:p>
        </w:tc>
      </w:tr>
      <w:tr w:rsidR="004F00F4" w:rsidRPr="00D87AA9" w14:paraId="59C7226E" w14:textId="77777777" w:rsidTr="002B7EFC">
        <w:tc>
          <w:tcPr>
            <w:tcW w:w="1985" w:type="dxa"/>
            <w:shd w:val="clear" w:color="auto" w:fill="auto"/>
          </w:tcPr>
          <w:p w14:paraId="5EC78BE1" w14:textId="6E0842DA" w:rsidR="004F00F4" w:rsidRPr="00D87AA9" w:rsidRDefault="00177B9D" w:rsidP="00CA6134">
            <w:pPr>
              <w:pStyle w:val="TableBodyNA"/>
            </w:pPr>
            <w:r>
              <w:t>Baseline:</w:t>
            </w:r>
          </w:p>
        </w:tc>
        <w:tc>
          <w:tcPr>
            <w:tcW w:w="6808" w:type="dxa"/>
            <w:shd w:val="clear" w:color="auto" w:fill="auto"/>
          </w:tcPr>
          <w:p w14:paraId="284E2AA7" w14:textId="77777777" w:rsidR="004F00F4" w:rsidRPr="00D87AA9" w:rsidRDefault="004F00F4" w:rsidP="00CA6134">
            <w:pPr>
              <w:pStyle w:val="TableBodyNA"/>
            </w:pPr>
            <w:r w:rsidRPr="00010BAE">
              <w:t>The baseline for the target is 2006</w:t>
            </w:r>
          </w:p>
        </w:tc>
      </w:tr>
      <w:tr w:rsidR="004F00F4" w:rsidRPr="00D87AA9" w14:paraId="4568F176" w14:textId="77777777" w:rsidTr="002B7EFC">
        <w:tc>
          <w:tcPr>
            <w:tcW w:w="1985" w:type="dxa"/>
            <w:shd w:val="clear" w:color="auto" w:fill="auto"/>
          </w:tcPr>
          <w:p w14:paraId="4780C707" w14:textId="77777777" w:rsidR="004F00F4" w:rsidRPr="00D87AA9" w:rsidRDefault="004F00F4" w:rsidP="00CA6134">
            <w:pPr>
              <w:pStyle w:val="TableBodyNA"/>
            </w:pPr>
            <w:r w:rsidRPr="00D87AA9">
              <w:t>Cross tabulations provided:</w:t>
            </w:r>
          </w:p>
        </w:tc>
        <w:tc>
          <w:tcPr>
            <w:tcW w:w="6808" w:type="dxa"/>
            <w:shd w:val="clear" w:color="auto" w:fill="auto"/>
          </w:tcPr>
          <w:p w14:paraId="2FE027F0" w14:textId="368D26F4" w:rsidR="004F00F4" w:rsidRPr="00D87AA9" w:rsidRDefault="003A3535" w:rsidP="008822BF">
            <w:pPr>
              <w:pStyle w:val="TableBodyNA"/>
              <w:rPr>
                <w:szCs w:val="24"/>
              </w:rPr>
            </w:pPr>
            <w:r>
              <w:t>State and Territory, by</w:t>
            </w:r>
            <w:r w:rsidR="008B4F49">
              <w:t xml:space="preserve"> </w:t>
            </w:r>
            <w:r>
              <w:t>Indigenous status</w:t>
            </w:r>
          </w:p>
        </w:tc>
      </w:tr>
    </w:tbl>
    <w:p w14:paraId="6BAED618" w14:textId="77777777" w:rsidR="003A3535" w:rsidRDefault="003A3535" w:rsidP="003A353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A3535" w14:paraId="2C2905AA" w14:textId="77777777" w:rsidTr="003A3535">
        <w:tc>
          <w:tcPr>
            <w:tcW w:w="5000" w:type="pct"/>
            <w:tcBorders>
              <w:top w:val="single" w:sz="6" w:space="0" w:color="78A22F"/>
              <w:left w:val="nil"/>
              <w:bottom w:val="nil"/>
              <w:right w:val="nil"/>
            </w:tcBorders>
            <w:shd w:val="clear" w:color="auto" w:fill="F2F2F2"/>
          </w:tcPr>
          <w:p w14:paraId="2D583654" w14:textId="77777777" w:rsidR="003A3535" w:rsidRDefault="003A3535" w:rsidP="001F1684">
            <w:pPr>
              <w:pStyle w:val="BoxTitle"/>
            </w:pPr>
            <w:r>
              <w:rPr>
                <w:b w:val="0"/>
              </w:rPr>
              <w:t>Box 9</w:t>
            </w:r>
            <w:r>
              <w:tab/>
              <w:t xml:space="preserve">Results </w:t>
            </w:r>
          </w:p>
        </w:tc>
      </w:tr>
      <w:tr w:rsidR="003A3535" w:rsidRPr="004F00F4" w14:paraId="329E0D30" w14:textId="77777777" w:rsidTr="003A3535">
        <w:trPr>
          <w:cantSplit/>
        </w:trPr>
        <w:tc>
          <w:tcPr>
            <w:tcW w:w="5000" w:type="pct"/>
            <w:tcBorders>
              <w:top w:val="nil"/>
              <w:left w:val="nil"/>
              <w:bottom w:val="nil"/>
              <w:right w:val="nil"/>
            </w:tcBorders>
            <w:shd w:val="clear" w:color="auto" w:fill="F2F2F2"/>
          </w:tcPr>
          <w:p w14:paraId="4690B445" w14:textId="64046405" w:rsidR="002238CE" w:rsidRPr="00E32E3F" w:rsidRDefault="003A3535" w:rsidP="002238CE">
            <w:pPr>
              <w:pStyle w:val="Box"/>
            </w:pPr>
            <w:r w:rsidRPr="00E33868">
              <w:t>For this report, new supplementary data are available for 201</w:t>
            </w:r>
            <w:r>
              <w:t>8</w:t>
            </w:r>
            <w:r w:rsidR="00FA5150">
              <w:noBreakHyphen/>
            </w:r>
            <w:r>
              <w:t>19</w:t>
            </w:r>
            <w:r w:rsidRPr="00E33868">
              <w:t xml:space="preserve"> by State and Territory, presented in table NIRA.12.1.</w:t>
            </w:r>
            <w:r w:rsidR="00625E4E">
              <w:t xml:space="preserve"> </w:t>
            </w:r>
          </w:p>
          <w:p w14:paraId="56A70601" w14:textId="1266E346" w:rsidR="003A3535" w:rsidRDefault="00843944" w:rsidP="001F1684">
            <w:pPr>
              <w:pStyle w:val="Box"/>
            </w:pPr>
            <w:r>
              <w:t>S</w:t>
            </w:r>
            <w:r w:rsidR="003A3535" w:rsidRPr="004F00F4">
              <w:t xml:space="preserve">upplementary </w:t>
            </w:r>
            <w:r>
              <w:t xml:space="preserve">data </w:t>
            </w:r>
            <w:r w:rsidR="003A3535">
              <w:t>for: 2014</w:t>
            </w:r>
            <w:r w:rsidR="00FA5150">
              <w:noBreakHyphen/>
            </w:r>
            <w:r w:rsidR="003A3535">
              <w:t>15 were reported in the 2015</w:t>
            </w:r>
            <w:r w:rsidR="00FA5150">
              <w:noBreakHyphen/>
            </w:r>
            <w:r w:rsidR="003A3535">
              <w:t xml:space="preserve">16 NIRA performance report; </w:t>
            </w:r>
            <w:r w:rsidR="003A3535" w:rsidRPr="004F00F4">
              <w:t>2012</w:t>
            </w:r>
            <w:r w:rsidR="00FA5150">
              <w:noBreakHyphen/>
            </w:r>
            <w:r w:rsidR="003A3535" w:rsidRPr="004F00F4">
              <w:t xml:space="preserve">13 </w:t>
            </w:r>
            <w:r w:rsidR="003A3535">
              <w:t>were reported in the 2013</w:t>
            </w:r>
            <w:r w:rsidR="00FA5150">
              <w:noBreakHyphen/>
            </w:r>
            <w:r w:rsidR="003A3535">
              <w:t>14 NIRA performance report; 2008 were reported in the baseline 2008</w:t>
            </w:r>
            <w:r w:rsidR="00FA5150">
              <w:noBreakHyphen/>
            </w:r>
            <w:r w:rsidR="003A3535">
              <w:t>09 NIRA performance report.</w:t>
            </w:r>
          </w:p>
          <w:p w14:paraId="609E43DB" w14:textId="29548108" w:rsidR="003A3535" w:rsidRPr="004F00F4" w:rsidRDefault="00843944" w:rsidP="00843944">
            <w:pPr>
              <w:pStyle w:val="Box"/>
            </w:pPr>
            <w:r>
              <w:t>D</w:t>
            </w:r>
            <w:r w:rsidR="003A3535">
              <w:t xml:space="preserve">ata </w:t>
            </w:r>
            <w:r>
              <w:t xml:space="preserve">from the main source (Census) </w:t>
            </w:r>
            <w:r w:rsidR="003A3535">
              <w:t>were reported in the 2016</w:t>
            </w:r>
            <w:r w:rsidR="00FA5150">
              <w:noBreakHyphen/>
            </w:r>
            <w:r w:rsidR="003A3535">
              <w:t>17 NIRA performance report (2016 Census), in the 2011</w:t>
            </w:r>
            <w:r w:rsidR="00FA5150">
              <w:noBreakHyphen/>
            </w:r>
            <w:r w:rsidR="003A3535">
              <w:t>12 NIRA performance report (2011 Census) and the baseline 2008</w:t>
            </w:r>
            <w:r w:rsidR="00FA5150">
              <w:noBreakHyphen/>
            </w:r>
            <w:r w:rsidR="003A3535">
              <w:t>09 NIRA performance report (2006 Census).</w:t>
            </w:r>
          </w:p>
        </w:tc>
      </w:tr>
      <w:tr w:rsidR="003A3535" w14:paraId="0B5F4D38" w14:textId="77777777" w:rsidTr="003A3535">
        <w:trPr>
          <w:cantSplit/>
        </w:trPr>
        <w:tc>
          <w:tcPr>
            <w:tcW w:w="5000" w:type="pct"/>
            <w:tcBorders>
              <w:top w:val="nil"/>
              <w:left w:val="nil"/>
              <w:bottom w:val="single" w:sz="6" w:space="0" w:color="78A22F"/>
              <w:right w:val="nil"/>
            </w:tcBorders>
            <w:shd w:val="clear" w:color="auto" w:fill="F2F2F2"/>
          </w:tcPr>
          <w:p w14:paraId="746CC21A" w14:textId="77777777" w:rsidR="003A3535" w:rsidRDefault="003A3535" w:rsidP="001F1684">
            <w:pPr>
              <w:pStyle w:val="Box"/>
              <w:spacing w:before="0" w:line="120" w:lineRule="exact"/>
            </w:pPr>
          </w:p>
        </w:tc>
      </w:tr>
      <w:tr w:rsidR="003A3535" w:rsidRPr="000863A5" w14:paraId="508752FA" w14:textId="77777777" w:rsidTr="003A3535">
        <w:tc>
          <w:tcPr>
            <w:tcW w:w="5000" w:type="pct"/>
            <w:tcBorders>
              <w:top w:val="single" w:sz="6" w:space="0" w:color="78A22F"/>
              <w:left w:val="nil"/>
              <w:bottom w:val="nil"/>
              <w:right w:val="nil"/>
            </w:tcBorders>
          </w:tcPr>
          <w:p w14:paraId="622214DD" w14:textId="77777777" w:rsidR="003A3535" w:rsidRPr="00626D32" w:rsidRDefault="003A3535" w:rsidP="001F1684">
            <w:pPr>
              <w:pStyle w:val="BoxSpaceBelow"/>
            </w:pPr>
          </w:p>
        </w:tc>
      </w:tr>
    </w:tbl>
    <w:p w14:paraId="728721DA" w14:textId="77777777" w:rsidR="003A3535" w:rsidRDefault="003A3535" w:rsidP="003A353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A3535" w14:paraId="0C15F639" w14:textId="77777777" w:rsidTr="003A3535">
        <w:tc>
          <w:tcPr>
            <w:tcW w:w="5000" w:type="pct"/>
            <w:tcBorders>
              <w:top w:val="single" w:sz="6" w:space="0" w:color="78A22F"/>
              <w:left w:val="nil"/>
              <w:bottom w:val="nil"/>
              <w:right w:val="nil"/>
            </w:tcBorders>
            <w:shd w:val="clear" w:color="auto" w:fill="F2F2F2"/>
          </w:tcPr>
          <w:p w14:paraId="452A8AA7" w14:textId="254BCCD2" w:rsidR="003A3535" w:rsidRDefault="003A3535" w:rsidP="008B4F49">
            <w:pPr>
              <w:pStyle w:val="BoxTitle"/>
            </w:pPr>
            <w:r>
              <w:rPr>
                <w:b w:val="0"/>
              </w:rPr>
              <w:t>Box 10</w:t>
            </w:r>
            <w:r>
              <w:tab/>
              <w:t xml:space="preserve">Comment on data </w:t>
            </w:r>
            <w:r w:rsidR="008B4F49">
              <w:t>quality</w:t>
            </w:r>
            <w:r>
              <w:t xml:space="preserve"> </w:t>
            </w:r>
          </w:p>
        </w:tc>
      </w:tr>
      <w:tr w:rsidR="003A3535" w:rsidRPr="004F00F4" w14:paraId="56D8A8E0" w14:textId="77777777" w:rsidTr="003A3535">
        <w:trPr>
          <w:cantSplit/>
        </w:trPr>
        <w:tc>
          <w:tcPr>
            <w:tcW w:w="5000" w:type="pct"/>
            <w:tcBorders>
              <w:top w:val="nil"/>
              <w:left w:val="nil"/>
              <w:bottom w:val="nil"/>
              <w:right w:val="nil"/>
            </w:tcBorders>
            <w:shd w:val="clear" w:color="auto" w:fill="F2F2F2"/>
          </w:tcPr>
          <w:p w14:paraId="41939C1C" w14:textId="77777777" w:rsidR="003A3535" w:rsidRPr="004F00F4" w:rsidRDefault="003A3535" w:rsidP="001F1684">
            <w:pPr>
              <w:pStyle w:val="Box"/>
            </w:pPr>
            <w:r>
              <w:t>Details are included in the comment on data quality for performance indicator 12.</w:t>
            </w:r>
          </w:p>
        </w:tc>
      </w:tr>
      <w:tr w:rsidR="003A3535" w14:paraId="5B84B050" w14:textId="77777777" w:rsidTr="003A3535">
        <w:trPr>
          <w:cantSplit/>
        </w:trPr>
        <w:tc>
          <w:tcPr>
            <w:tcW w:w="5000" w:type="pct"/>
            <w:tcBorders>
              <w:top w:val="nil"/>
              <w:left w:val="nil"/>
              <w:bottom w:val="single" w:sz="6" w:space="0" w:color="78A22F"/>
              <w:right w:val="nil"/>
            </w:tcBorders>
            <w:shd w:val="clear" w:color="auto" w:fill="F2F2F2"/>
          </w:tcPr>
          <w:p w14:paraId="50D376E3" w14:textId="77777777" w:rsidR="003A3535" w:rsidRDefault="003A3535" w:rsidP="001F1684">
            <w:pPr>
              <w:pStyle w:val="Box"/>
              <w:spacing w:before="0" w:line="120" w:lineRule="exact"/>
            </w:pPr>
          </w:p>
        </w:tc>
      </w:tr>
      <w:tr w:rsidR="003A3535" w:rsidRPr="000863A5" w14:paraId="4841CD9C" w14:textId="77777777" w:rsidTr="003A3535">
        <w:tc>
          <w:tcPr>
            <w:tcW w:w="5000" w:type="pct"/>
            <w:tcBorders>
              <w:top w:val="single" w:sz="6" w:space="0" w:color="78A22F"/>
              <w:left w:val="nil"/>
              <w:bottom w:val="nil"/>
              <w:right w:val="nil"/>
            </w:tcBorders>
          </w:tcPr>
          <w:p w14:paraId="0C6CE2B4" w14:textId="77777777" w:rsidR="003A3535" w:rsidRPr="00626D32" w:rsidRDefault="003A3535" w:rsidP="001F1684">
            <w:pPr>
              <w:pStyle w:val="BoxSpaceBelow"/>
            </w:pPr>
          </w:p>
        </w:tc>
      </w:tr>
    </w:tbl>
    <w:p w14:paraId="4A3044AA" w14:textId="77777777" w:rsidR="004F00F4" w:rsidRDefault="004F00F4" w:rsidP="004F00F4">
      <w:pPr>
        <w:pStyle w:val="BodyText"/>
        <w:rPr>
          <w:rFonts w:ascii="Arial" w:hAnsi="Arial"/>
          <w:sz w:val="20"/>
        </w:rPr>
      </w:pPr>
      <w:r>
        <w:br w:type="page"/>
      </w:r>
    </w:p>
    <w:p w14:paraId="38C71C5B" w14:textId="1AB35549" w:rsidR="004F00F4" w:rsidRDefault="004F00F4" w:rsidP="008F5A63">
      <w:pPr>
        <w:pStyle w:val="Heading3"/>
        <w:spacing w:after="120"/>
      </w:pPr>
      <w:r w:rsidRPr="00D87AA9">
        <w:lastRenderedPageBreak/>
        <w:t>Performance target (f) — halve the gap in employment outcomes between Indigenous and non</w:t>
      </w:r>
      <w:r w:rsidR="00FA5150">
        <w:noBreakHyphen/>
      </w:r>
      <w:r w:rsidRPr="00D87AA9">
        <w:t xml:space="preserve">Indigenous Australians </w:t>
      </w:r>
      <w:r>
        <w:t xml:space="preserve">by </w:t>
      </w:r>
      <w:r w:rsidR="008B4F49">
        <w:t>2018</w:t>
      </w:r>
    </w:p>
    <w:tbl>
      <w:tblPr>
        <w:tblW w:w="0" w:type="auto"/>
        <w:tblCellMar>
          <w:left w:w="0" w:type="dxa"/>
          <w:right w:w="0" w:type="dxa"/>
        </w:tblCellMar>
        <w:tblLook w:val="0000" w:firstRow="0" w:lastRow="0" w:firstColumn="0" w:lastColumn="0" w:noHBand="0" w:noVBand="0"/>
      </w:tblPr>
      <w:tblGrid>
        <w:gridCol w:w="1985"/>
        <w:gridCol w:w="6804"/>
      </w:tblGrid>
      <w:tr w:rsidR="004F00F4" w:rsidRPr="00D87AA9" w14:paraId="470D4912" w14:textId="77777777" w:rsidTr="00680847">
        <w:tc>
          <w:tcPr>
            <w:tcW w:w="1985" w:type="dxa"/>
          </w:tcPr>
          <w:p w14:paraId="587F8503" w14:textId="04F18CE1" w:rsidR="004F00F4" w:rsidRPr="00D87AA9" w:rsidRDefault="004F00F4" w:rsidP="00CA6134">
            <w:pPr>
              <w:pStyle w:val="TableBodyNA"/>
            </w:pPr>
            <w:r w:rsidRPr="00B82DC5">
              <w:t>Key amendments fr</w:t>
            </w:r>
            <w:r w:rsidR="00177B9D">
              <w:t>om previous cycle of reporting:</w:t>
            </w:r>
          </w:p>
        </w:tc>
        <w:tc>
          <w:tcPr>
            <w:tcW w:w="6804" w:type="dxa"/>
          </w:tcPr>
          <w:p w14:paraId="2F1EAE31" w14:textId="39B65EE6" w:rsidR="004F00F4" w:rsidRPr="00D87AA9" w:rsidRDefault="008D4253" w:rsidP="00CA6134">
            <w:pPr>
              <w:pStyle w:val="TableBodyNA"/>
            </w:pPr>
            <w:r w:rsidRPr="00994C99">
              <w:t xml:space="preserve">This target is unchanged from the previous </w:t>
            </w:r>
            <w:r>
              <w:t>NIRA performance report</w:t>
            </w:r>
            <w:r w:rsidRPr="00994C99">
              <w:t>.</w:t>
            </w:r>
          </w:p>
        </w:tc>
      </w:tr>
      <w:tr w:rsidR="004F00F4" w:rsidRPr="00D87AA9" w14:paraId="1D21A90A" w14:textId="77777777" w:rsidTr="00680847">
        <w:tc>
          <w:tcPr>
            <w:tcW w:w="1985" w:type="dxa"/>
          </w:tcPr>
          <w:p w14:paraId="63B90503" w14:textId="77777777" w:rsidR="004F00F4" w:rsidRPr="00D87AA9" w:rsidRDefault="004F00F4" w:rsidP="00CA6134">
            <w:pPr>
              <w:pStyle w:val="TableBodyNA"/>
            </w:pPr>
            <w:r w:rsidRPr="00D87AA9">
              <w:t>Outcome:</w:t>
            </w:r>
          </w:p>
        </w:tc>
        <w:tc>
          <w:tcPr>
            <w:tcW w:w="6804" w:type="dxa"/>
          </w:tcPr>
          <w:p w14:paraId="0CF48F14" w14:textId="3E83E58C" w:rsidR="004F00F4" w:rsidRPr="00D87AA9" w:rsidRDefault="004F00F4" w:rsidP="00CA6134">
            <w:pPr>
              <w:pStyle w:val="TableBodyNA"/>
            </w:pPr>
            <w:r w:rsidRPr="00010BAE">
              <w:t>The aim of the target is to halve the gap in employment outcomes between Indigenous and non</w:t>
            </w:r>
            <w:r w:rsidR="00FA5150">
              <w:noBreakHyphen/>
            </w:r>
            <w:r w:rsidRPr="00010BAE">
              <w:t xml:space="preserve">Indigenous Australians within a decade (by 2018) (10 years from 2008 — the baseline </w:t>
            </w:r>
            <w:r w:rsidR="008B4F49" w:rsidRPr="00010BAE">
              <w:t>period)</w:t>
            </w:r>
          </w:p>
        </w:tc>
      </w:tr>
      <w:tr w:rsidR="004F00F4" w:rsidRPr="00D87AA9" w14:paraId="12E6214D" w14:textId="77777777" w:rsidTr="00680847">
        <w:tc>
          <w:tcPr>
            <w:tcW w:w="1985" w:type="dxa"/>
          </w:tcPr>
          <w:p w14:paraId="2F5EB602" w14:textId="77777777" w:rsidR="004F00F4" w:rsidRPr="00D87AA9" w:rsidRDefault="004F00F4" w:rsidP="00CA6134">
            <w:pPr>
              <w:pStyle w:val="TableBodyNA"/>
            </w:pPr>
            <w:r w:rsidRPr="00D87AA9">
              <w:t xml:space="preserve">Measure: </w:t>
            </w:r>
          </w:p>
          <w:p w14:paraId="5F79283E" w14:textId="77777777" w:rsidR="004F00F4" w:rsidRPr="00D87AA9" w:rsidRDefault="004F00F4" w:rsidP="00CA6134">
            <w:pPr>
              <w:pStyle w:val="TableBodyNA"/>
            </w:pPr>
          </w:p>
        </w:tc>
        <w:tc>
          <w:tcPr>
            <w:tcW w:w="6804" w:type="dxa"/>
          </w:tcPr>
          <w:p w14:paraId="4609B13C" w14:textId="77777777" w:rsidR="004F00F4" w:rsidRDefault="004F00F4" w:rsidP="00CA6134">
            <w:pPr>
              <w:pStyle w:val="TableBodyNA"/>
            </w:pPr>
            <w:r>
              <w:t>Employment to population ratio for the working age population, by Indigenous status</w:t>
            </w:r>
          </w:p>
          <w:p w14:paraId="61F16DC9" w14:textId="77777777" w:rsidR="004F00F4" w:rsidRDefault="004F00F4" w:rsidP="00CA6134">
            <w:pPr>
              <w:pStyle w:val="TableBodyNA"/>
            </w:pPr>
            <w:r>
              <w:t>The measure is defined as:</w:t>
            </w:r>
          </w:p>
          <w:p w14:paraId="060D9EC0" w14:textId="77777777" w:rsidR="004F00F4" w:rsidRDefault="004F00F4" w:rsidP="00680847">
            <w:pPr>
              <w:pStyle w:val="TableBullet"/>
              <w:rPr>
                <w:szCs w:val="24"/>
              </w:rPr>
            </w:pPr>
            <w:r w:rsidRPr="00861865">
              <w:rPr>
                <w:i/>
              </w:rPr>
              <w:t>Numerator</w:t>
            </w:r>
            <w:r>
              <w:t xml:space="preserve"> — number of people aged 15–64 years employed </w:t>
            </w:r>
          </w:p>
          <w:p w14:paraId="538FE059" w14:textId="77777777" w:rsidR="004F00F4" w:rsidRDefault="004F00F4" w:rsidP="00680847">
            <w:pPr>
              <w:pStyle w:val="TableBullet"/>
              <w:rPr>
                <w:szCs w:val="24"/>
              </w:rPr>
            </w:pPr>
            <w:r w:rsidRPr="00861865">
              <w:rPr>
                <w:i/>
              </w:rPr>
              <w:t>Denominator</w:t>
            </w:r>
            <w:r>
              <w:t xml:space="preserve"> — total population of people aged 15–64 years </w:t>
            </w:r>
          </w:p>
          <w:p w14:paraId="519EA3CD" w14:textId="77777777" w:rsidR="004F00F4" w:rsidRDefault="004F00F4" w:rsidP="00CA6134">
            <w:pPr>
              <w:pStyle w:val="TableBodyNA"/>
            </w:pPr>
            <w:r>
              <w:t xml:space="preserve">presented as a </w:t>
            </w:r>
            <w:r w:rsidRPr="00861865">
              <w:t>rate per 100 population</w:t>
            </w:r>
          </w:p>
          <w:p w14:paraId="13468196" w14:textId="59CCA407" w:rsidR="004F00F4" w:rsidRPr="00D87AA9" w:rsidRDefault="004F00F4" w:rsidP="00CA6134">
            <w:pPr>
              <w:pStyle w:val="TableBodyNA"/>
            </w:pPr>
            <w:r>
              <w:t>[Specific inclusions are subject to the use of Census or survey data — see indicator 14 for further details]</w:t>
            </w:r>
          </w:p>
        </w:tc>
      </w:tr>
      <w:tr w:rsidR="004F00F4" w:rsidRPr="00D87AA9" w14:paraId="6EC7BF20" w14:textId="77777777" w:rsidTr="00680847">
        <w:tc>
          <w:tcPr>
            <w:tcW w:w="1985" w:type="dxa"/>
            <w:shd w:val="clear" w:color="auto" w:fill="auto"/>
          </w:tcPr>
          <w:p w14:paraId="678B8502" w14:textId="7645B9A6" w:rsidR="004F00F4" w:rsidRPr="00D87AA9" w:rsidRDefault="004F00F4" w:rsidP="00CA6134">
            <w:pPr>
              <w:pStyle w:val="TableBodyNA"/>
            </w:pPr>
            <w:r w:rsidRPr="00D87AA9">
              <w:t>R</w:t>
            </w:r>
            <w:r w:rsidR="00177B9D">
              <w:t>elated performance indicator/s:</w:t>
            </w:r>
          </w:p>
        </w:tc>
        <w:tc>
          <w:tcPr>
            <w:tcW w:w="6804" w:type="dxa"/>
            <w:shd w:val="clear" w:color="auto" w:fill="auto"/>
          </w:tcPr>
          <w:p w14:paraId="6E7A8EDE" w14:textId="77777777" w:rsidR="004F00F4" w:rsidRPr="00D87AA9" w:rsidRDefault="004F00F4" w:rsidP="00CA6134">
            <w:pPr>
              <w:pStyle w:val="TableBodyNA"/>
            </w:pPr>
            <w:r w:rsidRPr="00010BAE">
              <w:t>Performance indicator 14, measure (a): Employment to population ratio, for the working age population (15–64 years)</w:t>
            </w:r>
          </w:p>
        </w:tc>
      </w:tr>
      <w:tr w:rsidR="004F00F4" w:rsidRPr="00D87AA9" w14:paraId="0CB206C1" w14:textId="77777777" w:rsidTr="00680847">
        <w:tc>
          <w:tcPr>
            <w:tcW w:w="1985" w:type="dxa"/>
            <w:shd w:val="clear" w:color="auto" w:fill="auto"/>
          </w:tcPr>
          <w:p w14:paraId="7FFC1ECA" w14:textId="77777777" w:rsidR="004F00F4" w:rsidRPr="00D87AA9" w:rsidRDefault="004F00F4" w:rsidP="00CA6134">
            <w:pPr>
              <w:pStyle w:val="TableBodyNA"/>
            </w:pPr>
            <w:r w:rsidRPr="00D87AA9">
              <w:t>Data source/s:</w:t>
            </w:r>
          </w:p>
          <w:p w14:paraId="06362871" w14:textId="77777777" w:rsidR="004F00F4" w:rsidRPr="00D87AA9" w:rsidRDefault="004F00F4" w:rsidP="00CA6134">
            <w:pPr>
              <w:pStyle w:val="TableBodyNA"/>
            </w:pPr>
          </w:p>
        </w:tc>
        <w:tc>
          <w:tcPr>
            <w:tcW w:w="6804" w:type="dxa"/>
            <w:shd w:val="clear" w:color="auto" w:fill="auto"/>
          </w:tcPr>
          <w:p w14:paraId="66BA30AB" w14:textId="77777777" w:rsidR="004F00F4" w:rsidRPr="00CA6134" w:rsidRDefault="004F00F4" w:rsidP="00CA6134">
            <w:pPr>
              <w:pStyle w:val="TableBodyNA"/>
              <w:rPr>
                <w:u w:val="single"/>
              </w:rPr>
            </w:pPr>
            <w:r w:rsidRPr="00CA6134">
              <w:rPr>
                <w:u w:val="single"/>
              </w:rPr>
              <w:t>Main data source</w:t>
            </w:r>
          </w:p>
          <w:p w14:paraId="0FEA041D" w14:textId="3F05B366" w:rsidR="004F00F4" w:rsidRPr="00861865" w:rsidRDefault="004F00F4" w:rsidP="00CA6134">
            <w:pPr>
              <w:pStyle w:val="TableBodyNA"/>
              <w:rPr>
                <w:u w:val="single"/>
              </w:rPr>
            </w:pPr>
            <w:r w:rsidRPr="00CA6134">
              <w:rPr>
                <w:i/>
              </w:rPr>
              <w:t xml:space="preserve">Numerator and denominator </w:t>
            </w:r>
            <w:r>
              <w:t>—</w:t>
            </w:r>
            <w:r w:rsidR="001A03C8">
              <w:t xml:space="preserve"> </w:t>
            </w:r>
          </w:p>
          <w:p w14:paraId="1FAC86E8" w14:textId="4D07F002" w:rsidR="004F00F4" w:rsidRDefault="004F00F4" w:rsidP="00CA6134">
            <w:pPr>
              <w:pStyle w:val="TableBodyNA"/>
            </w:pPr>
            <w:r w:rsidRPr="0078783D">
              <w:t>(</w:t>
            </w:r>
            <w:r w:rsidR="003A624B">
              <w:t>Aboriginal and Torres Strait Islander</w:t>
            </w:r>
            <w:r w:rsidRPr="0078783D">
              <w:t>)</w:t>
            </w:r>
            <w:r w:rsidR="00775A12">
              <w:t xml:space="preserve"> ABS</w:t>
            </w:r>
            <w:r w:rsidR="006A5041">
              <w:t xml:space="preserve"> National Aboriginal and Torres Strait Islander Health Survey (NATSIHS)</w:t>
            </w:r>
            <w:r w:rsidR="00843944">
              <w:rPr>
                <w:rStyle w:val="FootnoteReference"/>
              </w:rPr>
              <w:footnoteReference w:id="3"/>
            </w:r>
            <w:r w:rsidR="006A5041">
              <w:t xml:space="preserve"> and ABS</w:t>
            </w:r>
            <w:r>
              <w:t xml:space="preserve"> </w:t>
            </w:r>
            <w:r w:rsidRPr="00861865">
              <w:rPr>
                <w:u w:val="single"/>
              </w:rPr>
              <w:t>National Aboriginal and Torres Strait Islander Social Survey</w:t>
            </w:r>
            <w:r>
              <w:t xml:space="preserve"> (NATSISS). Data are collected on an alternating three</w:t>
            </w:r>
            <w:r w:rsidR="00FA5150">
              <w:noBreakHyphen/>
            </w:r>
            <w:r>
              <w:t xml:space="preserve">yearly cycle </w:t>
            </w:r>
          </w:p>
          <w:p w14:paraId="38C038DD" w14:textId="4B79F905" w:rsidR="004F00F4" w:rsidRDefault="004F00F4" w:rsidP="00CA6134">
            <w:pPr>
              <w:pStyle w:val="TableBodyNA"/>
            </w:pPr>
            <w:r w:rsidRPr="0078783D">
              <w:t>(Non</w:t>
            </w:r>
            <w:r w:rsidR="00FA5150">
              <w:noBreakHyphen/>
            </w:r>
            <w:r w:rsidRPr="0078783D">
              <w:t>Indigenous)</w:t>
            </w:r>
            <w:r w:rsidR="00775A12">
              <w:t xml:space="preserve"> ABS</w:t>
            </w:r>
            <w:r>
              <w:t xml:space="preserve"> </w:t>
            </w:r>
            <w:r w:rsidRPr="00861865">
              <w:rPr>
                <w:u w:val="single"/>
              </w:rPr>
              <w:t>Survey of Education and Work</w:t>
            </w:r>
            <w:r>
              <w:t xml:space="preserve"> (SEW). Data are available annually.</w:t>
            </w:r>
          </w:p>
          <w:p w14:paraId="0E73E651" w14:textId="77777777" w:rsidR="004F00F4" w:rsidRPr="00CA6134" w:rsidRDefault="004F00F4" w:rsidP="00CA6134">
            <w:pPr>
              <w:pStyle w:val="TableBodyNA"/>
              <w:rPr>
                <w:u w:val="single"/>
              </w:rPr>
            </w:pPr>
            <w:r w:rsidRPr="00CA6134">
              <w:rPr>
                <w:u w:val="single"/>
              </w:rPr>
              <w:t>Supplementary data source</w:t>
            </w:r>
          </w:p>
          <w:p w14:paraId="27DAB72D" w14:textId="08102F9B" w:rsidR="004F00F4" w:rsidRPr="00D87AA9" w:rsidRDefault="004F00F4" w:rsidP="00CA6134">
            <w:pPr>
              <w:pStyle w:val="TableBodyNA"/>
            </w:pPr>
            <w:r w:rsidRPr="00861865">
              <w:rPr>
                <w:i/>
              </w:rPr>
              <w:t>Numerator and denominator</w:t>
            </w:r>
            <w:r>
              <w:t xml:space="preserve"> (</w:t>
            </w:r>
            <w:r w:rsidR="003A624B">
              <w:t xml:space="preserve">Aboriginal and Torres Strait Islander </w:t>
            </w:r>
            <w:r>
              <w:t>and non</w:t>
            </w:r>
            <w:r w:rsidR="00FA5150">
              <w:noBreakHyphen/>
            </w:r>
            <w:r>
              <w:t>Indigenous) —</w:t>
            </w:r>
            <w:r w:rsidR="00775A12">
              <w:t xml:space="preserve"> ABS</w:t>
            </w:r>
            <w:r>
              <w:t xml:space="preserve"> </w:t>
            </w:r>
            <w:r w:rsidRPr="00861865">
              <w:rPr>
                <w:u w:val="single"/>
              </w:rPr>
              <w:t>Census of Population and Housing</w:t>
            </w:r>
            <w:r>
              <w:t xml:space="preserve"> (Census). Data are collected every five year</w:t>
            </w:r>
            <w:r w:rsidRPr="00965632">
              <w:t>s</w:t>
            </w:r>
            <w:r w:rsidR="00177B9D">
              <w:t>.</w:t>
            </w:r>
          </w:p>
        </w:tc>
      </w:tr>
      <w:tr w:rsidR="004F00F4" w:rsidRPr="00D87AA9" w14:paraId="5522A1A2" w14:textId="77777777" w:rsidTr="00680847">
        <w:tc>
          <w:tcPr>
            <w:tcW w:w="1985" w:type="dxa"/>
            <w:shd w:val="clear" w:color="auto" w:fill="auto"/>
          </w:tcPr>
          <w:p w14:paraId="04F763B7" w14:textId="5EB47714" w:rsidR="004F00F4" w:rsidRPr="00D87AA9" w:rsidRDefault="00177B9D" w:rsidP="00CA6134">
            <w:pPr>
              <w:pStyle w:val="TableBodyNA"/>
            </w:pPr>
            <w:r>
              <w:t>Data provider:</w:t>
            </w:r>
          </w:p>
        </w:tc>
        <w:tc>
          <w:tcPr>
            <w:tcW w:w="6804" w:type="dxa"/>
            <w:shd w:val="clear" w:color="auto" w:fill="auto"/>
          </w:tcPr>
          <w:p w14:paraId="21B919E1" w14:textId="77777777" w:rsidR="004F00F4" w:rsidRPr="00D87AA9" w:rsidRDefault="004F00F4" w:rsidP="00CA6134">
            <w:pPr>
              <w:pStyle w:val="TableBodyNA"/>
            </w:pPr>
            <w:r w:rsidRPr="00010BAE">
              <w:t>ABS</w:t>
            </w:r>
          </w:p>
        </w:tc>
      </w:tr>
      <w:tr w:rsidR="004F00F4" w:rsidRPr="00D87AA9" w14:paraId="1A85A9A3" w14:textId="77777777" w:rsidTr="00680847">
        <w:trPr>
          <w:trHeight w:val="97"/>
        </w:trPr>
        <w:tc>
          <w:tcPr>
            <w:tcW w:w="1985" w:type="dxa"/>
            <w:shd w:val="clear" w:color="auto" w:fill="auto"/>
          </w:tcPr>
          <w:p w14:paraId="2C9F95F9" w14:textId="77777777" w:rsidR="004F00F4" w:rsidRPr="00D87AA9" w:rsidRDefault="004F00F4" w:rsidP="00CA6134">
            <w:pPr>
              <w:pStyle w:val="TableBodyNA"/>
            </w:pPr>
            <w:r w:rsidRPr="00D87AA9">
              <w:t>Data availability:</w:t>
            </w:r>
          </w:p>
          <w:p w14:paraId="01494E4C" w14:textId="77777777" w:rsidR="004F00F4" w:rsidRPr="00D87AA9" w:rsidRDefault="004F00F4" w:rsidP="00CA6134">
            <w:pPr>
              <w:pStyle w:val="TableBodyNA"/>
            </w:pPr>
          </w:p>
        </w:tc>
        <w:tc>
          <w:tcPr>
            <w:tcW w:w="6804" w:type="dxa"/>
            <w:shd w:val="clear" w:color="auto" w:fill="auto"/>
          </w:tcPr>
          <w:p w14:paraId="744D6F1B" w14:textId="77777777" w:rsidR="00E33868" w:rsidRPr="00CA6134" w:rsidRDefault="00E33868" w:rsidP="00CA6134">
            <w:pPr>
              <w:pStyle w:val="TableBodyNA"/>
              <w:rPr>
                <w:u w:val="single"/>
              </w:rPr>
            </w:pPr>
            <w:r w:rsidRPr="00CA6134">
              <w:rPr>
                <w:u w:val="single"/>
              </w:rPr>
              <w:t>Main data source</w:t>
            </w:r>
          </w:p>
          <w:p w14:paraId="762B8E43" w14:textId="26B69AB5" w:rsidR="006A5041" w:rsidRDefault="006A5041" w:rsidP="00CA6134">
            <w:pPr>
              <w:pStyle w:val="TableBodyNA"/>
            </w:pPr>
            <w:r>
              <w:t>2018</w:t>
            </w:r>
            <w:r w:rsidR="00FA5150">
              <w:noBreakHyphen/>
            </w:r>
            <w:r>
              <w:t>19 (Aboriginal and Torres Strait Islander) — NATSIHS</w:t>
            </w:r>
          </w:p>
          <w:p w14:paraId="42FFA7CF" w14:textId="011D8A00" w:rsidR="00E33868" w:rsidRDefault="006A5041" w:rsidP="00CA6134">
            <w:pPr>
              <w:pStyle w:val="TableBodyNA"/>
            </w:pPr>
            <w:r>
              <w:t>2018 (non</w:t>
            </w:r>
            <w:r w:rsidR="00FA5150">
              <w:noBreakHyphen/>
            </w:r>
            <w:r>
              <w:t>Indigenous) — SEW</w:t>
            </w:r>
            <w:r w:rsidR="00DB31C5">
              <w:t xml:space="preserve"> </w:t>
            </w:r>
          </w:p>
          <w:p w14:paraId="6FC70BAC" w14:textId="77777777" w:rsidR="00E33868" w:rsidRPr="00CA6134" w:rsidRDefault="00E33868" w:rsidP="00CA6134">
            <w:pPr>
              <w:pStyle w:val="TableBodyNA"/>
              <w:rPr>
                <w:u w:val="single"/>
              </w:rPr>
            </w:pPr>
            <w:r w:rsidRPr="00CA6134">
              <w:rPr>
                <w:u w:val="single"/>
              </w:rPr>
              <w:t>Supplementary data source</w:t>
            </w:r>
          </w:p>
          <w:p w14:paraId="230539C3" w14:textId="4B339C52" w:rsidR="00440C3F" w:rsidRPr="00D87AA9" w:rsidRDefault="008D4253" w:rsidP="00843944">
            <w:pPr>
              <w:pStyle w:val="TableBodyNA"/>
            </w:pPr>
            <w:r>
              <w:t>No new data available</w:t>
            </w:r>
            <w:r w:rsidR="006A5041">
              <w:t xml:space="preserve"> </w:t>
            </w:r>
          </w:p>
        </w:tc>
      </w:tr>
      <w:tr w:rsidR="004F00F4" w:rsidRPr="00D87AA9" w14:paraId="55B1FAC9" w14:textId="77777777" w:rsidTr="00680847">
        <w:tc>
          <w:tcPr>
            <w:tcW w:w="1985" w:type="dxa"/>
            <w:shd w:val="clear" w:color="auto" w:fill="auto"/>
          </w:tcPr>
          <w:p w14:paraId="11CFEC57" w14:textId="7FFD8E68" w:rsidR="004F00F4" w:rsidRPr="00D87AA9" w:rsidRDefault="00177B9D" w:rsidP="00CA6134">
            <w:pPr>
              <w:pStyle w:val="TableBodyNA"/>
            </w:pPr>
            <w:r>
              <w:t>Baseline:</w:t>
            </w:r>
          </w:p>
        </w:tc>
        <w:tc>
          <w:tcPr>
            <w:tcW w:w="6804" w:type="dxa"/>
            <w:shd w:val="clear" w:color="auto" w:fill="auto"/>
          </w:tcPr>
          <w:p w14:paraId="70AA70B0" w14:textId="77777777" w:rsidR="004F00F4" w:rsidRPr="00D87AA9" w:rsidRDefault="004F00F4" w:rsidP="00CA6134">
            <w:pPr>
              <w:pStyle w:val="TableBodyNA"/>
            </w:pPr>
            <w:r w:rsidRPr="00010BAE">
              <w:t>The baseline for the target is 2008</w:t>
            </w:r>
          </w:p>
        </w:tc>
      </w:tr>
      <w:tr w:rsidR="004F00F4" w:rsidRPr="00D87AA9" w14:paraId="573AD454" w14:textId="77777777" w:rsidTr="00680847">
        <w:tc>
          <w:tcPr>
            <w:tcW w:w="1985" w:type="dxa"/>
            <w:shd w:val="clear" w:color="auto" w:fill="auto"/>
          </w:tcPr>
          <w:p w14:paraId="27EECBC2" w14:textId="77777777" w:rsidR="004F00F4" w:rsidRPr="00D87AA9" w:rsidRDefault="004F00F4" w:rsidP="00CA6134">
            <w:pPr>
              <w:pStyle w:val="TableBodyNA"/>
            </w:pPr>
            <w:r w:rsidRPr="00D87AA9">
              <w:t>Cross tabulations provided:</w:t>
            </w:r>
          </w:p>
        </w:tc>
        <w:tc>
          <w:tcPr>
            <w:tcW w:w="6804" w:type="dxa"/>
            <w:shd w:val="clear" w:color="auto" w:fill="auto"/>
          </w:tcPr>
          <w:p w14:paraId="4D87364C" w14:textId="77D55AB0" w:rsidR="004F00F4" w:rsidRPr="00D87AA9" w:rsidRDefault="006A5041" w:rsidP="008822BF">
            <w:pPr>
              <w:pStyle w:val="TableBodyNA"/>
              <w:rPr>
                <w:szCs w:val="24"/>
              </w:rPr>
            </w:pPr>
            <w:r>
              <w:t>State and Territory, by</w:t>
            </w:r>
            <w:r w:rsidR="008B4F49">
              <w:t xml:space="preserve"> </w:t>
            </w:r>
            <w:r>
              <w:t>Indigenous status</w:t>
            </w:r>
          </w:p>
        </w:tc>
      </w:tr>
    </w:tbl>
    <w:p w14:paraId="0CAF4E20" w14:textId="77777777" w:rsidR="006A5041" w:rsidRDefault="006A5041" w:rsidP="006A5041">
      <w:pPr>
        <w:pStyle w:val="BodyT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6A5041" w14:paraId="1C0D48CD" w14:textId="77777777" w:rsidTr="006A5041">
        <w:tc>
          <w:tcPr>
            <w:tcW w:w="5000" w:type="pct"/>
            <w:tcBorders>
              <w:top w:val="single" w:sz="6" w:space="0" w:color="78A22F"/>
              <w:left w:val="nil"/>
              <w:bottom w:val="nil"/>
              <w:right w:val="nil"/>
            </w:tcBorders>
            <w:shd w:val="clear" w:color="auto" w:fill="F2F2F2"/>
          </w:tcPr>
          <w:p w14:paraId="3C54CB6F" w14:textId="77777777" w:rsidR="006A5041" w:rsidRDefault="006A5041" w:rsidP="001F1684">
            <w:pPr>
              <w:pStyle w:val="BoxTitle"/>
            </w:pPr>
            <w:r>
              <w:rPr>
                <w:b w:val="0"/>
              </w:rPr>
              <w:lastRenderedPageBreak/>
              <w:t>Box 11</w:t>
            </w:r>
            <w:r>
              <w:tab/>
              <w:t>Results</w:t>
            </w:r>
          </w:p>
        </w:tc>
      </w:tr>
      <w:tr w:rsidR="006A5041" w:rsidRPr="00D337E4" w14:paraId="7A889F4A" w14:textId="77777777" w:rsidTr="006A5041">
        <w:trPr>
          <w:cantSplit/>
        </w:trPr>
        <w:tc>
          <w:tcPr>
            <w:tcW w:w="5000" w:type="pct"/>
            <w:tcBorders>
              <w:top w:val="nil"/>
              <w:left w:val="nil"/>
              <w:bottom w:val="nil"/>
              <w:right w:val="nil"/>
            </w:tcBorders>
            <w:shd w:val="clear" w:color="auto" w:fill="F2F2F2"/>
          </w:tcPr>
          <w:p w14:paraId="69191B9B" w14:textId="177E087C" w:rsidR="002238CE" w:rsidRPr="002E7DE7" w:rsidRDefault="006A5041" w:rsidP="001F1684">
            <w:pPr>
              <w:pStyle w:val="Box"/>
            </w:pPr>
            <w:r>
              <w:t>For this report, new data from the main data source for 2018</w:t>
            </w:r>
            <w:r w:rsidR="00FA5150">
              <w:noBreakHyphen/>
            </w:r>
            <w:r>
              <w:t xml:space="preserve">19 are presented in table NIRA.14.1. </w:t>
            </w:r>
          </w:p>
          <w:p w14:paraId="35F09CBF" w14:textId="7E64935D" w:rsidR="00A571A6" w:rsidRDefault="00843944" w:rsidP="006A5041">
            <w:pPr>
              <w:pStyle w:val="Box"/>
            </w:pPr>
            <w:r>
              <w:t>D</w:t>
            </w:r>
            <w:r w:rsidR="00A571A6">
              <w:t>ata for 2014</w:t>
            </w:r>
            <w:r w:rsidR="00FA5150">
              <w:noBreakHyphen/>
            </w:r>
            <w:r w:rsidR="00A571A6">
              <w:t>15 were reported in the 2015</w:t>
            </w:r>
            <w:r w:rsidR="00FA5150">
              <w:noBreakHyphen/>
            </w:r>
            <w:r w:rsidR="00A571A6">
              <w:t xml:space="preserve">16 NIRA performance report, </w:t>
            </w:r>
            <w:r w:rsidR="00A571A6" w:rsidRPr="004F00F4">
              <w:t>2012</w:t>
            </w:r>
            <w:r w:rsidR="00FA5150">
              <w:noBreakHyphen/>
            </w:r>
            <w:r w:rsidR="00A571A6" w:rsidRPr="004F00F4">
              <w:t xml:space="preserve">13 </w:t>
            </w:r>
            <w:r w:rsidR="00A571A6">
              <w:t>were reported in the 2013</w:t>
            </w:r>
            <w:r w:rsidR="00FA5150">
              <w:noBreakHyphen/>
            </w:r>
            <w:r w:rsidR="00A571A6">
              <w:t>14 NIRA performance report and for 2008 in the baseline 2008</w:t>
            </w:r>
            <w:r w:rsidR="00FA5150">
              <w:noBreakHyphen/>
            </w:r>
            <w:r w:rsidR="00A571A6">
              <w:t>09 NIRA performance report.</w:t>
            </w:r>
          </w:p>
          <w:p w14:paraId="4C873853" w14:textId="28C865A4" w:rsidR="006A5041" w:rsidRPr="00480808" w:rsidRDefault="00843944" w:rsidP="00843944">
            <w:pPr>
              <w:pStyle w:val="Box"/>
            </w:pPr>
            <w:r>
              <w:t>Supplementary data (</w:t>
            </w:r>
            <w:r w:rsidR="006A5041">
              <w:t>Census</w:t>
            </w:r>
            <w:r>
              <w:t>)</w:t>
            </w:r>
            <w:r w:rsidR="006A5041">
              <w:t xml:space="preserve"> were reported in the 2016</w:t>
            </w:r>
            <w:r w:rsidR="00FA5150">
              <w:noBreakHyphen/>
            </w:r>
            <w:r w:rsidR="006A5041">
              <w:t>17 NIRA performance report (2016 Census), in the 2011</w:t>
            </w:r>
            <w:r w:rsidR="00FA5150">
              <w:noBreakHyphen/>
            </w:r>
            <w:r w:rsidR="006A5041">
              <w:t>12 NIRA performance report (2011 Census) and the baseline 2008</w:t>
            </w:r>
            <w:r w:rsidR="00FA5150">
              <w:noBreakHyphen/>
            </w:r>
            <w:r w:rsidR="006A5041">
              <w:t>09 NIRA performance report (2006 Census).</w:t>
            </w:r>
          </w:p>
        </w:tc>
      </w:tr>
      <w:tr w:rsidR="006A5041" w14:paraId="3B4F5F64" w14:textId="77777777" w:rsidTr="006A5041">
        <w:trPr>
          <w:cantSplit/>
        </w:trPr>
        <w:tc>
          <w:tcPr>
            <w:tcW w:w="5000" w:type="pct"/>
            <w:tcBorders>
              <w:top w:val="nil"/>
              <w:left w:val="nil"/>
              <w:bottom w:val="single" w:sz="6" w:space="0" w:color="78A22F"/>
              <w:right w:val="nil"/>
            </w:tcBorders>
            <w:shd w:val="clear" w:color="auto" w:fill="F2F2F2"/>
          </w:tcPr>
          <w:p w14:paraId="6653E399" w14:textId="77777777" w:rsidR="006A5041" w:rsidRDefault="006A5041" w:rsidP="001F1684">
            <w:pPr>
              <w:pStyle w:val="Box"/>
              <w:spacing w:before="0" w:line="120" w:lineRule="exact"/>
            </w:pPr>
          </w:p>
        </w:tc>
      </w:tr>
      <w:tr w:rsidR="006A5041" w:rsidRPr="000863A5" w14:paraId="1FBC4B91" w14:textId="77777777" w:rsidTr="006A5041">
        <w:tc>
          <w:tcPr>
            <w:tcW w:w="5000" w:type="pct"/>
            <w:tcBorders>
              <w:top w:val="single" w:sz="6" w:space="0" w:color="78A22F"/>
              <w:left w:val="nil"/>
              <w:bottom w:val="nil"/>
              <w:right w:val="nil"/>
            </w:tcBorders>
          </w:tcPr>
          <w:p w14:paraId="6F0B4E00" w14:textId="77777777" w:rsidR="006A5041" w:rsidRPr="00626D32" w:rsidRDefault="006A5041" w:rsidP="001F1684">
            <w:pPr>
              <w:pStyle w:val="BoxSpaceBelow"/>
            </w:pPr>
          </w:p>
        </w:tc>
      </w:tr>
    </w:tbl>
    <w:p w14:paraId="15ABAD01" w14:textId="77777777" w:rsidR="006A5041" w:rsidRDefault="006A5041" w:rsidP="006A504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6A5041" w14:paraId="2F0177B7" w14:textId="77777777" w:rsidTr="006A5041">
        <w:tc>
          <w:tcPr>
            <w:tcW w:w="5000" w:type="pct"/>
            <w:tcBorders>
              <w:top w:val="single" w:sz="6" w:space="0" w:color="78A22F"/>
              <w:left w:val="nil"/>
              <w:bottom w:val="nil"/>
              <w:right w:val="nil"/>
            </w:tcBorders>
            <w:shd w:val="clear" w:color="auto" w:fill="F2F2F2"/>
          </w:tcPr>
          <w:p w14:paraId="7618C318" w14:textId="77777777" w:rsidR="006A5041" w:rsidRDefault="006A5041" w:rsidP="001F1684">
            <w:pPr>
              <w:pStyle w:val="BoxTitle"/>
            </w:pPr>
            <w:r>
              <w:rPr>
                <w:b w:val="0"/>
              </w:rPr>
              <w:t>Box 12</w:t>
            </w:r>
            <w:r>
              <w:tab/>
              <w:t>Comment on data quality</w:t>
            </w:r>
          </w:p>
        </w:tc>
      </w:tr>
      <w:tr w:rsidR="006A5041" w:rsidRPr="00D337E4" w14:paraId="37488DAC" w14:textId="77777777" w:rsidTr="006A5041">
        <w:trPr>
          <w:cantSplit/>
        </w:trPr>
        <w:tc>
          <w:tcPr>
            <w:tcW w:w="5000" w:type="pct"/>
            <w:tcBorders>
              <w:top w:val="nil"/>
              <w:left w:val="nil"/>
              <w:bottom w:val="nil"/>
              <w:right w:val="nil"/>
            </w:tcBorders>
            <w:shd w:val="clear" w:color="auto" w:fill="F2F2F2"/>
          </w:tcPr>
          <w:p w14:paraId="665A7507" w14:textId="77777777" w:rsidR="006A5041" w:rsidRPr="00D337E4" w:rsidRDefault="006A5041" w:rsidP="001F1684">
            <w:pPr>
              <w:pStyle w:val="Box"/>
              <w:rPr>
                <w:szCs w:val="24"/>
              </w:rPr>
            </w:pPr>
            <w:r>
              <w:t>Details are included in the comment on data quality for performance indicator 14.</w:t>
            </w:r>
          </w:p>
        </w:tc>
      </w:tr>
      <w:tr w:rsidR="006A5041" w14:paraId="5CAC70F2" w14:textId="77777777" w:rsidTr="006A5041">
        <w:trPr>
          <w:cantSplit/>
        </w:trPr>
        <w:tc>
          <w:tcPr>
            <w:tcW w:w="5000" w:type="pct"/>
            <w:tcBorders>
              <w:top w:val="nil"/>
              <w:left w:val="nil"/>
              <w:bottom w:val="single" w:sz="6" w:space="0" w:color="78A22F"/>
              <w:right w:val="nil"/>
            </w:tcBorders>
            <w:shd w:val="clear" w:color="auto" w:fill="F2F2F2"/>
          </w:tcPr>
          <w:p w14:paraId="756FCA2F" w14:textId="77777777" w:rsidR="006A5041" w:rsidRDefault="006A5041" w:rsidP="001F1684">
            <w:pPr>
              <w:pStyle w:val="Box"/>
              <w:spacing w:before="0" w:line="120" w:lineRule="exact"/>
            </w:pPr>
          </w:p>
        </w:tc>
      </w:tr>
      <w:tr w:rsidR="006A5041" w:rsidRPr="000863A5" w14:paraId="6C570943" w14:textId="77777777" w:rsidTr="006A5041">
        <w:tc>
          <w:tcPr>
            <w:tcW w:w="5000" w:type="pct"/>
            <w:tcBorders>
              <w:top w:val="single" w:sz="6" w:space="0" w:color="78A22F"/>
              <w:left w:val="nil"/>
              <w:bottom w:val="nil"/>
              <w:right w:val="nil"/>
            </w:tcBorders>
          </w:tcPr>
          <w:p w14:paraId="5E75E820" w14:textId="77777777" w:rsidR="006A5041" w:rsidRPr="00626D32" w:rsidRDefault="006A5041" w:rsidP="001F1684">
            <w:pPr>
              <w:pStyle w:val="BoxSpaceBelow"/>
            </w:pPr>
          </w:p>
        </w:tc>
      </w:tr>
    </w:tbl>
    <w:p w14:paraId="58B3D220" w14:textId="77777777" w:rsidR="00A571A6" w:rsidRDefault="00A571A6" w:rsidP="008822BF">
      <w:pPr>
        <w:pStyle w:val="BodyText"/>
      </w:pPr>
    </w:p>
    <w:p w14:paraId="122DDEC4" w14:textId="1DDBF734" w:rsidR="007D6965" w:rsidRDefault="00D337E4" w:rsidP="008822BF">
      <w:pPr>
        <w:pStyle w:val="BodyText"/>
      </w:pPr>
      <w:r>
        <w:br w:type="page"/>
      </w:r>
    </w:p>
    <w:p w14:paraId="04C7C8FB" w14:textId="5772D010" w:rsidR="007D6965" w:rsidRPr="00446CD4" w:rsidRDefault="007D6965" w:rsidP="008F5A63">
      <w:pPr>
        <w:pStyle w:val="Heading3"/>
        <w:spacing w:after="120"/>
      </w:pPr>
      <w:r w:rsidRPr="00446CD4">
        <w:lastRenderedPageBreak/>
        <w:t>Performance target (g) — close the gap between Indigenous and non</w:t>
      </w:r>
      <w:r w:rsidR="00FA5150">
        <w:noBreakHyphen/>
      </w:r>
      <w:r w:rsidRPr="00446CD4">
        <w:t>Indigenous school attendance within five years (by 2018)</w:t>
      </w:r>
    </w:p>
    <w:p w14:paraId="7F75F0C0" w14:textId="77777777" w:rsidR="007D6965" w:rsidRPr="00941378" w:rsidRDefault="007D6965" w:rsidP="008F5A63">
      <w:pPr>
        <w:pStyle w:val="BoxSpaceAbove"/>
        <w:spacing w:before="120"/>
      </w:pPr>
    </w:p>
    <w:tbl>
      <w:tblPr>
        <w:tblW w:w="0" w:type="auto"/>
        <w:tblCellMar>
          <w:left w:w="0" w:type="dxa"/>
          <w:right w:w="0" w:type="dxa"/>
        </w:tblCellMar>
        <w:tblLook w:val="0000" w:firstRow="0" w:lastRow="0" w:firstColumn="0" w:lastColumn="0" w:noHBand="0" w:noVBand="0"/>
      </w:tblPr>
      <w:tblGrid>
        <w:gridCol w:w="1985"/>
        <w:gridCol w:w="6804"/>
      </w:tblGrid>
      <w:tr w:rsidR="007D6965" w:rsidRPr="00A273D1" w14:paraId="52712D14" w14:textId="77777777" w:rsidTr="00F57F7B">
        <w:tc>
          <w:tcPr>
            <w:tcW w:w="1985" w:type="dxa"/>
          </w:tcPr>
          <w:p w14:paraId="631BEB36" w14:textId="3362BEEF" w:rsidR="007D6965" w:rsidRPr="00A273D1" w:rsidRDefault="007D6965" w:rsidP="00CA6134">
            <w:pPr>
              <w:pStyle w:val="TableBodyNA"/>
            </w:pPr>
            <w:r w:rsidRPr="00B82DC5">
              <w:t>Key amendments fr</w:t>
            </w:r>
            <w:r w:rsidR="00177B9D">
              <w:t>om previous cycle of reporting:</w:t>
            </w:r>
          </w:p>
        </w:tc>
        <w:tc>
          <w:tcPr>
            <w:tcW w:w="6804" w:type="dxa"/>
          </w:tcPr>
          <w:p w14:paraId="411B6151" w14:textId="7476040F" w:rsidR="007D6965" w:rsidRPr="00A273D1" w:rsidRDefault="00480808" w:rsidP="00CA6134">
            <w:pPr>
              <w:pStyle w:val="TableBodyNA"/>
            </w:pPr>
            <w:r w:rsidRPr="00994C99">
              <w:t xml:space="preserve">This target is unchanged from the previous </w:t>
            </w:r>
            <w:r w:rsidR="00F555B6">
              <w:t>NIRA performance report</w:t>
            </w:r>
            <w:r w:rsidRPr="00994C99">
              <w:t>.</w:t>
            </w:r>
          </w:p>
        </w:tc>
      </w:tr>
      <w:tr w:rsidR="007D6965" w:rsidRPr="00D87AA9" w14:paraId="39222B45" w14:textId="77777777" w:rsidTr="00F57F7B">
        <w:tc>
          <w:tcPr>
            <w:tcW w:w="1985" w:type="dxa"/>
          </w:tcPr>
          <w:p w14:paraId="5ADB2B23" w14:textId="77777777" w:rsidR="007D6965" w:rsidRPr="00D87AA9" w:rsidRDefault="007D6965" w:rsidP="00CA6134">
            <w:pPr>
              <w:pStyle w:val="TableBodyNA"/>
            </w:pPr>
            <w:r w:rsidRPr="00D87AA9">
              <w:t>Outcome:</w:t>
            </w:r>
          </w:p>
        </w:tc>
        <w:tc>
          <w:tcPr>
            <w:tcW w:w="6804" w:type="dxa"/>
            <w:shd w:val="clear" w:color="auto" w:fill="auto"/>
          </w:tcPr>
          <w:p w14:paraId="597D5B3D" w14:textId="4F0CD35B" w:rsidR="007D6965" w:rsidRPr="00D87AA9" w:rsidRDefault="007D6965" w:rsidP="0040338B">
            <w:pPr>
              <w:pStyle w:val="TableBodyNA"/>
            </w:pPr>
            <w:r w:rsidRPr="00C21B9A">
              <w:t>The aim of the target is to close the gap between Indigenous and non</w:t>
            </w:r>
            <w:r w:rsidR="00FA5150">
              <w:noBreakHyphen/>
            </w:r>
            <w:r w:rsidRPr="00C21B9A">
              <w:t xml:space="preserve">Indigenous school attendance </w:t>
            </w:r>
            <w:r w:rsidRPr="00CA6134">
              <w:t>within</w:t>
            </w:r>
            <w:r w:rsidRPr="00C21B9A">
              <w:t xml:space="preserve"> five years (by </w:t>
            </w:r>
            <w:r>
              <w:t>the end of</w:t>
            </w:r>
            <w:r w:rsidR="00843944">
              <w:t xml:space="preserve"> </w:t>
            </w:r>
            <w:r w:rsidR="00843944" w:rsidRPr="00C21B9A">
              <w:t>2018)</w:t>
            </w:r>
          </w:p>
        </w:tc>
      </w:tr>
      <w:tr w:rsidR="007D6965" w:rsidRPr="00D87AA9" w14:paraId="098B9B92" w14:textId="77777777" w:rsidTr="00F57F7B">
        <w:tc>
          <w:tcPr>
            <w:tcW w:w="1985" w:type="dxa"/>
          </w:tcPr>
          <w:p w14:paraId="6EE2D66C" w14:textId="77777777" w:rsidR="007D6965" w:rsidRPr="00D87AA9" w:rsidRDefault="007D6965" w:rsidP="00CA6134">
            <w:pPr>
              <w:pStyle w:val="TableBodyNA"/>
            </w:pPr>
            <w:r w:rsidRPr="00D87AA9">
              <w:t xml:space="preserve">Measure: </w:t>
            </w:r>
          </w:p>
          <w:p w14:paraId="0F48DDB4" w14:textId="77777777" w:rsidR="007D6965" w:rsidRPr="00D87AA9" w:rsidRDefault="007D6965" w:rsidP="00CA6134">
            <w:pPr>
              <w:pStyle w:val="TableBodyNA"/>
            </w:pPr>
          </w:p>
        </w:tc>
        <w:tc>
          <w:tcPr>
            <w:tcW w:w="6804" w:type="dxa"/>
          </w:tcPr>
          <w:p w14:paraId="796E0E97" w14:textId="4127828F" w:rsidR="007D6965" w:rsidRDefault="007D6965" w:rsidP="00CA6134">
            <w:pPr>
              <w:pStyle w:val="TableBodyNA"/>
            </w:pPr>
            <w:r>
              <w:t>Overall attendance rates year 1 to year 10 (combined for year levels and sectors)</w:t>
            </w:r>
            <w:r w:rsidR="002D402D">
              <w:t>, by Indigenous status</w:t>
            </w:r>
            <w:r>
              <w:t>.</w:t>
            </w:r>
          </w:p>
          <w:p w14:paraId="576DDABA" w14:textId="77777777" w:rsidR="007D6965" w:rsidRDefault="007D6965" w:rsidP="00CA6134">
            <w:pPr>
              <w:pStyle w:val="TableBodyNA"/>
            </w:pPr>
            <w:r>
              <w:t>The measure is defined as:</w:t>
            </w:r>
          </w:p>
          <w:p w14:paraId="2C6CFDC5" w14:textId="77777777" w:rsidR="007D6965" w:rsidRDefault="007D6965" w:rsidP="00F57F7B">
            <w:pPr>
              <w:pStyle w:val="TableBullet"/>
            </w:pPr>
            <w:r w:rsidRPr="0069483D">
              <w:rPr>
                <w:i/>
              </w:rPr>
              <w:t>Numerator</w:t>
            </w:r>
            <w:r>
              <w:t xml:space="preserve"> — aggregate number of actual days in attendance in the collection period, for children in years 1–10 (children enrolled full time only</w:t>
            </w:r>
            <w:r w:rsidRPr="008D039F">
              <w:rPr>
                <w:rStyle w:val="NoteLabel"/>
                <w:b w:val="0"/>
              </w:rPr>
              <w:footnoteReference w:id="4"/>
            </w:r>
            <w:r w:rsidRPr="0056628E">
              <w:rPr>
                <w:rStyle w:val="NoteChar"/>
              </w:rPr>
              <w:t>)</w:t>
            </w:r>
          </w:p>
          <w:p w14:paraId="6C502D21" w14:textId="15C81EB7" w:rsidR="007D6965" w:rsidRDefault="007D6965" w:rsidP="00F57F7B">
            <w:pPr>
              <w:pStyle w:val="TableBullet"/>
            </w:pPr>
            <w:r w:rsidRPr="0069483D">
              <w:rPr>
                <w:i/>
              </w:rPr>
              <w:t>Denominator</w:t>
            </w:r>
            <w:r>
              <w:t xml:space="preserve"> — aggregate number of possible days for attendance in the collection period, for children in years 1–10 (children enrolled full time only</w:t>
            </w:r>
            <w:r w:rsidR="00166285" w:rsidRPr="00166285">
              <w:rPr>
                <w:rStyle w:val="NoteLabel"/>
                <w:b w:val="0"/>
              </w:rPr>
              <w:t>2</w:t>
            </w:r>
            <w:r w:rsidR="00AD5409">
              <w:t>)</w:t>
            </w:r>
          </w:p>
          <w:p w14:paraId="67CB9E7A" w14:textId="2F6A8F2C" w:rsidR="007D6965" w:rsidRPr="00D87AA9" w:rsidRDefault="007D6965" w:rsidP="00CA6134">
            <w:pPr>
              <w:pStyle w:val="TableBodyNA"/>
            </w:pPr>
            <w:r>
              <w:t xml:space="preserve">presented as </w:t>
            </w:r>
            <w:r w:rsidRPr="00CA6134">
              <w:rPr>
                <w:i/>
              </w:rPr>
              <w:t>per cent of possible days of attendance</w:t>
            </w:r>
          </w:p>
        </w:tc>
      </w:tr>
      <w:tr w:rsidR="007D6965" w:rsidRPr="00D87AA9" w14:paraId="3560DBBE" w14:textId="77777777" w:rsidTr="00F57F7B">
        <w:tc>
          <w:tcPr>
            <w:tcW w:w="1985" w:type="dxa"/>
            <w:shd w:val="clear" w:color="auto" w:fill="auto"/>
          </w:tcPr>
          <w:p w14:paraId="4CBCDBBF" w14:textId="67577154" w:rsidR="007D6965" w:rsidRPr="00D87AA9" w:rsidRDefault="007D6965" w:rsidP="00CA6134">
            <w:pPr>
              <w:pStyle w:val="TableBodyNA"/>
            </w:pPr>
            <w:r w:rsidRPr="00D87AA9">
              <w:t>Re</w:t>
            </w:r>
            <w:r w:rsidR="00177B9D">
              <w:t>lated performance indicators:</w:t>
            </w:r>
          </w:p>
        </w:tc>
        <w:tc>
          <w:tcPr>
            <w:tcW w:w="6804" w:type="dxa"/>
            <w:shd w:val="clear" w:color="auto" w:fill="auto"/>
          </w:tcPr>
          <w:p w14:paraId="044710EC" w14:textId="77777777" w:rsidR="007D6965" w:rsidRPr="00D87AA9" w:rsidRDefault="007D6965" w:rsidP="00CA6134">
            <w:pPr>
              <w:pStyle w:val="TableBodyNA"/>
            </w:pPr>
            <w:r w:rsidRPr="00BF614C">
              <w:t>Performance indicator 1</w:t>
            </w:r>
            <w:r>
              <w:t>3</w:t>
            </w:r>
            <w:r w:rsidRPr="00BF614C">
              <w:t xml:space="preserve">: </w:t>
            </w:r>
            <w:r>
              <w:t>Attendance rates year 1 to year 10</w:t>
            </w:r>
            <w:r w:rsidR="00096D71">
              <w:t xml:space="preserve"> (measure 13</w:t>
            </w:r>
            <w:r w:rsidR="00611985">
              <w:t>a</w:t>
            </w:r>
            <w:r w:rsidR="00096D71">
              <w:t>)</w:t>
            </w:r>
          </w:p>
        </w:tc>
      </w:tr>
      <w:tr w:rsidR="007D6965" w:rsidRPr="00D87AA9" w14:paraId="10FB07D4" w14:textId="77777777" w:rsidTr="00F57F7B">
        <w:tc>
          <w:tcPr>
            <w:tcW w:w="1985" w:type="dxa"/>
            <w:shd w:val="clear" w:color="auto" w:fill="auto"/>
          </w:tcPr>
          <w:p w14:paraId="68600C40" w14:textId="20A38B98" w:rsidR="007D6965" w:rsidRPr="00D87AA9" w:rsidRDefault="00177B9D" w:rsidP="00CA6134">
            <w:pPr>
              <w:pStyle w:val="TableBodyNA"/>
            </w:pPr>
            <w:r>
              <w:t>Data source:</w:t>
            </w:r>
          </w:p>
        </w:tc>
        <w:tc>
          <w:tcPr>
            <w:tcW w:w="6804" w:type="dxa"/>
            <w:shd w:val="clear" w:color="auto" w:fill="auto"/>
          </w:tcPr>
          <w:p w14:paraId="1CEB7BD9" w14:textId="3D2F0529" w:rsidR="007D6965" w:rsidRPr="00D87AA9" w:rsidRDefault="007D6965" w:rsidP="00CA6134">
            <w:pPr>
              <w:pStyle w:val="TableBodyNA"/>
            </w:pPr>
            <w:r w:rsidRPr="004177E0">
              <w:rPr>
                <w:i/>
              </w:rPr>
              <w:t>Numerator and denominator</w:t>
            </w:r>
            <w:r w:rsidRPr="00BF614C">
              <w:t xml:space="preserve"> — </w:t>
            </w:r>
            <w:r w:rsidR="00C754EF">
              <w:t xml:space="preserve">ACARA </w:t>
            </w:r>
            <w:r w:rsidRPr="00784D6B">
              <w:rPr>
                <w:u w:val="single"/>
              </w:rPr>
              <w:t>National Student Attendance Collection</w:t>
            </w:r>
            <w:r w:rsidRPr="006F41BD">
              <w:t xml:space="preserve"> </w:t>
            </w:r>
          </w:p>
        </w:tc>
      </w:tr>
      <w:tr w:rsidR="007D6965" w:rsidRPr="00D87AA9" w14:paraId="26490D7D" w14:textId="77777777" w:rsidTr="00F57F7B">
        <w:tc>
          <w:tcPr>
            <w:tcW w:w="1985" w:type="dxa"/>
            <w:shd w:val="clear" w:color="auto" w:fill="auto"/>
          </w:tcPr>
          <w:p w14:paraId="79EA0172" w14:textId="4FE5BF8C" w:rsidR="007D6965" w:rsidRPr="00D87AA9" w:rsidRDefault="00177B9D" w:rsidP="00CA6134">
            <w:pPr>
              <w:pStyle w:val="TableBodyNA"/>
            </w:pPr>
            <w:r>
              <w:t>Data provider:</w:t>
            </w:r>
          </w:p>
        </w:tc>
        <w:tc>
          <w:tcPr>
            <w:tcW w:w="6804" w:type="dxa"/>
            <w:shd w:val="clear" w:color="auto" w:fill="auto"/>
          </w:tcPr>
          <w:p w14:paraId="21467025" w14:textId="77777777" w:rsidR="007D6965" w:rsidRPr="00D87AA9" w:rsidRDefault="007D6965" w:rsidP="00CA6134">
            <w:pPr>
              <w:pStyle w:val="TableBodyNA"/>
            </w:pPr>
            <w:r>
              <w:t>ACARA</w:t>
            </w:r>
          </w:p>
        </w:tc>
      </w:tr>
      <w:tr w:rsidR="00177B9D" w:rsidRPr="00D87AA9" w14:paraId="02D60534" w14:textId="77777777" w:rsidTr="00F57F7B">
        <w:tc>
          <w:tcPr>
            <w:tcW w:w="1985" w:type="dxa"/>
            <w:shd w:val="clear" w:color="auto" w:fill="auto"/>
          </w:tcPr>
          <w:p w14:paraId="1536F03F" w14:textId="6C5E599A" w:rsidR="00177B9D" w:rsidRDefault="00177B9D" w:rsidP="00CA6134">
            <w:pPr>
              <w:pStyle w:val="TableBodyNA"/>
            </w:pPr>
            <w:r>
              <w:t>Data availability:</w:t>
            </w:r>
          </w:p>
        </w:tc>
        <w:tc>
          <w:tcPr>
            <w:tcW w:w="6804" w:type="dxa"/>
            <w:shd w:val="clear" w:color="auto" w:fill="auto"/>
          </w:tcPr>
          <w:p w14:paraId="36A404DF" w14:textId="757F30C0" w:rsidR="00843944" w:rsidRDefault="00A571A6" w:rsidP="00843944">
            <w:pPr>
              <w:pStyle w:val="TableBodyNA"/>
            </w:pPr>
            <w:r>
              <w:t xml:space="preserve">2019 </w:t>
            </w:r>
            <w:r w:rsidR="00177B9D">
              <w:t>(Semester 1)</w:t>
            </w:r>
          </w:p>
          <w:p w14:paraId="77AB5482" w14:textId="4D5BB88D" w:rsidR="00177B9D" w:rsidRDefault="00843944" w:rsidP="00843944">
            <w:pPr>
              <w:pStyle w:val="TableBodyNA"/>
            </w:pPr>
            <w:r>
              <w:t>[Note: 2019 is past the end date for this target but is referenced here for the associated NIRA performance indicator]</w:t>
            </w:r>
          </w:p>
        </w:tc>
      </w:tr>
      <w:tr w:rsidR="007D6965" w:rsidRPr="00D87AA9" w14:paraId="1B3D6764" w14:textId="77777777" w:rsidTr="00F57F7B">
        <w:tc>
          <w:tcPr>
            <w:tcW w:w="1985" w:type="dxa"/>
            <w:shd w:val="clear" w:color="auto" w:fill="auto"/>
          </w:tcPr>
          <w:p w14:paraId="383A8C37" w14:textId="1F8CDBA0" w:rsidR="007D6965" w:rsidRPr="00D87AA9" w:rsidRDefault="00177B9D" w:rsidP="00CA6134">
            <w:pPr>
              <w:pStyle w:val="TableBodyNA"/>
            </w:pPr>
            <w:r>
              <w:t>Baseline:</w:t>
            </w:r>
          </w:p>
        </w:tc>
        <w:tc>
          <w:tcPr>
            <w:tcW w:w="6804" w:type="dxa"/>
            <w:shd w:val="clear" w:color="auto" w:fill="auto"/>
          </w:tcPr>
          <w:p w14:paraId="64408BBB" w14:textId="15436937" w:rsidR="007D6965" w:rsidRPr="00D87AA9" w:rsidRDefault="007D6965" w:rsidP="005275BD">
            <w:pPr>
              <w:pStyle w:val="TableBodyNA"/>
            </w:pPr>
            <w:r>
              <w:t xml:space="preserve">The baseline for </w:t>
            </w:r>
            <w:r w:rsidR="00177B9D">
              <w:t xml:space="preserve">the target is </w:t>
            </w:r>
            <w:r w:rsidR="005275BD">
              <w:t>2014 (</w:t>
            </w:r>
            <w:r w:rsidR="00177B9D">
              <w:t>Semester 1</w:t>
            </w:r>
            <w:r w:rsidR="005275BD">
              <w:t>)</w:t>
            </w:r>
          </w:p>
        </w:tc>
      </w:tr>
      <w:tr w:rsidR="007D6965" w:rsidRPr="00D87AA9" w14:paraId="549117C8" w14:textId="77777777" w:rsidTr="00F57F7B">
        <w:tc>
          <w:tcPr>
            <w:tcW w:w="1985" w:type="dxa"/>
            <w:shd w:val="clear" w:color="auto" w:fill="auto"/>
          </w:tcPr>
          <w:p w14:paraId="1DB434BB" w14:textId="77777777" w:rsidR="007D6965" w:rsidRPr="00D87AA9" w:rsidRDefault="007D6965" w:rsidP="00CA6134">
            <w:pPr>
              <w:pStyle w:val="TableBodyNA"/>
            </w:pPr>
            <w:r w:rsidRPr="00D87AA9">
              <w:t>Cross tabulations provided:</w:t>
            </w:r>
          </w:p>
        </w:tc>
        <w:tc>
          <w:tcPr>
            <w:tcW w:w="6804" w:type="dxa"/>
            <w:shd w:val="clear" w:color="auto" w:fill="auto"/>
          </w:tcPr>
          <w:p w14:paraId="30E4CCC9" w14:textId="2B7E349B" w:rsidR="007D6965" w:rsidRPr="00D87AA9" w:rsidRDefault="007D6965" w:rsidP="0057053B">
            <w:pPr>
              <w:pStyle w:val="TableBodyNA"/>
            </w:pPr>
            <w:r>
              <w:t>State and Territory for all year levels and sectors</w:t>
            </w:r>
            <w:r w:rsidR="0057053B">
              <w:t>, by Indigenous status</w:t>
            </w:r>
          </w:p>
        </w:tc>
      </w:tr>
    </w:tbl>
    <w:p w14:paraId="5D4A288C" w14:textId="77777777" w:rsidR="00A42905" w:rsidRDefault="00A42905" w:rsidP="008F5A63">
      <w:pPr>
        <w:pStyle w:val="BoxSpaceAbove"/>
        <w:spacing w:before="120"/>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A42905" w14:paraId="5742BBCE" w14:textId="77777777" w:rsidTr="008F5A63">
        <w:tc>
          <w:tcPr>
            <w:tcW w:w="8789" w:type="dxa"/>
            <w:tcBorders>
              <w:top w:val="single" w:sz="6" w:space="0" w:color="78A22F"/>
              <w:left w:val="nil"/>
              <w:bottom w:val="nil"/>
              <w:right w:val="nil"/>
            </w:tcBorders>
            <w:shd w:val="clear" w:color="auto" w:fill="F2F2F2"/>
          </w:tcPr>
          <w:p w14:paraId="01027B59" w14:textId="6DDD7B4A" w:rsidR="00A42905" w:rsidRDefault="00A42905" w:rsidP="002D402D">
            <w:pPr>
              <w:pStyle w:val="BoxTitle"/>
            </w:pPr>
            <w:r>
              <w:rPr>
                <w:b w:val="0"/>
              </w:rPr>
              <w:t xml:space="preserve">Box </w:t>
            </w:r>
            <w:r w:rsidR="00CD100F">
              <w:rPr>
                <w:b w:val="0"/>
              </w:rPr>
              <w:t>1</w:t>
            </w:r>
            <w:r w:rsidR="002D402D">
              <w:rPr>
                <w:b w:val="0"/>
              </w:rPr>
              <w:t>3</w:t>
            </w:r>
            <w:r>
              <w:tab/>
              <w:t>Results</w:t>
            </w:r>
          </w:p>
        </w:tc>
      </w:tr>
      <w:tr w:rsidR="00A42905" w:rsidRPr="00D337E4" w14:paraId="1A2173ED" w14:textId="77777777" w:rsidTr="008F5A63">
        <w:trPr>
          <w:cantSplit/>
        </w:trPr>
        <w:tc>
          <w:tcPr>
            <w:tcW w:w="8789" w:type="dxa"/>
            <w:tcBorders>
              <w:top w:val="nil"/>
              <w:left w:val="nil"/>
              <w:bottom w:val="nil"/>
              <w:right w:val="nil"/>
            </w:tcBorders>
            <w:shd w:val="clear" w:color="auto" w:fill="F2F2F2"/>
          </w:tcPr>
          <w:p w14:paraId="539E1B96" w14:textId="795B5FF0" w:rsidR="00E8634F" w:rsidRPr="002E7DE7" w:rsidRDefault="00A42905" w:rsidP="00A42905">
            <w:pPr>
              <w:pStyle w:val="Box"/>
            </w:pPr>
            <w:r w:rsidRPr="004F00F4">
              <w:t xml:space="preserve">For this report, new data for this indicator are available for </w:t>
            </w:r>
            <w:r w:rsidR="00A571A6">
              <w:t>2019</w:t>
            </w:r>
            <w:r w:rsidR="00424E10">
              <w:t>.</w:t>
            </w:r>
          </w:p>
          <w:p w14:paraId="441A117E" w14:textId="77777777" w:rsidR="00A42905" w:rsidRPr="004F00F4" w:rsidRDefault="00A42905" w:rsidP="00A42905">
            <w:pPr>
              <w:pStyle w:val="BoxListBullet"/>
            </w:pPr>
            <w:r w:rsidRPr="004F00F4">
              <w:t xml:space="preserve">Data for </w:t>
            </w:r>
            <w:r w:rsidR="006908FD">
              <w:t xml:space="preserve">attendance rates for </w:t>
            </w:r>
            <w:r w:rsidRPr="004F00F4">
              <w:t xml:space="preserve">students </w:t>
            </w:r>
            <w:r w:rsidR="006908FD">
              <w:t>(in years 1</w:t>
            </w:r>
            <w:r w:rsidR="00C754EF">
              <w:t>–</w:t>
            </w:r>
            <w:r w:rsidR="006908FD">
              <w:t>10 combined)</w:t>
            </w:r>
            <w:r w:rsidRPr="004F00F4">
              <w:t>, by Indigenous</w:t>
            </w:r>
            <w:r w:rsidR="006908FD">
              <w:t xml:space="preserve"> status, are presented in table</w:t>
            </w:r>
            <w:r w:rsidRPr="004F00F4">
              <w:t xml:space="preserve"> NIRA.</w:t>
            </w:r>
            <w:r w:rsidR="006908FD">
              <w:t>13.1.</w:t>
            </w:r>
          </w:p>
          <w:p w14:paraId="371DE3F8" w14:textId="45145BBE" w:rsidR="009F75FF" w:rsidRDefault="009F75FF" w:rsidP="00B60F0B">
            <w:pPr>
              <w:pStyle w:val="Box"/>
            </w:pPr>
            <w:r>
              <w:t xml:space="preserve">Historical </w:t>
            </w:r>
            <w:r w:rsidR="004C71ED">
              <w:t xml:space="preserve">data </w:t>
            </w:r>
            <w:r w:rsidR="00A571A6">
              <w:t xml:space="preserve">are available </w:t>
            </w:r>
            <w:r w:rsidR="004C71ED">
              <w:t>for</w:t>
            </w:r>
            <w:r w:rsidR="00A571A6">
              <w:t>: 2018 in the 2017</w:t>
            </w:r>
            <w:r w:rsidR="00FA5150">
              <w:noBreakHyphen/>
            </w:r>
            <w:r w:rsidR="00A571A6">
              <w:t>18 NIRA performance report;</w:t>
            </w:r>
            <w:r w:rsidR="004C71ED">
              <w:t xml:space="preserve"> 2017 in the 2016</w:t>
            </w:r>
            <w:r w:rsidR="00FA5150">
              <w:noBreakHyphen/>
            </w:r>
            <w:r w:rsidR="004C71ED">
              <w:t>17 NIRA performance report</w:t>
            </w:r>
            <w:r w:rsidR="00A571A6">
              <w:t>;</w:t>
            </w:r>
            <w:r w:rsidR="004C71ED">
              <w:t xml:space="preserve"> </w:t>
            </w:r>
            <w:r w:rsidR="00DB31C5">
              <w:t>2016 in the 2015</w:t>
            </w:r>
            <w:r w:rsidR="00FA5150">
              <w:noBreakHyphen/>
            </w:r>
            <w:r w:rsidR="00DB31C5">
              <w:t>16 NIRA performance report</w:t>
            </w:r>
            <w:r w:rsidR="00A571A6">
              <w:t xml:space="preserve">; </w:t>
            </w:r>
            <w:r w:rsidR="00DB31C5">
              <w:t>and</w:t>
            </w:r>
            <w:r w:rsidR="00A571A6">
              <w:t>,</w:t>
            </w:r>
            <w:r w:rsidR="00DB31C5">
              <w:t xml:space="preserve"> </w:t>
            </w:r>
            <w:r>
              <w:t>2014 and 2015 in the 2014</w:t>
            </w:r>
            <w:r w:rsidR="00FA5150">
              <w:noBreakHyphen/>
            </w:r>
            <w:r>
              <w:t>15 NIRA performance report.</w:t>
            </w:r>
          </w:p>
          <w:p w14:paraId="10BF68BA" w14:textId="77777777" w:rsidR="00A42905" w:rsidRPr="00A42905" w:rsidRDefault="00A42905" w:rsidP="00B60F0B">
            <w:pPr>
              <w:pStyle w:val="Box"/>
            </w:pPr>
            <w:r w:rsidRPr="00DE42B9">
              <w:t>Additional data are available</w:t>
            </w:r>
            <w:r>
              <w:t xml:space="preserve"> under performance indicator 13.</w:t>
            </w:r>
          </w:p>
        </w:tc>
      </w:tr>
      <w:tr w:rsidR="00CF0606" w14:paraId="22765E5D" w14:textId="77777777" w:rsidTr="00DD57F7">
        <w:trPr>
          <w:cantSplit/>
        </w:trPr>
        <w:tc>
          <w:tcPr>
            <w:tcW w:w="8789" w:type="dxa"/>
            <w:tcBorders>
              <w:top w:val="nil"/>
              <w:left w:val="nil"/>
              <w:bottom w:val="single" w:sz="6" w:space="0" w:color="78A22F"/>
              <w:right w:val="nil"/>
            </w:tcBorders>
            <w:shd w:val="clear" w:color="auto" w:fill="F2F2F2"/>
          </w:tcPr>
          <w:p w14:paraId="7C27EB2F" w14:textId="77777777" w:rsidR="00CF0606" w:rsidRDefault="00CF0606" w:rsidP="00DD57F7">
            <w:pPr>
              <w:pStyle w:val="Box"/>
              <w:spacing w:before="0" w:line="120" w:lineRule="exact"/>
            </w:pPr>
          </w:p>
        </w:tc>
      </w:tr>
      <w:tr w:rsidR="00CF0606" w:rsidRPr="000863A5" w14:paraId="0181A502" w14:textId="77777777" w:rsidTr="00DD57F7">
        <w:tc>
          <w:tcPr>
            <w:tcW w:w="8789" w:type="dxa"/>
            <w:tcBorders>
              <w:top w:val="single" w:sz="6" w:space="0" w:color="78A22F"/>
              <w:left w:val="nil"/>
              <w:bottom w:val="nil"/>
              <w:right w:val="nil"/>
            </w:tcBorders>
          </w:tcPr>
          <w:p w14:paraId="320EEC07" w14:textId="77777777" w:rsidR="00CF0606" w:rsidRPr="00626D32" w:rsidRDefault="00CF0606" w:rsidP="00DD57F7">
            <w:pPr>
              <w:pStyle w:val="BoxSpaceBelow"/>
            </w:pPr>
          </w:p>
        </w:tc>
      </w:tr>
    </w:tbl>
    <w:p w14:paraId="08E96081" w14:textId="77777777" w:rsidR="00CF0606" w:rsidRDefault="00CF0606" w:rsidP="008F5A63">
      <w:pPr>
        <w:pStyle w:val="BoxSpaceAbove"/>
        <w:spacing w:before="120"/>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A42905" w14:paraId="1419A754" w14:textId="77777777" w:rsidTr="008F5A63">
        <w:tc>
          <w:tcPr>
            <w:tcW w:w="8789" w:type="dxa"/>
            <w:tcBorders>
              <w:top w:val="single" w:sz="6" w:space="0" w:color="78A22F"/>
              <w:left w:val="nil"/>
              <w:bottom w:val="nil"/>
              <w:right w:val="nil"/>
            </w:tcBorders>
            <w:shd w:val="clear" w:color="auto" w:fill="F2F2F2"/>
          </w:tcPr>
          <w:p w14:paraId="4F33DFB3" w14:textId="79A1EA7D" w:rsidR="00A42905" w:rsidRDefault="00A42905" w:rsidP="002D402D">
            <w:pPr>
              <w:pStyle w:val="BoxTitle"/>
            </w:pPr>
            <w:r>
              <w:rPr>
                <w:b w:val="0"/>
              </w:rPr>
              <w:t xml:space="preserve">Box </w:t>
            </w:r>
            <w:r w:rsidR="00CD100F">
              <w:rPr>
                <w:b w:val="0"/>
              </w:rPr>
              <w:t>1</w:t>
            </w:r>
            <w:r w:rsidR="002D402D">
              <w:rPr>
                <w:b w:val="0"/>
              </w:rPr>
              <w:t>4</w:t>
            </w:r>
            <w:r>
              <w:tab/>
              <w:t>Comment on data quality</w:t>
            </w:r>
          </w:p>
        </w:tc>
      </w:tr>
      <w:tr w:rsidR="00A42905" w14:paraId="061D60A6" w14:textId="77777777" w:rsidTr="008F5A63">
        <w:trPr>
          <w:cantSplit/>
        </w:trPr>
        <w:tc>
          <w:tcPr>
            <w:tcW w:w="8789" w:type="dxa"/>
            <w:tcBorders>
              <w:top w:val="nil"/>
              <w:left w:val="nil"/>
              <w:bottom w:val="nil"/>
              <w:right w:val="nil"/>
            </w:tcBorders>
            <w:shd w:val="clear" w:color="auto" w:fill="F2F2F2"/>
          </w:tcPr>
          <w:p w14:paraId="3734F810" w14:textId="77777777" w:rsidR="00A42905" w:rsidRDefault="00A42905" w:rsidP="00B60F0B">
            <w:pPr>
              <w:pStyle w:val="Box"/>
            </w:pPr>
            <w:r>
              <w:t>Details are included in the comment on data quality for performa</w:t>
            </w:r>
            <w:r w:rsidR="006908FD">
              <w:t>nce indicator 13</w:t>
            </w:r>
            <w:r>
              <w:t>.</w:t>
            </w:r>
          </w:p>
        </w:tc>
      </w:tr>
      <w:tr w:rsidR="00A42905" w14:paraId="262F4CE0" w14:textId="77777777" w:rsidTr="008F5A63">
        <w:trPr>
          <w:cantSplit/>
        </w:trPr>
        <w:tc>
          <w:tcPr>
            <w:tcW w:w="8789" w:type="dxa"/>
            <w:tcBorders>
              <w:top w:val="nil"/>
              <w:left w:val="nil"/>
              <w:bottom w:val="single" w:sz="6" w:space="0" w:color="78A22F"/>
              <w:right w:val="nil"/>
            </w:tcBorders>
            <w:shd w:val="clear" w:color="auto" w:fill="F2F2F2"/>
          </w:tcPr>
          <w:p w14:paraId="301163D2" w14:textId="77777777" w:rsidR="00A42905" w:rsidRDefault="00A42905" w:rsidP="00B60F0B">
            <w:pPr>
              <w:pStyle w:val="Box"/>
              <w:spacing w:before="0" w:line="120" w:lineRule="exact"/>
            </w:pPr>
          </w:p>
        </w:tc>
      </w:tr>
      <w:tr w:rsidR="00A42905" w:rsidRPr="000863A5" w14:paraId="78520350" w14:textId="77777777" w:rsidTr="008F5A63">
        <w:tc>
          <w:tcPr>
            <w:tcW w:w="8789" w:type="dxa"/>
            <w:tcBorders>
              <w:top w:val="single" w:sz="6" w:space="0" w:color="78A22F"/>
              <w:left w:val="nil"/>
              <w:bottom w:val="nil"/>
              <w:right w:val="nil"/>
            </w:tcBorders>
          </w:tcPr>
          <w:p w14:paraId="7FA50231" w14:textId="77777777" w:rsidR="00A42905" w:rsidRPr="00626D32" w:rsidRDefault="00A42905" w:rsidP="00B60F0B">
            <w:pPr>
              <w:pStyle w:val="BoxSpaceBelow"/>
            </w:pPr>
          </w:p>
        </w:tc>
      </w:tr>
    </w:tbl>
    <w:p w14:paraId="1CB58EE4" w14:textId="77777777" w:rsidR="006C4F8C" w:rsidRDefault="006C4F8C" w:rsidP="00055D5D">
      <w:pPr>
        <w:pStyle w:val="BodyText"/>
      </w:pPr>
      <w:r>
        <w:br w:type="page"/>
      </w:r>
    </w:p>
    <w:p w14:paraId="6B683A08" w14:textId="738A5396" w:rsidR="00D337E4" w:rsidRPr="006127CB" w:rsidRDefault="00D337E4" w:rsidP="00D337E4">
      <w:pPr>
        <w:pStyle w:val="Heading2"/>
      </w:pPr>
      <w:r>
        <w:lastRenderedPageBreak/>
        <w:t>Performance indicators</w:t>
      </w:r>
    </w:p>
    <w:p w14:paraId="18873FB7" w14:textId="1F3E20E0" w:rsidR="00D337E4" w:rsidRPr="00D87AA9" w:rsidRDefault="00D337E4" w:rsidP="00D337E4">
      <w:pPr>
        <w:pStyle w:val="BodyText"/>
        <w:keepNext/>
      </w:pPr>
      <w:r w:rsidRPr="00D87AA9">
        <w:t>This report covers all ‘performance indicators’ included in the NIRA</w:t>
      </w:r>
      <w:r>
        <w:t xml:space="preserve"> performance indicator framework</w:t>
      </w:r>
      <w:r w:rsidRPr="00D87AA9">
        <w:t xml:space="preserve"> (table</w:t>
      </w:r>
      <w:r w:rsidR="003A7EAD">
        <w:t> </w:t>
      </w:r>
      <w:r w:rsidR="00A16B64">
        <w:t>2</w:t>
      </w:r>
      <w:r>
        <w:t xml:space="preserve">). </w:t>
      </w:r>
      <w:r w:rsidRPr="00D87AA9">
        <w:t>For performance indicators where data quality and/or completeness is an issue, a number of supplementary measures are provided and are identified as such in the text.</w:t>
      </w:r>
    </w:p>
    <w:p w14:paraId="17A41E3C" w14:textId="77777777" w:rsidR="004F00F4" w:rsidRDefault="00D337E4" w:rsidP="00BF4BD7">
      <w:pPr>
        <w:pStyle w:val="BodyText"/>
      </w:pPr>
      <w:r w:rsidRPr="00D87AA9">
        <w:t xml:space="preserve">Data for the performance indicators in this report are presented in attachments identified in references throughout this report by a ‘NIRA’ </w:t>
      </w:r>
      <w:r>
        <w:t>prefix</w:t>
      </w:r>
      <w:r w:rsidR="004261E9">
        <w:t>.</w:t>
      </w:r>
    </w:p>
    <w:p w14:paraId="0E28939B" w14:textId="77777777" w:rsidR="00D337E4" w:rsidRDefault="00D337E4" w:rsidP="00680847">
      <w:pPr>
        <w:pStyle w:val="BoxSpaceAbove"/>
      </w:pPr>
    </w:p>
    <w:tbl>
      <w:tblPr>
        <w:tblW w:w="0" w:type="auto"/>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D337E4" w14:paraId="0B21BC32" w14:textId="77777777" w:rsidTr="008F5A63">
        <w:tc>
          <w:tcPr>
            <w:tcW w:w="8789" w:type="dxa"/>
            <w:tcBorders>
              <w:top w:val="single" w:sz="6" w:space="0" w:color="78A22F"/>
              <w:left w:val="nil"/>
              <w:bottom w:val="nil"/>
              <w:right w:val="nil"/>
            </w:tcBorders>
            <w:shd w:val="clear" w:color="auto" w:fill="auto"/>
          </w:tcPr>
          <w:p w14:paraId="45B35070" w14:textId="77777777" w:rsidR="00D337E4" w:rsidRPr="00D337E4" w:rsidRDefault="00D337E4" w:rsidP="00A16B64">
            <w:pPr>
              <w:pStyle w:val="TableTitle"/>
              <w:rPr>
                <w:vertAlign w:val="superscript"/>
              </w:rPr>
            </w:pPr>
            <w:r>
              <w:rPr>
                <w:b w:val="0"/>
              </w:rPr>
              <w:t xml:space="preserve">Table </w:t>
            </w:r>
            <w:r w:rsidR="00A16B64">
              <w:rPr>
                <w:b w:val="0"/>
              </w:rPr>
              <w:t>2</w:t>
            </w:r>
            <w:r>
              <w:tab/>
              <w:t>Performance indicators in the National Indigenous Reform Agreement</w:t>
            </w:r>
            <w:r>
              <w:rPr>
                <w:vertAlign w:val="superscript"/>
              </w:rPr>
              <w:t>a</w:t>
            </w:r>
          </w:p>
        </w:tc>
      </w:tr>
      <w:tr w:rsidR="00D337E4" w14:paraId="5226B220" w14:textId="77777777" w:rsidTr="008F5A63">
        <w:trPr>
          <w:cantSplit/>
        </w:trPr>
        <w:tc>
          <w:tcPr>
            <w:tcW w:w="8789" w:type="dxa"/>
            <w:tcBorders>
              <w:top w:val="nil"/>
              <w:left w:val="nil"/>
              <w:bottom w:val="nil"/>
              <w:right w:val="nil"/>
            </w:tcBorders>
            <w:shd w:val="clear" w:color="auto" w:fill="auto"/>
          </w:tcPr>
          <w:tbl>
            <w:tblPr>
              <w:tblW w:w="4998" w:type="pct"/>
              <w:tblCellMar>
                <w:top w:w="28" w:type="dxa"/>
                <w:left w:w="0" w:type="dxa"/>
                <w:right w:w="0" w:type="dxa"/>
              </w:tblCellMar>
              <w:tblLook w:val="0000" w:firstRow="0" w:lastRow="0" w:firstColumn="0" w:lastColumn="0" w:noHBand="0" w:noVBand="0"/>
            </w:tblPr>
            <w:tblGrid>
              <w:gridCol w:w="6513"/>
              <w:gridCol w:w="1989"/>
            </w:tblGrid>
            <w:tr w:rsidR="00D337E4" w14:paraId="04089A66" w14:textId="77777777" w:rsidTr="00831041">
              <w:tc>
                <w:tcPr>
                  <w:tcW w:w="3830" w:type="pct"/>
                  <w:tcBorders>
                    <w:top w:val="single" w:sz="6" w:space="0" w:color="BFBFBF"/>
                    <w:bottom w:val="single" w:sz="6" w:space="0" w:color="BFBFBF"/>
                  </w:tcBorders>
                  <w:shd w:val="clear" w:color="auto" w:fill="auto"/>
                  <w:tcMar>
                    <w:top w:w="28" w:type="dxa"/>
                  </w:tcMar>
                </w:tcPr>
                <w:p w14:paraId="283D8609" w14:textId="77777777" w:rsidR="00D337E4" w:rsidRDefault="00D337E4" w:rsidP="00CA6134">
                  <w:pPr>
                    <w:pStyle w:val="TableColumnHeading"/>
                    <w:jc w:val="left"/>
                  </w:pPr>
                  <w:r>
                    <w:t>Performance indicators</w:t>
                  </w:r>
                </w:p>
              </w:tc>
              <w:tc>
                <w:tcPr>
                  <w:tcW w:w="1170" w:type="pct"/>
                  <w:tcBorders>
                    <w:top w:val="single" w:sz="6" w:space="0" w:color="BFBFBF"/>
                    <w:bottom w:val="single" w:sz="6" w:space="0" w:color="BFBFBF"/>
                  </w:tcBorders>
                  <w:shd w:val="clear" w:color="auto" w:fill="auto"/>
                  <w:tcMar>
                    <w:top w:w="28" w:type="dxa"/>
                  </w:tcMar>
                </w:tcPr>
                <w:p w14:paraId="5B4BBFC4" w14:textId="0EBE413A" w:rsidR="00D337E4" w:rsidRDefault="00D337E4" w:rsidP="00680847">
                  <w:pPr>
                    <w:pStyle w:val="TableColumnHeading"/>
                    <w:ind w:right="28"/>
                  </w:pPr>
                  <w:r w:rsidRPr="00831041">
                    <w:t>Page no</w:t>
                  </w:r>
                  <w:r w:rsidR="008F028B" w:rsidRPr="00831041">
                    <w:t>.</w:t>
                  </w:r>
                  <w:r w:rsidRPr="00831041">
                    <w:t xml:space="preserve"> in this report</w:t>
                  </w:r>
                </w:p>
              </w:tc>
            </w:tr>
            <w:tr w:rsidR="00D337E4" w14:paraId="7CC2FB5A" w14:textId="77777777" w:rsidTr="00831041">
              <w:tc>
                <w:tcPr>
                  <w:tcW w:w="3830" w:type="pct"/>
                  <w:tcBorders>
                    <w:top w:val="single" w:sz="6" w:space="0" w:color="BFBFBF"/>
                  </w:tcBorders>
                </w:tcPr>
                <w:p w14:paraId="5917E683" w14:textId="4FA4FB3E" w:rsidR="00D337E4" w:rsidRPr="003F6D08" w:rsidRDefault="00D337E4" w:rsidP="00CA6134">
                  <w:pPr>
                    <w:pStyle w:val="TableUnitsRow"/>
                    <w:numPr>
                      <w:ilvl w:val="0"/>
                      <w:numId w:val="20"/>
                    </w:numPr>
                    <w:jc w:val="left"/>
                  </w:pPr>
                  <w:bookmarkStart w:id="11" w:name="_Ref405202206"/>
                  <w:r w:rsidRPr="003F6D08">
                    <w:t>Estimated life expectancy at birth</w:t>
                  </w:r>
                  <w:bookmarkEnd w:id="11"/>
                </w:p>
              </w:tc>
              <w:tc>
                <w:tcPr>
                  <w:tcW w:w="1170" w:type="pct"/>
                  <w:tcBorders>
                    <w:top w:val="single" w:sz="6" w:space="0" w:color="BFBFBF"/>
                  </w:tcBorders>
                </w:tcPr>
                <w:p w14:paraId="04F316EB" w14:textId="53ADC45B" w:rsidR="00D337E4" w:rsidRPr="003F6D08" w:rsidRDefault="000F1E9A" w:rsidP="00831041">
                  <w:pPr>
                    <w:pStyle w:val="TableBodyText"/>
                    <w:ind w:right="28"/>
                  </w:pPr>
                  <w:r>
                    <w:rPr>
                      <w:noProof/>
                    </w:rPr>
                    <w:t>19</w:t>
                  </w:r>
                </w:p>
              </w:tc>
            </w:tr>
            <w:tr w:rsidR="00D337E4" w14:paraId="516491CB" w14:textId="77777777" w:rsidTr="00831041">
              <w:tc>
                <w:tcPr>
                  <w:tcW w:w="3830" w:type="pct"/>
                </w:tcPr>
                <w:p w14:paraId="5F319E8F" w14:textId="682C396E" w:rsidR="00D337E4" w:rsidRPr="003F6D08" w:rsidRDefault="00D337E4" w:rsidP="00CA6134">
                  <w:pPr>
                    <w:pStyle w:val="TableBodyText"/>
                    <w:numPr>
                      <w:ilvl w:val="0"/>
                      <w:numId w:val="20"/>
                    </w:numPr>
                    <w:jc w:val="left"/>
                  </w:pPr>
                  <w:bookmarkStart w:id="12" w:name="_Ref405202227"/>
                  <w:r w:rsidRPr="003F6D08">
                    <w:t>Mortality rate by leading cause</w:t>
                  </w:r>
                  <w:bookmarkEnd w:id="12"/>
                  <w:r w:rsidRPr="003F6D08">
                    <w:t xml:space="preserve"> </w:t>
                  </w:r>
                </w:p>
              </w:tc>
              <w:tc>
                <w:tcPr>
                  <w:tcW w:w="1170" w:type="pct"/>
                </w:tcPr>
                <w:p w14:paraId="0D9CBF53" w14:textId="1C22702D" w:rsidR="00D337E4" w:rsidRPr="003F6D08" w:rsidRDefault="00A10193" w:rsidP="000F1E9A">
                  <w:pPr>
                    <w:pStyle w:val="TableBodyText"/>
                    <w:ind w:right="28"/>
                  </w:pPr>
                  <w:r>
                    <w:rPr>
                      <w:noProof/>
                    </w:rPr>
                    <w:t>2</w:t>
                  </w:r>
                  <w:r w:rsidR="000F1E9A">
                    <w:rPr>
                      <w:noProof/>
                    </w:rPr>
                    <w:t>0</w:t>
                  </w:r>
                </w:p>
              </w:tc>
            </w:tr>
            <w:tr w:rsidR="00D337E4" w14:paraId="646F52F4" w14:textId="77777777" w:rsidTr="00831041">
              <w:tc>
                <w:tcPr>
                  <w:tcW w:w="3830" w:type="pct"/>
                </w:tcPr>
                <w:p w14:paraId="1A39ECE5" w14:textId="70215F47" w:rsidR="00D337E4" w:rsidRPr="003F6D08" w:rsidRDefault="00D337E4" w:rsidP="00CA6134">
                  <w:pPr>
                    <w:pStyle w:val="TableBodyText"/>
                    <w:numPr>
                      <w:ilvl w:val="0"/>
                      <w:numId w:val="20"/>
                    </w:numPr>
                    <w:jc w:val="left"/>
                  </w:pPr>
                  <w:bookmarkStart w:id="13" w:name="_Ref405202242"/>
                  <w:r w:rsidRPr="003F6D08">
                    <w:t>Rates of current daily smokers</w:t>
                  </w:r>
                  <w:bookmarkEnd w:id="13"/>
                </w:p>
              </w:tc>
              <w:tc>
                <w:tcPr>
                  <w:tcW w:w="1170" w:type="pct"/>
                </w:tcPr>
                <w:p w14:paraId="3B41BFFE" w14:textId="6A6E4E49" w:rsidR="00D337E4" w:rsidRPr="003F6D08" w:rsidRDefault="000F1E9A" w:rsidP="000F1E9A">
                  <w:pPr>
                    <w:pStyle w:val="TableBodyText"/>
                    <w:ind w:right="28"/>
                  </w:pPr>
                  <w:r>
                    <w:rPr>
                      <w:noProof/>
                    </w:rPr>
                    <w:t>24</w:t>
                  </w:r>
                </w:p>
              </w:tc>
            </w:tr>
            <w:tr w:rsidR="00D337E4" w14:paraId="2CBFD4FC" w14:textId="77777777" w:rsidTr="00831041">
              <w:tc>
                <w:tcPr>
                  <w:tcW w:w="3830" w:type="pct"/>
                </w:tcPr>
                <w:p w14:paraId="1DCE591F" w14:textId="77777777" w:rsidR="00D337E4" w:rsidRPr="003F6D08" w:rsidRDefault="00D337E4" w:rsidP="00CA6134">
                  <w:pPr>
                    <w:pStyle w:val="TableBodyText"/>
                    <w:numPr>
                      <w:ilvl w:val="0"/>
                      <w:numId w:val="20"/>
                    </w:numPr>
                    <w:jc w:val="left"/>
                  </w:pPr>
                  <w:r w:rsidRPr="003F6D08">
                    <w:t>Levels of risky alcohol consumption</w:t>
                  </w:r>
                </w:p>
              </w:tc>
              <w:tc>
                <w:tcPr>
                  <w:tcW w:w="1170" w:type="pct"/>
                </w:tcPr>
                <w:p w14:paraId="103DC51E" w14:textId="2E22AD21" w:rsidR="00D337E4" w:rsidRPr="003F6D08" w:rsidRDefault="00A10193" w:rsidP="000F1E9A">
                  <w:pPr>
                    <w:pStyle w:val="TableBodyText"/>
                    <w:ind w:right="28"/>
                  </w:pPr>
                  <w:r>
                    <w:rPr>
                      <w:noProof/>
                    </w:rPr>
                    <w:t>2</w:t>
                  </w:r>
                  <w:r w:rsidR="000F1E9A">
                    <w:rPr>
                      <w:noProof/>
                    </w:rPr>
                    <w:t>6</w:t>
                  </w:r>
                </w:p>
              </w:tc>
            </w:tr>
            <w:tr w:rsidR="00D337E4" w14:paraId="15BCAC21" w14:textId="77777777" w:rsidTr="00831041">
              <w:tc>
                <w:tcPr>
                  <w:tcW w:w="3830" w:type="pct"/>
                </w:tcPr>
                <w:p w14:paraId="565A8D27" w14:textId="77777777" w:rsidR="00D337E4" w:rsidRPr="003F6D08" w:rsidRDefault="00D337E4" w:rsidP="00CA6134">
                  <w:pPr>
                    <w:pStyle w:val="TableBodyText"/>
                    <w:numPr>
                      <w:ilvl w:val="0"/>
                      <w:numId w:val="20"/>
                    </w:numPr>
                    <w:jc w:val="left"/>
                  </w:pPr>
                  <w:r w:rsidRPr="003F6D08">
                    <w:t>Prevalence of overweight and obesity</w:t>
                  </w:r>
                </w:p>
              </w:tc>
              <w:tc>
                <w:tcPr>
                  <w:tcW w:w="1170" w:type="pct"/>
                </w:tcPr>
                <w:p w14:paraId="6AE6078D" w14:textId="7731934B" w:rsidR="00D337E4" w:rsidRPr="003F6D08" w:rsidRDefault="000F1E9A" w:rsidP="009A665E">
                  <w:pPr>
                    <w:pStyle w:val="TableBodyText"/>
                    <w:ind w:right="28"/>
                  </w:pPr>
                  <w:r>
                    <w:rPr>
                      <w:noProof/>
                    </w:rPr>
                    <w:t>29</w:t>
                  </w:r>
                </w:p>
              </w:tc>
            </w:tr>
            <w:tr w:rsidR="00D337E4" w14:paraId="447DEAD0" w14:textId="77777777" w:rsidTr="00831041">
              <w:tc>
                <w:tcPr>
                  <w:tcW w:w="3830" w:type="pct"/>
                </w:tcPr>
                <w:p w14:paraId="022423DE" w14:textId="77777777" w:rsidR="00D337E4" w:rsidRPr="003F6D08" w:rsidRDefault="00D337E4" w:rsidP="00CA6134">
                  <w:pPr>
                    <w:pStyle w:val="TableBodyText"/>
                    <w:numPr>
                      <w:ilvl w:val="0"/>
                      <w:numId w:val="20"/>
                    </w:numPr>
                    <w:jc w:val="left"/>
                  </w:pPr>
                  <w:r w:rsidRPr="003F6D08">
                    <w:t>Under 5 mortality rate by leading cause</w:t>
                  </w:r>
                </w:p>
              </w:tc>
              <w:tc>
                <w:tcPr>
                  <w:tcW w:w="1170" w:type="pct"/>
                </w:tcPr>
                <w:p w14:paraId="3F809FC4" w14:textId="66CFB425" w:rsidR="00D337E4" w:rsidRPr="003F6D08" w:rsidRDefault="00A10193" w:rsidP="009A665E">
                  <w:pPr>
                    <w:pStyle w:val="TableBodyText"/>
                    <w:ind w:right="28"/>
                  </w:pPr>
                  <w:r>
                    <w:rPr>
                      <w:noProof/>
                    </w:rPr>
                    <w:t>32</w:t>
                  </w:r>
                </w:p>
              </w:tc>
            </w:tr>
            <w:tr w:rsidR="00D337E4" w14:paraId="227DAD9D" w14:textId="77777777" w:rsidTr="00831041">
              <w:tc>
                <w:tcPr>
                  <w:tcW w:w="3830" w:type="pct"/>
                </w:tcPr>
                <w:p w14:paraId="2DA5F86B" w14:textId="77777777" w:rsidR="00D337E4" w:rsidRPr="003F6D08" w:rsidRDefault="00D337E4" w:rsidP="00CA6134">
                  <w:pPr>
                    <w:pStyle w:val="TableBodyText"/>
                    <w:numPr>
                      <w:ilvl w:val="0"/>
                      <w:numId w:val="20"/>
                    </w:numPr>
                    <w:jc w:val="left"/>
                  </w:pPr>
                  <w:r w:rsidRPr="003F6D08">
                    <w:t>Proportion of bab</w:t>
                  </w:r>
                  <w:r w:rsidR="004261E9" w:rsidRPr="003F6D08">
                    <w:t>i</w:t>
                  </w:r>
                  <w:r w:rsidRPr="003F6D08">
                    <w:t xml:space="preserve">es born of low </w:t>
                  </w:r>
                  <w:r w:rsidR="00293E8B">
                    <w:t>birth weight</w:t>
                  </w:r>
                </w:p>
              </w:tc>
              <w:tc>
                <w:tcPr>
                  <w:tcW w:w="1170" w:type="pct"/>
                </w:tcPr>
                <w:p w14:paraId="5337E5F4" w14:textId="0C68968B" w:rsidR="00D337E4" w:rsidRPr="003F6D08" w:rsidRDefault="00A10193" w:rsidP="00A10193">
                  <w:pPr>
                    <w:pStyle w:val="TableBodyText"/>
                    <w:ind w:right="28"/>
                  </w:pPr>
                  <w:r>
                    <w:rPr>
                      <w:noProof/>
                    </w:rPr>
                    <w:t>36</w:t>
                  </w:r>
                </w:p>
              </w:tc>
            </w:tr>
            <w:tr w:rsidR="00D337E4" w14:paraId="2C9E2E13" w14:textId="77777777" w:rsidTr="00831041">
              <w:tc>
                <w:tcPr>
                  <w:tcW w:w="3830" w:type="pct"/>
                </w:tcPr>
                <w:p w14:paraId="4A7A300F" w14:textId="77777777" w:rsidR="00D337E4" w:rsidRPr="003F6D08" w:rsidRDefault="00D337E4" w:rsidP="00CA6134">
                  <w:pPr>
                    <w:pStyle w:val="TableBodyText"/>
                    <w:numPr>
                      <w:ilvl w:val="0"/>
                      <w:numId w:val="20"/>
                    </w:numPr>
                    <w:jc w:val="left"/>
                  </w:pPr>
                  <w:r w:rsidRPr="003F6D08">
                    <w:t xml:space="preserve">Tobacco </w:t>
                  </w:r>
                  <w:r w:rsidR="004261E9" w:rsidRPr="003F6D08">
                    <w:t>s</w:t>
                  </w:r>
                  <w:r w:rsidRPr="003F6D08">
                    <w:t>moking during pregnancy</w:t>
                  </w:r>
                </w:p>
              </w:tc>
              <w:tc>
                <w:tcPr>
                  <w:tcW w:w="1170" w:type="pct"/>
                </w:tcPr>
                <w:p w14:paraId="4C9288FD" w14:textId="4E79DC4F" w:rsidR="00D337E4" w:rsidRPr="003F6D08" w:rsidRDefault="00A10193" w:rsidP="00A10193">
                  <w:pPr>
                    <w:pStyle w:val="TableBodyText"/>
                    <w:ind w:right="28"/>
                  </w:pPr>
                  <w:r>
                    <w:rPr>
                      <w:noProof/>
                    </w:rPr>
                    <w:t>39</w:t>
                  </w:r>
                </w:p>
              </w:tc>
            </w:tr>
            <w:tr w:rsidR="00D337E4" w14:paraId="3CEFCCA3" w14:textId="77777777" w:rsidTr="00831041">
              <w:tc>
                <w:tcPr>
                  <w:tcW w:w="3830" w:type="pct"/>
                </w:tcPr>
                <w:p w14:paraId="4B5A526A" w14:textId="77777777" w:rsidR="00D337E4" w:rsidRPr="003F6D08" w:rsidRDefault="00D337E4" w:rsidP="00CA6134">
                  <w:pPr>
                    <w:pStyle w:val="TableBodyText"/>
                    <w:numPr>
                      <w:ilvl w:val="0"/>
                      <w:numId w:val="20"/>
                    </w:numPr>
                    <w:jc w:val="left"/>
                  </w:pPr>
                  <w:r w:rsidRPr="003F6D08">
                    <w:t>Antenatal care</w:t>
                  </w:r>
                </w:p>
              </w:tc>
              <w:tc>
                <w:tcPr>
                  <w:tcW w:w="1170" w:type="pct"/>
                </w:tcPr>
                <w:p w14:paraId="6318793C" w14:textId="59DCA311" w:rsidR="00D337E4" w:rsidRPr="003F6D08" w:rsidRDefault="00A10193" w:rsidP="009A665E">
                  <w:pPr>
                    <w:pStyle w:val="TableBodyText"/>
                    <w:ind w:right="28"/>
                  </w:pPr>
                  <w:r>
                    <w:rPr>
                      <w:noProof/>
                    </w:rPr>
                    <w:t>41</w:t>
                  </w:r>
                </w:p>
              </w:tc>
            </w:tr>
            <w:tr w:rsidR="00D337E4" w14:paraId="2D1492C9" w14:textId="77777777" w:rsidTr="00831041">
              <w:tc>
                <w:tcPr>
                  <w:tcW w:w="3830" w:type="pct"/>
                </w:tcPr>
                <w:p w14:paraId="568A5AE3" w14:textId="77777777" w:rsidR="00D337E4" w:rsidRPr="003F6D08" w:rsidRDefault="00D337E4" w:rsidP="00CA6134">
                  <w:pPr>
                    <w:pStyle w:val="TableBodyText"/>
                    <w:numPr>
                      <w:ilvl w:val="0"/>
                      <w:numId w:val="20"/>
                    </w:numPr>
                    <w:jc w:val="left"/>
                  </w:pPr>
                  <w:r w:rsidRPr="003F6D08">
                    <w:t>The proportion of Indigenous children, who are enrolled in (and attending, where possible to measure) a preschool program in the year before formal schooling</w:t>
                  </w:r>
                </w:p>
              </w:tc>
              <w:tc>
                <w:tcPr>
                  <w:tcW w:w="1170" w:type="pct"/>
                </w:tcPr>
                <w:p w14:paraId="14CD8FDB" w14:textId="0068A2CA" w:rsidR="00D337E4" w:rsidRPr="003F6D08" w:rsidRDefault="00A10193" w:rsidP="00A10193">
                  <w:pPr>
                    <w:pStyle w:val="TableBodyText"/>
                    <w:ind w:right="28"/>
                  </w:pPr>
                  <w:r>
                    <w:rPr>
                      <w:noProof/>
                    </w:rPr>
                    <w:t>44</w:t>
                  </w:r>
                </w:p>
              </w:tc>
            </w:tr>
            <w:tr w:rsidR="00D337E4" w14:paraId="2A31742A" w14:textId="77777777" w:rsidTr="00831041">
              <w:tc>
                <w:tcPr>
                  <w:tcW w:w="3830" w:type="pct"/>
                </w:tcPr>
                <w:p w14:paraId="094FF4C7" w14:textId="77777777" w:rsidR="00D337E4" w:rsidRPr="003F6D08" w:rsidRDefault="00D337E4" w:rsidP="00CA6134">
                  <w:pPr>
                    <w:pStyle w:val="TableBodyText"/>
                    <w:numPr>
                      <w:ilvl w:val="0"/>
                      <w:numId w:val="20"/>
                    </w:numPr>
                    <w:jc w:val="left"/>
                  </w:pPr>
                  <w:r w:rsidRPr="003F6D08">
                    <w:t>Percentage of students at or above the national minimum standard in reading, writing and numeracy for years 3, 5, 7 and 9</w:t>
                  </w:r>
                </w:p>
              </w:tc>
              <w:tc>
                <w:tcPr>
                  <w:tcW w:w="1170" w:type="pct"/>
                </w:tcPr>
                <w:p w14:paraId="5B6E1BE8" w14:textId="490DA299" w:rsidR="00D337E4" w:rsidRPr="003F6D08" w:rsidRDefault="00A10193" w:rsidP="00A10193">
                  <w:pPr>
                    <w:pStyle w:val="TableBodyText"/>
                    <w:ind w:right="28"/>
                  </w:pPr>
                  <w:r>
                    <w:rPr>
                      <w:noProof/>
                    </w:rPr>
                    <w:t>47</w:t>
                  </w:r>
                </w:p>
              </w:tc>
            </w:tr>
            <w:tr w:rsidR="00D337E4" w14:paraId="60F70844" w14:textId="77777777" w:rsidTr="00831041">
              <w:tc>
                <w:tcPr>
                  <w:tcW w:w="3830" w:type="pct"/>
                </w:tcPr>
                <w:p w14:paraId="464243C7" w14:textId="77777777" w:rsidR="00D337E4" w:rsidRPr="003F6D08" w:rsidRDefault="00D337E4" w:rsidP="00CA6134">
                  <w:pPr>
                    <w:pStyle w:val="TableBodyText"/>
                    <w:numPr>
                      <w:ilvl w:val="0"/>
                      <w:numId w:val="20"/>
                    </w:numPr>
                    <w:jc w:val="left"/>
                  </w:pPr>
                  <w:r w:rsidRPr="003F6D08">
                    <w:t xml:space="preserve">Attainment of year 12 or equivalent </w:t>
                  </w:r>
                </w:p>
              </w:tc>
              <w:tc>
                <w:tcPr>
                  <w:tcW w:w="1170" w:type="pct"/>
                </w:tcPr>
                <w:p w14:paraId="772EFEEF" w14:textId="0FF1C98C" w:rsidR="00D337E4" w:rsidRPr="003F6D08" w:rsidRDefault="00D00F06" w:rsidP="00A10193">
                  <w:pPr>
                    <w:pStyle w:val="TableBodyText"/>
                    <w:ind w:right="28"/>
                  </w:pPr>
                  <w:r>
                    <w:rPr>
                      <w:noProof/>
                    </w:rPr>
                    <w:t>50</w:t>
                  </w:r>
                </w:p>
              </w:tc>
            </w:tr>
            <w:tr w:rsidR="00D337E4" w14:paraId="66964293" w14:textId="77777777" w:rsidTr="00831041">
              <w:tc>
                <w:tcPr>
                  <w:tcW w:w="3830" w:type="pct"/>
                </w:tcPr>
                <w:p w14:paraId="0004F2D9" w14:textId="77777777" w:rsidR="00D337E4" w:rsidRPr="003F6D08" w:rsidRDefault="00D337E4" w:rsidP="00CA6134">
                  <w:pPr>
                    <w:pStyle w:val="TableBodyText"/>
                    <w:numPr>
                      <w:ilvl w:val="0"/>
                      <w:numId w:val="20"/>
                    </w:numPr>
                    <w:jc w:val="left"/>
                  </w:pPr>
                  <w:r w:rsidRPr="003F6D08">
                    <w:t>Attendance rates year 1 to year 10</w:t>
                  </w:r>
                </w:p>
              </w:tc>
              <w:tc>
                <w:tcPr>
                  <w:tcW w:w="1170" w:type="pct"/>
                </w:tcPr>
                <w:p w14:paraId="58E50FA6" w14:textId="49CDCC83" w:rsidR="00D337E4" w:rsidRPr="003F6D08" w:rsidRDefault="00A10193" w:rsidP="00D00F06">
                  <w:pPr>
                    <w:pStyle w:val="TableBodyText"/>
                    <w:ind w:right="28"/>
                  </w:pPr>
                  <w:r>
                    <w:rPr>
                      <w:noProof/>
                    </w:rPr>
                    <w:t>5</w:t>
                  </w:r>
                  <w:r w:rsidR="00D00F06">
                    <w:rPr>
                      <w:noProof/>
                    </w:rPr>
                    <w:t>3</w:t>
                  </w:r>
                </w:p>
              </w:tc>
            </w:tr>
            <w:tr w:rsidR="00D337E4" w14:paraId="7C042515" w14:textId="77777777" w:rsidTr="00831041">
              <w:tc>
                <w:tcPr>
                  <w:tcW w:w="3830" w:type="pct"/>
                </w:tcPr>
                <w:p w14:paraId="2D84DEFD" w14:textId="77777777" w:rsidR="00D337E4" w:rsidRPr="003F6D08" w:rsidRDefault="00D337E4" w:rsidP="00CA6134">
                  <w:pPr>
                    <w:pStyle w:val="TableBodyText"/>
                    <w:numPr>
                      <w:ilvl w:val="0"/>
                      <w:numId w:val="20"/>
                    </w:numPr>
                    <w:jc w:val="left"/>
                  </w:pPr>
                  <w:r w:rsidRPr="003F6D08">
                    <w:t>Level of workforce participation</w:t>
                  </w:r>
                </w:p>
              </w:tc>
              <w:tc>
                <w:tcPr>
                  <w:tcW w:w="1170" w:type="pct"/>
                </w:tcPr>
                <w:p w14:paraId="5D6B64BA" w14:textId="5D51D4A9" w:rsidR="00D337E4" w:rsidRPr="003F6D08" w:rsidRDefault="00A10193" w:rsidP="00D00F06">
                  <w:pPr>
                    <w:pStyle w:val="TableBodyText"/>
                    <w:ind w:right="28"/>
                  </w:pPr>
                  <w:r>
                    <w:rPr>
                      <w:noProof/>
                    </w:rPr>
                    <w:t>5</w:t>
                  </w:r>
                  <w:r w:rsidR="00D00F06">
                    <w:rPr>
                      <w:noProof/>
                    </w:rPr>
                    <w:t>6</w:t>
                  </w:r>
                </w:p>
              </w:tc>
            </w:tr>
            <w:tr w:rsidR="00D337E4" w14:paraId="787F4677" w14:textId="77777777" w:rsidTr="00831041">
              <w:tc>
                <w:tcPr>
                  <w:tcW w:w="3830" w:type="pct"/>
                  <w:tcBorders>
                    <w:bottom w:val="single" w:sz="6" w:space="0" w:color="BFBFBF"/>
                  </w:tcBorders>
                  <w:shd w:val="clear" w:color="auto" w:fill="auto"/>
                </w:tcPr>
                <w:p w14:paraId="460F9DF3" w14:textId="77777777" w:rsidR="00D337E4" w:rsidRPr="003F6D08" w:rsidRDefault="00680847" w:rsidP="00CA6134">
                  <w:pPr>
                    <w:pStyle w:val="TableBodyText"/>
                    <w:numPr>
                      <w:ilvl w:val="0"/>
                      <w:numId w:val="20"/>
                    </w:numPr>
                    <w:jc w:val="left"/>
                  </w:pPr>
                  <w:r w:rsidRPr="003F6D08">
                    <w:t xml:space="preserve">Proportion of Indigenous 20 to 64 year </w:t>
                  </w:r>
                  <w:r w:rsidR="004261E9" w:rsidRPr="003F6D08">
                    <w:t xml:space="preserve">olds </w:t>
                  </w:r>
                  <w:r w:rsidRPr="003F6D08">
                    <w:t>with or working towards post school qualifications in AQF Certificate III or above</w:t>
                  </w:r>
                </w:p>
              </w:tc>
              <w:tc>
                <w:tcPr>
                  <w:tcW w:w="1170" w:type="pct"/>
                  <w:tcBorders>
                    <w:bottom w:val="single" w:sz="6" w:space="0" w:color="BFBFBF"/>
                  </w:tcBorders>
                  <w:shd w:val="clear" w:color="auto" w:fill="auto"/>
                </w:tcPr>
                <w:p w14:paraId="602B4EEA" w14:textId="4A7B8588" w:rsidR="00D337E4" w:rsidRPr="003F6D08" w:rsidRDefault="002E7DE7" w:rsidP="00A10193">
                  <w:pPr>
                    <w:pStyle w:val="TableBodyText"/>
                    <w:ind w:right="28"/>
                  </w:pPr>
                  <w:r>
                    <w:rPr>
                      <w:noProof/>
                    </w:rPr>
                    <w:t>59</w:t>
                  </w:r>
                </w:p>
              </w:tc>
            </w:tr>
          </w:tbl>
          <w:p w14:paraId="45BF2CCE" w14:textId="77777777" w:rsidR="00D337E4" w:rsidRDefault="00D337E4" w:rsidP="00680847">
            <w:pPr>
              <w:pStyle w:val="Box"/>
            </w:pPr>
          </w:p>
        </w:tc>
      </w:tr>
      <w:tr w:rsidR="00D337E4" w14:paraId="7255116C" w14:textId="77777777" w:rsidTr="008F5A63">
        <w:trPr>
          <w:cantSplit/>
        </w:trPr>
        <w:tc>
          <w:tcPr>
            <w:tcW w:w="8789" w:type="dxa"/>
            <w:tcBorders>
              <w:top w:val="nil"/>
              <w:left w:val="nil"/>
              <w:bottom w:val="nil"/>
              <w:right w:val="nil"/>
            </w:tcBorders>
            <w:shd w:val="clear" w:color="auto" w:fill="auto"/>
          </w:tcPr>
          <w:p w14:paraId="318C66EB" w14:textId="2ADF3010" w:rsidR="00D337E4" w:rsidRDefault="00D337E4" w:rsidP="00EB38D0">
            <w:pPr>
              <w:pStyle w:val="Note"/>
              <w:rPr>
                <w:i/>
              </w:rPr>
            </w:pPr>
            <w:r w:rsidRPr="008E77FE">
              <w:rPr>
                <w:rStyle w:val="NoteLabel"/>
              </w:rPr>
              <w:t>a</w:t>
            </w:r>
            <w:r>
              <w:t xml:space="preserve"> </w:t>
            </w:r>
            <w:r w:rsidRPr="00D87AA9">
              <w:t xml:space="preserve">Performance indicators are presented in this table using the direct wording for the performance indicators </w:t>
            </w:r>
            <w:r>
              <w:t>in the revised NIRA (COAG 2012)</w:t>
            </w:r>
            <w:r w:rsidRPr="00D87AA9">
              <w:t xml:space="preserve">. This does not necessarily reflect the measures used </w:t>
            </w:r>
            <w:r w:rsidR="00C77CA4" w:rsidRPr="00D87AA9">
              <w:t>in th</w:t>
            </w:r>
            <w:r w:rsidR="00C77CA4">
              <w:t>is</w:t>
            </w:r>
            <w:r w:rsidR="00C77CA4" w:rsidRPr="00D87AA9">
              <w:t xml:space="preserve"> </w:t>
            </w:r>
            <w:r w:rsidR="00C77CA4">
              <w:t>r</w:t>
            </w:r>
            <w:r w:rsidR="00C77CA4" w:rsidRPr="00D87AA9">
              <w:t xml:space="preserve">eport </w:t>
            </w:r>
            <w:r w:rsidRPr="00D87AA9">
              <w:t>to report against the indicators.</w:t>
            </w:r>
            <w:r>
              <w:t xml:space="preserve"> </w:t>
            </w:r>
          </w:p>
        </w:tc>
      </w:tr>
      <w:tr w:rsidR="00D337E4" w14:paraId="0762D08B" w14:textId="77777777" w:rsidTr="008F5A63">
        <w:trPr>
          <w:cantSplit/>
        </w:trPr>
        <w:tc>
          <w:tcPr>
            <w:tcW w:w="8789" w:type="dxa"/>
            <w:tcBorders>
              <w:top w:val="nil"/>
              <w:left w:val="nil"/>
              <w:bottom w:val="single" w:sz="6" w:space="0" w:color="78A22F"/>
              <w:right w:val="nil"/>
            </w:tcBorders>
            <w:shd w:val="clear" w:color="auto" w:fill="auto"/>
          </w:tcPr>
          <w:p w14:paraId="448A4416" w14:textId="77777777" w:rsidR="00D337E4" w:rsidRDefault="00D337E4" w:rsidP="00680847">
            <w:pPr>
              <w:pStyle w:val="Box"/>
              <w:spacing w:before="0" w:line="120" w:lineRule="exact"/>
            </w:pPr>
          </w:p>
        </w:tc>
      </w:tr>
      <w:tr w:rsidR="00D337E4" w:rsidRPr="000863A5" w14:paraId="62138BAB" w14:textId="77777777" w:rsidTr="008F5A63">
        <w:tc>
          <w:tcPr>
            <w:tcW w:w="8789" w:type="dxa"/>
            <w:tcBorders>
              <w:top w:val="single" w:sz="6" w:space="0" w:color="78A22F"/>
              <w:left w:val="nil"/>
              <w:bottom w:val="nil"/>
              <w:right w:val="nil"/>
            </w:tcBorders>
          </w:tcPr>
          <w:p w14:paraId="74E72216" w14:textId="77777777" w:rsidR="00D337E4" w:rsidRPr="00626D32" w:rsidRDefault="00D337E4" w:rsidP="00680847">
            <w:pPr>
              <w:pStyle w:val="BoxSpaceBelow"/>
            </w:pPr>
          </w:p>
        </w:tc>
      </w:tr>
    </w:tbl>
    <w:p w14:paraId="22E20BB2" w14:textId="77777777" w:rsidR="00680847" w:rsidRDefault="00680847" w:rsidP="00680847">
      <w:pPr>
        <w:pStyle w:val="BodyText"/>
        <w:rPr>
          <w:rFonts w:ascii="Arial" w:hAnsi="Arial"/>
          <w:sz w:val="20"/>
        </w:rPr>
      </w:pPr>
      <w:r>
        <w:br w:type="page"/>
      </w:r>
    </w:p>
    <w:p w14:paraId="54E766B5" w14:textId="77777777" w:rsidR="00680847" w:rsidRDefault="00680847" w:rsidP="00680847">
      <w:pPr>
        <w:pStyle w:val="Heading3"/>
      </w:pPr>
      <w:bookmarkStart w:id="14" w:name="_Ref341361401"/>
      <w:r w:rsidRPr="00D87AA9">
        <w:lastRenderedPageBreak/>
        <w:t>Indicator 1: Estimated life expectancy at birth</w:t>
      </w:r>
      <w:bookmarkEnd w:id="14"/>
    </w:p>
    <w:p w14:paraId="4C5C0CB0" w14:textId="77777777" w:rsidR="00680847" w:rsidRPr="009C0D98" w:rsidRDefault="00680847" w:rsidP="008F5A63">
      <w:pPr>
        <w:spacing w:before="120"/>
      </w:pPr>
    </w:p>
    <w:tbl>
      <w:tblPr>
        <w:tblW w:w="0" w:type="auto"/>
        <w:tblCellMar>
          <w:right w:w="0" w:type="dxa"/>
        </w:tblCellMar>
        <w:tblLook w:val="0000" w:firstRow="0" w:lastRow="0" w:firstColumn="0" w:lastColumn="0" w:noHBand="0" w:noVBand="0"/>
      </w:tblPr>
      <w:tblGrid>
        <w:gridCol w:w="2080"/>
        <w:gridCol w:w="6709"/>
      </w:tblGrid>
      <w:tr w:rsidR="00680847" w:rsidRPr="00D87AA9" w14:paraId="403DF5E3" w14:textId="77777777" w:rsidTr="008F5A63">
        <w:tc>
          <w:tcPr>
            <w:tcW w:w="2080" w:type="dxa"/>
          </w:tcPr>
          <w:p w14:paraId="28CDDBC9" w14:textId="2513D6EC" w:rsidR="00680847" w:rsidRPr="00D87AA9" w:rsidRDefault="00680847" w:rsidP="00CA6134">
            <w:pPr>
              <w:pStyle w:val="TableBodyNA"/>
            </w:pPr>
            <w:r w:rsidRPr="00B82DC5">
              <w:t>Key amendments fr</w:t>
            </w:r>
            <w:r w:rsidR="00EE332B">
              <w:t>om previous cycle of reporting:</w:t>
            </w:r>
          </w:p>
        </w:tc>
        <w:tc>
          <w:tcPr>
            <w:tcW w:w="6709" w:type="dxa"/>
          </w:tcPr>
          <w:p w14:paraId="7C756F5B" w14:textId="222FB1C4" w:rsidR="00680847" w:rsidRPr="00D87AA9" w:rsidRDefault="00680847" w:rsidP="00CA6134">
            <w:pPr>
              <w:pStyle w:val="TableBodyNA"/>
            </w:pPr>
            <w:r w:rsidRPr="005332B8">
              <w:t xml:space="preserve">This </w:t>
            </w:r>
            <w:r>
              <w:t xml:space="preserve">indicator is </w:t>
            </w:r>
            <w:r w:rsidRPr="005332B8">
              <w:t xml:space="preserve">unchanged from </w:t>
            </w:r>
            <w:r w:rsidR="002C180B">
              <w:t xml:space="preserve">the </w:t>
            </w:r>
            <w:r w:rsidRPr="005332B8">
              <w:t xml:space="preserve">previous </w:t>
            </w:r>
            <w:r w:rsidR="00F555B6">
              <w:t>NIRA performance report</w:t>
            </w:r>
            <w:r w:rsidDel="00614262">
              <w:t xml:space="preserve"> </w:t>
            </w:r>
          </w:p>
        </w:tc>
      </w:tr>
      <w:tr w:rsidR="00680847" w:rsidRPr="00D87AA9" w14:paraId="1853BBF6" w14:textId="77777777" w:rsidTr="008F5A63">
        <w:tc>
          <w:tcPr>
            <w:tcW w:w="2080" w:type="dxa"/>
          </w:tcPr>
          <w:p w14:paraId="240EDACF" w14:textId="77777777" w:rsidR="00680847" w:rsidRPr="00D87AA9" w:rsidRDefault="00680847" w:rsidP="00CA6134">
            <w:pPr>
              <w:pStyle w:val="TableBodyNA"/>
            </w:pPr>
            <w:r w:rsidRPr="00D87AA9">
              <w:t>Target:</w:t>
            </w:r>
          </w:p>
        </w:tc>
        <w:tc>
          <w:tcPr>
            <w:tcW w:w="6709" w:type="dxa"/>
          </w:tcPr>
          <w:p w14:paraId="690FA5AD" w14:textId="0528EF82" w:rsidR="00680847" w:rsidRPr="00D87AA9" w:rsidRDefault="00680847" w:rsidP="00CA6134">
            <w:pPr>
              <w:pStyle w:val="TableBodyNA"/>
            </w:pPr>
            <w:r w:rsidRPr="00010BAE">
              <w:t>Closing the life expectancy gap within a generation (by 2031)</w:t>
            </w:r>
          </w:p>
        </w:tc>
      </w:tr>
      <w:tr w:rsidR="00680847" w:rsidRPr="00D87AA9" w14:paraId="6CFDEF54" w14:textId="77777777" w:rsidTr="008F5A63">
        <w:tc>
          <w:tcPr>
            <w:tcW w:w="2080" w:type="dxa"/>
          </w:tcPr>
          <w:p w14:paraId="5F5E853C" w14:textId="77777777" w:rsidR="00680847" w:rsidRPr="00D87AA9" w:rsidRDefault="00680847" w:rsidP="00CA6134">
            <w:pPr>
              <w:pStyle w:val="TableBodyNA"/>
            </w:pPr>
            <w:r w:rsidRPr="00D87AA9">
              <w:t>Measure:</w:t>
            </w:r>
          </w:p>
        </w:tc>
        <w:tc>
          <w:tcPr>
            <w:tcW w:w="6709" w:type="dxa"/>
          </w:tcPr>
          <w:p w14:paraId="482A49D4" w14:textId="77777777" w:rsidR="00680847" w:rsidRDefault="00680847" w:rsidP="00CA6134">
            <w:pPr>
              <w:pStyle w:val="TableBodyNA"/>
            </w:pPr>
            <w:r>
              <w:t>The average number of years new born babies could expect to live, if they experienced the age/sex specific death rates that applied at their birth throughout their lifetimes, by Indigenous status.</w:t>
            </w:r>
          </w:p>
          <w:p w14:paraId="7365096A" w14:textId="77777777" w:rsidR="00680847" w:rsidRDefault="00680847" w:rsidP="00CA6134">
            <w:pPr>
              <w:pStyle w:val="TableBodyNA"/>
            </w:pPr>
            <w:r>
              <w:t>The measure is defined as:</w:t>
            </w:r>
          </w:p>
          <w:p w14:paraId="274DC150" w14:textId="2D392AED" w:rsidR="00680847" w:rsidRPr="00183B59" w:rsidRDefault="00680847" w:rsidP="00CA6134">
            <w:pPr>
              <w:pStyle w:val="TableBodyNA"/>
            </w:pPr>
            <w:r>
              <w:t xml:space="preserve">Direct estimation of the life expectancy gap </w:t>
            </w:r>
            <w:r w:rsidR="00F144E1">
              <w:t xml:space="preserve">at birth </w:t>
            </w:r>
            <w:r>
              <w:t xml:space="preserve">between </w:t>
            </w:r>
            <w:r w:rsidR="00F1707A">
              <w:t xml:space="preserve">Aboriginal and Torres Strait Islander </w:t>
            </w:r>
            <w:r>
              <w:t>and non−Indigenous Australians using the average number of deaths in the relevant three</w:t>
            </w:r>
            <w:r w:rsidR="00FA5150">
              <w:noBreakHyphen/>
            </w:r>
            <w:r>
              <w:t>year period and the estimated resident population at the mid−point of that three</w:t>
            </w:r>
            <w:r w:rsidR="00FA5150">
              <w:noBreakHyphen/>
            </w:r>
            <w:r>
              <w:t>year period, with adjustments for incomplete ident</w:t>
            </w:r>
            <w:r w:rsidR="00EE332B">
              <w:t>ification by Indigenous status.</w:t>
            </w:r>
          </w:p>
        </w:tc>
      </w:tr>
      <w:tr w:rsidR="00680847" w:rsidRPr="00D87AA9" w14:paraId="3B1D77AC" w14:textId="77777777" w:rsidTr="008F5A63">
        <w:tc>
          <w:tcPr>
            <w:tcW w:w="2080" w:type="dxa"/>
          </w:tcPr>
          <w:p w14:paraId="64D35E7A" w14:textId="77777777" w:rsidR="00680847" w:rsidRPr="00D87AA9" w:rsidRDefault="00680847" w:rsidP="00CA6134">
            <w:pPr>
              <w:pStyle w:val="TableBodyNA"/>
            </w:pPr>
            <w:r w:rsidRPr="00D87AA9">
              <w:t>Data source:</w:t>
            </w:r>
          </w:p>
        </w:tc>
        <w:tc>
          <w:tcPr>
            <w:tcW w:w="6709" w:type="dxa"/>
          </w:tcPr>
          <w:p w14:paraId="6FE83A9C" w14:textId="35B988C2" w:rsidR="00680847" w:rsidRPr="00D87AA9" w:rsidRDefault="00680847" w:rsidP="00CA6134">
            <w:pPr>
              <w:pStyle w:val="TableBodyNA"/>
            </w:pPr>
            <w:r w:rsidRPr="000C66DF">
              <w:rPr>
                <w:i/>
              </w:rPr>
              <w:t>Numerator and denominator</w:t>
            </w:r>
            <w:r w:rsidRPr="00010BAE">
              <w:t xml:space="preserve"> — ABS </w:t>
            </w:r>
            <w:r w:rsidR="009431D9">
              <w:rPr>
                <w:u w:val="single"/>
              </w:rPr>
              <w:t>Aboriginal and Torres Strait Islander</w:t>
            </w:r>
            <w:r>
              <w:rPr>
                <w:u w:val="single"/>
              </w:rPr>
              <w:t xml:space="preserve"> and non</w:t>
            </w:r>
            <w:r w:rsidR="00FA5150">
              <w:rPr>
                <w:u w:val="single"/>
              </w:rPr>
              <w:noBreakHyphen/>
            </w:r>
            <w:r w:rsidRPr="000C66DF">
              <w:rPr>
                <w:u w:val="single"/>
              </w:rPr>
              <w:t>Indigenous life tables</w:t>
            </w:r>
            <w:r w:rsidRPr="00010BAE">
              <w:t xml:space="preserve"> (Life tables). Data are calculated for three year periods and reported every five years</w:t>
            </w:r>
          </w:p>
        </w:tc>
      </w:tr>
      <w:tr w:rsidR="00680847" w:rsidRPr="00D87AA9" w14:paraId="341F1F22" w14:textId="77777777" w:rsidTr="008F5A63">
        <w:tc>
          <w:tcPr>
            <w:tcW w:w="2080" w:type="dxa"/>
          </w:tcPr>
          <w:p w14:paraId="7484C4D8" w14:textId="77777777" w:rsidR="00680847" w:rsidRPr="00D87AA9" w:rsidRDefault="00680847" w:rsidP="00CA6134">
            <w:pPr>
              <w:pStyle w:val="TableBodyNA"/>
            </w:pPr>
            <w:r w:rsidRPr="00D87AA9">
              <w:t>Data provider:</w:t>
            </w:r>
          </w:p>
        </w:tc>
        <w:tc>
          <w:tcPr>
            <w:tcW w:w="6709" w:type="dxa"/>
          </w:tcPr>
          <w:p w14:paraId="6F79F0FD" w14:textId="21FDF224" w:rsidR="00680847" w:rsidRPr="00D87AA9" w:rsidRDefault="00680847" w:rsidP="00CA6134">
            <w:pPr>
              <w:pStyle w:val="TableBodyNA"/>
            </w:pPr>
            <w:r w:rsidRPr="00010BAE">
              <w:t>ABS</w:t>
            </w:r>
          </w:p>
        </w:tc>
      </w:tr>
      <w:tr w:rsidR="00680847" w:rsidRPr="00D87AA9" w14:paraId="7E0B4980" w14:textId="77777777" w:rsidTr="008F5A63">
        <w:tc>
          <w:tcPr>
            <w:tcW w:w="2080" w:type="dxa"/>
            <w:shd w:val="clear" w:color="auto" w:fill="auto"/>
          </w:tcPr>
          <w:p w14:paraId="28FA33B2" w14:textId="77777777" w:rsidR="00680847" w:rsidRPr="00D87AA9" w:rsidRDefault="00680847" w:rsidP="00CA6134">
            <w:pPr>
              <w:pStyle w:val="TableBodyNA"/>
            </w:pPr>
            <w:r w:rsidRPr="00D87AA9">
              <w:t>Data availability:</w:t>
            </w:r>
          </w:p>
        </w:tc>
        <w:tc>
          <w:tcPr>
            <w:tcW w:w="6709" w:type="dxa"/>
            <w:shd w:val="clear" w:color="auto" w:fill="auto"/>
          </w:tcPr>
          <w:p w14:paraId="429C3789" w14:textId="6F705E13" w:rsidR="00680847" w:rsidRPr="00EE332B" w:rsidRDefault="00A571A6" w:rsidP="00CA6134">
            <w:pPr>
              <w:pStyle w:val="TableBodyNA"/>
            </w:pPr>
            <w:r>
              <w:t>No new data available for this report.</w:t>
            </w:r>
          </w:p>
        </w:tc>
      </w:tr>
      <w:tr w:rsidR="00680847" w:rsidRPr="00D87AA9" w14:paraId="6F6D9100" w14:textId="77777777" w:rsidTr="008F5A63">
        <w:tc>
          <w:tcPr>
            <w:tcW w:w="2080" w:type="dxa"/>
            <w:shd w:val="clear" w:color="auto" w:fill="auto"/>
          </w:tcPr>
          <w:p w14:paraId="120F9F53" w14:textId="77777777" w:rsidR="00680847" w:rsidRPr="00D87AA9" w:rsidRDefault="00680847" w:rsidP="00CA6134">
            <w:pPr>
              <w:pStyle w:val="TableBodyNA"/>
            </w:pPr>
            <w:r w:rsidRPr="00D87AA9">
              <w:t>Cross tabulations provided:</w:t>
            </w:r>
          </w:p>
        </w:tc>
        <w:tc>
          <w:tcPr>
            <w:tcW w:w="6709" w:type="dxa"/>
            <w:shd w:val="clear" w:color="auto" w:fill="auto"/>
          </w:tcPr>
          <w:p w14:paraId="0852E6D1" w14:textId="667B5382" w:rsidR="00680847" w:rsidRPr="00D87AA9" w:rsidRDefault="00680847" w:rsidP="00CA6134">
            <w:pPr>
              <w:pStyle w:val="TableBodyNA"/>
            </w:pPr>
            <w:r w:rsidRPr="00411F19">
              <w:t>N</w:t>
            </w:r>
            <w:r w:rsidR="00EE332B">
              <w:t>il</w:t>
            </w:r>
          </w:p>
        </w:tc>
      </w:tr>
    </w:tbl>
    <w:p w14:paraId="5960AC3A" w14:textId="77777777" w:rsidR="004731C0" w:rsidRDefault="004731C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4731C0" w14:paraId="06DA4DDE" w14:textId="77777777" w:rsidTr="008F5A63">
        <w:tc>
          <w:tcPr>
            <w:tcW w:w="8789" w:type="dxa"/>
            <w:tcBorders>
              <w:top w:val="single" w:sz="6" w:space="0" w:color="78A22F"/>
              <w:left w:val="nil"/>
              <w:bottom w:val="nil"/>
              <w:right w:val="nil"/>
            </w:tcBorders>
            <w:shd w:val="clear" w:color="auto" w:fill="F2F2F2"/>
          </w:tcPr>
          <w:p w14:paraId="6CBC1764" w14:textId="5B3C463F" w:rsidR="004731C0" w:rsidRDefault="004731C0" w:rsidP="0057053B">
            <w:pPr>
              <w:pStyle w:val="BoxTitle"/>
            </w:pPr>
            <w:r>
              <w:rPr>
                <w:b w:val="0"/>
              </w:rPr>
              <w:t xml:space="preserve">Box </w:t>
            </w:r>
            <w:r w:rsidR="00CD100F">
              <w:rPr>
                <w:b w:val="0"/>
              </w:rPr>
              <w:t>1</w:t>
            </w:r>
            <w:r w:rsidR="0057053B">
              <w:rPr>
                <w:b w:val="0"/>
              </w:rPr>
              <w:t>5</w:t>
            </w:r>
            <w:r>
              <w:tab/>
            </w:r>
            <w:r w:rsidR="00A571A6">
              <w:t>Comment on data availability</w:t>
            </w:r>
          </w:p>
        </w:tc>
      </w:tr>
      <w:tr w:rsidR="004731C0" w14:paraId="45039B08" w14:textId="77777777" w:rsidTr="008F5A63">
        <w:trPr>
          <w:cantSplit/>
        </w:trPr>
        <w:tc>
          <w:tcPr>
            <w:tcW w:w="8789" w:type="dxa"/>
            <w:tcBorders>
              <w:top w:val="nil"/>
              <w:left w:val="nil"/>
              <w:bottom w:val="nil"/>
              <w:right w:val="nil"/>
            </w:tcBorders>
            <w:shd w:val="clear" w:color="auto" w:fill="F2F2F2"/>
          </w:tcPr>
          <w:p w14:paraId="4EE51280" w14:textId="4F8A8BF2" w:rsidR="004731C0" w:rsidRDefault="00A571A6" w:rsidP="00A571A6">
            <w:pPr>
              <w:pStyle w:val="Box"/>
            </w:pPr>
            <w:r>
              <w:t xml:space="preserve">No new data </w:t>
            </w:r>
            <w:r w:rsidR="0057053B">
              <w:t>a</w:t>
            </w:r>
            <w:r>
              <w:t>re available for this report. Data for 2015–2017 were provided in the 2017</w:t>
            </w:r>
            <w:r w:rsidR="00FA5150">
              <w:noBreakHyphen/>
            </w:r>
            <w:r>
              <w:t>18 report. Data for 2010–2012 and revised data for 2005–2007 were provided for the 2012</w:t>
            </w:r>
            <w:r w:rsidR="00FA5150">
              <w:noBreakHyphen/>
            </w:r>
            <w:r>
              <w:t xml:space="preserve">13 NIRA report. </w:t>
            </w:r>
          </w:p>
        </w:tc>
      </w:tr>
      <w:tr w:rsidR="004731C0" w14:paraId="027DA981" w14:textId="77777777" w:rsidTr="008F5A63">
        <w:trPr>
          <w:cantSplit/>
        </w:trPr>
        <w:tc>
          <w:tcPr>
            <w:tcW w:w="8789" w:type="dxa"/>
            <w:tcBorders>
              <w:top w:val="nil"/>
              <w:left w:val="nil"/>
              <w:bottom w:val="single" w:sz="6" w:space="0" w:color="78A22F"/>
              <w:right w:val="nil"/>
            </w:tcBorders>
            <w:shd w:val="clear" w:color="auto" w:fill="F2F2F2"/>
          </w:tcPr>
          <w:p w14:paraId="365F5647" w14:textId="77777777" w:rsidR="004731C0" w:rsidRDefault="004731C0">
            <w:pPr>
              <w:pStyle w:val="Box"/>
              <w:spacing w:before="0" w:line="120" w:lineRule="exact"/>
            </w:pPr>
          </w:p>
        </w:tc>
      </w:tr>
      <w:tr w:rsidR="004731C0" w:rsidRPr="000863A5" w14:paraId="07615F89" w14:textId="77777777" w:rsidTr="008F5A63">
        <w:tc>
          <w:tcPr>
            <w:tcW w:w="8789" w:type="dxa"/>
            <w:tcBorders>
              <w:top w:val="single" w:sz="6" w:space="0" w:color="78A22F"/>
              <w:left w:val="nil"/>
              <w:bottom w:val="nil"/>
              <w:right w:val="nil"/>
            </w:tcBorders>
          </w:tcPr>
          <w:p w14:paraId="29DC66D2" w14:textId="77777777" w:rsidR="004731C0" w:rsidRPr="00626D32" w:rsidRDefault="004731C0" w:rsidP="00937DB6">
            <w:pPr>
              <w:pStyle w:val="BoxSpaceBelow"/>
            </w:pPr>
          </w:p>
        </w:tc>
      </w:tr>
    </w:tbl>
    <w:p w14:paraId="1F1D1768" w14:textId="77777777" w:rsidR="00A571A6" w:rsidRDefault="00A571A6" w:rsidP="00A571A6">
      <w:pPr>
        <w:pStyle w:val="BodyText"/>
      </w:pPr>
    </w:p>
    <w:p w14:paraId="3D9ABBB3" w14:textId="77777777" w:rsidR="00680847" w:rsidRPr="00450474" w:rsidRDefault="00680847" w:rsidP="00680847">
      <w:pPr>
        <w:pStyle w:val="BodyText"/>
      </w:pPr>
      <w:r w:rsidRPr="00450474">
        <w:br w:type="page"/>
      </w:r>
    </w:p>
    <w:p w14:paraId="741F8CF4" w14:textId="77777777" w:rsidR="00680847" w:rsidRPr="00921D4D" w:rsidRDefault="00680847" w:rsidP="00680847">
      <w:pPr>
        <w:pStyle w:val="Heading3"/>
      </w:pPr>
      <w:bookmarkStart w:id="15" w:name="_Ref277842701"/>
      <w:bookmarkStart w:id="16" w:name="_Ref341361473"/>
      <w:r w:rsidRPr="00921D4D">
        <w:lastRenderedPageBreak/>
        <w:t>Indicator 2: Mortality rate by leading causes</w:t>
      </w:r>
      <w:bookmarkEnd w:id="15"/>
      <w:bookmarkEnd w:id="16"/>
    </w:p>
    <w:p w14:paraId="796F5F0E" w14:textId="77777777" w:rsidR="00680847" w:rsidRPr="009C0D98" w:rsidRDefault="00680847" w:rsidP="008F5A63">
      <w:pPr>
        <w:keepNext/>
        <w:spacing w:before="120"/>
      </w:pPr>
    </w:p>
    <w:tbl>
      <w:tblPr>
        <w:tblW w:w="0" w:type="auto"/>
        <w:tblCellMar>
          <w:right w:w="0" w:type="dxa"/>
        </w:tblCellMar>
        <w:tblLook w:val="0000" w:firstRow="0" w:lastRow="0" w:firstColumn="0" w:lastColumn="0" w:noHBand="0" w:noVBand="0"/>
      </w:tblPr>
      <w:tblGrid>
        <w:gridCol w:w="1801"/>
        <w:gridCol w:w="6988"/>
      </w:tblGrid>
      <w:tr w:rsidR="00680847" w:rsidRPr="00D87AA9" w14:paraId="70AF69C2" w14:textId="77777777" w:rsidTr="008F5A63">
        <w:tc>
          <w:tcPr>
            <w:tcW w:w="1801" w:type="dxa"/>
          </w:tcPr>
          <w:p w14:paraId="1C3B3E89" w14:textId="25ABB7C2" w:rsidR="00680847" w:rsidRPr="00EE332B" w:rsidRDefault="00680847" w:rsidP="00CA6134">
            <w:pPr>
              <w:pStyle w:val="TableBodyNA"/>
            </w:pPr>
            <w:r w:rsidRPr="00B82DC5">
              <w:t>Key amendments from previous cycle of repo</w:t>
            </w:r>
            <w:r w:rsidR="00EE332B">
              <w:t>rting:</w:t>
            </w:r>
          </w:p>
        </w:tc>
        <w:tc>
          <w:tcPr>
            <w:tcW w:w="6988" w:type="dxa"/>
          </w:tcPr>
          <w:p w14:paraId="1D97D3E7" w14:textId="77777777" w:rsidR="009924DC" w:rsidRDefault="009924DC" w:rsidP="00CA6134">
            <w:pPr>
              <w:pStyle w:val="TableBodyNA"/>
            </w:pPr>
            <w:r>
              <w:t xml:space="preserve">Single year data have </w:t>
            </w:r>
            <w:r w:rsidRPr="001F1684">
              <w:t>been</w:t>
            </w:r>
            <w:r>
              <w:t xml:space="preserve"> resupplied due to:</w:t>
            </w:r>
          </w:p>
          <w:p w14:paraId="0DC1FC4E" w14:textId="129C3DDD" w:rsidR="009924DC" w:rsidRDefault="009924DC" w:rsidP="008822BF">
            <w:pPr>
              <w:pStyle w:val="TableBullet"/>
            </w:pPr>
            <w:r>
              <w:t>new ABS Aboriginal and Torres Strait Islander population estimates and projections data (2006 to 2017)</w:t>
            </w:r>
          </w:p>
          <w:p w14:paraId="0E0F013E" w14:textId="2A022B82" w:rsidR="009924DC" w:rsidRPr="00D87AA9" w:rsidRDefault="009924DC" w:rsidP="008822BF">
            <w:pPr>
              <w:pStyle w:val="TableBullet"/>
            </w:pPr>
            <w:r>
              <w:t>revised ABS Causes of Death data (2015 and 2016).</w:t>
            </w:r>
          </w:p>
        </w:tc>
      </w:tr>
      <w:tr w:rsidR="00680847" w:rsidRPr="00D87AA9" w14:paraId="1526BF49" w14:textId="77777777" w:rsidTr="008F5A63">
        <w:tc>
          <w:tcPr>
            <w:tcW w:w="1801" w:type="dxa"/>
          </w:tcPr>
          <w:p w14:paraId="14792733" w14:textId="77777777" w:rsidR="00680847" w:rsidRPr="00D87AA9" w:rsidRDefault="00680847" w:rsidP="00CA6134">
            <w:pPr>
              <w:pStyle w:val="TableBodyNA"/>
            </w:pPr>
            <w:r w:rsidRPr="00D87AA9">
              <w:t>Target:</w:t>
            </w:r>
          </w:p>
        </w:tc>
        <w:tc>
          <w:tcPr>
            <w:tcW w:w="6988" w:type="dxa"/>
          </w:tcPr>
          <w:p w14:paraId="136E9A6B" w14:textId="47B55A47" w:rsidR="00680847" w:rsidRPr="00D87AA9" w:rsidRDefault="00680847" w:rsidP="00CA6134">
            <w:pPr>
              <w:pStyle w:val="TableBodyNA"/>
            </w:pPr>
            <w:r w:rsidRPr="00010BAE">
              <w:t>Closing the life expectancy gap within a generation (by 2031)</w:t>
            </w:r>
          </w:p>
        </w:tc>
      </w:tr>
      <w:tr w:rsidR="00680847" w:rsidRPr="00D87AA9" w14:paraId="19EE79B3" w14:textId="77777777" w:rsidTr="008F5A63">
        <w:tc>
          <w:tcPr>
            <w:tcW w:w="1801" w:type="dxa"/>
          </w:tcPr>
          <w:p w14:paraId="0A8500C8" w14:textId="77777777" w:rsidR="00680847" w:rsidRPr="00D87AA9" w:rsidRDefault="00680847" w:rsidP="00CA6134">
            <w:pPr>
              <w:pStyle w:val="TableBodyNA"/>
            </w:pPr>
            <w:r w:rsidRPr="00D87AA9">
              <w:t>Measure:</w:t>
            </w:r>
          </w:p>
        </w:tc>
        <w:tc>
          <w:tcPr>
            <w:tcW w:w="6988" w:type="dxa"/>
          </w:tcPr>
          <w:p w14:paraId="40DDF92A" w14:textId="471C7F7F" w:rsidR="00680847" w:rsidRDefault="00680847" w:rsidP="00CA6134">
            <w:pPr>
              <w:pStyle w:val="TableBodyNA"/>
            </w:pPr>
            <w:r>
              <w:t>Mortality rates for Australians by the leading cause of death, by Indigen</w:t>
            </w:r>
            <w:r w:rsidR="00EE332B">
              <w:t>ous status.</w:t>
            </w:r>
          </w:p>
          <w:p w14:paraId="1EAC95C1" w14:textId="77777777" w:rsidR="00680847" w:rsidRDefault="00680847" w:rsidP="00CA6134">
            <w:pPr>
              <w:pStyle w:val="TableBodyNA"/>
            </w:pPr>
            <w:r>
              <w:t>The measure is defined as:</w:t>
            </w:r>
          </w:p>
          <w:p w14:paraId="5DF9CA41" w14:textId="77777777" w:rsidR="00680847" w:rsidRDefault="00680847" w:rsidP="00680847">
            <w:pPr>
              <w:pStyle w:val="TableBullet"/>
              <w:rPr>
                <w:szCs w:val="24"/>
              </w:rPr>
            </w:pPr>
            <w:r w:rsidRPr="000C66DF">
              <w:rPr>
                <w:i/>
              </w:rPr>
              <w:t>Numerator</w:t>
            </w:r>
            <w:r>
              <w:t xml:space="preserve"> — number of deaths</w:t>
            </w:r>
          </w:p>
          <w:p w14:paraId="52D101D8" w14:textId="77777777" w:rsidR="00680847" w:rsidRDefault="00680847" w:rsidP="00680847">
            <w:pPr>
              <w:pStyle w:val="TableBullet"/>
              <w:rPr>
                <w:szCs w:val="24"/>
              </w:rPr>
            </w:pPr>
            <w:r w:rsidRPr="000C66DF">
              <w:rPr>
                <w:i/>
              </w:rPr>
              <w:t>Denominator</w:t>
            </w:r>
            <w:r>
              <w:t xml:space="preserve"> — total population of all people</w:t>
            </w:r>
          </w:p>
          <w:p w14:paraId="37409A54" w14:textId="77777777" w:rsidR="00680847" w:rsidRDefault="00680847" w:rsidP="00CA6134">
            <w:pPr>
              <w:pStyle w:val="TableBodyNA"/>
            </w:pPr>
            <w:r>
              <w:t xml:space="preserve">presented as a </w:t>
            </w:r>
            <w:r w:rsidRPr="00EE758E">
              <w:t>rate per 100 000 persons</w:t>
            </w:r>
          </w:p>
          <w:p w14:paraId="3323D194" w14:textId="77777777" w:rsidR="00680847" w:rsidRDefault="00680847" w:rsidP="00CA6134">
            <w:pPr>
              <w:pStyle w:val="TableBodyNA"/>
            </w:pPr>
            <w:r>
              <w:t xml:space="preserve">Crude rates are calculated for </w:t>
            </w:r>
            <w:r w:rsidR="00F1707A">
              <w:t>Aboriginal and Torres Strait Islander</w:t>
            </w:r>
            <w:r>
              <w:t xml:space="preserve"> Australians.</w:t>
            </w:r>
          </w:p>
          <w:p w14:paraId="2D995AEB" w14:textId="39C0A940" w:rsidR="00680847" w:rsidRDefault="00680847" w:rsidP="00CA6134">
            <w:pPr>
              <w:pStyle w:val="TableBodyNA"/>
            </w:pPr>
            <w:r>
              <w:t xml:space="preserve">Age standardised rates are calculated for comparing </w:t>
            </w:r>
            <w:r w:rsidR="00F1707A">
              <w:t xml:space="preserve">Aboriginal and Torres Strait Islander </w:t>
            </w:r>
            <w:r>
              <w:t xml:space="preserve">and </w:t>
            </w:r>
            <w:r w:rsidR="00937DB6">
              <w:t>n</w:t>
            </w:r>
            <w:r w:rsidR="00A96FBF">
              <w:t>on</w:t>
            </w:r>
            <w:r w:rsidR="00FA5150">
              <w:noBreakHyphen/>
            </w:r>
            <w:r>
              <w:t>Indigenous Australians using:</w:t>
            </w:r>
          </w:p>
          <w:p w14:paraId="6F41B5DF" w14:textId="77777777" w:rsidR="00680847" w:rsidRDefault="00680847" w:rsidP="00680847">
            <w:pPr>
              <w:pStyle w:val="TableBullet"/>
              <w:rPr>
                <w:szCs w:val="24"/>
              </w:rPr>
            </w:pPr>
            <w:r>
              <w:t xml:space="preserve">the direct method </w:t>
            </w:r>
          </w:p>
          <w:p w14:paraId="46EB25B2" w14:textId="77777777" w:rsidR="00680847" w:rsidRDefault="00680847" w:rsidP="00680847">
            <w:pPr>
              <w:pStyle w:val="TableBullet"/>
              <w:rPr>
                <w:szCs w:val="24"/>
              </w:rPr>
            </w:pPr>
            <w:r>
              <w:t xml:space="preserve">five year age groups from 0–4 years to 75 years and over </w:t>
            </w:r>
          </w:p>
          <w:p w14:paraId="4611F6E7" w14:textId="0A5A1002" w:rsidR="00680847" w:rsidRDefault="00680847" w:rsidP="0057053B">
            <w:pPr>
              <w:pStyle w:val="TableBullet"/>
              <w:rPr>
                <w:szCs w:val="24"/>
              </w:rPr>
            </w:pPr>
            <w:r>
              <w:t>total persons in the Australian population as at 30</w:t>
            </w:r>
            <w:r w:rsidR="00F34E12">
              <w:t> </w:t>
            </w:r>
            <w:r>
              <w:t xml:space="preserve">June 2001 </w:t>
            </w:r>
            <w:r w:rsidR="00991A09">
              <w:t xml:space="preserve">Estimated Resident Population (ERP) based on the 2001 Census </w:t>
            </w:r>
            <w:r>
              <w:t>as the standard</w:t>
            </w:r>
            <w:r w:rsidR="00991A09">
              <w:t xml:space="preserve"> population</w:t>
            </w:r>
            <w:r>
              <w:t>.</w:t>
            </w:r>
          </w:p>
          <w:p w14:paraId="59B5CF08" w14:textId="742F14B4" w:rsidR="00680847" w:rsidRPr="00870410" w:rsidRDefault="00680847" w:rsidP="00870410">
            <w:pPr>
              <w:pStyle w:val="TableBodyNA"/>
              <w:rPr>
                <w:u w:val="single"/>
              </w:rPr>
            </w:pPr>
            <w:r w:rsidRPr="00870410">
              <w:rPr>
                <w:u w:val="single"/>
              </w:rPr>
              <w:t>[Note: The measure refers to ‘leading cause of death’. Data are provided for ‘selected causes of death’ according to the ICD</w:t>
            </w:r>
            <w:r w:rsidR="00FA5150">
              <w:rPr>
                <w:u w:val="single"/>
              </w:rPr>
              <w:noBreakHyphen/>
            </w:r>
            <w:r w:rsidRPr="00870410">
              <w:rPr>
                <w:u w:val="single"/>
              </w:rPr>
              <w:t>10 codes used for ‘leading cause of death’ in the Aboriginal and Torres Strait Islander Health Performance Framework].</w:t>
            </w:r>
          </w:p>
          <w:p w14:paraId="232D8B10" w14:textId="4DE9A6EF" w:rsidR="00680847" w:rsidRDefault="00680847" w:rsidP="00870410">
            <w:pPr>
              <w:pStyle w:val="TableBodyNA"/>
            </w:pPr>
            <w:r>
              <w:t xml:space="preserve">Rate ratios and rate differences are calculated for </w:t>
            </w:r>
            <w:r w:rsidR="00DB3DFF">
              <w:t xml:space="preserve">comparison between </w:t>
            </w:r>
            <w:r w:rsidR="00F1707A">
              <w:t>Aboriginal and Torres Strait Islander</w:t>
            </w:r>
            <w:r w:rsidR="00DB3DFF">
              <w:t xml:space="preserve"> and</w:t>
            </w:r>
            <w:r>
              <w:t xml:space="preserve"> non</w:t>
            </w:r>
            <w:r w:rsidR="00FA5150">
              <w:noBreakHyphen/>
            </w:r>
            <w:r>
              <w:t>Indigenous Australians.</w:t>
            </w:r>
          </w:p>
          <w:p w14:paraId="260C029C" w14:textId="77777777" w:rsidR="00680847" w:rsidRDefault="00680847" w:rsidP="00870410">
            <w:pPr>
              <w:pStyle w:val="TableBodyNA"/>
            </w:pPr>
            <w:r>
              <w:t xml:space="preserve">Causes are listed from highest to lowest </w:t>
            </w:r>
            <w:r w:rsidR="00F1707A">
              <w:t xml:space="preserve">Aboriginal and Torres Strait Islander </w:t>
            </w:r>
            <w:r>
              <w:t>crude numbers for the most recent 5 year combined period. The top 5 causes need to be reassessed each reporting period. If a change is identified, data may be backcast to the baseline year for the most recent set of top 5 causes to ensure a consistent time series</w:t>
            </w:r>
          </w:p>
          <w:p w14:paraId="6D4562DC" w14:textId="7DFA6758" w:rsidR="00680847" w:rsidRPr="00D87AA9" w:rsidRDefault="00680847" w:rsidP="00870410">
            <w:pPr>
              <w:pStyle w:val="TableBodyNA"/>
            </w:pPr>
            <w:r>
              <w:t>Variability bands are to be calculated for rates (single year data and national data for five years combined) using the standard method.</w:t>
            </w:r>
          </w:p>
        </w:tc>
      </w:tr>
      <w:tr w:rsidR="00EE332B" w:rsidRPr="00D87AA9" w14:paraId="2EA172B9" w14:textId="77777777" w:rsidTr="008F5A63">
        <w:tc>
          <w:tcPr>
            <w:tcW w:w="1801" w:type="dxa"/>
          </w:tcPr>
          <w:p w14:paraId="30D5B98E" w14:textId="0B0E0799" w:rsidR="00EE332B" w:rsidRPr="00D87AA9" w:rsidRDefault="00EE332B" w:rsidP="00CA6134">
            <w:pPr>
              <w:pStyle w:val="TableBodyNA"/>
            </w:pPr>
            <w:r w:rsidRPr="00D87AA9">
              <w:t>Data source:</w:t>
            </w:r>
          </w:p>
        </w:tc>
        <w:tc>
          <w:tcPr>
            <w:tcW w:w="6988" w:type="dxa"/>
          </w:tcPr>
          <w:p w14:paraId="4360B114" w14:textId="3C10FC62" w:rsidR="00450212" w:rsidRDefault="00450212" w:rsidP="00870410">
            <w:pPr>
              <w:pStyle w:val="TableBodyNA"/>
            </w:pPr>
            <w:r w:rsidRPr="00EE758E">
              <w:rPr>
                <w:i/>
              </w:rPr>
              <w:t>Numerator</w:t>
            </w:r>
            <w:r>
              <w:t xml:space="preserve"> — ABS </w:t>
            </w:r>
            <w:r w:rsidRPr="00EE758E">
              <w:rPr>
                <w:u w:val="single"/>
              </w:rPr>
              <w:t>Cause of Death collection</w:t>
            </w:r>
            <w:r>
              <w:t xml:space="preserve"> and ABS </w:t>
            </w:r>
            <w:r w:rsidRPr="00EE758E">
              <w:rPr>
                <w:u w:val="single"/>
              </w:rPr>
              <w:t xml:space="preserve">Death Registrations </w:t>
            </w:r>
            <w:r w:rsidR="00FE7AE3">
              <w:rPr>
                <w:u w:val="single"/>
              </w:rPr>
              <w:t>c</w:t>
            </w:r>
            <w:r w:rsidRPr="00EE758E">
              <w:rPr>
                <w:u w:val="single"/>
              </w:rPr>
              <w:t>ollection</w:t>
            </w:r>
            <w:r>
              <w:t>. Data are available annually</w:t>
            </w:r>
          </w:p>
          <w:p w14:paraId="6F761CA9" w14:textId="3A37AF36" w:rsidR="00450212" w:rsidRDefault="00450212" w:rsidP="00870410">
            <w:pPr>
              <w:pStyle w:val="TableBodyNA"/>
            </w:pPr>
            <w:r w:rsidRPr="00EE758E">
              <w:rPr>
                <w:i/>
              </w:rPr>
              <w:t>Denominator</w:t>
            </w:r>
            <w:r>
              <w:t xml:space="preserve"> — ABS </w:t>
            </w:r>
            <w:r w:rsidRPr="00EE758E">
              <w:rPr>
                <w:u w:val="single"/>
              </w:rPr>
              <w:t>Estimated Resident Population</w:t>
            </w:r>
            <w:r>
              <w:t xml:space="preserve"> (ERP) for total population. ABS </w:t>
            </w:r>
            <w:r w:rsidRPr="00EE758E">
              <w:rPr>
                <w:u w:val="single"/>
              </w:rPr>
              <w:t>Estimates and Projections</w:t>
            </w:r>
            <w:r>
              <w:t xml:space="preserve"> for Aboriginal and Torres Strait Islander population. Non</w:t>
            </w:r>
            <w:r w:rsidR="00FA5150">
              <w:noBreakHyphen/>
            </w:r>
            <w:r>
              <w:t xml:space="preserve">Indigenous population estimates are calculated by subtracting the Aboriginal and Torres Strait Islander population </w:t>
            </w:r>
            <w:r w:rsidR="00DC75F1">
              <w:t>estimates/</w:t>
            </w:r>
            <w:r>
              <w:t>projections from the total population estimates</w:t>
            </w:r>
            <w:r w:rsidRPr="00CB3013">
              <w:t xml:space="preserve">. </w:t>
            </w:r>
          </w:p>
          <w:p w14:paraId="123C4EA3" w14:textId="72065BAE" w:rsidR="00EE332B" w:rsidRDefault="0057053B" w:rsidP="0057053B">
            <w:pPr>
              <w:pStyle w:val="TableBodyNA"/>
            </w:pPr>
            <w:r>
              <w:t xml:space="preserve">All mortality rates are derived using </w:t>
            </w:r>
            <w:r w:rsidR="009924DC">
              <w:t>2016 </w:t>
            </w:r>
            <w:r w:rsidR="00450212">
              <w:t>Census</w:t>
            </w:r>
            <w:r w:rsidR="00FA5150">
              <w:noBreakHyphen/>
            </w:r>
            <w:r w:rsidR="00450212">
              <w:t>based</w:t>
            </w:r>
            <w:r>
              <w:t xml:space="preserve"> Aboriginal and Torres Strait Islander </w:t>
            </w:r>
            <w:r w:rsidRPr="004A56C9">
              <w:t>populations</w:t>
            </w:r>
            <w:r w:rsidR="00450212">
              <w:t>.</w:t>
            </w:r>
          </w:p>
        </w:tc>
      </w:tr>
      <w:tr w:rsidR="00450212" w:rsidRPr="00D87AA9" w14:paraId="49231D6C" w14:textId="77777777" w:rsidTr="008F5A63">
        <w:tc>
          <w:tcPr>
            <w:tcW w:w="1801" w:type="dxa"/>
          </w:tcPr>
          <w:p w14:paraId="3ED4473F" w14:textId="66D39B9A" w:rsidR="00450212" w:rsidRPr="00D87AA9" w:rsidRDefault="00450212" w:rsidP="00CA6134">
            <w:pPr>
              <w:pStyle w:val="TableBodyNA"/>
            </w:pPr>
            <w:r w:rsidRPr="00D87AA9">
              <w:t>Data provider:</w:t>
            </w:r>
          </w:p>
        </w:tc>
        <w:tc>
          <w:tcPr>
            <w:tcW w:w="6988" w:type="dxa"/>
          </w:tcPr>
          <w:p w14:paraId="70BE21C9" w14:textId="6B4F4921" w:rsidR="00450212" w:rsidRPr="00EE758E" w:rsidRDefault="00450212" w:rsidP="00870410">
            <w:pPr>
              <w:pStyle w:val="TableBodyNA"/>
              <w:rPr>
                <w:i/>
              </w:rPr>
            </w:pPr>
            <w:r w:rsidRPr="00010BAE">
              <w:t>ABS</w:t>
            </w:r>
          </w:p>
        </w:tc>
      </w:tr>
      <w:tr w:rsidR="00450212" w:rsidRPr="00D87AA9" w14:paraId="270EA54D" w14:textId="77777777" w:rsidTr="008F5A63">
        <w:tc>
          <w:tcPr>
            <w:tcW w:w="1801" w:type="dxa"/>
          </w:tcPr>
          <w:p w14:paraId="6C544E3A" w14:textId="23A6684B" w:rsidR="00450212" w:rsidRPr="00D87AA9" w:rsidRDefault="00450212" w:rsidP="00CA6134">
            <w:pPr>
              <w:pStyle w:val="TableBodyNA"/>
            </w:pPr>
            <w:r w:rsidRPr="00D87AA9">
              <w:t>Data availability:</w:t>
            </w:r>
          </w:p>
        </w:tc>
        <w:tc>
          <w:tcPr>
            <w:tcW w:w="6988" w:type="dxa"/>
          </w:tcPr>
          <w:p w14:paraId="440481C8" w14:textId="7F9EF4A6" w:rsidR="00450212" w:rsidRDefault="009924DC" w:rsidP="00870410">
            <w:pPr>
              <w:pStyle w:val="TableBodyNA"/>
            </w:pPr>
            <w:r>
              <w:t xml:space="preserve">2018 </w:t>
            </w:r>
            <w:r w:rsidR="00450212" w:rsidRPr="00010BAE">
              <w:t>— Causes of death (</w:t>
            </w:r>
            <w:r w:rsidR="00450212">
              <w:t xml:space="preserve">and </w:t>
            </w:r>
            <w:r w:rsidR="00450212" w:rsidRPr="00010BAE">
              <w:t xml:space="preserve">revised </w:t>
            </w:r>
            <w:r w:rsidR="00450212">
              <w:t xml:space="preserve">data </w:t>
            </w:r>
            <w:r w:rsidR="00450212" w:rsidRPr="00010BAE">
              <w:t xml:space="preserve">for </w:t>
            </w:r>
            <w:r>
              <w:t xml:space="preserve">2016 </w:t>
            </w:r>
            <w:r w:rsidR="00450212">
              <w:t>and</w:t>
            </w:r>
            <w:r w:rsidR="008873E7">
              <w:t xml:space="preserve"> revised final data for</w:t>
            </w:r>
            <w:r w:rsidR="00450212">
              <w:t xml:space="preserve"> </w:t>
            </w:r>
            <w:r>
              <w:t>2015</w:t>
            </w:r>
            <w:r w:rsidR="00450212" w:rsidRPr="00010BAE">
              <w:t>)</w:t>
            </w:r>
          </w:p>
          <w:p w14:paraId="7BF3BD94" w14:textId="602806E1" w:rsidR="00450212" w:rsidRDefault="009924DC" w:rsidP="00870410">
            <w:pPr>
              <w:pStyle w:val="TableBodyNA"/>
            </w:pPr>
            <w:r>
              <w:t xml:space="preserve">2018 </w:t>
            </w:r>
            <w:r w:rsidR="00450212">
              <w:t>— Death registrations (for all</w:t>
            </w:r>
            <w:r w:rsidR="00FA5150">
              <w:noBreakHyphen/>
            </w:r>
            <w:r w:rsidR="00450212">
              <w:t xml:space="preserve">cause totals) </w:t>
            </w:r>
          </w:p>
          <w:p w14:paraId="794A00D3" w14:textId="69ECDCBA" w:rsidR="00450212" w:rsidRPr="00010BAE" w:rsidRDefault="00450212" w:rsidP="00870410">
            <w:pPr>
              <w:pStyle w:val="TableBodyNA"/>
            </w:pPr>
            <w:r>
              <w:t>30</w:t>
            </w:r>
            <w:r w:rsidR="00F34E12">
              <w:t> </w:t>
            </w:r>
            <w:r>
              <w:t xml:space="preserve">June </w:t>
            </w:r>
            <w:r w:rsidR="009924DC">
              <w:t>2018</w:t>
            </w:r>
            <w:r w:rsidR="00326DBA">
              <w:t xml:space="preserve"> </w:t>
            </w:r>
            <w:r w:rsidR="00FE7AE3">
              <w:t xml:space="preserve">(revised 2006 to 2017) </w:t>
            </w:r>
            <w:r>
              <w:t xml:space="preserve">(based on </w:t>
            </w:r>
            <w:r w:rsidR="009924DC">
              <w:t xml:space="preserve">2016 </w:t>
            </w:r>
            <w:r>
              <w:t>Census) — Population data</w:t>
            </w:r>
            <w:r w:rsidR="009924DC">
              <w:t>.</w:t>
            </w:r>
          </w:p>
        </w:tc>
      </w:tr>
    </w:tbl>
    <w:p w14:paraId="7BE14F78" w14:textId="77777777" w:rsidR="008F5A63" w:rsidRDefault="008F5A63">
      <w:r>
        <w:br w:type="page"/>
      </w:r>
    </w:p>
    <w:tbl>
      <w:tblPr>
        <w:tblW w:w="0" w:type="auto"/>
        <w:tblCellMar>
          <w:right w:w="0" w:type="dxa"/>
        </w:tblCellMar>
        <w:tblLook w:val="0000" w:firstRow="0" w:lastRow="0" w:firstColumn="0" w:lastColumn="0" w:noHBand="0" w:noVBand="0"/>
      </w:tblPr>
      <w:tblGrid>
        <w:gridCol w:w="1801"/>
        <w:gridCol w:w="6988"/>
      </w:tblGrid>
      <w:tr w:rsidR="00680847" w:rsidRPr="00D87AA9" w14:paraId="045C10F8" w14:textId="77777777" w:rsidTr="008F5A63">
        <w:tc>
          <w:tcPr>
            <w:tcW w:w="1801" w:type="dxa"/>
            <w:shd w:val="clear" w:color="auto" w:fill="auto"/>
          </w:tcPr>
          <w:p w14:paraId="7BEC671C" w14:textId="77777777" w:rsidR="00680847" w:rsidRPr="00D87AA9" w:rsidRDefault="00680847" w:rsidP="00870410">
            <w:pPr>
              <w:pStyle w:val="TableBodyNA"/>
            </w:pPr>
            <w:r w:rsidRPr="00D87AA9">
              <w:lastRenderedPageBreak/>
              <w:t>Cross tabulations provided:</w:t>
            </w:r>
          </w:p>
        </w:tc>
        <w:tc>
          <w:tcPr>
            <w:tcW w:w="6988" w:type="dxa"/>
            <w:shd w:val="clear" w:color="auto" w:fill="auto"/>
          </w:tcPr>
          <w:p w14:paraId="373C99AB" w14:textId="7E63BAAF" w:rsidR="00680847" w:rsidRDefault="00680847" w:rsidP="00870410">
            <w:pPr>
              <w:pStyle w:val="TableBodyNA"/>
            </w:pPr>
            <w:r>
              <w:t xml:space="preserve">Data are reported individually by jurisdiction of residence by Indigenous status for NSW, Queensland, WA, SA and the NT only. Each table by jurisdiction will also include a </w:t>
            </w:r>
            <w:r w:rsidR="00C7031E">
              <w:t>‘</w:t>
            </w:r>
            <w:r>
              <w:t>national</w:t>
            </w:r>
            <w:r w:rsidR="00C7031E">
              <w:t>’</w:t>
            </w:r>
            <w:r>
              <w:t xml:space="preserve"> total made up of these 5 jurisdictions only.</w:t>
            </w:r>
          </w:p>
          <w:p w14:paraId="6C9FF398" w14:textId="77777777" w:rsidR="00680847" w:rsidRDefault="00680847" w:rsidP="00870410">
            <w:pPr>
              <w:pStyle w:val="TableBodyNA"/>
            </w:pPr>
            <w:r>
              <w:t xml:space="preserve">For </w:t>
            </w:r>
            <w:r w:rsidR="00F1707A">
              <w:t xml:space="preserve">Aboriginal and Torres Strait Islander </w:t>
            </w:r>
            <w:r>
              <w:t>only (crude rates and crude percentages):</w:t>
            </w:r>
          </w:p>
          <w:p w14:paraId="4F510162" w14:textId="77777777" w:rsidR="00680847" w:rsidRDefault="00680847" w:rsidP="00680847">
            <w:pPr>
              <w:pStyle w:val="TableBullet"/>
              <w:rPr>
                <w:szCs w:val="24"/>
              </w:rPr>
            </w:pPr>
            <w:r>
              <w:t>Five year aggregate data, by State and Territory, by selected causes of death</w:t>
            </w:r>
          </w:p>
          <w:p w14:paraId="71AEED7B" w14:textId="77777777" w:rsidR="00680847" w:rsidRDefault="00680847" w:rsidP="00680847">
            <w:pPr>
              <w:pStyle w:val="TableBullet"/>
              <w:rPr>
                <w:szCs w:val="24"/>
              </w:rPr>
            </w:pPr>
            <w:r>
              <w:t>Five year aggregate data, national only, by sex, by selected causes of death</w:t>
            </w:r>
          </w:p>
          <w:p w14:paraId="5ED98290" w14:textId="77777777" w:rsidR="00680847" w:rsidRDefault="00680847" w:rsidP="00680847">
            <w:pPr>
              <w:pStyle w:val="TableBullet"/>
              <w:rPr>
                <w:szCs w:val="24"/>
              </w:rPr>
            </w:pPr>
            <w:r>
              <w:t>Five year aggregate data, by State and Territory</w:t>
            </w:r>
            <w:r w:rsidR="00E50607">
              <w:t xml:space="preserve"> (</w:t>
            </w:r>
            <w:r>
              <w:t>all cause total</w:t>
            </w:r>
            <w:r w:rsidR="00E50607">
              <w:t>)</w:t>
            </w:r>
            <w:r>
              <w:t xml:space="preserve"> </w:t>
            </w:r>
          </w:p>
          <w:p w14:paraId="23C876DF" w14:textId="616BCE06" w:rsidR="00680847" w:rsidRDefault="00680847" w:rsidP="00870410">
            <w:pPr>
              <w:pStyle w:val="TableBodyNA"/>
            </w:pPr>
            <w:r>
              <w:t xml:space="preserve">For </w:t>
            </w:r>
            <w:r w:rsidR="00F1707A">
              <w:t xml:space="preserve">Aboriginal and Torres Strait Islander </w:t>
            </w:r>
            <w:r>
              <w:t>and non</w:t>
            </w:r>
            <w:r w:rsidR="00FA5150">
              <w:noBreakHyphen/>
            </w:r>
            <w:r>
              <w:t>Indigenous (age</w:t>
            </w:r>
            <w:r w:rsidR="00FA5150">
              <w:noBreakHyphen/>
            </w:r>
            <w:r>
              <w:t>standardised rates):</w:t>
            </w:r>
          </w:p>
          <w:p w14:paraId="5C84FCA3" w14:textId="00455E17" w:rsidR="00680847" w:rsidRDefault="00680847" w:rsidP="00680847">
            <w:pPr>
              <w:pStyle w:val="TableBullet"/>
              <w:rPr>
                <w:szCs w:val="24"/>
              </w:rPr>
            </w:pPr>
            <w:r>
              <w:t>Single year data, by State and Territory (all</w:t>
            </w:r>
            <w:r w:rsidR="00FA5150">
              <w:noBreakHyphen/>
            </w:r>
            <w:r>
              <w:t>cause total)</w:t>
            </w:r>
          </w:p>
          <w:p w14:paraId="74DCD8D2" w14:textId="00374D2F" w:rsidR="00680847" w:rsidRDefault="00680847" w:rsidP="00680847">
            <w:pPr>
              <w:pStyle w:val="TableBullet"/>
              <w:rPr>
                <w:szCs w:val="24"/>
              </w:rPr>
            </w:pPr>
            <w:r>
              <w:t>Single year data, national only, by sex (all</w:t>
            </w:r>
            <w:r w:rsidR="00FA5150">
              <w:noBreakHyphen/>
            </w:r>
            <w:r>
              <w:t>cause total)</w:t>
            </w:r>
          </w:p>
          <w:p w14:paraId="5776E7CC" w14:textId="6498B9B9" w:rsidR="00680847" w:rsidRDefault="00680847" w:rsidP="00680847">
            <w:pPr>
              <w:pStyle w:val="TableBullet"/>
              <w:rPr>
                <w:szCs w:val="24"/>
              </w:rPr>
            </w:pPr>
            <w:r>
              <w:t>Single year data, by State and Territory (selected causes of death)</w:t>
            </w:r>
          </w:p>
          <w:p w14:paraId="07A77287" w14:textId="5219D884" w:rsidR="00680847" w:rsidRDefault="00680847" w:rsidP="00680847">
            <w:pPr>
              <w:pStyle w:val="TableBullet"/>
              <w:rPr>
                <w:szCs w:val="24"/>
              </w:rPr>
            </w:pPr>
            <w:r>
              <w:t>Five year aggregate data, by State and Territory (selected causes of death)</w:t>
            </w:r>
          </w:p>
          <w:p w14:paraId="3DE14A5C" w14:textId="449430DF" w:rsidR="00680847" w:rsidRDefault="00680847" w:rsidP="00680847">
            <w:pPr>
              <w:pStyle w:val="TableBullet"/>
              <w:rPr>
                <w:szCs w:val="24"/>
              </w:rPr>
            </w:pPr>
            <w:r>
              <w:t>Five year aggregate data, by State and Territory, by sex (selected causes of death)</w:t>
            </w:r>
          </w:p>
          <w:p w14:paraId="06EE706F" w14:textId="0423AA97" w:rsidR="00680847" w:rsidRPr="002B469C" w:rsidRDefault="00680847" w:rsidP="00AC7908">
            <w:pPr>
              <w:pStyle w:val="TableBullet"/>
              <w:rPr>
                <w:szCs w:val="24"/>
              </w:rPr>
            </w:pPr>
            <w:r>
              <w:t>Five year aggregate data, by State and Territory (all cause total)</w:t>
            </w:r>
          </w:p>
        </w:tc>
      </w:tr>
    </w:tbl>
    <w:p w14:paraId="1FE32ED2" w14:textId="77777777" w:rsidR="00F40323" w:rsidRDefault="00F40323" w:rsidP="008F5A63">
      <w:pPr>
        <w:pStyle w:val="BoxSpaceAbove"/>
        <w:spacing w:before="240"/>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680847" w14:paraId="1CAAD0DA" w14:textId="77777777" w:rsidTr="008F5A63">
        <w:tc>
          <w:tcPr>
            <w:tcW w:w="8789" w:type="dxa"/>
            <w:tcBorders>
              <w:top w:val="single" w:sz="6" w:space="0" w:color="78A22F"/>
              <w:left w:val="nil"/>
              <w:bottom w:val="nil"/>
              <w:right w:val="nil"/>
            </w:tcBorders>
            <w:shd w:val="clear" w:color="auto" w:fill="F2F2F2"/>
          </w:tcPr>
          <w:p w14:paraId="6987E00A" w14:textId="3821564E" w:rsidR="00680847" w:rsidRDefault="00680847" w:rsidP="0057053B">
            <w:pPr>
              <w:pStyle w:val="BoxTitle"/>
            </w:pPr>
            <w:r>
              <w:rPr>
                <w:b w:val="0"/>
              </w:rPr>
              <w:t>Box</w:t>
            </w:r>
            <w:r w:rsidR="00F62402">
              <w:rPr>
                <w:b w:val="0"/>
              </w:rPr>
              <w:t xml:space="preserve"> </w:t>
            </w:r>
            <w:r w:rsidR="00971B30">
              <w:rPr>
                <w:b w:val="0"/>
              </w:rPr>
              <w:t>1</w:t>
            </w:r>
            <w:r w:rsidR="0057053B">
              <w:rPr>
                <w:b w:val="0"/>
              </w:rPr>
              <w:t>6</w:t>
            </w:r>
            <w:r>
              <w:tab/>
              <w:t>Results</w:t>
            </w:r>
          </w:p>
        </w:tc>
      </w:tr>
      <w:tr w:rsidR="00680847" w:rsidRPr="00680847" w14:paraId="2A2E385D" w14:textId="77777777" w:rsidTr="008F5A63">
        <w:trPr>
          <w:cantSplit/>
        </w:trPr>
        <w:tc>
          <w:tcPr>
            <w:tcW w:w="8789" w:type="dxa"/>
            <w:tcBorders>
              <w:top w:val="nil"/>
              <w:left w:val="nil"/>
              <w:bottom w:val="nil"/>
              <w:right w:val="nil"/>
            </w:tcBorders>
            <w:shd w:val="clear" w:color="auto" w:fill="F2F2F2"/>
          </w:tcPr>
          <w:p w14:paraId="0197A6EC" w14:textId="1425F597" w:rsidR="0057053B" w:rsidRDefault="00680847" w:rsidP="00657D43">
            <w:pPr>
              <w:pStyle w:val="Box"/>
            </w:pPr>
            <w:r w:rsidRPr="00680847">
              <w:t xml:space="preserve">For this report, new </w:t>
            </w:r>
            <w:r w:rsidR="00E87D23">
              <w:t xml:space="preserve">data </w:t>
            </w:r>
            <w:r w:rsidRPr="00680847">
              <w:t xml:space="preserve">are available for </w:t>
            </w:r>
            <w:r w:rsidR="009924DC" w:rsidRPr="00680847">
              <w:t>201</w:t>
            </w:r>
            <w:r w:rsidR="009924DC">
              <w:t>8</w:t>
            </w:r>
            <w:r w:rsidR="00DA2AF1">
              <w:t xml:space="preserve"> </w:t>
            </w:r>
            <w:r w:rsidR="0057053B">
              <w:t>(</w:t>
            </w:r>
            <w:r w:rsidR="00E87D23">
              <w:t xml:space="preserve">and </w:t>
            </w:r>
            <w:r w:rsidR="00DA2AF1">
              <w:t>revised data are available for 2006 to 2017</w:t>
            </w:r>
            <w:r w:rsidR="0057053B">
              <w:t>)</w:t>
            </w:r>
            <w:r w:rsidRPr="00680847">
              <w:t xml:space="preserve">. </w:t>
            </w:r>
          </w:p>
          <w:p w14:paraId="601B0047" w14:textId="0A46E112" w:rsidR="00657D43" w:rsidRDefault="00DA2AF1" w:rsidP="00657D43">
            <w:pPr>
              <w:pStyle w:val="Box"/>
            </w:pPr>
            <w:r>
              <w:t>N</w:t>
            </w:r>
            <w:r w:rsidR="00680847" w:rsidRPr="00680847">
              <w:t xml:space="preserve">ew </w:t>
            </w:r>
            <w:r w:rsidR="0057053B">
              <w:t xml:space="preserve">five </w:t>
            </w:r>
            <w:r w:rsidR="00680847" w:rsidRPr="00680847">
              <w:t xml:space="preserve">year </w:t>
            </w:r>
            <w:r w:rsidR="0057053B">
              <w:t xml:space="preserve">aggregate </w:t>
            </w:r>
            <w:r w:rsidR="00680847" w:rsidRPr="00680847">
              <w:t xml:space="preserve">data </w:t>
            </w:r>
            <w:r>
              <w:t>are available</w:t>
            </w:r>
            <w:r w:rsidRPr="00680847">
              <w:t xml:space="preserve"> </w:t>
            </w:r>
            <w:r w:rsidR="00680847" w:rsidRPr="00680847">
              <w:t>for</w:t>
            </w:r>
            <w:r w:rsidR="009924DC">
              <w:t xml:space="preserve"> 2014–2018</w:t>
            </w:r>
            <w:r w:rsidR="0048444D">
              <w:t xml:space="preserve">. </w:t>
            </w:r>
          </w:p>
          <w:p w14:paraId="06E68FC5" w14:textId="3DDB2063" w:rsidR="00680847" w:rsidRPr="0048444D" w:rsidRDefault="00F1707A" w:rsidP="00680847">
            <w:pPr>
              <w:pStyle w:val="BoxListBullet"/>
            </w:pPr>
            <w:r>
              <w:t>Aboriginal and Torres Strait Islander</w:t>
            </w:r>
            <w:r w:rsidR="00680847" w:rsidRPr="0048444D">
              <w:t xml:space="preserve"> mortality rates and proportions (crude) by State and Territory are presented in tables NIRA.2.1</w:t>
            </w:r>
            <w:r w:rsidR="008E3756" w:rsidRPr="0048444D">
              <w:t>–2.</w:t>
            </w:r>
            <w:r w:rsidR="00794590">
              <w:t>2</w:t>
            </w:r>
          </w:p>
          <w:p w14:paraId="5626223A" w14:textId="1A7644CB" w:rsidR="00680847" w:rsidRPr="0048444D" w:rsidRDefault="00F1707A" w:rsidP="00680847">
            <w:pPr>
              <w:pStyle w:val="BoxListBullet"/>
            </w:pPr>
            <w:r>
              <w:t xml:space="preserve">Aboriginal and Torres Strait Islander </w:t>
            </w:r>
            <w:r w:rsidR="00680847" w:rsidRPr="0048444D">
              <w:t>mortality rates and proportion (crude) by sex are presented in tables</w:t>
            </w:r>
            <w:r w:rsidR="00C77CA4" w:rsidRPr="0048444D">
              <w:t> </w:t>
            </w:r>
            <w:r w:rsidR="00657D43" w:rsidRPr="0048444D">
              <w:t>NIRA.2.</w:t>
            </w:r>
            <w:r w:rsidR="00794590">
              <w:t>3</w:t>
            </w:r>
            <w:r w:rsidR="00680847" w:rsidRPr="0048444D">
              <w:t>–</w:t>
            </w:r>
            <w:r w:rsidR="008E3756" w:rsidRPr="0048444D">
              <w:t>2.</w:t>
            </w:r>
            <w:r w:rsidR="00794590">
              <w:t>4</w:t>
            </w:r>
            <w:r w:rsidR="00680847" w:rsidRPr="0048444D">
              <w:t>.</w:t>
            </w:r>
          </w:p>
          <w:p w14:paraId="4D7E10D5" w14:textId="4CC9E466" w:rsidR="00680847" w:rsidRPr="00AC128F" w:rsidRDefault="003917D1" w:rsidP="00E206A7">
            <w:pPr>
              <w:pStyle w:val="BoxListBullet"/>
            </w:pPr>
            <w:r>
              <w:t>M</w:t>
            </w:r>
            <w:r w:rsidR="00680847" w:rsidRPr="00AC128F">
              <w:t>ortality rates (age standardised) by State and Territory are presented in table</w:t>
            </w:r>
            <w:r w:rsidR="00C77CA4" w:rsidRPr="00AC128F">
              <w:t> </w:t>
            </w:r>
            <w:r w:rsidR="00680847" w:rsidRPr="00AC128F">
              <w:t>NIRA.2.</w:t>
            </w:r>
            <w:r w:rsidR="00AD72DA">
              <w:t>18</w:t>
            </w:r>
          </w:p>
          <w:p w14:paraId="7858A540" w14:textId="14572BDC" w:rsidR="00680847" w:rsidRPr="00AC128F" w:rsidRDefault="003917D1" w:rsidP="00680847">
            <w:pPr>
              <w:pStyle w:val="BoxListBullet"/>
            </w:pPr>
            <w:r>
              <w:t>M</w:t>
            </w:r>
            <w:r w:rsidR="00680847" w:rsidRPr="00AC128F">
              <w:t>ortality rates (age standardised) by State and Territory, by sex are presented in table NIRA.2.</w:t>
            </w:r>
            <w:r w:rsidR="00AD72DA">
              <w:t>19</w:t>
            </w:r>
            <w:r w:rsidR="00E87D23">
              <w:t>.</w:t>
            </w:r>
          </w:p>
          <w:p w14:paraId="68FC17E9" w14:textId="21C8DC4A" w:rsidR="00BD59E4" w:rsidRPr="00680847" w:rsidRDefault="0057053B" w:rsidP="00EB1279">
            <w:pPr>
              <w:pStyle w:val="Box"/>
            </w:pPr>
            <w:r>
              <w:t>S</w:t>
            </w:r>
            <w:r w:rsidRPr="0048444D">
              <w:t xml:space="preserve">ingle year mortality rates (age standardised) by State and Territory </w:t>
            </w:r>
            <w:r>
              <w:t xml:space="preserve">for 2018 </w:t>
            </w:r>
            <w:r w:rsidRPr="0048444D">
              <w:t xml:space="preserve">are presented </w:t>
            </w:r>
            <w:r w:rsidRPr="00AC128F">
              <w:t>in table NIRA.2.</w:t>
            </w:r>
            <w:r>
              <w:t>5. Revised data for years 2006 to 2017 are available in tables NIRA.</w:t>
            </w:r>
            <w:r w:rsidR="00E23DEB">
              <w:t>2.6</w:t>
            </w:r>
            <w:r>
              <w:t>–</w:t>
            </w:r>
            <w:r w:rsidR="00E23DEB">
              <w:t>2.</w:t>
            </w:r>
            <w:r>
              <w:t>17 and NIRA</w:t>
            </w:r>
            <w:r w:rsidR="00E87D23">
              <w:t>.2.20–2.21.</w:t>
            </w:r>
            <w:r>
              <w:t xml:space="preserve"> </w:t>
            </w:r>
            <w:r w:rsidR="00971B30" w:rsidRPr="00971B30">
              <w:t>Revised rates for single year data f</w:t>
            </w:r>
            <w:r w:rsidR="00971B30">
              <w:t xml:space="preserve">rom 2006 to 2017 </w:t>
            </w:r>
            <w:r w:rsidR="00971B30" w:rsidRPr="00971B30">
              <w:t>are provided to maintain a comparable time series</w:t>
            </w:r>
            <w:r w:rsidR="005906C2">
              <w:t>.</w:t>
            </w:r>
          </w:p>
        </w:tc>
      </w:tr>
      <w:tr w:rsidR="00680847" w14:paraId="6E1F24EE" w14:textId="77777777" w:rsidTr="008F5A63">
        <w:trPr>
          <w:cantSplit/>
        </w:trPr>
        <w:tc>
          <w:tcPr>
            <w:tcW w:w="8789" w:type="dxa"/>
            <w:tcBorders>
              <w:top w:val="nil"/>
              <w:left w:val="nil"/>
              <w:bottom w:val="single" w:sz="6" w:space="0" w:color="78A22F"/>
              <w:right w:val="nil"/>
            </w:tcBorders>
            <w:shd w:val="clear" w:color="auto" w:fill="F2F2F2"/>
          </w:tcPr>
          <w:p w14:paraId="4A34FEC8" w14:textId="77777777" w:rsidR="00680847" w:rsidRDefault="00680847">
            <w:pPr>
              <w:pStyle w:val="Box"/>
              <w:spacing w:before="0" w:line="120" w:lineRule="exact"/>
            </w:pPr>
          </w:p>
        </w:tc>
      </w:tr>
      <w:tr w:rsidR="00680847" w:rsidRPr="000863A5" w14:paraId="04BE3571" w14:textId="77777777" w:rsidTr="008F5A63">
        <w:tc>
          <w:tcPr>
            <w:tcW w:w="8789" w:type="dxa"/>
            <w:tcBorders>
              <w:top w:val="single" w:sz="6" w:space="0" w:color="78A22F"/>
              <w:left w:val="nil"/>
              <w:bottom w:val="nil"/>
              <w:right w:val="nil"/>
            </w:tcBorders>
          </w:tcPr>
          <w:p w14:paraId="3BD8BC57" w14:textId="77777777" w:rsidR="00680847" w:rsidRPr="00626D32" w:rsidRDefault="00680847" w:rsidP="00680847">
            <w:pPr>
              <w:pStyle w:val="BoxSpaceBelow"/>
            </w:pPr>
          </w:p>
        </w:tc>
      </w:tr>
    </w:tbl>
    <w:p w14:paraId="1014EFBE" w14:textId="77777777" w:rsidR="00680847" w:rsidRDefault="00680847">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680847" w14:paraId="7DC4490B" w14:textId="77777777" w:rsidTr="005A2220">
        <w:tc>
          <w:tcPr>
            <w:tcW w:w="8789" w:type="dxa"/>
            <w:tcBorders>
              <w:top w:val="single" w:sz="6" w:space="0" w:color="78A22F"/>
              <w:left w:val="nil"/>
              <w:bottom w:val="nil"/>
              <w:right w:val="nil"/>
            </w:tcBorders>
            <w:shd w:val="clear" w:color="auto" w:fill="F2F2F2"/>
          </w:tcPr>
          <w:p w14:paraId="0E3E0EA3" w14:textId="73B2CCDD" w:rsidR="00680847" w:rsidRDefault="00680847" w:rsidP="00E87D23">
            <w:pPr>
              <w:pStyle w:val="BoxTitle"/>
            </w:pPr>
            <w:r w:rsidRPr="00606B68">
              <w:rPr>
                <w:b w:val="0"/>
              </w:rPr>
              <w:t>Box</w:t>
            </w:r>
            <w:r w:rsidR="00B1719E" w:rsidRPr="003C599F">
              <w:rPr>
                <w:b w:val="0"/>
              </w:rPr>
              <w:t xml:space="preserve"> </w:t>
            </w:r>
            <w:r w:rsidR="00971B30" w:rsidRPr="003C599F">
              <w:rPr>
                <w:b w:val="0"/>
              </w:rPr>
              <w:t>1</w:t>
            </w:r>
            <w:r w:rsidR="00E87D23">
              <w:rPr>
                <w:b w:val="0"/>
              </w:rPr>
              <w:t>7</w:t>
            </w:r>
            <w:r w:rsidRPr="00606B68">
              <w:tab/>
              <w:t>Comment on data quality</w:t>
            </w:r>
          </w:p>
        </w:tc>
      </w:tr>
      <w:tr w:rsidR="00680847" w:rsidRPr="00680847" w14:paraId="36F79ACB" w14:textId="77777777" w:rsidTr="005A2220">
        <w:trPr>
          <w:cantSplit/>
        </w:trPr>
        <w:tc>
          <w:tcPr>
            <w:tcW w:w="8789" w:type="dxa"/>
            <w:tcBorders>
              <w:top w:val="nil"/>
              <w:left w:val="nil"/>
              <w:bottom w:val="nil"/>
              <w:right w:val="nil"/>
            </w:tcBorders>
            <w:shd w:val="clear" w:color="auto" w:fill="F2F2F2"/>
          </w:tcPr>
          <w:p w14:paraId="6E333649" w14:textId="494B2E8B" w:rsidR="00680847" w:rsidRPr="00F1640C" w:rsidRDefault="00680847" w:rsidP="00680847">
            <w:pPr>
              <w:pStyle w:val="Box"/>
              <w:keepLines/>
            </w:pPr>
            <w:r w:rsidRPr="00F1640C">
              <w:t>Key points on data quality for this indicator are summarised below.</w:t>
            </w:r>
          </w:p>
          <w:p w14:paraId="3DB68222" w14:textId="77777777" w:rsidR="00680847" w:rsidRPr="00F1640C" w:rsidRDefault="00680847" w:rsidP="00680847">
            <w:pPr>
              <w:pStyle w:val="BoxListBullet"/>
              <w:keepLines/>
            </w:pPr>
            <w:r w:rsidRPr="00F1640C">
              <w:t xml:space="preserve">The data provide relevant information on mortality by selected causes of death. Data by Indigenous status are reported for NSW, Queensland, WA, SA and </w:t>
            </w:r>
            <w:r w:rsidR="002C180B" w:rsidRPr="00F1640C">
              <w:t xml:space="preserve">the </w:t>
            </w:r>
            <w:r w:rsidRPr="00F1640C">
              <w:t xml:space="preserve">NT. Only these five jurisdictions have evidence of a sufficient level of </w:t>
            </w:r>
            <w:r w:rsidR="00F1707A">
              <w:t>Aboriginal and Torres Strait Islander</w:t>
            </w:r>
            <w:r w:rsidRPr="00F1640C">
              <w:t xml:space="preserve"> identification and </w:t>
            </w:r>
            <w:r w:rsidR="00F144E1" w:rsidRPr="00F1640C">
              <w:t xml:space="preserve">sufficient </w:t>
            </w:r>
            <w:r w:rsidRPr="00F1640C">
              <w:t xml:space="preserve">numbers of </w:t>
            </w:r>
            <w:r w:rsidR="009431D9">
              <w:t>Aboriginal and Torres Strait Islander</w:t>
            </w:r>
            <w:r w:rsidRPr="00F1640C">
              <w:t xml:space="preserve"> deaths to support mortality analysis, and do not have other significant data quality issues.</w:t>
            </w:r>
          </w:p>
          <w:p w14:paraId="1DAB36AF" w14:textId="5B02D0D1" w:rsidR="008C5BAE" w:rsidRDefault="00680847" w:rsidP="003770A0">
            <w:pPr>
              <w:pStyle w:val="BoxListBullet"/>
              <w:keepLines/>
            </w:pPr>
            <w:r w:rsidRPr="00F1640C">
              <w:t xml:space="preserve">Annual data are available. The most recent available data are for </w:t>
            </w:r>
            <w:r w:rsidR="00971B30" w:rsidRPr="00F1640C">
              <w:t>201</w:t>
            </w:r>
            <w:r w:rsidR="00971B30">
              <w:t>8</w:t>
            </w:r>
            <w:r w:rsidRPr="00F1640C">
              <w:t>.</w:t>
            </w:r>
            <w:r w:rsidR="006D3CB3">
              <w:t xml:space="preserve"> </w:t>
            </w:r>
          </w:p>
          <w:p w14:paraId="434CA795" w14:textId="7ADF5354" w:rsidR="00893C81" w:rsidRPr="00F1640C" w:rsidRDefault="00893C81" w:rsidP="00893C81">
            <w:pPr>
              <w:pStyle w:val="BoxListBullet"/>
            </w:pPr>
            <w:r w:rsidRPr="00893C81">
              <w:t>Rates for single year historic data</w:t>
            </w:r>
            <w:r>
              <w:t xml:space="preserve"> (from 2006 to 2017)</w:t>
            </w:r>
            <w:r w:rsidRPr="00893C81">
              <w:t xml:space="preserve"> have been revised </w:t>
            </w:r>
            <w:r w:rsidR="00760201">
              <w:t>to account for new Aboriginal and Torres Strait Islander population estimates and projections (base</w:t>
            </w:r>
            <w:r w:rsidR="00E23DEB">
              <w:t>d</w:t>
            </w:r>
            <w:r w:rsidR="00760201">
              <w:t xml:space="preserve"> on the 2016 Census) </w:t>
            </w:r>
            <w:r>
              <w:t>release</w:t>
            </w:r>
            <w:r w:rsidR="00E87D23">
              <w:t xml:space="preserve">d </w:t>
            </w:r>
            <w:r>
              <w:t>in July 2019.</w:t>
            </w:r>
          </w:p>
          <w:p w14:paraId="4C5D935E" w14:textId="7C7FD5C0" w:rsidR="00680847" w:rsidRPr="00F1640C" w:rsidRDefault="006D3CB3" w:rsidP="00680847">
            <w:pPr>
              <w:pStyle w:val="BoxListBullet"/>
              <w:keepLines/>
            </w:pPr>
            <w:r>
              <w:t>Single year c</w:t>
            </w:r>
            <w:r w:rsidR="009D1B6E" w:rsidRPr="00F1640C">
              <w:t>auses of death d</w:t>
            </w:r>
            <w:r w:rsidR="00723C57" w:rsidRPr="00F1640C">
              <w:t xml:space="preserve">ata for </w:t>
            </w:r>
            <w:r w:rsidR="00893C81" w:rsidRPr="00F1640C">
              <w:t>201</w:t>
            </w:r>
            <w:r w:rsidR="00893C81">
              <w:t xml:space="preserve">5 </w:t>
            </w:r>
            <w:r w:rsidR="00F11CC4">
              <w:t xml:space="preserve">and </w:t>
            </w:r>
            <w:r w:rsidR="00893C81">
              <w:t>2016</w:t>
            </w:r>
            <w:r w:rsidR="00893C81" w:rsidRPr="00F1640C">
              <w:t xml:space="preserve"> </w:t>
            </w:r>
            <w:r w:rsidR="00723C57" w:rsidRPr="00F1640C">
              <w:t xml:space="preserve">included in </w:t>
            </w:r>
            <w:r w:rsidR="00F11CC4">
              <w:t>earlier</w:t>
            </w:r>
            <w:r w:rsidR="00680847" w:rsidRPr="00F1640C">
              <w:t xml:space="preserve"> NIRA performance report</w:t>
            </w:r>
            <w:r w:rsidR="00F11CC4">
              <w:t>s</w:t>
            </w:r>
            <w:r w:rsidR="00680847" w:rsidRPr="00F1640C">
              <w:t xml:space="preserve"> have been revised</w:t>
            </w:r>
            <w:r w:rsidR="00A12233">
              <w:t xml:space="preserve"> </w:t>
            </w:r>
            <w:r w:rsidR="00EB1279">
              <w:t>(</w:t>
            </w:r>
            <w:r w:rsidR="00893C81">
              <w:t xml:space="preserve">2015 </w:t>
            </w:r>
            <w:r w:rsidR="00A12233">
              <w:t>as final</w:t>
            </w:r>
            <w:r w:rsidR="00EB1279">
              <w:t>)</w:t>
            </w:r>
            <w:r w:rsidR="00680847" w:rsidRPr="00F1640C">
              <w:t>, as coroner</w:t>
            </w:r>
            <w:r w:rsidR="00FA5150">
              <w:noBreakHyphen/>
            </w:r>
            <w:r w:rsidR="00680847" w:rsidRPr="00F1640C">
              <w:t xml:space="preserve">certified deaths for </w:t>
            </w:r>
            <w:r w:rsidR="00F11CC4" w:rsidRPr="00F1640C">
              <w:t>th</w:t>
            </w:r>
            <w:r w:rsidR="00F11CC4">
              <w:t>ese</w:t>
            </w:r>
            <w:r w:rsidR="00F11CC4" w:rsidRPr="00F1640C">
              <w:t xml:space="preserve"> </w:t>
            </w:r>
            <w:r w:rsidR="00337E5B" w:rsidRPr="00F1640C">
              <w:t>year</w:t>
            </w:r>
            <w:r w:rsidR="00F11CC4">
              <w:t>s</w:t>
            </w:r>
            <w:r w:rsidR="00337E5B" w:rsidRPr="00F1640C">
              <w:t xml:space="preserve"> ha</w:t>
            </w:r>
            <w:r w:rsidR="00F95FD1">
              <w:t>ve</w:t>
            </w:r>
            <w:r w:rsidR="00680847" w:rsidRPr="00F1640C">
              <w:t xml:space="preserve"> been updated.</w:t>
            </w:r>
            <w:r w:rsidR="00337E5B" w:rsidRPr="00F1640C">
              <w:t xml:space="preserve"> </w:t>
            </w:r>
          </w:p>
          <w:p w14:paraId="3CEB550A" w14:textId="77777777" w:rsidR="00680847" w:rsidRPr="00F1640C" w:rsidRDefault="00F1707A" w:rsidP="00680847">
            <w:pPr>
              <w:pStyle w:val="BoxListBullet"/>
              <w:keepLines/>
            </w:pPr>
            <w:r>
              <w:t>Aboriginal and Torres Strait Islander</w:t>
            </w:r>
            <w:r w:rsidR="00680847" w:rsidRPr="00F1640C">
              <w:t xml:space="preserve"> mortality rates should be used with caution (although the data are considered comparable across jurisdictions and over time):</w:t>
            </w:r>
          </w:p>
          <w:p w14:paraId="2B2A3CF2" w14:textId="4F5D6B49" w:rsidR="00680847" w:rsidRPr="00F1640C" w:rsidRDefault="00680847" w:rsidP="00680847">
            <w:pPr>
              <w:pStyle w:val="BoxListBullet2"/>
              <w:keepLines/>
            </w:pPr>
            <w:r w:rsidRPr="00F1640C">
              <w:t xml:space="preserve">although most deaths of </w:t>
            </w:r>
            <w:r w:rsidR="00F1707A">
              <w:t xml:space="preserve">Aboriginal and Torres Strait Islander </w:t>
            </w:r>
            <w:r w:rsidRPr="00F1640C">
              <w:t xml:space="preserve">people are registered, it is likely that some are not accurately identified and the </w:t>
            </w:r>
            <w:r w:rsidR="00F1707A">
              <w:t xml:space="preserve">Aboriginal and Torres Strait Islander </w:t>
            </w:r>
            <w:r w:rsidRPr="00F1640C">
              <w:t>mortality rate may be underestimated</w:t>
            </w:r>
            <w:r w:rsidR="00794590">
              <w:t>.</w:t>
            </w:r>
          </w:p>
          <w:p w14:paraId="0E70E15D" w14:textId="65FE0260" w:rsidR="001F73CA" w:rsidRPr="00F1640C" w:rsidRDefault="00680847" w:rsidP="001F73CA">
            <w:pPr>
              <w:pStyle w:val="BoxListBullet2"/>
              <w:keepLines/>
            </w:pPr>
            <w:r w:rsidRPr="00F1640C">
              <w:t>non</w:t>
            </w:r>
            <w:r w:rsidR="00FA5150">
              <w:noBreakHyphen/>
            </w:r>
            <w:r w:rsidRPr="00F1640C">
              <w:t xml:space="preserve">Indigenous population estimates are available for Census years only. In the intervening years, population estimates are only available for the total population and the </w:t>
            </w:r>
            <w:r w:rsidR="00F1707A">
              <w:t>Aboriginal and Torres Strait Islander</w:t>
            </w:r>
            <w:r w:rsidRPr="00F1640C">
              <w:t xml:space="preserve"> population, with non</w:t>
            </w:r>
            <w:r w:rsidR="00FA5150">
              <w:noBreakHyphen/>
            </w:r>
            <w:r w:rsidRPr="00F1640C">
              <w:t xml:space="preserve">Indigenous population estimates derived by subtracting the </w:t>
            </w:r>
            <w:r w:rsidR="00E206A7">
              <w:t xml:space="preserve">estimated or </w:t>
            </w:r>
            <w:r w:rsidRPr="00F1640C">
              <w:t xml:space="preserve">projected </w:t>
            </w:r>
            <w:r w:rsidR="00F1707A">
              <w:t xml:space="preserve">Aboriginal and Torres Strait Islander </w:t>
            </w:r>
            <w:r w:rsidRPr="00F1640C">
              <w:t>population from the total population. For this report</w:t>
            </w:r>
            <w:r w:rsidR="001F73CA" w:rsidRPr="00F1640C">
              <w:t xml:space="preserve"> </w:t>
            </w:r>
            <w:r w:rsidRPr="00F1640C">
              <w:t>the non</w:t>
            </w:r>
            <w:r w:rsidR="00FA5150">
              <w:noBreakHyphen/>
            </w:r>
            <w:r w:rsidRPr="00F1640C">
              <w:t>Indigenous population denominator</w:t>
            </w:r>
            <w:r w:rsidR="00893C81">
              <w:t>s</w:t>
            </w:r>
            <w:r w:rsidRPr="00F1640C">
              <w:t xml:space="preserve"> </w:t>
            </w:r>
            <w:r w:rsidR="00893C81" w:rsidRPr="00F1640C">
              <w:t>ha</w:t>
            </w:r>
            <w:r w:rsidR="00893C81">
              <w:t>ve</w:t>
            </w:r>
            <w:r w:rsidR="00893C81" w:rsidRPr="00F1640C">
              <w:t xml:space="preserve"> </w:t>
            </w:r>
            <w:r w:rsidRPr="00F1640C">
              <w:t>been ca</w:t>
            </w:r>
            <w:r w:rsidR="001F73CA" w:rsidRPr="00F1640C">
              <w:t xml:space="preserve">lculated by subtracting the </w:t>
            </w:r>
            <w:r w:rsidR="00893C81" w:rsidRPr="00F1640C">
              <w:t>201</w:t>
            </w:r>
            <w:r w:rsidR="00893C81">
              <w:t>6</w:t>
            </w:r>
            <w:r w:rsidR="00893C81" w:rsidRPr="00F1640C">
              <w:t xml:space="preserve"> </w:t>
            </w:r>
            <w:r w:rsidRPr="00F1640C">
              <w:t>Census</w:t>
            </w:r>
            <w:r w:rsidR="00FA5150">
              <w:noBreakHyphen/>
            </w:r>
            <w:r w:rsidRPr="00F1640C">
              <w:t xml:space="preserve">based </w:t>
            </w:r>
            <w:r w:rsidR="00F1707A">
              <w:t xml:space="preserve">Aboriginal and Torres Strait Islander </w:t>
            </w:r>
            <w:r w:rsidR="00893C81">
              <w:t>estimates and p</w:t>
            </w:r>
            <w:r w:rsidR="00893C81" w:rsidRPr="00F1640C">
              <w:t xml:space="preserve">rojections </w:t>
            </w:r>
            <w:r w:rsidR="001F73CA" w:rsidRPr="00F1640C">
              <w:t xml:space="preserve">from the </w:t>
            </w:r>
            <w:r w:rsidR="00E87D23">
              <w:t>total</w:t>
            </w:r>
            <w:r w:rsidRPr="00F1640C">
              <w:t xml:space="preserve"> Estimated Resident Population</w:t>
            </w:r>
            <w:r w:rsidR="001F73CA" w:rsidRPr="00F1640C">
              <w:t>.</w:t>
            </w:r>
            <w:r w:rsidRPr="00F1640C">
              <w:t xml:space="preserve"> Such figures have a degree of uncertainty and should be used with caution, particularly as the time from the base year of the</w:t>
            </w:r>
            <w:r w:rsidR="001F73CA" w:rsidRPr="00F1640C">
              <w:t xml:space="preserve"> projection series increases. </w:t>
            </w:r>
          </w:p>
          <w:p w14:paraId="1B827146" w14:textId="1CE96D99" w:rsidR="00680847" w:rsidRPr="00F1640C" w:rsidRDefault="00680847" w:rsidP="00680847">
            <w:pPr>
              <w:pStyle w:val="BoxListBullet"/>
              <w:keepLines/>
            </w:pPr>
            <w:r w:rsidRPr="00F1640C">
              <w:t>Detailed explanatory notes are publicly available to assist in the interpretation of results. Additional data from the data sources are available on</w:t>
            </w:r>
            <w:r w:rsidR="00FA5150">
              <w:noBreakHyphen/>
            </w:r>
            <w:r w:rsidRPr="00F1640C">
              <w:t>line, and on request.</w:t>
            </w:r>
          </w:p>
          <w:p w14:paraId="76403EA7" w14:textId="77777777" w:rsidR="00763368" w:rsidRPr="00F1640C" w:rsidRDefault="00763368" w:rsidP="00763368">
            <w:pPr>
              <w:pStyle w:val="Box"/>
              <w:keepLines/>
            </w:pPr>
            <w:r w:rsidRPr="00F1640C">
              <w:t>The Steering Committee also notes the following issues:</w:t>
            </w:r>
          </w:p>
          <w:p w14:paraId="4E8EA8B9" w14:textId="61F409B7" w:rsidR="005A2220" w:rsidRDefault="00763368" w:rsidP="005A2220">
            <w:pPr>
              <w:pStyle w:val="BoxListBullet"/>
              <w:keepLines/>
            </w:pPr>
            <w:r w:rsidRPr="00F1640C">
              <w:t>The NIRAPIMG has advised that single year data should only be used for time series analysis. Current period analysis should refer to the most recent aggregate years data</w:t>
            </w:r>
            <w:r w:rsidR="005A2220">
              <w:t>.</w:t>
            </w:r>
          </w:p>
          <w:p w14:paraId="5CFED328" w14:textId="1E77CE2C" w:rsidR="005A2220" w:rsidRPr="00F1640C" w:rsidRDefault="005A2220" w:rsidP="005A2220">
            <w:pPr>
              <w:pStyle w:val="BoxListBullet"/>
              <w:keepLines/>
            </w:pPr>
            <w:r w:rsidRPr="00F1640C">
              <w:t>Variability bands accompanying mortality data should be used for comparisons within a jurisdiction either at point in time or over time. They should not be used for comparisons across jurisdictions, as the variability bands (and underlying mortality rates) do not take into account differences in under</w:t>
            </w:r>
            <w:r w:rsidR="00FA5150">
              <w:noBreakHyphen/>
            </w:r>
            <w:r w:rsidRPr="00F1640C">
              <w:t xml:space="preserve">identification of </w:t>
            </w:r>
            <w:r>
              <w:t xml:space="preserve">Aboriginal and Torres Strait Islander </w:t>
            </w:r>
            <w:r w:rsidRPr="00F1640C">
              <w:t>Australians in de</w:t>
            </w:r>
            <w:r>
              <w:t>aths data across jurisdictions.</w:t>
            </w:r>
          </w:p>
        </w:tc>
      </w:tr>
      <w:tr w:rsidR="005A2220" w14:paraId="56070444" w14:textId="77777777" w:rsidTr="005A2220">
        <w:tc>
          <w:tcPr>
            <w:tcW w:w="8789" w:type="dxa"/>
            <w:tcBorders>
              <w:top w:val="nil"/>
              <w:left w:val="nil"/>
              <w:bottom w:val="nil"/>
              <w:right w:val="nil"/>
            </w:tcBorders>
            <w:shd w:val="clear" w:color="auto" w:fill="F2F2F2"/>
          </w:tcPr>
          <w:p w14:paraId="47EFCFE3" w14:textId="77777777" w:rsidR="005A2220" w:rsidRDefault="005A2220" w:rsidP="000D6945">
            <w:pPr>
              <w:pStyle w:val="Continued"/>
            </w:pPr>
            <w:bookmarkStart w:id="17" w:name="_Ref375126254"/>
            <w:r w:rsidRPr="00315070">
              <w:t>(</w:t>
            </w:r>
            <w:r w:rsidRPr="00DB0CCE">
              <w:t>continued</w:t>
            </w:r>
            <w:r w:rsidRPr="00315070">
              <w:t xml:space="preserve"> next page)</w:t>
            </w:r>
          </w:p>
        </w:tc>
      </w:tr>
      <w:tr w:rsidR="005A2220" w14:paraId="147DC025" w14:textId="77777777" w:rsidTr="005A2220">
        <w:tc>
          <w:tcPr>
            <w:tcW w:w="8789" w:type="dxa"/>
            <w:tcBorders>
              <w:top w:val="nil"/>
              <w:left w:val="nil"/>
              <w:bottom w:val="single" w:sz="6" w:space="0" w:color="78A22F"/>
              <w:right w:val="nil"/>
            </w:tcBorders>
            <w:shd w:val="clear" w:color="auto" w:fill="F2F2F2"/>
          </w:tcPr>
          <w:p w14:paraId="663B8582" w14:textId="77777777" w:rsidR="005A2220" w:rsidRDefault="005A2220" w:rsidP="000D6945">
            <w:pPr>
              <w:pStyle w:val="Box"/>
              <w:keepNext w:val="0"/>
              <w:spacing w:before="0" w:line="120" w:lineRule="exact"/>
            </w:pPr>
          </w:p>
        </w:tc>
      </w:tr>
    </w:tbl>
    <w:p w14:paraId="3740FED8" w14:textId="77777777" w:rsidR="005A2220" w:rsidRDefault="005A2220" w:rsidP="005A222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A2220" w14:paraId="0E1EC880" w14:textId="77777777" w:rsidTr="000D6945">
        <w:tc>
          <w:tcPr>
            <w:tcW w:w="5000" w:type="pct"/>
            <w:tcBorders>
              <w:top w:val="single" w:sz="6" w:space="0" w:color="78A22F"/>
              <w:left w:val="nil"/>
              <w:bottom w:val="nil"/>
              <w:right w:val="nil"/>
            </w:tcBorders>
            <w:shd w:val="clear" w:color="auto" w:fill="F2F2F2"/>
          </w:tcPr>
          <w:p w14:paraId="537D6F2C" w14:textId="6A25AAA3" w:rsidR="005A2220" w:rsidRDefault="005A2220" w:rsidP="005069E3">
            <w:pPr>
              <w:pStyle w:val="BoxTitle"/>
            </w:pPr>
            <w:r>
              <w:rPr>
                <w:b w:val="0"/>
              </w:rPr>
              <w:t xml:space="preserve">Box </w:t>
            </w:r>
            <w:r w:rsidR="00CD100F">
              <w:rPr>
                <w:b w:val="0"/>
              </w:rPr>
              <w:t>1</w:t>
            </w:r>
            <w:r w:rsidR="005069E3">
              <w:rPr>
                <w:b w:val="0"/>
              </w:rPr>
              <w:t>7</w:t>
            </w:r>
            <w:r>
              <w:tab/>
            </w:r>
            <w:r w:rsidRPr="00EA0D57">
              <w:rPr>
                <w:rStyle w:val="Continuedintitle"/>
              </w:rPr>
              <w:t>(continued</w:t>
            </w:r>
            <w:r>
              <w:rPr>
                <w:rStyle w:val="Continuedintitle"/>
              </w:rPr>
              <w:t>)</w:t>
            </w:r>
          </w:p>
        </w:tc>
      </w:tr>
      <w:tr w:rsidR="005A2220" w14:paraId="61098FE0" w14:textId="77777777" w:rsidTr="000D6945">
        <w:tc>
          <w:tcPr>
            <w:tcW w:w="5000" w:type="pct"/>
            <w:tcBorders>
              <w:top w:val="nil"/>
              <w:left w:val="nil"/>
              <w:bottom w:val="nil"/>
              <w:right w:val="nil"/>
            </w:tcBorders>
            <w:shd w:val="clear" w:color="auto" w:fill="F2F2F2"/>
          </w:tcPr>
          <w:p w14:paraId="0339AB00" w14:textId="00C6BB8C" w:rsidR="00E87D23" w:rsidRDefault="00E87D23" w:rsidP="00E87D23">
            <w:pPr>
              <w:pStyle w:val="BoxListBullet"/>
            </w:pPr>
            <w:r>
              <w:t>Aboriginal and Torres Strait Islander population backcast estimates are based on assumptions. Uncertainty of the estimates increases as the time from the Census</w:t>
            </w:r>
            <w:r w:rsidR="001A2FAE">
              <w:t xml:space="preserve"> </w:t>
            </w:r>
            <w:r>
              <w:t xml:space="preserve">base year increases. </w:t>
            </w:r>
          </w:p>
          <w:p w14:paraId="7FA0FD57" w14:textId="47AAC51E" w:rsidR="00E87D23" w:rsidRDefault="00E87D23" w:rsidP="00E87D23">
            <w:pPr>
              <w:pStyle w:val="BoxListBullet"/>
            </w:pPr>
            <w:r>
              <w:t>Given the uncertainty of population estimates, coupled with the potential mismatch between the numerator (deaths) and denominator (populations) due to different identification rates, comparisons of mortality rates over long time periods should be undertaken with caution (eg rates for 2006 compared with rates for 2016 and later years).</w:t>
            </w:r>
            <w:r w:rsidR="001A03C8">
              <w:t xml:space="preserve"> </w:t>
            </w:r>
          </w:p>
          <w:p w14:paraId="1D730813" w14:textId="244B6B0C" w:rsidR="005A2220" w:rsidRDefault="005A2220" w:rsidP="00E23DEB">
            <w:pPr>
              <w:pStyle w:val="BoxListBullet"/>
              <w:keepLines/>
            </w:pPr>
            <w:r w:rsidRPr="00F1640C">
              <w:t>Mortality rates by Indigenous status</w:t>
            </w:r>
            <w:r w:rsidR="00E87D23">
              <w:t>, disaggregated by</w:t>
            </w:r>
            <w:r w:rsidRPr="00F1640C">
              <w:t xml:space="preserve"> remoteness</w:t>
            </w:r>
            <w:r w:rsidR="00E87D23">
              <w:t>,</w:t>
            </w:r>
            <w:r w:rsidRPr="00F1640C">
              <w:t xml:space="preserve"> are not available for this cycle of reporting. The ABS has advised that further analysis is required to determine what data adjustments may be required for performance reporting purposes. While the ABS has published some unadjusted data in </w:t>
            </w:r>
            <w:r w:rsidRPr="00EA4095">
              <w:rPr>
                <w:i/>
              </w:rPr>
              <w:t>Deaths</w:t>
            </w:r>
            <w:r w:rsidR="00FE7AE3">
              <w:rPr>
                <w:i/>
              </w:rPr>
              <w:t>,</w:t>
            </w:r>
            <w:r w:rsidRPr="00EA4095">
              <w:rPr>
                <w:i/>
              </w:rPr>
              <w:t xml:space="preserve"> Australia</w:t>
            </w:r>
            <w:r w:rsidRPr="00F1640C">
              <w:t xml:space="preserve"> (Cat. no. 3302.0), these data should be used with caution, as the under</w:t>
            </w:r>
            <w:r w:rsidR="00FA5150">
              <w:noBreakHyphen/>
            </w:r>
            <w:r w:rsidRPr="00F1640C">
              <w:t>identification of Indigenous status in deaths registrations increases as remoteness decreases.</w:t>
            </w:r>
          </w:p>
        </w:tc>
      </w:tr>
      <w:tr w:rsidR="005A2220" w14:paraId="517D57E8" w14:textId="77777777" w:rsidTr="000D6945">
        <w:tc>
          <w:tcPr>
            <w:tcW w:w="5000" w:type="pct"/>
            <w:tcBorders>
              <w:top w:val="nil"/>
              <w:left w:val="nil"/>
              <w:bottom w:val="single" w:sz="6" w:space="0" w:color="78A22F"/>
              <w:right w:val="nil"/>
            </w:tcBorders>
            <w:shd w:val="clear" w:color="auto" w:fill="F2F2F2"/>
          </w:tcPr>
          <w:p w14:paraId="46E16F73" w14:textId="77777777" w:rsidR="005A2220" w:rsidRDefault="005A2220" w:rsidP="000D6945">
            <w:pPr>
              <w:pStyle w:val="Box"/>
              <w:spacing w:before="0" w:line="120" w:lineRule="exact"/>
            </w:pPr>
          </w:p>
        </w:tc>
      </w:tr>
      <w:tr w:rsidR="005A2220" w:rsidRPr="000863A5" w14:paraId="7C14194F" w14:textId="77777777" w:rsidTr="000D6945">
        <w:tc>
          <w:tcPr>
            <w:tcW w:w="5000" w:type="pct"/>
            <w:tcBorders>
              <w:top w:val="single" w:sz="6" w:space="0" w:color="78A22F"/>
              <w:left w:val="nil"/>
              <w:bottom w:val="nil"/>
              <w:right w:val="nil"/>
            </w:tcBorders>
          </w:tcPr>
          <w:p w14:paraId="50A243E9" w14:textId="77777777" w:rsidR="005A2220" w:rsidRPr="00626D32" w:rsidRDefault="005A2220" w:rsidP="000D6945">
            <w:pPr>
              <w:pStyle w:val="BoxSpaceBelow"/>
            </w:pPr>
          </w:p>
        </w:tc>
      </w:tr>
    </w:tbl>
    <w:p w14:paraId="2A1BD979" w14:textId="77777777" w:rsidR="005A2220" w:rsidRDefault="005A2220" w:rsidP="005A2220">
      <w:pPr>
        <w:pStyle w:val="BodyText"/>
      </w:pPr>
    </w:p>
    <w:p w14:paraId="7759B7DF" w14:textId="77777777" w:rsidR="005A2220" w:rsidRDefault="005A2220" w:rsidP="005A2220">
      <w:pPr>
        <w:pStyle w:val="BodyText"/>
      </w:pPr>
    </w:p>
    <w:p w14:paraId="027EA628" w14:textId="77777777" w:rsidR="005A2220" w:rsidRDefault="005A2220" w:rsidP="005A2220">
      <w:pPr>
        <w:pStyle w:val="BodyText"/>
      </w:pPr>
      <w:r>
        <w:br w:type="page"/>
      </w:r>
    </w:p>
    <w:p w14:paraId="35CC4BC9" w14:textId="239411E1" w:rsidR="00680847" w:rsidRDefault="00680847" w:rsidP="001A52CA">
      <w:pPr>
        <w:pStyle w:val="Heading3"/>
        <w:keepLines/>
      </w:pPr>
      <w:r w:rsidRPr="00921D4D">
        <w:lastRenderedPageBreak/>
        <w:t xml:space="preserve">Indicator 3: </w:t>
      </w:r>
      <w:r>
        <w:t>Rates of current daily smokers</w:t>
      </w:r>
      <w:bookmarkEnd w:id="17"/>
    </w:p>
    <w:p w14:paraId="798440EC" w14:textId="77777777" w:rsidR="00BD5DEA" w:rsidRPr="00BD5DEA" w:rsidRDefault="00BD5DEA" w:rsidP="00BD5DEA">
      <w:pPr>
        <w:keepNext/>
      </w:pPr>
    </w:p>
    <w:tbl>
      <w:tblPr>
        <w:tblW w:w="0" w:type="auto"/>
        <w:tblCellMar>
          <w:right w:w="0" w:type="dxa"/>
        </w:tblCellMar>
        <w:tblLook w:val="0000" w:firstRow="0" w:lastRow="0" w:firstColumn="0" w:lastColumn="0" w:noHBand="0" w:noVBand="0"/>
      </w:tblPr>
      <w:tblGrid>
        <w:gridCol w:w="2080"/>
        <w:gridCol w:w="6709"/>
      </w:tblGrid>
      <w:tr w:rsidR="00680847" w:rsidRPr="00D87AA9" w14:paraId="218BA300" w14:textId="77777777" w:rsidTr="008F5A63">
        <w:trPr>
          <w:trHeight w:val="747"/>
        </w:trPr>
        <w:tc>
          <w:tcPr>
            <w:tcW w:w="2080" w:type="dxa"/>
          </w:tcPr>
          <w:p w14:paraId="61BB94F2" w14:textId="2B8BA63F" w:rsidR="00680847" w:rsidRPr="008E3756" w:rsidRDefault="00680847" w:rsidP="00870410">
            <w:pPr>
              <w:pStyle w:val="TableBodyNA"/>
            </w:pPr>
            <w:r w:rsidRPr="00B82DC5">
              <w:t>Key amendments fr</w:t>
            </w:r>
            <w:r w:rsidR="008E3756">
              <w:t>om previous cycle of reporting:</w:t>
            </w:r>
          </w:p>
        </w:tc>
        <w:tc>
          <w:tcPr>
            <w:tcW w:w="6709" w:type="dxa"/>
          </w:tcPr>
          <w:p w14:paraId="6ACEFB4D" w14:textId="42CB4D92" w:rsidR="00680847" w:rsidRPr="00E33DC4" w:rsidRDefault="005275BD" w:rsidP="00870410">
            <w:pPr>
              <w:pStyle w:val="TableBodyNA"/>
            </w:pPr>
            <w:r>
              <w:t>Pooled data from the National Health Survey and Survey of income and Housing was used to derive the non</w:t>
            </w:r>
            <w:r w:rsidR="00FA5150">
              <w:noBreakHyphen/>
            </w:r>
            <w:r>
              <w:t>Indigenous comparator for 2017</w:t>
            </w:r>
            <w:r w:rsidR="00FA5150">
              <w:noBreakHyphen/>
            </w:r>
            <w:r>
              <w:t>18</w:t>
            </w:r>
          </w:p>
        </w:tc>
      </w:tr>
      <w:tr w:rsidR="00680847" w:rsidRPr="00D87AA9" w14:paraId="085AE26B" w14:textId="77777777" w:rsidTr="008F5A63">
        <w:tc>
          <w:tcPr>
            <w:tcW w:w="2080" w:type="dxa"/>
          </w:tcPr>
          <w:p w14:paraId="04F8EB61" w14:textId="77777777" w:rsidR="00680847" w:rsidRPr="00D87AA9" w:rsidRDefault="00680847" w:rsidP="00870410">
            <w:pPr>
              <w:pStyle w:val="TableBodyNA"/>
            </w:pPr>
            <w:r w:rsidRPr="00D87AA9">
              <w:t>Target:</w:t>
            </w:r>
          </w:p>
        </w:tc>
        <w:tc>
          <w:tcPr>
            <w:tcW w:w="6709" w:type="dxa"/>
          </w:tcPr>
          <w:p w14:paraId="00B3AF5B" w14:textId="659367B0" w:rsidR="00680847" w:rsidRPr="00E33DC4" w:rsidRDefault="00680847" w:rsidP="00870410">
            <w:pPr>
              <w:pStyle w:val="TableBodyNA"/>
            </w:pPr>
            <w:r w:rsidRPr="00E33DC4">
              <w:t>Closing the life expectancy gap within a generation (by 2031)</w:t>
            </w:r>
          </w:p>
        </w:tc>
      </w:tr>
      <w:tr w:rsidR="00680847" w:rsidRPr="00D87AA9" w14:paraId="54022DE7" w14:textId="77777777" w:rsidTr="008F5A63">
        <w:tc>
          <w:tcPr>
            <w:tcW w:w="2080" w:type="dxa"/>
          </w:tcPr>
          <w:p w14:paraId="21ACEABB" w14:textId="77777777" w:rsidR="00680847" w:rsidRPr="00D87AA9" w:rsidRDefault="00680847" w:rsidP="00870410">
            <w:pPr>
              <w:pStyle w:val="TableBodyNA"/>
            </w:pPr>
            <w:r w:rsidRPr="00D87AA9">
              <w:t>Measure:</w:t>
            </w:r>
          </w:p>
        </w:tc>
        <w:tc>
          <w:tcPr>
            <w:tcW w:w="6709" w:type="dxa"/>
          </w:tcPr>
          <w:p w14:paraId="36B94C2A" w14:textId="3BAC49AB" w:rsidR="00680847" w:rsidRPr="00E33DC4" w:rsidRDefault="00680847" w:rsidP="00870410">
            <w:pPr>
              <w:pStyle w:val="TableBodyNA"/>
            </w:pPr>
            <w:r w:rsidRPr="00E33DC4">
              <w:t>Proportion of adults who are current daily</w:t>
            </w:r>
            <w:r w:rsidR="002F2485">
              <w:t xml:space="preserve"> smokers, by Indigenous status.</w:t>
            </w:r>
          </w:p>
          <w:p w14:paraId="7DABA8B5" w14:textId="77777777" w:rsidR="00680847" w:rsidRPr="00E33DC4" w:rsidRDefault="00680847" w:rsidP="00870410">
            <w:pPr>
              <w:pStyle w:val="TableBodyNA"/>
            </w:pPr>
            <w:r w:rsidRPr="00E33DC4">
              <w:t>The measure is defined as:</w:t>
            </w:r>
          </w:p>
          <w:p w14:paraId="3D741ED1" w14:textId="77777777" w:rsidR="00680847" w:rsidRPr="00E33DC4" w:rsidRDefault="00680847" w:rsidP="001A52CA">
            <w:pPr>
              <w:pStyle w:val="TableBullet"/>
              <w:rPr>
                <w:szCs w:val="24"/>
              </w:rPr>
            </w:pPr>
            <w:r w:rsidRPr="0078783D">
              <w:rPr>
                <w:i/>
              </w:rPr>
              <w:t>Numerator</w:t>
            </w:r>
            <w:r w:rsidRPr="00E33DC4">
              <w:t xml:space="preserve"> — people aged 18 years or over who smoke tobacco every day</w:t>
            </w:r>
          </w:p>
          <w:p w14:paraId="2ACF0388" w14:textId="77777777" w:rsidR="00680847" w:rsidRPr="00E33DC4" w:rsidRDefault="00680847" w:rsidP="001A52CA">
            <w:pPr>
              <w:pStyle w:val="TableBullet"/>
              <w:rPr>
                <w:szCs w:val="24"/>
              </w:rPr>
            </w:pPr>
            <w:r w:rsidRPr="0078783D">
              <w:rPr>
                <w:i/>
              </w:rPr>
              <w:t>Denominator</w:t>
            </w:r>
            <w:r w:rsidRPr="00E33DC4">
              <w:t xml:space="preserve"> — total population of people aged 18 years and over</w:t>
            </w:r>
          </w:p>
          <w:p w14:paraId="0F809C8B" w14:textId="3AE186FA" w:rsidR="00680847" w:rsidRPr="002F2485" w:rsidRDefault="00680847" w:rsidP="00870410">
            <w:pPr>
              <w:pStyle w:val="TableBodyNA"/>
              <w:rPr>
                <w:i/>
              </w:rPr>
            </w:pPr>
            <w:r w:rsidRPr="00E33DC4">
              <w:t xml:space="preserve">presented as a </w:t>
            </w:r>
            <w:r w:rsidRPr="00E33DC4">
              <w:rPr>
                <w:i/>
              </w:rPr>
              <w:t>rate per 100 persons (per cent).</w:t>
            </w:r>
          </w:p>
        </w:tc>
      </w:tr>
      <w:tr w:rsidR="00680847" w:rsidRPr="00D87AA9" w14:paraId="25109F0E" w14:textId="77777777" w:rsidTr="008F5A63">
        <w:tc>
          <w:tcPr>
            <w:tcW w:w="2080" w:type="dxa"/>
          </w:tcPr>
          <w:p w14:paraId="72A7D39A" w14:textId="77777777" w:rsidR="00680847" w:rsidRPr="00D87AA9" w:rsidRDefault="00680847" w:rsidP="00870410">
            <w:pPr>
              <w:pStyle w:val="TableBodyNA"/>
            </w:pPr>
            <w:r w:rsidRPr="00D87AA9">
              <w:t>Data source:</w:t>
            </w:r>
          </w:p>
        </w:tc>
        <w:tc>
          <w:tcPr>
            <w:tcW w:w="6709" w:type="dxa"/>
          </w:tcPr>
          <w:p w14:paraId="2B6DAF3C" w14:textId="77777777" w:rsidR="00680847" w:rsidRPr="00E33DC4" w:rsidRDefault="00680847" w:rsidP="00870410">
            <w:pPr>
              <w:pStyle w:val="TableBodyNA"/>
            </w:pPr>
            <w:r w:rsidRPr="00E33DC4">
              <w:rPr>
                <w:i/>
              </w:rPr>
              <w:t>Numerator and denominator</w:t>
            </w:r>
            <w:r w:rsidRPr="00E33DC4">
              <w:t xml:space="preserve"> — </w:t>
            </w:r>
          </w:p>
          <w:p w14:paraId="29E8670A" w14:textId="1C72FE4F" w:rsidR="00680847" w:rsidRPr="00E33DC4" w:rsidRDefault="00680847" w:rsidP="00870410">
            <w:pPr>
              <w:pStyle w:val="TableBodyNA"/>
            </w:pPr>
            <w:r w:rsidRPr="0078783D">
              <w:t>(</w:t>
            </w:r>
            <w:r w:rsidR="00BA08B4">
              <w:t>Aboriginal and Torres Strait Islander</w:t>
            </w:r>
            <w:r w:rsidRPr="0078783D">
              <w:t>)</w:t>
            </w:r>
            <w:r w:rsidR="001F1684">
              <w:t xml:space="preserve"> ABS National Aboriginal and Torres Strait Islander Health Survey (NATSIHS)</w:t>
            </w:r>
            <w:r w:rsidR="005275BD">
              <w:rPr>
                <w:rStyle w:val="FootnoteReference"/>
              </w:rPr>
              <w:footnoteReference w:id="5"/>
            </w:r>
            <w:r w:rsidR="001F1684">
              <w:t xml:space="preserve"> and ABS</w:t>
            </w:r>
            <w:r w:rsidR="008D039F">
              <w:t xml:space="preserve"> </w:t>
            </w:r>
            <w:r w:rsidRPr="00E33DC4">
              <w:rPr>
                <w:u w:val="single"/>
              </w:rPr>
              <w:t>National Aboriginal and Torres Strait Islander Social Survey</w:t>
            </w:r>
            <w:r w:rsidRPr="00E33DC4">
              <w:t xml:space="preserve"> (NATSISS). Data are collected on an alternating three</w:t>
            </w:r>
            <w:r w:rsidR="00FA5150">
              <w:noBreakHyphen/>
            </w:r>
            <w:r w:rsidRPr="00E33DC4">
              <w:t>yearly cycle.</w:t>
            </w:r>
          </w:p>
          <w:p w14:paraId="6573C31A" w14:textId="54FE6362" w:rsidR="00680847" w:rsidRPr="00E33DC4" w:rsidRDefault="00680847" w:rsidP="00870410">
            <w:pPr>
              <w:pStyle w:val="TableBodyNA"/>
            </w:pPr>
            <w:r w:rsidRPr="0078783D">
              <w:t>(</w:t>
            </w:r>
            <w:r w:rsidR="00F4543D">
              <w:t>N</w:t>
            </w:r>
            <w:r w:rsidRPr="0078783D">
              <w:t>on</w:t>
            </w:r>
            <w:r w:rsidR="00FA5150">
              <w:noBreakHyphen/>
            </w:r>
            <w:r w:rsidRPr="0078783D">
              <w:t>Indigenous)</w:t>
            </w:r>
            <w:r w:rsidRPr="00E33DC4">
              <w:rPr>
                <w:i/>
              </w:rPr>
              <w:t xml:space="preserve"> </w:t>
            </w:r>
            <w:r w:rsidR="00F82323">
              <w:t xml:space="preserve">ABS </w:t>
            </w:r>
            <w:r w:rsidR="00D33F15" w:rsidRPr="008822BF">
              <w:rPr>
                <w:rFonts w:cs="Arial"/>
                <w:color w:val="333333"/>
                <w:u w:val="single"/>
                <w:shd w:val="clear" w:color="auto" w:fill="FFFFFF"/>
              </w:rPr>
              <w:t>National Health Survey</w:t>
            </w:r>
            <w:r w:rsidR="00D33F15">
              <w:rPr>
                <w:rFonts w:cs="Arial"/>
                <w:color w:val="333333"/>
                <w:shd w:val="clear" w:color="auto" w:fill="FFFFFF"/>
              </w:rPr>
              <w:t xml:space="preserve"> (NHS) and </w:t>
            </w:r>
            <w:r w:rsidR="00D33F15" w:rsidRPr="008822BF">
              <w:rPr>
                <w:rFonts w:cs="Arial"/>
                <w:color w:val="333333"/>
                <w:u w:val="single"/>
                <w:shd w:val="clear" w:color="auto" w:fill="FFFFFF"/>
              </w:rPr>
              <w:t xml:space="preserve">Survey of Income and Housing </w:t>
            </w:r>
            <w:r w:rsidR="00D33F15">
              <w:rPr>
                <w:rFonts w:cs="Arial"/>
                <w:color w:val="333333"/>
                <w:shd w:val="clear" w:color="auto" w:fill="FFFFFF"/>
              </w:rPr>
              <w:t>(SIH) pooled data set (NHIH)</w:t>
            </w:r>
            <w:r w:rsidRPr="00E33DC4">
              <w:t>. Data are collected every three years.</w:t>
            </w:r>
          </w:p>
        </w:tc>
      </w:tr>
      <w:tr w:rsidR="00680847" w:rsidRPr="00D87AA9" w14:paraId="5C78CD77" w14:textId="77777777" w:rsidTr="008F5A63">
        <w:trPr>
          <w:trHeight w:val="341"/>
        </w:trPr>
        <w:tc>
          <w:tcPr>
            <w:tcW w:w="2080" w:type="dxa"/>
          </w:tcPr>
          <w:p w14:paraId="09B29110" w14:textId="03BF9886" w:rsidR="00680847" w:rsidRPr="00D87AA9" w:rsidRDefault="00680847" w:rsidP="00870410">
            <w:pPr>
              <w:pStyle w:val="TableBodyNA"/>
            </w:pPr>
            <w:r w:rsidRPr="00D87AA9">
              <w:t>Data provider:</w:t>
            </w:r>
          </w:p>
        </w:tc>
        <w:tc>
          <w:tcPr>
            <w:tcW w:w="6709" w:type="dxa"/>
          </w:tcPr>
          <w:p w14:paraId="50F4DAC0" w14:textId="26AFA934" w:rsidR="00680847" w:rsidRPr="00E33DC4" w:rsidRDefault="00680847" w:rsidP="00870410">
            <w:pPr>
              <w:pStyle w:val="TableBodyNA"/>
            </w:pPr>
            <w:r w:rsidRPr="00E33DC4">
              <w:t>ABS</w:t>
            </w:r>
          </w:p>
        </w:tc>
      </w:tr>
      <w:tr w:rsidR="00680847" w:rsidRPr="00D87AA9" w14:paraId="70CA81F1" w14:textId="77777777" w:rsidTr="008F5A63">
        <w:tc>
          <w:tcPr>
            <w:tcW w:w="2080" w:type="dxa"/>
            <w:shd w:val="clear" w:color="auto" w:fill="auto"/>
          </w:tcPr>
          <w:p w14:paraId="216F46A4" w14:textId="77777777" w:rsidR="00680847" w:rsidRPr="00D87AA9" w:rsidRDefault="00680847" w:rsidP="00870410">
            <w:pPr>
              <w:pStyle w:val="TableBodyNA"/>
            </w:pPr>
            <w:r w:rsidRPr="00D87AA9">
              <w:t>Data availability:</w:t>
            </w:r>
          </w:p>
        </w:tc>
        <w:tc>
          <w:tcPr>
            <w:tcW w:w="6709" w:type="dxa"/>
            <w:shd w:val="clear" w:color="auto" w:fill="auto"/>
          </w:tcPr>
          <w:p w14:paraId="44D38EE7" w14:textId="71056635" w:rsidR="00F82323" w:rsidRDefault="00F82323" w:rsidP="00870410">
            <w:pPr>
              <w:pStyle w:val="TableBodyNA"/>
            </w:pPr>
            <w:r>
              <w:t>2018</w:t>
            </w:r>
            <w:r w:rsidR="00FA5150">
              <w:noBreakHyphen/>
            </w:r>
            <w:r>
              <w:t>19 (Aboriginal and Torres Strait Islander data) — NATSIHS</w:t>
            </w:r>
          </w:p>
          <w:p w14:paraId="751CE6AD" w14:textId="7D06BA3F" w:rsidR="00680847" w:rsidRPr="00E33DC4" w:rsidRDefault="00F82323" w:rsidP="00870410">
            <w:pPr>
              <w:pStyle w:val="TableBodyNA"/>
            </w:pPr>
            <w:r>
              <w:t>2017</w:t>
            </w:r>
            <w:r w:rsidR="00FA5150">
              <w:noBreakHyphen/>
            </w:r>
            <w:r>
              <w:t>18 (non</w:t>
            </w:r>
            <w:r w:rsidR="00FA5150">
              <w:noBreakHyphen/>
            </w:r>
            <w:r>
              <w:t xml:space="preserve">Indigenous data) — </w:t>
            </w:r>
            <w:r w:rsidR="000E4DD3">
              <w:rPr>
                <w:rFonts w:cs="Arial"/>
                <w:color w:val="333333"/>
                <w:shd w:val="clear" w:color="auto" w:fill="FFFFFF"/>
              </w:rPr>
              <w:t>NHIH</w:t>
            </w:r>
            <w:r w:rsidR="000E4DD3">
              <w:t xml:space="preserve"> </w:t>
            </w:r>
          </w:p>
        </w:tc>
      </w:tr>
      <w:tr w:rsidR="00680847" w:rsidRPr="00D87AA9" w14:paraId="6F227088" w14:textId="77777777" w:rsidTr="008F5A63">
        <w:tc>
          <w:tcPr>
            <w:tcW w:w="2080" w:type="dxa"/>
            <w:shd w:val="clear" w:color="auto" w:fill="auto"/>
          </w:tcPr>
          <w:p w14:paraId="23E7E793" w14:textId="77777777" w:rsidR="00680847" w:rsidRPr="00D87AA9" w:rsidRDefault="00680847" w:rsidP="00870410">
            <w:pPr>
              <w:pStyle w:val="TableBodyNA"/>
            </w:pPr>
            <w:r w:rsidRPr="00D87AA9">
              <w:t>Cross tabulations provided:</w:t>
            </w:r>
          </w:p>
        </w:tc>
        <w:tc>
          <w:tcPr>
            <w:tcW w:w="6709" w:type="dxa"/>
            <w:shd w:val="clear" w:color="auto" w:fill="auto"/>
          </w:tcPr>
          <w:p w14:paraId="12ABB0F8" w14:textId="77777777" w:rsidR="00680847" w:rsidRDefault="00B970E0" w:rsidP="00870410">
            <w:pPr>
              <w:pStyle w:val="TableBodyNA"/>
            </w:pPr>
            <w:r>
              <w:t>State and Territory, by:</w:t>
            </w:r>
          </w:p>
          <w:p w14:paraId="5FB0E745" w14:textId="77777777" w:rsidR="00B970E0" w:rsidRDefault="00BA08B4" w:rsidP="00B970E0">
            <w:pPr>
              <w:pStyle w:val="TableBullet"/>
            </w:pPr>
            <w:r>
              <w:t xml:space="preserve">Aboriginal and Torres Strait Islander </w:t>
            </w:r>
            <w:r w:rsidR="00B970E0">
              <w:t>Australians (crude rates)</w:t>
            </w:r>
          </w:p>
          <w:p w14:paraId="20A51F5B" w14:textId="6EA5E545" w:rsidR="00B970E0" w:rsidRDefault="009431D9" w:rsidP="00B970E0">
            <w:pPr>
              <w:pStyle w:val="TableBullet"/>
            </w:pPr>
            <w:r>
              <w:t>Aboriginal and Torres Strait Islander</w:t>
            </w:r>
            <w:r w:rsidR="00B970E0">
              <w:t xml:space="preserve"> Australians by remoteness (crude rates) (based on </w:t>
            </w:r>
            <w:r w:rsidR="008C5A1A">
              <w:t xml:space="preserve">the </w:t>
            </w:r>
            <w:r w:rsidR="008C5A1A" w:rsidRPr="00925AB3">
              <w:t>Australian Statistical Geograph</w:t>
            </w:r>
            <w:r w:rsidR="008C5A1A">
              <w:t>y</w:t>
            </w:r>
            <w:r w:rsidR="008C5A1A" w:rsidRPr="00925AB3">
              <w:t xml:space="preserve"> Standard</w:t>
            </w:r>
            <w:r w:rsidR="008C5A1A">
              <w:t xml:space="preserve"> (</w:t>
            </w:r>
            <w:r w:rsidR="00B970E0">
              <w:t>ASGS</w:t>
            </w:r>
            <w:r w:rsidR="008C5A1A">
              <w:t>)</w:t>
            </w:r>
            <w:r w:rsidR="00B970E0">
              <w:t>)</w:t>
            </w:r>
          </w:p>
          <w:p w14:paraId="79B09F00" w14:textId="77777777" w:rsidR="00B970E0" w:rsidRDefault="00B970E0" w:rsidP="00B970E0">
            <w:pPr>
              <w:pStyle w:val="TableBullet"/>
            </w:pPr>
            <w:r>
              <w:t>Indigenous status (age standardised rates)</w:t>
            </w:r>
          </w:p>
          <w:p w14:paraId="07D0C501" w14:textId="22F7A62D" w:rsidR="00883366" w:rsidRPr="001A52CA" w:rsidRDefault="00B970E0" w:rsidP="00883366">
            <w:pPr>
              <w:pStyle w:val="TableBullet"/>
            </w:pPr>
            <w:r>
              <w:t>Indigenous status by remoteness (age standardised rates) (based on ASGS)</w:t>
            </w:r>
          </w:p>
        </w:tc>
      </w:tr>
    </w:tbl>
    <w:p w14:paraId="495068EA" w14:textId="77777777" w:rsidR="00F82323" w:rsidRDefault="00F82323" w:rsidP="00F8232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82323" w14:paraId="1FE721BA" w14:textId="77777777" w:rsidTr="00F82323">
        <w:tc>
          <w:tcPr>
            <w:tcW w:w="5000" w:type="pct"/>
            <w:tcBorders>
              <w:top w:val="single" w:sz="6" w:space="0" w:color="78A22F"/>
              <w:left w:val="nil"/>
              <w:bottom w:val="nil"/>
              <w:right w:val="nil"/>
            </w:tcBorders>
            <w:shd w:val="clear" w:color="auto" w:fill="F2F2F2"/>
          </w:tcPr>
          <w:p w14:paraId="2CD5C4AE" w14:textId="58150105" w:rsidR="00F82323" w:rsidRDefault="00F82323" w:rsidP="005069E3">
            <w:pPr>
              <w:pStyle w:val="BoxTitle"/>
            </w:pPr>
            <w:r w:rsidRPr="000A6D48">
              <w:rPr>
                <w:b w:val="0"/>
              </w:rPr>
              <w:t>Box</w:t>
            </w:r>
            <w:r w:rsidRPr="00801236">
              <w:rPr>
                <w:b w:val="0"/>
              </w:rPr>
              <w:t xml:space="preserve"> 1</w:t>
            </w:r>
            <w:r w:rsidR="005069E3">
              <w:rPr>
                <w:b w:val="0"/>
              </w:rPr>
              <w:t>8</w:t>
            </w:r>
            <w:r w:rsidRPr="00437C7F">
              <w:tab/>
            </w:r>
            <w:r>
              <w:t xml:space="preserve">Results </w:t>
            </w:r>
          </w:p>
        </w:tc>
      </w:tr>
      <w:tr w:rsidR="00F82323" w:rsidRPr="00680847" w14:paraId="677FA170" w14:textId="77777777" w:rsidTr="00F82323">
        <w:trPr>
          <w:cantSplit/>
        </w:trPr>
        <w:tc>
          <w:tcPr>
            <w:tcW w:w="5000" w:type="pct"/>
            <w:tcBorders>
              <w:top w:val="nil"/>
              <w:left w:val="nil"/>
              <w:bottom w:val="nil"/>
              <w:right w:val="nil"/>
            </w:tcBorders>
            <w:shd w:val="clear" w:color="auto" w:fill="F2F2F2"/>
          </w:tcPr>
          <w:p w14:paraId="0105A03C" w14:textId="0B7E487A" w:rsidR="00F82323" w:rsidRDefault="00F82323" w:rsidP="00DA7289">
            <w:pPr>
              <w:pStyle w:val="Box"/>
            </w:pPr>
            <w:r>
              <w:t>For this report new data are available for 2018</w:t>
            </w:r>
            <w:r w:rsidR="00FA5150">
              <w:noBreakHyphen/>
            </w:r>
            <w:r>
              <w:t>19 (Aboriginal and Torres Strait Islander data) and 2017</w:t>
            </w:r>
            <w:r w:rsidR="00FA5150">
              <w:noBreakHyphen/>
            </w:r>
            <w:r>
              <w:t>18 (non</w:t>
            </w:r>
            <w:r w:rsidR="00FA5150">
              <w:noBreakHyphen/>
            </w:r>
            <w:r>
              <w:t>Indigenous data).</w:t>
            </w:r>
            <w:r w:rsidR="00F750C7">
              <w:t xml:space="preserve"> </w:t>
            </w:r>
          </w:p>
          <w:p w14:paraId="4FE0D219" w14:textId="77777777" w:rsidR="00F82323" w:rsidRDefault="00F82323" w:rsidP="00DA7289">
            <w:pPr>
              <w:pStyle w:val="BoxListBullet"/>
            </w:pPr>
            <w:r>
              <w:t>Crude rates for Aboriginal and Torres Strait Islander persons, by State and Territory, are presented in table NIRA.3.1</w:t>
            </w:r>
          </w:p>
          <w:p w14:paraId="7EE8DAAD" w14:textId="77777777" w:rsidR="00F82323" w:rsidRDefault="00F82323" w:rsidP="00DA7289">
            <w:pPr>
              <w:pStyle w:val="BoxListBullet"/>
            </w:pPr>
            <w:r>
              <w:t>Crude rates for Aboriginal and Torres Strait Islander persons, by State and Territory, by remoteness are presented in table NIRA.3.2</w:t>
            </w:r>
          </w:p>
          <w:p w14:paraId="461A2319" w14:textId="77777777" w:rsidR="00F82323" w:rsidRDefault="00F82323" w:rsidP="00DA7289">
            <w:pPr>
              <w:pStyle w:val="BoxListBullet"/>
            </w:pPr>
            <w:r>
              <w:t>Age standardised rates, by Indigenous status, by State and Territory are presented in table NIRA.3.3</w:t>
            </w:r>
          </w:p>
          <w:p w14:paraId="710853B1" w14:textId="2E390422" w:rsidR="00F82323" w:rsidRPr="00680847" w:rsidRDefault="00F82323" w:rsidP="00E87D23">
            <w:pPr>
              <w:pStyle w:val="BoxListBullet"/>
            </w:pPr>
            <w:r>
              <w:t>Age standardised rates, by Indigenous status, by State and Territory, by remoteness are presented in table NIRA.3.4.</w:t>
            </w:r>
          </w:p>
        </w:tc>
      </w:tr>
      <w:tr w:rsidR="00E87D23" w14:paraId="725B6BCB" w14:textId="77777777" w:rsidTr="00E206A7">
        <w:tc>
          <w:tcPr>
            <w:tcW w:w="5000" w:type="pct"/>
            <w:tcBorders>
              <w:top w:val="nil"/>
              <w:left w:val="nil"/>
              <w:bottom w:val="nil"/>
              <w:right w:val="nil"/>
            </w:tcBorders>
            <w:shd w:val="clear" w:color="auto" w:fill="F2F2F2"/>
          </w:tcPr>
          <w:p w14:paraId="2A860430" w14:textId="1B00EDB5" w:rsidR="00E87D23" w:rsidRDefault="00E87D23" w:rsidP="00E206A7">
            <w:pPr>
              <w:pStyle w:val="Continued"/>
            </w:pPr>
            <w:r w:rsidRPr="00315070">
              <w:t xml:space="preserve"> (</w:t>
            </w:r>
            <w:r w:rsidRPr="00DB0CCE">
              <w:t>continued</w:t>
            </w:r>
            <w:r w:rsidRPr="00315070">
              <w:t xml:space="preserve"> next page)</w:t>
            </w:r>
          </w:p>
        </w:tc>
      </w:tr>
      <w:tr w:rsidR="00E87D23" w14:paraId="06185B34" w14:textId="77777777" w:rsidTr="00E206A7">
        <w:tc>
          <w:tcPr>
            <w:tcW w:w="5000" w:type="pct"/>
            <w:tcBorders>
              <w:top w:val="nil"/>
              <w:left w:val="nil"/>
              <w:bottom w:val="single" w:sz="6" w:space="0" w:color="78A22F"/>
              <w:right w:val="nil"/>
            </w:tcBorders>
            <w:shd w:val="clear" w:color="auto" w:fill="F2F2F2"/>
          </w:tcPr>
          <w:p w14:paraId="38433A17" w14:textId="77777777" w:rsidR="00E87D23" w:rsidRDefault="00E87D23" w:rsidP="00E206A7">
            <w:pPr>
              <w:pStyle w:val="Box"/>
              <w:keepNext w:val="0"/>
              <w:spacing w:before="0" w:line="120" w:lineRule="exact"/>
            </w:pPr>
          </w:p>
        </w:tc>
      </w:tr>
    </w:tbl>
    <w:p w14:paraId="6F6F7B02" w14:textId="77777777" w:rsidR="00E87D23" w:rsidRDefault="00E87D23" w:rsidP="00E87D2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87D23" w14:paraId="75879A8A" w14:textId="77777777" w:rsidTr="00E206A7">
        <w:tc>
          <w:tcPr>
            <w:tcW w:w="5000" w:type="pct"/>
            <w:tcBorders>
              <w:top w:val="single" w:sz="6" w:space="0" w:color="78A22F"/>
              <w:left w:val="nil"/>
              <w:bottom w:val="nil"/>
              <w:right w:val="nil"/>
            </w:tcBorders>
            <w:shd w:val="clear" w:color="auto" w:fill="F2F2F2"/>
          </w:tcPr>
          <w:p w14:paraId="22CEE082" w14:textId="36140E1A" w:rsidR="00E87D23" w:rsidRDefault="00E87D23" w:rsidP="005069E3">
            <w:pPr>
              <w:pStyle w:val="BoxTitle"/>
            </w:pPr>
            <w:r>
              <w:rPr>
                <w:b w:val="0"/>
              </w:rPr>
              <w:t xml:space="preserve">Box </w:t>
            </w:r>
            <w:r w:rsidR="005069E3">
              <w:rPr>
                <w:b w:val="0"/>
              </w:rPr>
              <w:t>18</w:t>
            </w:r>
            <w:r>
              <w:tab/>
            </w:r>
            <w:r w:rsidRPr="00EA0D57">
              <w:rPr>
                <w:rStyle w:val="Continuedintitle"/>
              </w:rPr>
              <w:t>(continued</w:t>
            </w:r>
            <w:r>
              <w:rPr>
                <w:rStyle w:val="Continuedintitle"/>
              </w:rPr>
              <w:t>)</w:t>
            </w:r>
          </w:p>
        </w:tc>
      </w:tr>
      <w:tr w:rsidR="00E87D23" w14:paraId="463207D3" w14:textId="77777777" w:rsidTr="00E206A7">
        <w:tc>
          <w:tcPr>
            <w:tcW w:w="5000" w:type="pct"/>
            <w:tcBorders>
              <w:top w:val="nil"/>
              <w:left w:val="nil"/>
              <w:bottom w:val="nil"/>
              <w:right w:val="nil"/>
            </w:tcBorders>
            <w:shd w:val="clear" w:color="auto" w:fill="F2F2F2"/>
          </w:tcPr>
          <w:p w14:paraId="20C5253B" w14:textId="45635B09" w:rsidR="00E87D23" w:rsidRDefault="00E87D23" w:rsidP="008822BF">
            <w:pPr>
              <w:pStyle w:val="Box"/>
            </w:pPr>
            <w:r>
              <w:t>Historical data from the 2014</w:t>
            </w:r>
            <w:r w:rsidR="00FA5150">
              <w:noBreakHyphen/>
            </w:r>
            <w:r>
              <w:t>15 NATSISS and the 2014</w:t>
            </w:r>
            <w:r w:rsidR="00FA5150">
              <w:noBreakHyphen/>
            </w:r>
            <w:r>
              <w:t>15 NHS were included in the 2015</w:t>
            </w:r>
            <w:r w:rsidR="00FA5150">
              <w:noBreakHyphen/>
            </w:r>
            <w:r>
              <w:t>16 NIRA performance report. Data from the 2012</w:t>
            </w:r>
            <w:r w:rsidR="00FA5150">
              <w:noBreakHyphen/>
            </w:r>
            <w:r>
              <w:t>13 Australian Aboriginal and Torres Strait Islander Health Survey (AATSIHS) and 2011</w:t>
            </w:r>
            <w:r w:rsidR="00FA5150">
              <w:noBreakHyphen/>
            </w:r>
            <w:r>
              <w:t>12 Australian Health Survey (AHS) were included in the 2013</w:t>
            </w:r>
            <w:r w:rsidR="00FA5150">
              <w:noBreakHyphen/>
            </w:r>
            <w:r>
              <w:t>14 NIRA performance report. Data from the 2008 NATSISS and 2007</w:t>
            </w:r>
            <w:r w:rsidR="00FA5150">
              <w:noBreakHyphen/>
            </w:r>
            <w:r>
              <w:t>08 NHS were included in the baseline 2008</w:t>
            </w:r>
            <w:r w:rsidR="00FA5150">
              <w:noBreakHyphen/>
            </w:r>
            <w:r>
              <w:t>09 NIRA performance report.</w:t>
            </w:r>
            <w:r w:rsidRPr="00680847">
              <w:t xml:space="preserve"> Additional data for 200</w:t>
            </w:r>
            <w:r>
              <w:t>8</w:t>
            </w:r>
            <w:r w:rsidRPr="00680847">
              <w:t xml:space="preserve"> disaggregated by r</w:t>
            </w:r>
            <w:r>
              <w:t xml:space="preserve">emoteness were presented in the </w:t>
            </w:r>
            <w:r w:rsidRPr="00680847">
              <w:t>2012</w:t>
            </w:r>
            <w:r w:rsidR="00FA5150">
              <w:noBreakHyphen/>
            </w:r>
            <w:r w:rsidRPr="00680847">
              <w:t xml:space="preserve">13 NIRA </w:t>
            </w:r>
            <w:r>
              <w:t xml:space="preserve">performance </w:t>
            </w:r>
            <w:r w:rsidRPr="00680847">
              <w:t>report.</w:t>
            </w:r>
          </w:p>
        </w:tc>
      </w:tr>
      <w:tr w:rsidR="00E87D23" w14:paraId="57A1206E" w14:textId="77777777" w:rsidTr="00E206A7">
        <w:tc>
          <w:tcPr>
            <w:tcW w:w="5000" w:type="pct"/>
            <w:tcBorders>
              <w:top w:val="nil"/>
              <w:left w:val="nil"/>
              <w:bottom w:val="single" w:sz="6" w:space="0" w:color="78A22F"/>
              <w:right w:val="nil"/>
            </w:tcBorders>
            <w:shd w:val="clear" w:color="auto" w:fill="F2F2F2"/>
          </w:tcPr>
          <w:p w14:paraId="0862F6C2" w14:textId="77777777" w:rsidR="00E87D23" w:rsidRDefault="00E87D23" w:rsidP="00E206A7">
            <w:pPr>
              <w:pStyle w:val="Box"/>
              <w:spacing w:before="0" w:line="120" w:lineRule="exact"/>
            </w:pPr>
          </w:p>
        </w:tc>
      </w:tr>
      <w:tr w:rsidR="00E87D23" w:rsidRPr="000863A5" w14:paraId="73037A97" w14:textId="77777777" w:rsidTr="00E206A7">
        <w:tc>
          <w:tcPr>
            <w:tcW w:w="5000" w:type="pct"/>
            <w:tcBorders>
              <w:top w:val="single" w:sz="6" w:space="0" w:color="78A22F"/>
              <w:left w:val="nil"/>
              <w:bottom w:val="nil"/>
              <w:right w:val="nil"/>
            </w:tcBorders>
          </w:tcPr>
          <w:p w14:paraId="5B65FF64" w14:textId="77777777" w:rsidR="00E87D23" w:rsidRPr="00626D32" w:rsidRDefault="00E87D23" w:rsidP="00E206A7">
            <w:pPr>
              <w:pStyle w:val="BoxSpaceBelow"/>
            </w:pPr>
          </w:p>
        </w:tc>
      </w:tr>
    </w:tbl>
    <w:p w14:paraId="73EBF6AB" w14:textId="77777777" w:rsidR="00E87D23" w:rsidRDefault="00E87D23" w:rsidP="00F82323">
      <w:pPr>
        <w:pStyle w:val="BodyT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F82323" w14:paraId="5A54B1C5" w14:textId="77777777" w:rsidTr="00F82323">
        <w:tc>
          <w:tcPr>
            <w:tcW w:w="5000" w:type="pct"/>
            <w:tcBorders>
              <w:top w:val="single" w:sz="6" w:space="0" w:color="78A22F"/>
              <w:left w:val="nil"/>
              <w:bottom w:val="nil"/>
              <w:right w:val="nil"/>
            </w:tcBorders>
            <w:shd w:val="clear" w:color="auto" w:fill="F2F2F2"/>
          </w:tcPr>
          <w:p w14:paraId="0B51C08E" w14:textId="04A33508" w:rsidR="00F82323" w:rsidRDefault="00F82323" w:rsidP="005069E3">
            <w:pPr>
              <w:pStyle w:val="BoxTitle"/>
            </w:pPr>
            <w:r w:rsidRPr="000A6D48">
              <w:rPr>
                <w:b w:val="0"/>
              </w:rPr>
              <w:t>Box</w:t>
            </w:r>
            <w:r w:rsidRPr="00801236">
              <w:rPr>
                <w:b w:val="0"/>
              </w:rPr>
              <w:t xml:space="preserve"> </w:t>
            </w:r>
            <w:r w:rsidR="005069E3">
              <w:rPr>
                <w:b w:val="0"/>
              </w:rPr>
              <w:t>19</w:t>
            </w:r>
            <w:r w:rsidRPr="00437C7F">
              <w:tab/>
            </w:r>
            <w:r>
              <w:t xml:space="preserve">Comment on data quality </w:t>
            </w:r>
          </w:p>
        </w:tc>
      </w:tr>
      <w:tr w:rsidR="00F82323" w:rsidRPr="00680847" w14:paraId="26A4C490" w14:textId="77777777" w:rsidTr="00F82323">
        <w:trPr>
          <w:cantSplit/>
        </w:trPr>
        <w:tc>
          <w:tcPr>
            <w:tcW w:w="5000" w:type="pct"/>
            <w:tcBorders>
              <w:top w:val="nil"/>
              <w:left w:val="nil"/>
              <w:bottom w:val="nil"/>
              <w:right w:val="nil"/>
            </w:tcBorders>
            <w:shd w:val="clear" w:color="auto" w:fill="F2F2F2"/>
          </w:tcPr>
          <w:p w14:paraId="7E34B684" w14:textId="6AC943BF" w:rsidR="00F82323" w:rsidRPr="00F1640C" w:rsidRDefault="00F82323" w:rsidP="00DA7289">
            <w:pPr>
              <w:pStyle w:val="Box"/>
              <w:keepLines/>
            </w:pPr>
            <w:r w:rsidRPr="00F1640C">
              <w:t>Key points on data quality for this indicator are summarised below.</w:t>
            </w:r>
          </w:p>
          <w:p w14:paraId="474AF1FE" w14:textId="77777777" w:rsidR="00F82323" w:rsidRPr="00CE5702" w:rsidRDefault="00F82323" w:rsidP="00DA7289">
            <w:pPr>
              <w:pStyle w:val="BoxListBullet"/>
            </w:pPr>
            <w:r w:rsidRPr="00CE5702">
              <w:t>The data provide relevant information on the proportion of adults who are current daily smokers, by Indigenous status. Data are available by State and Territory.</w:t>
            </w:r>
          </w:p>
          <w:p w14:paraId="704D913A" w14:textId="77777777" w:rsidR="00D33F15" w:rsidRPr="00CE5702" w:rsidRDefault="00F82323" w:rsidP="00DA7289">
            <w:pPr>
              <w:pStyle w:val="BoxListBullet"/>
            </w:pPr>
            <w:r w:rsidRPr="00CE5702">
              <w:t>Data for Aboriginal and Torres Strait Islander people are available from the NATSI</w:t>
            </w:r>
            <w:r w:rsidR="00126F14" w:rsidRPr="00CE5702">
              <w:t>H</w:t>
            </w:r>
            <w:r w:rsidRPr="00CE5702">
              <w:t>S</w:t>
            </w:r>
            <w:r w:rsidR="00D33F15" w:rsidRPr="00CE5702">
              <w:t>.</w:t>
            </w:r>
          </w:p>
          <w:p w14:paraId="730BE931" w14:textId="4EC599A9" w:rsidR="00D33F15" w:rsidRPr="00CE5702" w:rsidRDefault="00D33F15" w:rsidP="00D33F15">
            <w:pPr>
              <w:pStyle w:val="BoxListBullet"/>
            </w:pPr>
            <w:r w:rsidRPr="00CE5702">
              <w:t>Data for non</w:t>
            </w:r>
            <w:r w:rsidR="00FA5150">
              <w:noBreakHyphen/>
            </w:r>
            <w:r w:rsidRPr="00CE5702">
              <w:t xml:space="preserve">Indigenous people are from a pooled data set </w:t>
            </w:r>
            <w:r w:rsidR="000E4DD3" w:rsidRPr="00CE5702">
              <w:t xml:space="preserve">— the </w:t>
            </w:r>
            <w:r w:rsidRPr="00CE5702">
              <w:t>NHIH. For the 2017</w:t>
            </w:r>
            <w:r w:rsidR="00FA5150">
              <w:noBreakHyphen/>
            </w:r>
            <w:r w:rsidRPr="00CE5702">
              <w:t>18 NHS cycle, the smoking questionnaire module was used in both the NHS and the 2017</w:t>
            </w:r>
            <w:r w:rsidR="00FA5150">
              <w:noBreakHyphen/>
            </w:r>
            <w:r w:rsidRPr="00CE5702">
              <w:t xml:space="preserve">18 SIH to produce a larger sample size for more accurate smoker status estimates. </w:t>
            </w:r>
          </w:p>
          <w:p w14:paraId="2ADF04E1" w14:textId="0CD72C6B" w:rsidR="00F82323" w:rsidRPr="00CE5702" w:rsidRDefault="00F82323" w:rsidP="00DA7289">
            <w:pPr>
              <w:pStyle w:val="BoxListBullet"/>
            </w:pPr>
            <w:r w:rsidRPr="00CE5702">
              <w:t>The NATSI</w:t>
            </w:r>
            <w:r w:rsidR="00126F14" w:rsidRPr="00CE5702">
              <w:t>H</w:t>
            </w:r>
            <w:r w:rsidRPr="00CE5702">
              <w:t>S is conducted every six years and the most recent available data are for 201</w:t>
            </w:r>
            <w:r w:rsidR="00126F14" w:rsidRPr="00CE5702">
              <w:t>8</w:t>
            </w:r>
            <w:r w:rsidR="00FA5150">
              <w:noBreakHyphen/>
            </w:r>
            <w:r w:rsidRPr="00CE5702">
              <w:t>1</w:t>
            </w:r>
            <w:r w:rsidR="00126F14" w:rsidRPr="00CE5702">
              <w:t>9</w:t>
            </w:r>
            <w:r w:rsidRPr="00CE5702">
              <w:t>. The NHS is conducted every three years and the most recent available data are for 201</w:t>
            </w:r>
            <w:r w:rsidR="00126F14" w:rsidRPr="00CE5702">
              <w:t>7</w:t>
            </w:r>
            <w:r w:rsidR="00FA5150">
              <w:noBreakHyphen/>
            </w:r>
            <w:r w:rsidR="00126F14" w:rsidRPr="00CE5702">
              <w:t>18</w:t>
            </w:r>
            <w:r w:rsidRPr="00CE5702">
              <w:t xml:space="preserve">. </w:t>
            </w:r>
          </w:p>
          <w:p w14:paraId="61C8FABD" w14:textId="3191D57F" w:rsidR="00893AE2" w:rsidRPr="00170EF9" w:rsidRDefault="00893AE2" w:rsidP="00170EF9">
            <w:pPr>
              <w:pStyle w:val="BoxListBullet"/>
            </w:pPr>
            <w:r w:rsidRPr="00CE5702">
              <w:t>Non</w:t>
            </w:r>
            <w:r w:rsidR="00FA5150">
              <w:noBreakHyphen/>
            </w:r>
            <w:r w:rsidRPr="00CE5702">
              <w:t>Indigenous data from the NH</w:t>
            </w:r>
            <w:r w:rsidR="00B34A2E" w:rsidRPr="00CE5702">
              <w:t>IH</w:t>
            </w:r>
            <w:r w:rsidRPr="00CE5702">
              <w:t xml:space="preserve"> do not include people living in very remote areas, which affects the comparability of the NT results.</w:t>
            </w:r>
            <w:r w:rsidR="00170EF9">
              <w:t xml:space="preserve"> </w:t>
            </w:r>
            <w:r w:rsidR="00170EF9" w:rsidRPr="00662E2F">
              <w:t>Non</w:t>
            </w:r>
            <w:r w:rsidR="00F34E12">
              <w:noBreakHyphen/>
            </w:r>
            <w:r w:rsidR="00170EF9" w:rsidRPr="00662E2F">
              <w:t xml:space="preserve">Indigenous data for </w:t>
            </w:r>
            <w:r w:rsidR="004E22DD" w:rsidRPr="00662E2F">
              <w:t>o</w:t>
            </w:r>
            <w:r w:rsidR="00170EF9" w:rsidRPr="00662E2F">
              <w:t xml:space="preserve">uter regional and </w:t>
            </w:r>
            <w:r w:rsidR="004E22DD" w:rsidRPr="00662E2F">
              <w:t>r</w:t>
            </w:r>
            <w:r w:rsidR="00170EF9" w:rsidRPr="00662E2F">
              <w:t>emote areas, by State and Territory, ha</w:t>
            </w:r>
            <w:r w:rsidR="004E22DD" w:rsidRPr="00662E2F">
              <w:t>ve</w:t>
            </w:r>
            <w:r w:rsidR="00170EF9" w:rsidRPr="00662E2F">
              <w:t xml:space="preserve"> been combined as data quality is not sufficient to support separate reporting. They have been reported separately at the national level.</w:t>
            </w:r>
          </w:p>
          <w:p w14:paraId="2EA96123" w14:textId="7153A627" w:rsidR="00170EF9" w:rsidRPr="00CE5702" w:rsidRDefault="004E2AF6" w:rsidP="00034247">
            <w:pPr>
              <w:pStyle w:val="BoxListBullet"/>
            </w:pPr>
            <w:r w:rsidRPr="00662E2F">
              <w:t>For 2017</w:t>
            </w:r>
            <w:r w:rsidR="00F34E12">
              <w:noBreakHyphen/>
            </w:r>
            <w:r w:rsidRPr="00662E2F">
              <w:t>18 NHIH and 2018</w:t>
            </w:r>
            <w:r w:rsidR="00F34E12">
              <w:noBreakHyphen/>
            </w:r>
            <w:r w:rsidRPr="00662E2F">
              <w:t>19 NATSIHS, the ABS have advised that 95 per cent confidence intervals and RSEs for the aged standardised rates are not available and that users should refer to those for the associated crude rates.</w:t>
            </w:r>
          </w:p>
          <w:p w14:paraId="48CAE44F" w14:textId="2F60D6FA" w:rsidR="00F82323" w:rsidRPr="00CE5702" w:rsidRDefault="00F82323" w:rsidP="005A6EB0">
            <w:pPr>
              <w:pStyle w:val="BoxListBullet"/>
            </w:pPr>
            <w:r w:rsidRPr="00CE5702">
              <w:t xml:space="preserve">Data are of acceptable accuracy. Some </w:t>
            </w:r>
            <w:r w:rsidR="005A6EB0" w:rsidRPr="00CE5702">
              <w:t xml:space="preserve">proportions have a </w:t>
            </w:r>
            <w:r w:rsidR="00506C4C" w:rsidRPr="00CE5702">
              <w:t xml:space="preserve">large </w:t>
            </w:r>
            <w:r w:rsidR="005A6EB0" w:rsidRPr="00CE5702">
              <w:t>confidence interval and should be used with caution</w:t>
            </w:r>
            <w:r w:rsidRPr="00CE5702">
              <w:t>.</w:t>
            </w:r>
          </w:p>
          <w:p w14:paraId="2AA589DC" w14:textId="77777777" w:rsidR="00F82323" w:rsidRPr="00CE5702" w:rsidRDefault="00F82323" w:rsidP="00DA7289">
            <w:pPr>
              <w:pStyle w:val="BoxListBullet"/>
            </w:pPr>
            <w:r w:rsidRPr="00CE5702">
              <w:t>Detailed explanatory notes are publicly available to assist in the interpretation of results.</w:t>
            </w:r>
          </w:p>
          <w:p w14:paraId="2BA68AA0" w14:textId="60F2FEB9" w:rsidR="00F82323" w:rsidRPr="00CE5702" w:rsidRDefault="00F82323" w:rsidP="00DA7289">
            <w:pPr>
              <w:pStyle w:val="BoxListBullet"/>
            </w:pPr>
            <w:r w:rsidRPr="00CE5702">
              <w:t>Additional data from the data source are available on</w:t>
            </w:r>
            <w:r w:rsidR="00FA5150">
              <w:noBreakHyphen/>
            </w:r>
            <w:r w:rsidRPr="00CE5702">
              <w:t>line, and on request.</w:t>
            </w:r>
          </w:p>
          <w:p w14:paraId="2F20DD77" w14:textId="77777777" w:rsidR="00F82323" w:rsidRPr="00CE5702" w:rsidRDefault="00F82323" w:rsidP="00DA7289">
            <w:pPr>
              <w:pStyle w:val="Box"/>
            </w:pPr>
            <w:r w:rsidRPr="00CE5702">
              <w:t>The Steering Committee also notes the following issues:</w:t>
            </w:r>
          </w:p>
          <w:p w14:paraId="1ADCE0B2" w14:textId="5FDB5353" w:rsidR="00506C4C" w:rsidRPr="00506C4C" w:rsidRDefault="00506C4C" w:rsidP="00506C4C">
            <w:pPr>
              <w:pStyle w:val="BoxListBullet"/>
            </w:pPr>
            <w:r w:rsidRPr="00CE5702">
              <w:t>The size of some standard errors means that the survey data may not be adequate for measuring difference. Comparisons over time or across jurisdictions may be difficult to assess if the size of the standard errors is large compared to the difference between the estimates.</w:t>
            </w:r>
          </w:p>
        </w:tc>
      </w:tr>
      <w:tr w:rsidR="00F82323" w14:paraId="482064B0" w14:textId="77777777" w:rsidTr="00F82323">
        <w:trPr>
          <w:cantSplit/>
        </w:trPr>
        <w:tc>
          <w:tcPr>
            <w:tcW w:w="5000" w:type="pct"/>
            <w:tcBorders>
              <w:top w:val="nil"/>
              <w:left w:val="nil"/>
              <w:bottom w:val="single" w:sz="6" w:space="0" w:color="78A22F"/>
              <w:right w:val="nil"/>
            </w:tcBorders>
            <w:shd w:val="clear" w:color="auto" w:fill="F2F2F2"/>
          </w:tcPr>
          <w:p w14:paraId="1A158F1F" w14:textId="77777777" w:rsidR="00F82323" w:rsidRDefault="00F82323" w:rsidP="00DA7289">
            <w:pPr>
              <w:pStyle w:val="Box"/>
              <w:spacing w:before="0" w:line="120" w:lineRule="exact"/>
            </w:pPr>
          </w:p>
        </w:tc>
      </w:tr>
      <w:tr w:rsidR="00F82323" w:rsidRPr="000863A5" w14:paraId="73B54ADB" w14:textId="77777777" w:rsidTr="00F82323">
        <w:tc>
          <w:tcPr>
            <w:tcW w:w="5000" w:type="pct"/>
            <w:tcBorders>
              <w:top w:val="single" w:sz="6" w:space="0" w:color="78A22F"/>
              <w:left w:val="nil"/>
              <w:bottom w:val="nil"/>
              <w:right w:val="nil"/>
            </w:tcBorders>
          </w:tcPr>
          <w:p w14:paraId="1DC39845" w14:textId="77777777" w:rsidR="00F82323" w:rsidRPr="00626D32" w:rsidRDefault="00F82323" w:rsidP="00DA7289">
            <w:pPr>
              <w:pStyle w:val="BoxSpaceBelow"/>
            </w:pPr>
          </w:p>
        </w:tc>
      </w:tr>
    </w:tbl>
    <w:p w14:paraId="2D8E3AB3" w14:textId="77777777" w:rsidR="00680847" w:rsidRDefault="00680847" w:rsidP="00680847">
      <w:pPr>
        <w:pStyle w:val="BodyText"/>
        <w:rPr>
          <w:rFonts w:ascii="Arial" w:hAnsi="Arial"/>
          <w:sz w:val="20"/>
        </w:rPr>
      </w:pPr>
      <w:r>
        <w:br w:type="page"/>
      </w:r>
    </w:p>
    <w:p w14:paraId="446EA3BE" w14:textId="77777777" w:rsidR="00680847" w:rsidRPr="00921D4D" w:rsidRDefault="00680847" w:rsidP="00680847">
      <w:pPr>
        <w:pStyle w:val="Heading3"/>
        <w:keepLines/>
      </w:pPr>
      <w:bookmarkStart w:id="18" w:name="_Ref341361509"/>
      <w:r w:rsidRPr="00921D4D">
        <w:lastRenderedPageBreak/>
        <w:t xml:space="preserve">Indicator 4: </w:t>
      </w:r>
      <w:r>
        <w:t>Levels of risky alcohol consumption</w:t>
      </w:r>
      <w:bookmarkEnd w:id="18"/>
    </w:p>
    <w:p w14:paraId="638C8B22" w14:textId="77777777" w:rsidR="00680847" w:rsidRPr="00D87AA9" w:rsidRDefault="00680847" w:rsidP="00680847">
      <w:pPr>
        <w:pStyle w:val="BodyText"/>
        <w:keepNext/>
        <w:spacing w:before="0"/>
      </w:pPr>
    </w:p>
    <w:tbl>
      <w:tblPr>
        <w:tblW w:w="8789" w:type="dxa"/>
        <w:tblCellMar>
          <w:right w:w="0" w:type="dxa"/>
        </w:tblCellMar>
        <w:tblLook w:val="0000" w:firstRow="0" w:lastRow="0" w:firstColumn="0" w:lastColumn="0" w:noHBand="0" w:noVBand="0"/>
      </w:tblPr>
      <w:tblGrid>
        <w:gridCol w:w="2093"/>
        <w:gridCol w:w="6696"/>
      </w:tblGrid>
      <w:tr w:rsidR="00680847" w:rsidRPr="00D87AA9" w14:paraId="44571466" w14:textId="77777777" w:rsidTr="008F5A63">
        <w:tc>
          <w:tcPr>
            <w:tcW w:w="2093" w:type="dxa"/>
          </w:tcPr>
          <w:p w14:paraId="4084FC89" w14:textId="522AA1A5" w:rsidR="00680847" w:rsidRPr="00D87AA9" w:rsidRDefault="00680847" w:rsidP="00870410">
            <w:pPr>
              <w:pStyle w:val="TableBodyNA"/>
            </w:pPr>
            <w:r w:rsidRPr="00B82DC5">
              <w:t>Key amendments fr</w:t>
            </w:r>
            <w:r w:rsidR="002F2485">
              <w:t>om previous cycle of reporting:</w:t>
            </w:r>
          </w:p>
        </w:tc>
        <w:tc>
          <w:tcPr>
            <w:tcW w:w="6696" w:type="dxa"/>
          </w:tcPr>
          <w:p w14:paraId="48D8E85D" w14:textId="321BDD47" w:rsidR="00680847" w:rsidRPr="00D87AA9" w:rsidRDefault="00002DF0" w:rsidP="0048054E">
            <w:pPr>
              <w:pStyle w:val="TableBodyNA"/>
            </w:pPr>
            <w:r>
              <w:t>Revised data for a</w:t>
            </w:r>
            <w:r w:rsidRPr="00DA574B">
              <w:t xml:space="preserve">lcohol risk levels, by Indigenous status, </w:t>
            </w:r>
            <w:r>
              <w:t>have been provided for 2011–13 to address an error in earlier data provision.</w:t>
            </w:r>
          </w:p>
        </w:tc>
      </w:tr>
      <w:tr w:rsidR="00680847" w:rsidRPr="00D87AA9" w14:paraId="6CC0330C" w14:textId="77777777" w:rsidTr="008F5A63">
        <w:tc>
          <w:tcPr>
            <w:tcW w:w="2093" w:type="dxa"/>
          </w:tcPr>
          <w:p w14:paraId="5BB65403" w14:textId="77777777" w:rsidR="00680847" w:rsidRPr="00D87AA9" w:rsidRDefault="00680847" w:rsidP="00870410">
            <w:pPr>
              <w:pStyle w:val="TableBodyNA"/>
            </w:pPr>
            <w:r w:rsidRPr="00D87AA9">
              <w:t>Target:</w:t>
            </w:r>
          </w:p>
        </w:tc>
        <w:tc>
          <w:tcPr>
            <w:tcW w:w="6696" w:type="dxa"/>
          </w:tcPr>
          <w:p w14:paraId="328D2B3B" w14:textId="48880B76" w:rsidR="00680847" w:rsidRPr="00D87AA9" w:rsidRDefault="00680847" w:rsidP="00870410">
            <w:pPr>
              <w:pStyle w:val="TableBodyNA"/>
            </w:pPr>
            <w:r w:rsidRPr="00985F2A">
              <w:t>Closing the life expectancy gap within a generation (by 2031)</w:t>
            </w:r>
          </w:p>
        </w:tc>
      </w:tr>
      <w:tr w:rsidR="00680847" w:rsidRPr="00D87AA9" w14:paraId="5A43BD64" w14:textId="77777777" w:rsidTr="008F5A63">
        <w:tc>
          <w:tcPr>
            <w:tcW w:w="2093" w:type="dxa"/>
          </w:tcPr>
          <w:p w14:paraId="2473518A" w14:textId="77777777" w:rsidR="00680847" w:rsidRPr="00D87AA9" w:rsidRDefault="00680847" w:rsidP="00870410">
            <w:pPr>
              <w:pStyle w:val="TableBodyNA"/>
            </w:pPr>
            <w:r w:rsidRPr="00D87AA9">
              <w:t>Measure:</w:t>
            </w:r>
          </w:p>
        </w:tc>
        <w:tc>
          <w:tcPr>
            <w:tcW w:w="6696" w:type="dxa"/>
          </w:tcPr>
          <w:p w14:paraId="770BF079" w14:textId="77777777" w:rsidR="00680847" w:rsidRPr="00E33DC4" w:rsidRDefault="00680847" w:rsidP="00870410">
            <w:pPr>
              <w:pStyle w:val="TableBodyNA"/>
            </w:pPr>
            <w:r w:rsidRPr="00E33DC4">
              <w:t>Proportion of Australians who consume alcohol at risky/high risk levels, by Indigenous status.</w:t>
            </w:r>
          </w:p>
          <w:p w14:paraId="6C59E816" w14:textId="77777777" w:rsidR="00680847" w:rsidRPr="00E33DC4" w:rsidRDefault="00680847" w:rsidP="00870410">
            <w:pPr>
              <w:pStyle w:val="TableBodyNA"/>
            </w:pPr>
            <w:r w:rsidRPr="00E33DC4">
              <w:t>The measure is defined as:</w:t>
            </w:r>
          </w:p>
          <w:p w14:paraId="5029800A" w14:textId="060A063B" w:rsidR="00680847" w:rsidRPr="00E33DC4" w:rsidRDefault="00680847" w:rsidP="00680847">
            <w:pPr>
              <w:pStyle w:val="TableBullet"/>
              <w:rPr>
                <w:szCs w:val="24"/>
              </w:rPr>
            </w:pPr>
            <w:r w:rsidRPr="00E33DC4">
              <w:rPr>
                <w:i/>
              </w:rPr>
              <w:t>Numerator</w:t>
            </w:r>
            <w:r w:rsidRPr="00E33DC4">
              <w:t xml:space="preserve"> — people aged 18 years or over assessed as having risky or high</w:t>
            </w:r>
            <w:r w:rsidR="00FA5150">
              <w:noBreakHyphen/>
            </w:r>
            <w:r w:rsidRPr="00E33DC4">
              <w:t xml:space="preserve">risk alcohol consumption </w:t>
            </w:r>
          </w:p>
          <w:p w14:paraId="6321D6C6" w14:textId="77777777" w:rsidR="00680847" w:rsidRPr="00E33DC4" w:rsidRDefault="00680847" w:rsidP="00680847">
            <w:pPr>
              <w:pStyle w:val="TableBullet"/>
              <w:rPr>
                <w:szCs w:val="24"/>
              </w:rPr>
            </w:pPr>
            <w:r w:rsidRPr="00E33DC4">
              <w:rPr>
                <w:i/>
              </w:rPr>
              <w:t>Denominator</w:t>
            </w:r>
            <w:r w:rsidRPr="00E33DC4">
              <w:t xml:space="preserve"> — total population of people aged 18 years or over</w:t>
            </w:r>
          </w:p>
          <w:p w14:paraId="24394D49" w14:textId="77777777" w:rsidR="00680847" w:rsidRPr="00E33DC4" w:rsidRDefault="00680847" w:rsidP="00870410">
            <w:pPr>
              <w:pStyle w:val="TableBodyNA"/>
            </w:pPr>
            <w:r w:rsidRPr="00E33DC4">
              <w:t xml:space="preserve">presented as a </w:t>
            </w:r>
            <w:r w:rsidRPr="00E33DC4">
              <w:rPr>
                <w:i/>
              </w:rPr>
              <w:t>rate per 100 persons (per cent)</w:t>
            </w:r>
            <w:r w:rsidRPr="00E33DC4">
              <w:t>.</w:t>
            </w:r>
          </w:p>
          <w:p w14:paraId="02784034" w14:textId="4A73E0C8" w:rsidR="00680847" w:rsidRPr="00E33DC4" w:rsidRDefault="00680847" w:rsidP="00870410">
            <w:pPr>
              <w:pStyle w:val="TableBodyNA"/>
            </w:pPr>
            <w:r w:rsidRPr="00E33DC4">
              <w:t xml:space="preserve">Risky or high risk alcohol consumption is measured by the concept of ‘Lifetime risk of alcohol harm’ which is based on the 2009 National Health and Medical Research Council guidelines. According to these guidelines, the consumption of </w:t>
            </w:r>
            <w:r w:rsidR="00F144E1">
              <w:t xml:space="preserve">more than </w:t>
            </w:r>
            <w:r w:rsidRPr="00E33DC4">
              <w:t>2 standard drinks on any day increases the lifetime risk of harm for both men and women. This has been operationalised as: for both males and females, an average of more than 2 standard drinks per day in the last week.</w:t>
            </w:r>
          </w:p>
        </w:tc>
      </w:tr>
      <w:tr w:rsidR="00680847" w:rsidRPr="00D87AA9" w14:paraId="7A5A3DCA" w14:textId="77777777" w:rsidTr="008F5A63">
        <w:tc>
          <w:tcPr>
            <w:tcW w:w="2093" w:type="dxa"/>
          </w:tcPr>
          <w:p w14:paraId="73C58F80" w14:textId="77777777" w:rsidR="00680847" w:rsidRPr="00D87AA9" w:rsidRDefault="00680847" w:rsidP="00870410">
            <w:pPr>
              <w:pStyle w:val="TableBodyNA"/>
            </w:pPr>
            <w:r w:rsidRPr="00D87AA9">
              <w:t>Data source:</w:t>
            </w:r>
          </w:p>
        </w:tc>
        <w:tc>
          <w:tcPr>
            <w:tcW w:w="6696" w:type="dxa"/>
          </w:tcPr>
          <w:p w14:paraId="7D1F2119" w14:textId="58C02EC3" w:rsidR="00680847" w:rsidRDefault="00680847" w:rsidP="00870410">
            <w:pPr>
              <w:pStyle w:val="TableBodyNA"/>
            </w:pPr>
            <w:r w:rsidRPr="00E33DC4">
              <w:rPr>
                <w:i/>
              </w:rPr>
              <w:t>Numerator and denominator</w:t>
            </w:r>
            <w:r>
              <w:t xml:space="preserve"> —</w:t>
            </w:r>
            <w:r w:rsidR="001A03C8">
              <w:t xml:space="preserve"> </w:t>
            </w:r>
          </w:p>
          <w:p w14:paraId="2E45C92C" w14:textId="4CCCDA14" w:rsidR="00680847" w:rsidRDefault="00680847" w:rsidP="00870410">
            <w:pPr>
              <w:pStyle w:val="TableBodyNA"/>
            </w:pPr>
            <w:r w:rsidRPr="0078783D">
              <w:t>(</w:t>
            </w:r>
            <w:r w:rsidR="00D12D13">
              <w:t>Aboriginal and Torres Strait Islander</w:t>
            </w:r>
            <w:r w:rsidRPr="0078783D">
              <w:t>)</w:t>
            </w:r>
            <w:r>
              <w:t xml:space="preserve"> </w:t>
            </w:r>
            <w:r w:rsidR="00883366">
              <w:t xml:space="preserve">ABS </w:t>
            </w:r>
            <w:r w:rsidRPr="00BF4BD7">
              <w:rPr>
                <w:u w:val="single"/>
              </w:rPr>
              <w:t>National Aboriginal and Torres Strait Islander Health Survey</w:t>
            </w:r>
            <w:r>
              <w:t xml:space="preserve"> (NATSIHS). Data are collected every six years.</w:t>
            </w:r>
          </w:p>
          <w:p w14:paraId="25604C42" w14:textId="44D3DCE9" w:rsidR="00680847" w:rsidRPr="00D87AA9" w:rsidRDefault="00680847" w:rsidP="00870410">
            <w:pPr>
              <w:pStyle w:val="TableBodyNA"/>
            </w:pPr>
            <w:r w:rsidRPr="0078783D">
              <w:t>(non</w:t>
            </w:r>
            <w:r w:rsidR="00FA5150">
              <w:noBreakHyphen/>
            </w:r>
            <w:r w:rsidRPr="0078783D">
              <w:t>Indigenous)</w:t>
            </w:r>
            <w:r w:rsidR="00C51C15">
              <w:t xml:space="preserve"> </w:t>
            </w:r>
            <w:r w:rsidR="00883366">
              <w:t xml:space="preserve">ABS </w:t>
            </w:r>
            <w:r w:rsidR="00C51C15" w:rsidRPr="00BF4BD7">
              <w:rPr>
                <w:u w:val="single"/>
              </w:rPr>
              <w:t>National Health Survey</w:t>
            </w:r>
            <w:r w:rsidR="00C51C15">
              <w:t xml:space="preserve"> (NHS)</w:t>
            </w:r>
            <w:r>
              <w:t>. Data a</w:t>
            </w:r>
            <w:r w:rsidR="002F2485">
              <w:t>re collected every three years.</w:t>
            </w:r>
          </w:p>
        </w:tc>
      </w:tr>
      <w:tr w:rsidR="00680847" w:rsidRPr="00D87AA9" w14:paraId="69E2F531" w14:textId="77777777" w:rsidTr="008F5A63">
        <w:tc>
          <w:tcPr>
            <w:tcW w:w="2093" w:type="dxa"/>
          </w:tcPr>
          <w:p w14:paraId="730168F6" w14:textId="77777777" w:rsidR="00680847" w:rsidRPr="00D87AA9" w:rsidRDefault="00680847" w:rsidP="00870410">
            <w:pPr>
              <w:pStyle w:val="TableBodyNA"/>
            </w:pPr>
            <w:r w:rsidRPr="00D87AA9">
              <w:t>Data provider:</w:t>
            </w:r>
          </w:p>
        </w:tc>
        <w:tc>
          <w:tcPr>
            <w:tcW w:w="6696" w:type="dxa"/>
          </w:tcPr>
          <w:p w14:paraId="51E218EC" w14:textId="2DF885E6" w:rsidR="00680847" w:rsidRPr="00D87AA9" w:rsidRDefault="00680847" w:rsidP="00870410">
            <w:pPr>
              <w:pStyle w:val="TableBodyNA"/>
            </w:pPr>
            <w:r w:rsidRPr="00683983">
              <w:t>ABS</w:t>
            </w:r>
          </w:p>
        </w:tc>
      </w:tr>
      <w:tr w:rsidR="00680847" w:rsidRPr="00D87AA9" w14:paraId="55FD2375" w14:textId="77777777" w:rsidTr="008F5A63">
        <w:tc>
          <w:tcPr>
            <w:tcW w:w="2093" w:type="dxa"/>
            <w:shd w:val="clear" w:color="auto" w:fill="auto"/>
          </w:tcPr>
          <w:p w14:paraId="42E54260" w14:textId="77777777" w:rsidR="00680847" w:rsidRPr="00D87AA9" w:rsidRDefault="00680847" w:rsidP="00870410">
            <w:pPr>
              <w:pStyle w:val="TableBodyNA"/>
            </w:pPr>
            <w:r w:rsidRPr="00D87AA9">
              <w:t>Data availability:</w:t>
            </w:r>
          </w:p>
        </w:tc>
        <w:tc>
          <w:tcPr>
            <w:tcW w:w="6696" w:type="dxa"/>
            <w:shd w:val="clear" w:color="auto" w:fill="auto"/>
          </w:tcPr>
          <w:p w14:paraId="462EACD8" w14:textId="27B794DA" w:rsidR="00883366" w:rsidRDefault="00883366" w:rsidP="00870410">
            <w:pPr>
              <w:pStyle w:val="TableBodyNA"/>
            </w:pPr>
            <w:r>
              <w:t>2018</w:t>
            </w:r>
            <w:r w:rsidR="00FA5150">
              <w:noBreakHyphen/>
            </w:r>
            <w:r>
              <w:t>19 (Aboriginal and Torres Strait Islander data) — NATSIHS</w:t>
            </w:r>
          </w:p>
          <w:p w14:paraId="044B40AF" w14:textId="67858299" w:rsidR="00680847" w:rsidRPr="009C0D98" w:rsidRDefault="00883366" w:rsidP="00870410">
            <w:pPr>
              <w:pStyle w:val="TableBodyNA"/>
            </w:pPr>
            <w:r>
              <w:t>2017</w:t>
            </w:r>
            <w:r w:rsidR="00FA5150">
              <w:noBreakHyphen/>
            </w:r>
            <w:r>
              <w:t>18 (non</w:t>
            </w:r>
            <w:r w:rsidR="00FA5150">
              <w:noBreakHyphen/>
            </w:r>
            <w:r>
              <w:t xml:space="preserve">Indigenous data) — </w:t>
            </w:r>
            <w:r>
              <w:rPr>
                <w:rFonts w:cs="Arial"/>
                <w:color w:val="333333"/>
                <w:shd w:val="clear" w:color="auto" w:fill="FFFFFF"/>
              </w:rPr>
              <w:t>NHS</w:t>
            </w:r>
          </w:p>
        </w:tc>
      </w:tr>
      <w:tr w:rsidR="00680847" w:rsidRPr="00D87AA9" w14:paraId="40DD8207" w14:textId="77777777" w:rsidTr="008F5A63">
        <w:tc>
          <w:tcPr>
            <w:tcW w:w="2093" w:type="dxa"/>
            <w:shd w:val="clear" w:color="auto" w:fill="auto"/>
          </w:tcPr>
          <w:p w14:paraId="6B462DF2" w14:textId="77777777" w:rsidR="00680847" w:rsidRPr="00D87AA9" w:rsidRDefault="00680847" w:rsidP="00870410">
            <w:pPr>
              <w:pStyle w:val="TableBodyNA"/>
            </w:pPr>
            <w:r w:rsidRPr="00D87AA9">
              <w:t>Cross tabulations provided:</w:t>
            </w:r>
          </w:p>
        </w:tc>
        <w:tc>
          <w:tcPr>
            <w:tcW w:w="6696" w:type="dxa"/>
            <w:shd w:val="clear" w:color="auto" w:fill="auto"/>
          </w:tcPr>
          <w:p w14:paraId="0B44727C" w14:textId="77777777" w:rsidR="00883366" w:rsidRDefault="00883366" w:rsidP="00870410">
            <w:pPr>
              <w:pStyle w:val="TableBodyNA"/>
            </w:pPr>
            <w:r>
              <w:t>State and Territory, by:</w:t>
            </w:r>
          </w:p>
          <w:p w14:paraId="5BE8A928" w14:textId="77777777" w:rsidR="00883366" w:rsidRDefault="00883366" w:rsidP="00883366">
            <w:pPr>
              <w:pStyle w:val="TableBullet"/>
            </w:pPr>
            <w:r>
              <w:t>Aboriginal and Torres Strait Islander Australians (crude rates)</w:t>
            </w:r>
          </w:p>
          <w:p w14:paraId="07AE4085" w14:textId="77777777" w:rsidR="00883366" w:rsidRDefault="00883366" w:rsidP="00883366">
            <w:pPr>
              <w:pStyle w:val="TableBullet"/>
            </w:pPr>
            <w:r>
              <w:t>Aboriginal and Torres Strait Islander Australians by remoteness (crude rates) (based on ASGS)</w:t>
            </w:r>
          </w:p>
          <w:p w14:paraId="42EDF1C1" w14:textId="77777777" w:rsidR="00883366" w:rsidRDefault="00883366" w:rsidP="00883366">
            <w:pPr>
              <w:pStyle w:val="TableBullet"/>
            </w:pPr>
            <w:r>
              <w:t>Indigenous status (age standardised rates)</w:t>
            </w:r>
          </w:p>
          <w:p w14:paraId="66E02AF9" w14:textId="40A8D86A" w:rsidR="00500594" w:rsidRPr="002F2485" w:rsidRDefault="00883366" w:rsidP="008822BF">
            <w:pPr>
              <w:pStyle w:val="TableBullet"/>
            </w:pPr>
            <w:r>
              <w:t>Indigenous status by remoteness (age standardised rates) (based on ASGS)</w:t>
            </w:r>
          </w:p>
        </w:tc>
      </w:tr>
    </w:tbl>
    <w:p w14:paraId="62D6329E" w14:textId="77777777" w:rsidR="00893AE2" w:rsidRDefault="00893AE2" w:rsidP="00893AE2">
      <w:pPr>
        <w:pStyle w:val="BoxSpaceAbove"/>
      </w:pPr>
      <w:bookmarkStart w:id="19" w:name="_Ref277842749"/>
      <w:bookmarkStart w:id="20" w:name="_Ref341361523"/>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893AE2" w14:paraId="729573A0" w14:textId="77777777" w:rsidTr="00DA7289">
        <w:tc>
          <w:tcPr>
            <w:tcW w:w="5000" w:type="pct"/>
            <w:tcBorders>
              <w:top w:val="single" w:sz="6" w:space="0" w:color="78A22F"/>
              <w:left w:val="nil"/>
              <w:bottom w:val="nil"/>
              <w:right w:val="nil"/>
            </w:tcBorders>
            <w:shd w:val="clear" w:color="auto" w:fill="F2F2F2"/>
          </w:tcPr>
          <w:p w14:paraId="4E60CC96" w14:textId="6220F084" w:rsidR="00893AE2" w:rsidRDefault="00893AE2" w:rsidP="005069E3">
            <w:pPr>
              <w:pStyle w:val="BoxTitle"/>
            </w:pPr>
            <w:r w:rsidRPr="000A6D48">
              <w:rPr>
                <w:b w:val="0"/>
              </w:rPr>
              <w:t>Box</w:t>
            </w:r>
            <w:r w:rsidRPr="00801236">
              <w:rPr>
                <w:b w:val="0"/>
              </w:rPr>
              <w:t xml:space="preserve"> </w:t>
            </w:r>
            <w:r w:rsidR="00CD100F">
              <w:rPr>
                <w:b w:val="0"/>
              </w:rPr>
              <w:t>2</w:t>
            </w:r>
            <w:r w:rsidR="005069E3">
              <w:rPr>
                <w:b w:val="0"/>
              </w:rPr>
              <w:t>0</w:t>
            </w:r>
            <w:r w:rsidRPr="00437C7F">
              <w:tab/>
            </w:r>
            <w:r>
              <w:t xml:space="preserve">Results </w:t>
            </w:r>
          </w:p>
        </w:tc>
      </w:tr>
      <w:tr w:rsidR="00893AE2" w:rsidRPr="00680847" w14:paraId="0B242793" w14:textId="77777777" w:rsidTr="00DA7289">
        <w:trPr>
          <w:cantSplit/>
        </w:trPr>
        <w:tc>
          <w:tcPr>
            <w:tcW w:w="5000" w:type="pct"/>
            <w:tcBorders>
              <w:top w:val="nil"/>
              <w:left w:val="nil"/>
              <w:bottom w:val="nil"/>
              <w:right w:val="nil"/>
            </w:tcBorders>
            <w:shd w:val="clear" w:color="auto" w:fill="F2F2F2"/>
          </w:tcPr>
          <w:p w14:paraId="77DAEFC0" w14:textId="48E208B2" w:rsidR="0029533A" w:rsidRDefault="00893AE2" w:rsidP="0029533A">
            <w:pPr>
              <w:pStyle w:val="Box"/>
            </w:pPr>
            <w:r>
              <w:t>For this report new data are available for 2018</w:t>
            </w:r>
            <w:r w:rsidR="00FA5150">
              <w:noBreakHyphen/>
            </w:r>
            <w:r>
              <w:t>19 (Aboriginal and Torres Strait Islander data) and 2017</w:t>
            </w:r>
            <w:r w:rsidR="00FA5150">
              <w:noBreakHyphen/>
            </w:r>
            <w:r>
              <w:t>18 (non</w:t>
            </w:r>
            <w:r w:rsidR="00FA5150">
              <w:noBreakHyphen/>
            </w:r>
            <w:r>
              <w:t>Indigenous data).</w:t>
            </w:r>
            <w:r w:rsidR="0029533A">
              <w:t xml:space="preserve"> </w:t>
            </w:r>
          </w:p>
          <w:p w14:paraId="0D9DB3F4" w14:textId="328665F0" w:rsidR="00893AE2" w:rsidRDefault="00893AE2" w:rsidP="00DA7289">
            <w:pPr>
              <w:pStyle w:val="BoxListBullet"/>
            </w:pPr>
            <w:r>
              <w:t>Crude rates for Aboriginal and Torres Strait Islander persons, by State and Territory, are presented in table NIRA.4.1</w:t>
            </w:r>
          </w:p>
          <w:p w14:paraId="760D5DEC" w14:textId="53130093" w:rsidR="00893AE2" w:rsidRDefault="00893AE2" w:rsidP="00DA7289">
            <w:pPr>
              <w:pStyle w:val="BoxListBullet"/>
            </w:pPr>
            <w:r>
              <w:t>Crude rates for Aboriginal and Torres Strait Islander persons, by State and Territory, by remoteness are presented in table NIRA.4.2</w:t>
            </w:r>
          </w:p>
          <w:p w14:paraId="79D90F1B" w14:textId="5579E5C8" w:rsidR="00893AE2" w:rsidRDefault="00893AE2" w:rsidP="00DA7289">
            <w:pPr>
              <w:pStyle w:val="BoxListBullet"/>
            </w:pPr>
            <w:r>
              <w:t>Age standardised rates, by Indigenous status, by State and Territory are presented in table</w:t>
            </w:r>
            <w:r w:rsidR="00C276CB">
              <w:t> </w:t>
            </w:r>
            <w:r>
              <w:t>NIRA.4.3</w:t>
            </w:r>
          </w:p>
          <w:p w14:paraId="17258010" w14:textId="786BD886" w:rsidR="00893AE2" w:rsidRDefault="00893AE2" w:rsidP="00DA7289">
            <w:pPr>
              <w:pStyle w:val="BoxListBullet"/>
            </w:pPr>
            <w:r>
              <w:t>Age standardised rates, by Indigenous status, by State and Territory, by remoteness are presented in table NIRA.4.4.</w:t>
            </w:r>
          </w:p>
          <w:p w14:paraId="437F359F" w14:textId="5F0B397A" w:rsidR="00002DF0" w:rsidRDefault="00002DF0" w:rsidP="00002DF0">
            <w:pPr>
              <w:pStyle w:val="Box"/>
            </w:pPr>
            <w:r>
              <w:rPr>
                <w:rFonts w:cs="Arial"/>
                <w:szCs w:val="22"/>
              </w:rPr>
              <w:t xml:space="preserve">Age standardised rates, by Indigenous status, by State and Territory </w:t>
            </w:r>
            <w:r w:rsidR="0048054E">
              <w:rPr>
                <w:rFonts w:cs="Arial"/>
                <w:szCs w:val="22"/>
              </w:rPr>
              <w:t xml:space="preserve">for 2011–13 </w:t>
            </w:r>
            <w:r>
              <w:rPr>
                <w:rFonts w:cs="Arial"/>
                <w:szCs w:val="22"/>
              </w:rPr>
              <w:t>have been revised and are included in this report (table NIRA.4.5).</w:t>
            </w:r>
          </w:p>
          <w:p w14:paraId="14AEA607" w14:textId="026EC6DA" w:rsidR="00893AE2" w:rsidRPr="00680847" w:rsidRDefault="00893AE2" w:rsidP="00F049D5">
            <w:pPr>
              <w:pStyle w:val="Box"/>
            </w:pPr>
            <w:r>
              <w:t>Data from the 2012</w:t>
            </w:r>
            <w:r w:rsidR="00FA5150">
              <w:noBreakHyphen/>
            </w:r>
            <w:r>
              <w:t>13 NATSIHS and 2011</w:t>
            </w:r>
            <w:r w:rsidR="00FA5150">
              <w:noBreakHyphen/>
            </w:r>
            <w:r>
              <w:t>12 NHS were included in the 2012</w:t>
            </w:r>
            <w:r w:rsidR="00FA5150">
              <w:noBreakHyphen/>
            </w:r>
            <w:r>
              <w:t>13 NIRA performance report</w:t>
            </w:r>
            <w:r w:rsidR="00F049D5">
              <w:t xml:space="preserve"> (except for </w:t>
            </w:r>
            <w:r w:rsidR="00032480">
              <w:t xml:space="preserve">the revised </w:t>
            </w:r>
            <w:r w:rsidR="00F049D5">
              <w:rPr>
                <w:rFonts w:cs="Arial"/>
                <w:szCs w:val="22"/>
              </w:rPr>
              <w:t>age standardised rates, by Indigenous status, by State and Territory</w:t>
            </w:r>
            <w:r w:rsidR="00203A91">
              <w:rPr>
                <w:rFonts w:cs="Arial"/>
                <w:szCs w:val="22"/>
              </w:rPr>
              <w:t xml:space="preserve"> noted above</w:t>
            </w:r>
            <w:r w:rsidR="00F049D5">
              <w:rPr>
                <w:rFonts w:cs="Arial"/>
                <w:szCs w:val="22"/>
              </w:rPr>
              <w:t>)</w:t>
            </w:r>
            <w:r>
              <w:t>. Historical data for 2004</w:t>
            </w:r>
            <w:r w:rsidR="00FA5150">
              <w:noBreakHyphen/>
            </w:r>
            <w:r>
              <w:t>05 were provided in the baseline 2008</w:t>
            </w:r>
            <w:r w:rsidR="00FA5150">
              <w:noBreakHyphen/>
            </w:r>
            <w:r>
              <w:t>09 NIRA performance report, and 2004</w:t>
            </w:r>
            <w:r w:rsidR="00FA5150">
              <w:noBreakHyphen/>
            </w:r>
            <w:r>
              <w:t>05 data based on the 2009 NHMRC guidelines by remoteness were included in the 2012</w:t>
            </w:r>
            <w:r w:rsidR="00FA5150">
              <w:noBreakHyphen/>
            </w:r>
            <w:r>
              <w:t>13 NIRA performance report.</w:t>
            </w:r>
          </w:p>
        </w:tc>
      </w:tr>
      <w:tr w:rsidR="00893AE2" w14:paraId="26034C85" w14:textId="77777777" w:rsidTr="00DA7289">
        <w:trPr>
          <w:cantSplit/>
        </w:trPr>
        <w:tc>
          <w:tcPr>
            <w:tcW w:w="5000" w:type="pct"/>
            <w:tcBorders>
              <w:top w:val="nil"/>
              <w:left w:val="nil"/>
              <w:bottom w:val="single" w:sz="6" w:space="0" w:color="78A22F"/>
              <w:right w:val="nil"/>
            </w:tcBorders>
            <w:shd w:val="clear" w:color="auto" w:fill="F2F2F2"/>
          </w:tcPr>
          <w:p w14:paraId="050EDB64" w14:textId="77777777" w:rsidR="00893AE2" w:rsidRDefault="00893AE2" w:rsidP="00DA7289">
            <w:pPr>
              <w:pStyle w:val="Box"/>
              <w:spacing w:before="0" w:line="120" w:lineRule="exact"/>
            </w:pPr>
          </w:p>
        </w:tc>
      </w:tr>
      <w:tr w:rsidR="00893AE2" w:rsidRPr="000863A5" w14:paraId="49C6A49B" w14:textId="77777777" w:rsidTr="00DA7289">
        <w:tc>
          <w:tcPr>
            <w:tcW w:w="5000" w:type="pct"/>
            <w:tcBorders>
              <w:top w:val="single" w:sz="6" w:space="0" w:color="78A22F"/>
              <w:left w:val="nil"/>
              <w:bottom w:val="nil"/>
              <w:right w:val="nil"/>
            </w:tcBorders>
          </w:tcPr>
          <w:p w14:paraId="679B3ED7" w14:textId="77777777" w:rsidR="00893AE2" w:rsidRPr="00626D32" w:rsidRDefault="00893AE2" w:rsidP="00DA7289">
            <w:pPr>
              <w:pStyle w:val="BoxSpaceBelow"/>
            </w:pPr>
          </w:p>
        </w:tc>
      </w:tr>
    </w:tbl>
    <w:p w14:paraId="64A5BABA" w14:textId="77777777" w:rsidR="00893AE2" w:rsidRDefault="00893AE2" w:rsidP="00893AE2">
      <w:pPr>
        <w:pStyle w:val="BodyT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93AE2" w14:paraId="2F9A3598" w14:textId="77777777" w:rsidTr="00DA7289">
        <w:tc>
          <w:tcPr>
            <w:tcW w:w="5000" w:type="pct"/>
            <w:tcBorders>
              <w:top w:val="single" w:sz="6" w:space="0" w:color="78A22F"/>
              <w:left w:val="nil"/>
              <w:bottom w:val="nil"/>
              <w:right w:val="nil"/>
            </w:tcBorders>
            <w:shd w:val="clear" w:color="auto" w:fill="F2F2F2"/>
          </w:tcPr>
          <w:p w14:paraId="44F96B67" w14:textId="5D4B9CBE" w:rsidR="00893AE2" w:rsidRDefault="00893AE2" w:rsidP="005069E3">
            <w:pPr>
              <w:pStyle w:val="BoxTitle"/>
            </w:pPr>
            <w:r w:rsidRPr="000A6D48">
              <w:rPr>
                <w:b w:val="0"/>
              </w:rPr>
              <w:t>Box</w:t>
            </w:r>
            <w:r w:rsidRPr="00801236">
              <w:rPr>
                <w:b w:val="0"/>
              </w:rPr>
              <w:t xml:space="preserve"> </w:t>
            </w:r>
            <w:r w:rsidR="00CD100F">
              <w:rPr>
                <w:b w:val="0"/>
              </w:rPr>
              <w:t>2</w:t>
            </w:r>
            <w:r w:rsidR="005069E3">
              <w:rPr>
                <w:b w:val="0"/>
              </w:rPr>
              <w:t>1</w:t>
            </w:r>
            <w:r w:rsidRPr="00437C7F">
              <w:tab/>
            </w:r>
            <w:r>
              <w:t xml:space="preserve">Comment on data quality </w:t>
            </w:r>
          </w:p>
        </w:tc>
      </w:tr>
      <w:tr w:rsidR="00893AE2" w:rsidRPr="00680847" w14:paraId="0B2E755E" w14:textId="77777777" w:rsidTr="00DA7289">
        <w:trPr>
          <w:cantSplit/>
        </w:trPr>
        <w:tc>
          <w:tcPr>
            <w:tcW w:w="5000" w:type="pct"/>
            <w:tcBorders>
              <w:top w:val="nil"/>
              <w:left w:val="nil"/>
              <w:bottom w:val="nil"/>
              <w:right w:val="nil"/>
            </w:tcBorders>
            <w:shd w:val="clear" w:color="auto" w:fill="F2F2F2"/>
          </w:tcPr>
          <w:p w14:paraId="4A06E6A1" w14:textId="77777777" w:rsidR="00893AE2" w:rsidRPr="00F1640C" w:rsidRDefault="00893AE2" w:rsidP="00DA7289">
            <w:pPr>
              <w:pStyle w:val="Box"/>
              <w:keepLines/>
            </w:pPr>
            <w:r w:rsidRPr="00F1640C">
              <w:t>Key points on data quality for this indicator are summarised below.</w:t>
            </w:r>
          </w:p>
          <w:p w14:paraId="05CA833C" w14:textId="0E0DA93D" w:rsidR="00893AE2" w:rsidRPr="00CE5702" w:rsidRDefault="00893AE2" w:rsidP="00893AE2">
            <w:pPr>
              <w:pStyle w:val="BoxListBullet"/>
            </w:pPr>
            <w:r w:rsidRPr="00CE5702">
              <w:t>The data provide relevant information on the proportion of adults who consume alcohol at risky or high risk levels, by Indigenous status. Data are available by State and Territory.</w:t>
            </w:r>
          </w:p>
          <w:p w14:paraId="78777A42" w14:textId="2B96694C" w:rsidR="00893AE2" w:rsidRPr="00CE5702" w:rsidRDefault="00893AE2" w:rsidP="00CF200F">
            <w:pPr>
              <w:pStyle w:val="BoxListBullet"/>
            </w:pPr>
            <w:r w:rsidRPr="00CE5702">
              <w:t>Data for Aboriginal and Torres Strait Islander people are from the NATSIHS.</w:t>
            </w:r>
            <w:r w:rsidR="00CF200F" w:rsidRPr="00CE5702">
              <w:t xml:space="preserve"> </w:t>
            </w:r>
            <w:r w:rsidRPr="00CE5702">
              <w:t>Data for non</w:t>
            </w:r>
            <w:r w:rsidR="00FA5150">
              <w:noBreakHyphen/>
            </w:r>
            <w:r w:rsidRPr="00CE5702">
              <w:t xml:space="preserve">Indigenous people are from the NHS. </w:t>
            </w:r>
          </w:p>
          <w:p w14:paraId="1A9A3775" w14:textId="0E86E86E" w:rsidR="00893AE2" w:rsidRPr="00CE5702" w:rsidRDefault="00893AE2" w:rsidP="00DA7289">
            <w:pPr>
              <w:pStyle w:val="BoxListBullet"/>
            </w:pPr>
            <w:r w:rsidRPr="00CE5702">
              <w:t>The NATSIHS is conducted every six years and the most recent available data are for 2018</w:t>
            </w:r>
            <w:r w:rsidR="00FA5150">
              <w:noBreakHyphen/>
            </w:r>
            <w:r w:rsidRPr="00CE5702">
              <w:t>19. The NHS is conducted every three years and the most recent available data are for 2017</w:t>
            </w:r>
            <w:r w:rsidR="00FA5150">
              <w:noBreakHyphen/>
            </w:r>
            <w:r w:rsidRPr="00CE5702">
              <w:t xml:space="preserve">18. </w:t>
            </w:r>
          </w:p>
          <w:p w14:paraId="2FE6FBC3" w14:textId="2FA0FD01" w:rsidR="00170EF9" w:rsidRPr="00170EF9" w:rsidRDefault="00893AE2" w:rsidP="00170EF9">
            <w:pPr>
              <w:pStyle w:val="BoxListBullet"/>
            </w:pPr>
            <w:r w:rsidRPr="00CE5702">
              <w:t>Non</w:t>
            </w:r>
            <w:r w:rsidR="00FA5150">
              <w:noBreakHyphen/>
            </w:r>
            <w:r w:rsidRPr="00CE5702">
              <w:t>Indigenous data from the NHS do not include people living in very remote areas, which affects the comparability of the NT results</w:t>
            </w:r>
            <w:r w:rsidRPr="00662E2F">
              <w:t>.</w:t>
            </w:r>
            <w:r w:rsidR="00170EF9" w:rsidRPr="00662E2F">
              <w:t xml:space="preserve"> Non</w:t>
            </w:r>
            <w:r w:rsidR="00F34E12">
              <w:noBreakHyphen/>
            </w:r>
            <w:r w:rsidR="00170EF9" w:rsidRPr="00662E2F">
              <w:t xml:space="preserve">Indigenous data for </w:t>
            </w:r>
            <w:r w:rsidR="004E22DD" w:rsidRPr="00662E2F">
              <w:t>o</w:t>
            </w:r>
            <w:r w:rsidR="00170EF9" w:rsidRPr="00662E2F">
              <w:t xml:space="preserve">uter regional and </w:t>
            </w:r>
            <w:r w:rsidR="004E22DD" w:rsidRPr="00662E2F">
              <w:t>r</w:t>
            </w:r>
            <w:r w:rsidR="00170EF9" w:rsidRPr="00662E2F">
              <w:t>emote areas, by State and Territory, ha</w:t>
            </w:r>
            <w:r w:rsidR="004E22DD" w:rsidRPr="00662E2F">
              <w:t>ve</w:t>
            </w:r>
            <w:r w:rsidR="00170EF9" w:rsidRPr="00662E2F">
              <w:t xml:space="preserve"> been combined as data quality is not sufficient to support separate reporting. They have been reported separately at the national level.</w:t>
            </w:r>
          </w:p>
          <w:p w14:paraId="19E8E98C" w14:textId="2C513C1D" w:rsidR="00893AE2" w:rsidRPr="00CE5702" w:rsidRDefault="0037302B" w:rsidP="00034247">
            <w:pPr>
              <w:pStyle w:val="BoxListBullet"/>
            </w:pPr>
            <w:r w:rsidRPr="00662E2F">
              <w:t>For 2017</w:t>
            </w:r>
            <w:r w:rsidR="00F34E12">
              <w:noBreakHyphen/>
            </w:r>
            <w:r w:rsidRPr="00662E2F">
              <w:t>18 NHS and 2018</w:t>
            </w:r>
            <w:r w:rsidR="00F34E12">
              <w:noBreakHyphen/>
            </w:r>
            <w:r w:rsidRPr="00662E2F">
              <w:t xml:space="preserve">19 NATSIHS, </w:t>
            </w:r>
            <w:r w:rsidR="004E2AF6" w:rsidRPr="00662E2F">
              <w:t>the ABS have advised that 95 per cent confidence intervals and RSEs for the aged standardised rates are not available and that users should refer to those for the associated crude rates.</w:t>
            </w:r>
          </w:p>
          <w:p w14:paraId="66D37C1D" w14:textId="624614A9" w:rsidR="0029533A" w:rsidRPr="00CE5702" w:rsidRDefault="00893AE2" w:rsidP="0029533A">
            <w:pPr>
              <w:pStyle w:val="BoxListBullet"/>
            </w:pPr>
            <w:r w:rsidRPr="00CE5702">
              <w:t xml:space="preserve">Data are of acceptable accuracy. </w:t>
            </w:r>
            <w:r w:rsidR="0029533A" w:rsidRPr="00CE5702">
              <w:t xml:space="preserve">Some proportions have a </w:t>
            </w:r>
            <w:r w:rsidR="00506C4C" w:rsidRPr="00CE5702">
              <w:t xml:space="preserve">large </w:t>
            </w:r>
            <w:r w:rsidR="0029533A" w:rsidRPr="00CE5702">
              <w:t>confidence interval and should be used with caution.</w:t>
            </w:r>
          </w:p>
          <w:p w14:paraId="0DF85701" w14:textId="32564DC4" w:rsidR="00E16784" w:rsidRPr="00E516C4" w:rsidRDefault="007424C3" w:rsidP="00002DF0">
            <w:pPr>
              <w:pStyle w:val="BoxListBullet"/>
            </w:pPr>
            <w:r w:rsidRPr="00CE5702">
              <w:t xml:space="preserve">Level of alcohol consumption is </w:t>
            </w:r>
            <w:r w:rsidR="005069E3" w:rsidRPr="00CE5702">
              <w:t xml:space="preserve">based on the average alcohol consumption in the three most recent drinking days in the last week </w:t>
            </w:r>
            <w:r w:rsidRPr="00CE5702">
              <w:t>‘as reported’ by respondents and some under</w:t>
            </w:r>
            <w:r w:rsidR="00FA5150">
              <w:noBreakHyphen/>
            </w:r>
            <w:r w:rsidRPr="00CE5702">
              <w:t>reporting of consumption may have occurred.</w:t>
            </w:r>
          </w:p>
        </w:tc>
      </w:tr>
      <w:tr w:rsidR="003F42BA" w14:paraId="3B49C972" w14:textId="77777777" w:rsidTr="00DA7289">
        <w:tc>
          <w:tcPr>
            <w:tcW w:w="5000" w:type="pct"/>
            <w:tcBorders>
              <w:top w:val="nil"/>
              <w:left w:val="nil"/>
              <w:bottom w:val="nil"/>
              <w:right w:val="nil"/>
            </w:tcBorders>
            <w:shd w:val="clear" w:color="auto" w:fill="F2F2F2"/>
          </w:tcPr>
          <w:p w14:paraId="4D7C7964" w14:textId="77777777" w:rsidR="003F42BA" w:rsidRDefault="003F42BA" w:rsidP="00DA7289">
            <w:pPr>
              <w:pStyle w:val="Continued"/>
            </w:pPr>
            <w:r w:rsidRPr="00315070">
              <w:t>(</w:t>
            </w:r>
            <w:r w:rsidRPr="00DB0CCE">
              <w:t>continued</w:t>
            </w:r>
            <w:r w:rsidRPr="00315070">
              <w:t xml:space="preserve"> next page)</w:t>
            </w:r>
          </w:p>
        </w:tc>
      </w:tr>
      <w:tr w:rsidR="003F42BA" w14:paraId="61854D26" w14:textId="77777777" w:rsidTr="00DA7289">
        <w:tc>
          <w:tcPr>
            <w:tcW w:w="5000" w:type="pct"/>
            <w:tcBorders>
              <w:top w:val="nil"/>
              <w:left w:val="nil"/>
              <w:bottom w:val="single" w:sz="6" w:space="0" w:color="78A22F"/>
              <w:right w:val="nil"/>
            </w:tcBorders>
            <w:shd w:val="clear" w:color="auto" w:fill="F2F2F2"/>
          </w:tcPr>
          <w:p w14:paraId="18C1E545" w14:textId="77777777" w:rsidR="003F42BA" w:rsidRDefault="003F42BA" w:rsidP="00DA7289">
            <w:pPr>
              <w:pStyle w:val="Box"/>
              <w:keepNext w:val="0"/>
              <w:spacing w:before="0" w:line="120" w:lineRule="exact"/>
            </w:pPr>
          </w:p>
        </w:tc>
      </w:tr>
    </w:tbl>
    <w:p w14:paraId="51ED96C7" w14:textId="77777777" w:rsidR="003F42BA" w:rsidRDefault="003F42BA" w:rsidP="003F42B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F42BA" w14:paraId="72EA9CF6" w14:textId="77777777" w:rsidTr="00DA7289">
        <w:tc>
          <w:tcPr>
            <w:tcW w:w="5000" w:type="pct"/>
            <w:tcBorders>
              <w:top w:val="single" w:sz="6" w:space="0" w:color="78A22F"/>
              <w:left w:val="nil"/>
              <w:bottom w:val="nil"/>
              <w:right w:val="nil"/>
            </w:tcBorders>
            <w:shd w:val="clear" w:color="auto" w:fill="F2F2F2"/>
          </w:tcPr>
          <w:p w14:paraId="22BE2052" w14:textId="5DEF0898" w:rsidR="003F42BA" w:rsidRDefault="003F42BA" w:rsidP="005069E3">
            <w:pPr>
              <w:pStyle w:val="BoxTitle"/>
            </w:pPr>
            <w:r>
              <w:rPr>
                <w:b w:val="0"/>
              </w:rPr>
              <w:t xml:space="preserve">Box </w:t>
            </w:r>
            <w:r w:rsidR="00CD100F">
              <w:rPr>
                <w:b w:val="0"/>
              </w:rPr>
              <w:t>2</w:t>
            </w:r>
            <w:r w:rsidR="005069E3">
              <w:rPr>
                <w:b w:val="0"/>
              </w:rPr>
              <w:t>1</w:t>
            </w:r>
            <w:r>
              <w:tab/>
            </w:r>
            <w:r w:rsidRPr="00EA0D57">
              <w:rPr>
                <w:rStyle w:val="Continuedintitle"/>
              </w:rPr>
              <w:t>(continued</w:t>
            </w:r>
            <w:r>
              <w:rPr>
                <w:rStyle w:val="Continuedintitle"/>
              </w:rPr>
              <w:t>)</w:t>
            </w:r>
          </w:p>
        </w:tc>
      </w:tr>
      <w:tr w:rsidR="003F42BA" w14:paraId="56111080" w14:textId="77777777" w:rsidTr="003F42BA">
        <w:tc>
          <w:tcPr>
            <w:tcW w:w="5000" w:type="pct"/>
            <w:tcBorders>
              <w:top w:val="nil"/>
              <w:left w:val="nil"/>
              <w:bottom w:val="nil"/>
              <w:right w:val="nil"/>
            </w:tcBorders>
            <w:shd w:val="clear" w:color="auto" w:fill="F2F2F2"/>
          </w:tcPr>
          <w:p w14:paraId="6CA0BD5A" w14:textId="77777777" w:rsidR="00002DF0" w:rsidRPr="00CE5702" w:rsidRDefault="00002DF0" w:rsidP="00002DF0">
            <w:pPr>
              <w:pStyle w:val="BoxListBullet"/>
            </w:pPr>
            <w:r w:rsidRPr="00CE5702">
              <w:t>Detailed explanatory notes are publicly available to assist in the interpretation of results.</w:t>
            </w:r>
          </w:p>
          <w:p w14:paraId="46D25CBC" w14:textId="6D8D27D8" w:rsidR="00002DF0" w:rsidRDefault="00002DF0" w:rsidP="00002DF0">
            <w:pPr>
              <w:pStyle w:val="BoxListBullet"/>
            </w:pPr>
            <w:r w:rsidRPr="00CE5702">
              <w:t>Additional data from the data source are available on</w:t>
            </w:r>
            <w:r>
              <w:noBreakHyphen/>
            </w:r>
            <w:r w:rsidRPr="00CE5702">
              <w:t>line, and on request.</w:t>
            </w:r>
          </w:p>
          <w:p w14:paraId="137DBEE9" w14:textId="77777777" w:rsidR="00E16784" w:rsidRPr="00CE5702" w:rsidRDefault="00E16784" w:rsidP="00E16784">
            <w:pPr>
              <w:pStyle w:val="Box"/>
            </w:pPr>
            <w:r w:rsidRPr="00CE5702">
              <w:t>The Steering Committee also notes the following issues:</w:t>
            </w:r>
          </w:p>
          <w:p w14:paraId="5A11BBC7" w14:textId="46CA8963" w:rsidR="00E16784" w:rsidRPr="00CE5702" w:rsidRDefault="00E16784" w:rsidP="00E16784">
            <w:pPr>
              <w:pStyle w:val="BoxListBullet"/>
            </w:pPr>
            <w:r>
              <w:t>N</w:t>
            </w:r>
            <w:r w:rsidRPr="007424C3">
              <w:t xml:space="preserve">ATSIHS data are only available every six years. </w:t>
            </w:r>
          </w:p>
          <w:p w14:paraId="00519D6D" w14:textId="740309EB" w:rsidR="003F42BA" w:rsidRDefault="008B1A0F" w:rsidP="008822BF">
            <w:pPr>
              <w:pStyle w:val="BoxListBullet"/>
            </w:pPr>
            <w:r w:rsidRPr="00506C4C">
              <w:rPr>
                <w:iCs/>
              </w:rPr>
              <w:t>The size of some standard errors means that the survey data may not be adequate for measuring difference. Comparisons over time or across jurisdictions may be difficult to assess if the size of the standard errors is large compared to the difference between the estimates.</w:t>
            </w:r>
          </w:p>
        </w:tc>
      </w:tr>
      <w:tr w:rsidR="003F42BA" w14:paraId="00077579" w14:textId="77777777" w:rsidTr="003F42BA">
        <w:tc>
          <w:tcPr>
            <w:tcW w:w="5000" w:type="pct"/>
            <w:tcBorders>
              <w:top w:val="nil"/>
              <w:left w:val="nil"/>
              <w:bottom w:val="single" w:sz="6" w:space="0" w:color="78A22F"/>
              <w:right w:val="nil"/>
            </w:tcBorders>
            <w:shd w:val="clear" w:color="auto" w:fill="F2F2F2"/>
          </w:tcPr>
          <w:p w14:paraId="612FC0E2" w14:textId="77777777" w:rsidR="003F42BA" w:rsidRDefault="003F42BA">
            <w:pPr>
              <w:pStyle w:val="Box"/>
              <w:spacing w:before="0" w:line="120" w:lineRule="exact"/>
            </w:pPr>
          </w:p>
        </w:tc>
      </w:tr>
      <w:tr w:rsidR="003F42BA" w:rsidRPr="000863A5" w14:paraId="59F9FFB4" w14:textId="77777777" w:rsidTr="003F42BA">
        <w:tc>
          <w:tcPr>
            <w:tcW w:w="5000" w:type="pct"/>
            <w:tcBorders>
              <w:top w:val="single" w:sz="6" w:space="0" w:color="78A22F"/>
              <w:left w:val="nil"/>
              <w:bottom w:val="nil"/>
              <w:right w:val="nil"/>
            </w:tcBorders>
          </w:tcPr>
          <w:p w14:paraId="39324E7E" w14:textId="5875545A" w:rsidR="003F42BA" w:rsidRPr="00626D32" w:rsidRDefault="003F42BA" w:rsidP="00DA7289">
            <w:pPr>
              <w:pStyle w:val="BoxSpaceBelow"/>
            </w:pPr>
          </w:p>
        </w:tc>
      </w:tr>
    </w:tbl>
    <w:p w14:paraId="20504049" w14:textId="77777777" w:rsidR="003F42BA" w:rsidRDefault="003F42BA" w:rsidP="00893AE2">
      <w:pPr>
        <w:pStyle w:val="BodyText"/>
      </w:pPr>
    </w:p>
    <w:p w14:paraId="42FB4389" w14:textId="77777777" w:rsidR="00E16784" w:rsidRDefault="00E16784" w:rsidP="00E16784">
      <w:pPr>
        <w:pStyle w:val="BodyText"/>
      </w:pPr>
      <w:bookmarkStart w:id="21" w:name="_Ref405202306"/>
      <w:r>
        <w:br w:type="page"/>
      </w:r>
    </w:p>
    <w:p w14:paraId="6D23B35E" w14:textId="76D776F3" w:rsidR="00680847" w:rsidRPr="003F6E31" w:rsidRDefault="00680847" w:rsidP="00947053">
      <w:pPr>
        <w:pStyle w:val="Heading3"/>
      </w:pPr>
      <w:r w:rsidRPr="003F6E31">
        <w:lastRenderedPageBreak/>
        <w:t xml:space="preserve">Indicator 5: </w:t>
      </w:r>
      <w:bookmarkEnd w:id="19"/>
      <w:r w:rsidRPr="003F6E31">
        <w:t>Prevalence of overweight and obesity</w:t>
      </w:r>
      <w:bookmarkEnd w:id="20"/>
      <w:bookmarkEnd w:id="21"/>
    </w:p>
    <w:p w14:paraId="0DA51C15" w14:textId="77777777" w:rsidR="00680847" w:rsidRDefault="00680847" w:rsidP="002B469C">
      <w:pPr>
        <w:pStyle w:val="BodyText"/>
        <w:keepNext/>
        <w:spacing w:before="0"/>
      </w:pPr>
    </w:p>
    <w:tbl>
      <w:tblPr>
        <w:tblW w:w="8789" w:type="dxa"/>
        <w:tblCellMar>
          <w:right w:w="0" w:type="dxa"/>
        </w:tblCellMar>
        <w:tblLook w:val="0000" w:firstRow="0" w:lastRow="0" w:firstColumn="0" w:lastColumn="0" w:noHBand="0" w:noVBand="0"/>
      </w:tblPr>
      <w:tblGrid>
        <w:gridCol w:w="2093"/>
        <w:gridCol w:w="6696"/>
      </w:tblGrid>
      <w:tr w:rsidR="00680847" w:rsidRPr="00D87AA9" w14:paraId="111ACE4F" w14:textId="77777777" w:rsidTr="008F5A63">
        <w:tc>
          <w:tcPr>
            <w:tcW w:w="2093" w:type="dxa"/>
          </w:tcPr>
          <w:p w14:paraId="48A2C223" w14:textId="0CCFCFE5" w:rsidR="00680847" w:rsidRPr="00D87AA9" w:rsidRDefault="00680847" w:rsidP="00870410">
            <w:pPr>
              <w:pStyle w:val="TableBodyNA"/>
            </w:pPr>
            <w:r w:rsidRPr="00B82DC5">
              <w:t>Key amendments fr</w:t>
            </w:r>
            <w:r w:rsidR="002F2485">
              <w:t>om previous cycle of reporting:</w:t>
            </w:r>
          </w:p>
        </w:tc>
        <w:tc>
          <w:tcPr>
            <w:tcW w:w="6696" w:type="dxa"/>
          </w:tcPr>
          <w:p w14:paraId="26FE9EB2" w14:textId="7F92C891" w:rsidR="00680847" w:rsidRPr="00D87AA9" w:rsidRDefault="00760FAF" w:rsidP="00870410">
            <w:pPr>
              <w:pStyle w:val="TableBodyNA"/>
            </w:pPr>
            <w:r w:rsidRPr="005332B8">
              <w:t xml:space="preserve">This </w:t>
            </w:r>
            <w:r>
              <w:t xml:space="preserve">indicator is </w:t>
            </w:r>
            <w:r w:rsidRPr="005332B8">
              <w:t xml:space="preserve">unchanged from </w:t>
            </w:r>
            <w:r w:rsidR="004F51D4">
              <w:t xml:space="preserve">the </w:t>
            </w:r>
            <w:r w:rsidRPr="005332B8">
              <w:t xml:space="preserve">previous </w:t>
            </w:r>
            <w:r w:rsidR="00F555B6">
              <w:t>NIRA performance report</w:t>
            </w:r>
          </w:p>
        </w:tc>
      </w:tr>
      <w:tr w:rsidR="00680847" w:rsidRPr="00D87AA9" w14:paraId="65E4414F" w14:textId="77777777" w:rsidTr="008F5A63">
        <w:tc>
          <w:tcPr>
            <w:tcW w:w="2093" w:type="dxa"/>
          </w:tcPr>
          <w:p w14:paraId="4C6976A7" w14:textId="77777777" w:rsidR="00680847" w:rsidRPr="00D87AA9" w:rsidRDefault="00680847" w:rsidP="00870410">
            <w:pPr>
              <w:pStyle w:val="TableBodyNA"/>
            </w:pPr>
            <w:r w:rsidRPr="00D87AA9">
              <w:t>Target:</w:t>
            </w:r>
          </w:p>
        </w:tc>
        <w:tc>
          <w:tcPr>
            <w:tcW w:w="6696" w:type="dxa"/>
          </w:tcPr>
          <w:p w14:paraId="7DA96067" w14:textId="089FE188" w:rsidR="00680847" w:rsidRPr="00D87AA9" w:rsidRDefault="00680847" w:rsidP="00870410">
            <w:pPr>
              <w:pStyle w:val="TableBodyNA"/>
            </w:pPr>
            <w:r w:rsidRPr="00B53FA2">
              <w:t>Closing the life expectancy gap within a generation (by 2031)</w:t>
            </w:r>
          </w:p>
        </w:tc>
      </w:tr>
      <w:tr w:rsidR="00680847" w:rsidRPr="00D87AA9" w14:paraId="0E52AD0E" w14:textId="77777777" w:rsidTr="008F5A63">
        <w:tc>
          <w:tcPr>
            <w:tcW w:w="2093" w:type="dxa"/>
          </w:tcPr>
          <w:p w14:paraId="00AA5124" w14:textId="77777777" w:rsidR="00680847" w:rsidRPr="00D87AA9" w:rsidRDefault="00680847" w:rsidP="00870410">
            <w:pPr>
              <w:pStyle w:val="TableBodyNA"/>
            </w:pPr>
            <w:r w:rsidRPr="00D87AA9">
              <w:t>Measure:</w:t>
            </w:r>
          </w:p>
        </w:tc>
        <w:tc>
          <w:tcPr>
            <w:tcW w:w="6696" w:type="dxa"/>
          </w:tcPr>
          <w:p w14:paraId="20F77299" w14:textId="77777777" w:rsidR="00680847" w:rsidRDefault="00680847" w:rsidP="00870410">
            <w:pPr>
              <w:pStyle w:val="TableBodyNA"/>
            </w:pPr>
            <w:r>
              <w:t>Prevalence of overweight and obesity among Australians, by Indigenous status.</w:t>
            </w:r>
          </w:p>
          <w:p w14:paraId="6521A487" w14:textId="77777777" w:rsidR="00680847" w:rsidRDefault="00680847" w:rsidP="00870410">
            <w:pPr>
              <w:pStyle w:val="TableBodyNA"/>
            </w:pPr>
            <w:r>
              <w:t>The measure is defined as:</w:t>
            </w:r>
          </w:p>
          <w:p w14:paraId="56B1C02F" w14:textId="77777777" w:rsidR="00680847" w:rsidRPr="00855818" w:rsidRDefault="00680847" w:rsidP="00680847">
            <w:pPr>
              <w:pStyle w:val="TableBullet"/>
              <w:rPr>
                <w:szCs w:val="24"/>
              </w:rPr>
            </w:pPr>
            <w:r w:rsidRPr="004B7D4D">
              <w:rPr>
                <w:i/>
              </w:rPr>
              <w:t>Numerator</w:t>
            </w:r>
            <w:r>
              <w:t xml:space="preserve"> — people aged 18 years or over with a Body Mass Index (BMI) </w:t>
            </w:r>
            <w:r w:rsidR="00012B4D">
              <w:t xml:space="preserve">classified as </w:t>
            </w:r>
            <w:r>
              <w:t xml:space="preserve">obese and </w:t>
            </w:r>
            <w:r w:rsidRPr="00855818">
              <w:t>overweight</w:t>
            </w:r>
          </w:p>
          <w:p w14:paraId="7C26AF8D" w14:textId="77777777" w:rsidR="00680847" w:rsidRPr="00855818" w:rsidRDefault="00680847" w:rsidP="00680847">
            <w:pPr>
              <w:pStyle w:val="TableBullet"/>
              <w:rPr>
                <w:szCs w:val="24"/>
              </w:rPr>
            </w:pPr>
            <w:r w:rsidRPr="00E30901">
              <w:rPr>
                <w:i/>
              </w:rPr>
              <w:t>Denominator</w:t>
            </w:r>
            <w:r w:rsidRPr="00E30901">
              <w:t xml:space="preserve"> — total population of people aged 18 years or over </w:t>
            </w:r>
            <w:r w:rsidRPr="00855818">
              <w:t>for whom height and weight measurements were taken</w:t>
            </w:r>
          </w:p>
          <w:p w14:paraId="7329A450" w14:textId="77777777" w:rsidR="00680847" w:rsidRDefault="00680847" w:rsidP="00870410">
            <w:pPr>
              <w:pStyle w:val="TableBodyNA"/>
            </w:pPr>
            <w:r w:rsidRPr="00E30901">
              <w:t xml:space="preserve">presented as a </w:t>
            </w:r>
            <w:r w:rsidRPr="00E30901">
              <w:rPr>
                <w:i/>
              </w:rPr>
              <w:t>rate per 100 persons (per cent)</w:t>
            </w:r>
          </w:p>
          <w:p w14:paraId="2CF7C10A" w14:textId="77777777" w:rsidR="00680847" w:rsidRDefault="00680847" w:rsidP="00870410">
            <w:pPr>
              <w:pStyle w:val="TableBodyNA"/>
            </w:pPr>
            <w:r>
              <w:t>Data are also reported for people with a BMI of 18.5–24.9 (normal weight); and with a BMI of less than 18.5 (underweight)</w:t>
            </w:r>
          </w:p>
          <w:p w14:paraId="1FF8293C" w14:textId="562A489D" w:rsidR="00680847" w:rsidRPr="00D87AA9" w:rsidRDefault="00680847" w:rsidP="00870410">
            <w:pPr>
              <w:pStyle w:val="TableBodyNA"/>
            </w:pPr>
            <w:r>
              <w:t>BMI calculated as weight (in kilograms) divided by the square of height (in metres). For adults, obesity is defined as a BMI of greater than or equal to 30 and overweight is defined as a BMI of 25.0–29.9.</w:t>
            </w:r>
          </w:p>
        </w:tc>
      </w:tr>
      <w:tr w:rsidR="00680847" w:rsidRPr="00D87AA9" w14:paraId="7EB373C5" w14:textId="77777777" w:rsidTr="008F5A63">
        <w:tc>
          <w:tcPr>
            <w:tcW w:w="2093" w:type="dxa"/>
          </w:tcPr>
          <w:p w14:paraId="14C5A5CA" w14:textId="77777777" w:rsidR="00680847" w:rsidRPr="00D87AA9" w:rsidRDefault="00680847" w:rsidP="00870410">
            <w:pPr>
              <w:pStyle w:val="TableBodyNA"/>
            </w:pPr>
            <w:r w:rsidRPr="00D87AA9">
              <w:t>Data source:</w:t>
            </w:r>
          </w:p>
        </w:tc>
        <w:tc>
          <w:tcPr>
            <w:tcW w:w="6696" w:type="dxa"/>
          </w:tcPr>
          <w:p w14:paraId="7D75F698" w14:textId="77777777" w:rsidR="00680847" w:rsidRDefault="00680847" w:rsidP="00870410">
            <w:pPr>
              <w:pStyle w:val="TableBodyNA"/>
            </w:pPr>
            <w:r w:rsidRPr="004B7D4D">
              <w:rPr>
                <w:i/>
              </w:rPr>
              <w:t>Numerator and denominator</w:t>
            </w:r>
            <w:r>
              <w:t xml:space="preserve"> — </w:t>
            </w:r>
          </w:p>
          <w:p w14:paraId="3182189C" w14:textId="1FB0C24F" w:rsidR="00680847" w:rsidRDefault="00680847" w:rsidP="00870410">
            <w:pPr>
              <w:pStyle w:val="TableBodyNA"/>
            </w:pPr>
            <w:r w:rsidRPr="00436A2C">
              <w:t>(</w:t>
            </w:r>
            <w:r w:rsidR="009431D9">
              <w:t>Aboriginal and Torres Strait Islander</w:t>
            </w:r>
            <w:r w:rsidRPr="00436A2C">
              <w:t>)</w:t>
            </w:r>
            <w:r>
              <w:t xml:space="preserve"> </w:t>
            </w:r>
            <w:r w:rsidR="00E16784">
              <w:t xml:space="preserve">ABS </w:t>
            </w:r>
            <w:r w:rsidR="00E16784" w:rsidRPr="00BF4BD7">
              <w:rPr>
                <w:u w:val="single"/>
              </w:rPr>
              <w:t>National Aboriginal and Torres Strait Islander Health Survey</w:t>
            </w:r>
            <w:r w:rsidR="00E16784">
              <w:t xml:space="preserve"> (NATSIHS)</w:t>
            </w:r>
            <w:r w:rsidR="005275BD">
              <w:rPr>
                <w:rStyle w:val="FootnoteReference"/>
              </w:rPr>
              <w:footnoteReference w:id="6"/>
            </w:r>
            <w:r w:rsidR="00E16784">
              <w:t>.</w:t>
            </w:r>
            <w:r>
              <w:t xml:space="preserve"> Data are collected every six years</w:t>
            </w:r>
            <w:r w:rsidR="008D039F">
              <w:t>.</w:t>
            </w:r>
          </w:p>
          <w:p w14:paraId="2EFEC40A" w14:textId="799705AF" w:rsidR="00680847" w:rsidRPr="00247BAD" w:rsidRDefault="00680847" w:rsidP="00870410">
            <w:pPr>
              <w:pStyle w:val="TableBodyNA"/>
            </w:pPr>
            <w:r w:rsidRPr="00436A2C">
              <w:t>(non</w:t>
            </w:r>
            <w:r w:rsidR="00FA5150">
              <w:noBreakHyphen/>
            </w:r>
            <w:r w:rsidRPr="00436A2C">
              <w:t>Indigenous)</w:t>
            </w:r>
            <w:r w:rsidR="008D039F">
              <w:t xml:space="preserve"> ABS</w:t>
            </w:r>
            <w:r>
              <w:t xml:space="preserve"> </w:t>
            </w:r>
            <w:r w:rsidR="00E16784">
              <w:rPr>
                <w:u w:val="single"/>
              </w:rPr>
              <w:t>National</w:t>
            </w:r>
            <w:r w:rsidR="00E16784" w:rsidRPr="004B7D4D">
              <w:rPr>
                <w:u w:val="single"/>
              </w:rPr>
              <w:t xml:space="preserve"> </w:t>
            </w:r>
            <w:r w:rsidRPr="004B7D4D">
              <w:rPr>
                <w:u w:val="single"/>
              </w:rPr>
              <w:t>Health Survey</w:t>
            </w:r>
            <w:r>
              <w:t xml:space="preserve"> (</w:t>
            </w:r>
            <w:r w:rsidR="00E16784">
              <w:t>NHS</w:t>
            </w:r>
            <w:r>
              <w:t>) for non</w:t>
            </w:r>
            <w:r w:rsidR="00FA5150">
              <w:noBreakHyphen/>
            </w:r>
            <w:r>
              <w:t>Indigenous data. Data are collected every three years</w:t>
            </w:r>
            <w:r w:rsidR="008D039F">
              <w:t>.</w:t>
            </w:r>
          </w:p>
        </w:tc>
      </w:tr>
      <w:tr w:rsidR="00680847" w:rsidRPr="00D87AA9" w14:paraId="1F3C57CF" w14:textId="77777777" w:rsidTr="008F5A63">
        <w:tc>
          <w:tcPr>
            <w:tcW w:w="2093" w:type="dxa"/>
          </w:tcPr>
          <w:p w14:paraId="456D38FD" w14:textId="77777777" w:rsidR="00680847" w:rsidRPr="00D87AA9" w:rsidRDefault="00680847" w:rsidP="00870410">
            <w:pPr>
              <w:pStyle w:val="TableBodyNA"/>
            </w:pPr>
            <w:r w:rsidRPr="00D87AA9">
              <w:t>Data provider:</w:t>
            </w:r>
          </w:p>
        </w:tc>
        <w:tc>
          <w:tcPr>
            <w:tcW w:w="6696" w:type="dxa"/>
          </w:tcPr>
          <w:p w14:paraId="71B3F148" w14:textId="60585C24" w:rsidR="00680847" w:rsidRPr="00D87AA9" w:rsidRDefault="00680847" w:rsidP="00870410">
            <w:pPr>
              <w:pStyle w:val="TableBodyNA"/>
            </w:pPr>
            <w:r w:rsidRPr="003C37F2">
              <w:t>ABS</w:t>
            </w:r>
          </w:p>
        </w:tc>
      </w:tr>
      <w:tr w:rsidR="00680847" w:rsidRPr="00D87AA9" w14:paraId="4C4F014C" w14:textId="77777777" w:rsidTr="008F5A63">
        <w:tc>
          <w:tcPr>
            <w:tcW w:w="2093" w:type="dxa"/>
            <w:shd w:val="clear" w:color="auto" w:fill="auto"/>
          </w:tcPr>
          <w:p w14:paraId="69017564" w14:textId="77777777" w:rsidR="00680847" w:rsidRPr="00D87AA9" w:rsidRDefault="00680847" w:rsidP="00870410">
            <w:pPr>
              <w:pStyle w:val="TableBodyNA"/>
            </w:pPr>
            <w:r w:rsidRPr="00D87AA9">
              <w:t>Data availability:</w:t>
            </w:r>
          </w:p>
        </w:tc>
        <w:tc>
          <w:tcPr>
            <w:tcW w:w="6696" w:type="dxa"/>
            <w:shd w:val="clear" w:color="auto" w:fill="auto"/>
          </w:tcPr>
          <w:p w14:paraId="05A19A7D" w14:textId="7BB42B01" w:rsidR="009B6299" w:rsidRDefault="009B6299" w:rsidP="00870410">
            <w:pPr>
              <w:pStyle w:val="TableBodyNA"/>
            </w:pPr>
            <w:r>
              <w:t>2018</w:t>
            </w:r>
            <w:r w:rsidR="00FA5150">
              <w:noBreakHyphen/>
            </w:r>
            <w:r>
              <w:t>19 (Aboriginal and Torres Strait Islander data) — NATSIHS</w:t>
            </w:r>
          </w:p>
          <w:p w14:paraId="697F1B81" w14:textId="1D24B5AB" w:rsidR="00680847" w:rsidRPr="009C0D98" w:rsidRDefault="009B6299" w:rsidP="00870410">
            <w:pPr>
              <w:pStyle w:val="TableBodyNA"/>
            </w:pPr>
            <w:r>
              <w:t>2017</w:t>
            </w:r>
            <w:r w:rsidR="00FA5150">
              <w:noBreakHyphen/>
            </w:r>
            <w:r>
              <w:t>18 (non</w:t>
            </w:r>
            <w:r w:rsidR="00FA5150">
              <w:noBreakHyphen/>
            </w:r>
            <w:r>
              <w:t xml:space="preserve">Indigenous data) — </w:t>
            </w:r>
            <w:r>
              <w:rPr>
                <w:rFonts w:cs="Arial"/>
                <w:color w:val="333333"/>
                <w:shd w:val="clear" w:color="auto" w:fill="FFFFFF"/>
              </w:rPr>
              <w:t>NHS</w:t>
            </w:r>
          </w:p>
        </w:tc>
      </w:tr>
      <w:tr w:rsidR="00680847" w:rsidRPr="00D87AA9" w14:paraId="638D3C5C" w14:textId="77777777" w:rsidTr="008F5A63">
        <w:tc>
          <w:tcPr>
            <w:tcW w:w="2093" w:type="dxa"/>
            <w:shd w:val="clear" w:color="auto" w:fill="auto"/>
          </w:tcPr>
          <w:p w14:paraId="0DF1ADDC" w14:textId="77777777" w:rsidR="00680847" w:rsidRPr="00D87AA9" w:rsidRDefault="00680847" w:rsidP="00870410">
            <w:pPr>
              <w:pStyle w:val="TableBodyNA"/>
            </w:pPr>
            <w:r w:rsidRPr="00D87AA9">
              <w:t>Cross tabulations provided:</w:t>
            </w:r>
          </w:p>
        </w:tc>
        <w:tc>
          <w:tcPr>
            <w:tcW w:w="6696" w:type="dxa"/>
            <w:shd w:val="clear" w:color="auto" w:fill="auto"/>
          </w:tcPr>
          <w:p w14:paraId="465C9E1B" w14:textId="77777777" w:rsidR="009B6299" w:rsidRDefault="009B6299" w:rsidP="00870410">
            <w:pPr>
              <w:pStyle w:val="TableBodyNA"/>
            </w:pPr>
            <w:r>
              <w:t>State and Territory, by:</w:t>
            </w:r>
          </w:p>
          <w:p w14:paraId="33941BF2" w14:textId="4AF6B52A" w:rsidR="009B6299" w:rsidRDefault="009B6299" w:rsidP="008822BF">
            <w:pPr>
              <w:pStyle w:val="TableBullet"/>
            </w:pPr>
            <w:r>
              <w:t>Aboriginal and Torres Strait Islander Australians (crude rates)</w:t>
            </w:r>
          </w:p>
          <w:p w14:paraId="01340335" w14:textId="77777777" w:rsidR="009B6299" w:rsidRDefault="009B6299" w:rsidP="009B6299">
            <w:pPr>
              <w:pStyle w:val="TableBullet"/>
            </w:pPr>
            <w:r>
              <w:t>Aboriginal and Torres Strait Islander Australians by remoteness (crude rates) (based on ASGS)</w:t>
            </w:r>
          </w:p>
          <w:p w14:paraId="6A2A3B03" w14:textId="28D902F8" w:rsidR="009B6299" w:rsidRDefault="009B6299" w:rsidP="008822BF">
            <w:pPr>
              <w:pStyle w:val="TableBullet"/>
            </w:pPr>
            <w:r>
              <w:t>Indigenous status (age standardised rates)</w:t>
            </w:r>
          </w:p>
          <w:p w14:paraId="7126CDAF" w14:textId="7F91C92B" w:rsidR="009B6299" w:rsidRDefault="009B6299" w:rsidP="008822BF">
            <w:pPr>
              <w:pStyle w:val="TableBullet"/>
            </w:pPr>
            <w:r>
              <w:t>Indigenous status by remoteness (age standardised rates) (based on ASGS)</w:t>
            </w:r>
          </w:p>
          <w:p w14:paraId="3397D9DA" w14:textId="3F627D2F" w:rsidR="00680847" w:rsidRPr="002F2485" w:rsidRDefault="009B6299" w:rsidP="008822BF">
            <w:pPr>
              <w:pStyle w:val="TableBullet"/>
              <w:rPr>
                <w:i/>
                <w:szCs w:val="24"/>
              </w:rPr>
            </w:pPr>
            <w:r>
              <w:t>Indigenous status by BMI category (obese, overweight, normal weight and underweight) (age standardised rates)</w:t>
            </w:r>
          </w:p>
        </w:tc>
      </w:tr>
    </w:tbl>
    <w:p w14:paraId="187FFCC5" w14:textId="77777777" w:rsidR="00C276CB" w:rsidRDefault="00C276CB" w:rsidP="00C276CB">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C276CB" w14:paraId="7AD44F22" w14:textId="77777777" w:rsidTr="00DA7289">
        <w:tc>
          <w:tcPr>
            <w:tcW w:w="8789" w:type="dxa"/>
            <w:tcBorders>
              <w:top w:val="single" w:sz="6" w:space="0" w:color="78A22F"/>
              <w:left w:val="nil"/>
              <w:bottom w:val="nil"/>
              <w:right w:val="nil"/>
            </w:tcBorders>
            <w:shd w:val="clear" w:color="auto" w:fill="F2F2F2"/>
          </w:tcPr>
          <w:p w14:paraId="0110C14D" w14:textId="6FC9587D" w:rsidR="00C276CB" w:rsidRDefault="00C276CB" w:rsidP="005069E3">
            <w:pPr>
              <w:pStyle w:val="BoxTitle"/>
            </w:pPr>
            <w:r>
              <w:rPr>
                <w:b w:val="0"/>
              </w:rPr>
              <w:t>Box 2</w:t>
            </w:r>
            <w:r w:rsidR="005069E3">
              <w:rPr>
                <w:b w:val="0"/>
              </w:rPr>
              <w:t>2</w:t>
            </w:r>
            <w:r>
              <w:tab/>
              <w:t>Results</w:t>
            </w:r>
          </w:p>
        </w:tc>
      </w:tr>
      <w:tr w:rsidR="00C276CB" w:rsidRPr="00680847" w14:paraId="2380152F" w14:textId="77777777" w:rsidTr="00DA7289">
        <w:trPr>
          <w:cantSplit/>
        </w:trPr>
        <w:tc>
          <w:tcPr>
            <w:tcW w:w="8789" w:type="dxa"/>
            <w:tcBorders>
              <w:top w:val="nil"/>
              <w:left w:val="nil"/>
              <w:bottom w:val="nil"/>
              <w:right w:val="nil"/>
            </w:tcBorders>
            <w:shd w:val="clear" w:color="auto" w:fill="F2F2F2"/>
          </w:tcPr>
          <w:p w14:paraId="42C1AD08" w14:textId="2A910229" w:rsidR="00F770E1" w:rsidRDefault="00C276CB" w:rsidP="00F770E1">
            <w:pPr>
              <w:pStyle w:val="Box"/>
            </w:pPr>
            <w:r>
              <w:t>For this report new data are available for 2018</w:t>
            </w:r>
            <w:r w:rsidR="00FA5150">
              <w:noBreakHyphen/>
            </w:r>
            <w:r>
              <w:t>19 (Aboriginal and Torres Strait Islander data) and 2017</w:t>
            </w:r>
            <w:r w:rsidR="00FA5150">
              <w:noBreakHyphen/>
            </w:r>
            <w:r>
              <w:t>18 (non</w:t>
            </w:r>
            <w:r w:rsidR="00FA5150">
              <w:noBreakHyphen/>
            </w:r>
            <w:r>
              <w:t>Indigenous data).</w:t>
            </w:r>
            <w:r w:rsidR="00F770E1">
              <w:t xml:space="preserve"> </w:t>
            </w:r>
          </w:p>
          <w:p w14:paraId="3E28FCB7" w14:textId="1748B9F2" w:rsidR="00C276CB" w:rsidRDefault="00C276CB" w:rsidP="00C276CB">
            <w:pPr>
              <w:pStyle w:val="BoxListBullet"/>
            </w:pPr>
            <w:r>
              <w:t>Crude rates for Aboriginal and Torres Strait Islander persons, by State and Territory, are presented in table NIRA.5.1</w:t>
            </w:r>
          </w:p>
          <w:p w14:paraId="4573DF82" w14:textId="1AC22F7F" w:rsidR="00C276CB" w:rsidRDefault="00C276CB" w:rsidP="00C276CB">
            <w:pPr>
              <w:pStyle w:val="BoxListBullet"/>
            </w:pPr>
            <w:r>
              <w:t>Crude rates for Aboriginal and Torres Strait Islander persons, by State and Territory, by remoteness are presented in table NIRA.5.2</w:t>
            </w:r>
          </w:p>
          <w:p w14:paraId="09524EB4" w14:textId="099AA672" w:rsidR="00C276CB" w:rsidRDefault="00C276CB" w:rsidP="00C276CB">
            <w:pPr>
              <w:pStyle w:val="BoxListBullet"/>
            </w:pPr>
            <w:r>
              <w:t>Age standardised rates, by Indigenous status, by State and Territory are presented in table NIRA.5.3</w:t>
            </w:r>
          </w:p>
          <w:p w14:paraId="2016C911" w14:textId="77777777" w:rsidR="00C276CB" w:rsidRDefault="00C276CB" w:rsidP="00C276CB">
            <w:pPr>
              <w:pStyle w:val="BoxListBullet"/>
            </w:pPr>
            <w:r>
              <w:t>Age standardised rates, by Indigenous status, by State and Territory, by remoteness are presented in table NIRA.5.4</w:t>
            </w:r>
          </w:p>
          <w:p w14:paraId="35A20604" w14:textId="672C7834" w:rsidR="00C276CB" w:rsidRPr="00C276CB" w:rsidRDefault="00C276CB" w:rsidP="00C276CB">
            <w:pPr>
              <w:pStyle w:val="BoxListBullet"/>
            </w:pPr>
            <w:r w:rsidRPr="00C276CB">
              <w:t>Age standardised rates against BMI categories by State and Territory by Indigenous status are presented in table NIRA.5.</w:t>
            </w:r>
            <w:r>
              <w:t>5</w:t>
            </w:r>
            <w:r w:rsidRPr="00C276CB">
              <w:t>.</w:t>
            </w:r>
          </w:p>
          <w:p w14:paraId="3C9B0E4B" w14:textId="53EA0B85" w:rsidR="00C276CB" w:rsidRPr="00680847" w:rsidRDefault="00C276CB" w:rsidP="00C276CB">
            <w:pPr>
              <w:pStyle w:val="Box"/>
            </w:pPr>
            <w:r>
              <w:t>Data from the 2012</w:t>
            </w:r>
            <w:r w:rsidR="00FA5150">
              <w:noBreakHyphen/>
            </w:r>
            <w:r>
              <w:t>13 AATSIHS and 2011</w:t>
            </w:r>
            <w:r w:rsidR="00FA5150">
              <w:noBreakHyphen/>
            </w:r>
            <w:r>
              <w:t>12 AHS were reported in the 2013</w:t>
            </w:r>
            <w:r w:rsidR="00FA5150">
              <w:noBreakHyphen/>
            </w:r>
            <w:r>
              <w:t xml:space="preserve">14 NIRA performance report. </w:t>
            </w:r>
            <w:r w:rsidRPr="00680847">
              <w:t>Additional data for 2004</w:t>
            </w:r>
            <w:r w:rsidR="00FA5150">
              <w:noBreakHyphen/>
            </w:r>
            <w:r w:rsidRPr="00680847">
              <w:t xml:space="preserve">05 disaggregated by remoteness </w:t>
            </w:r>
            <w:r>
              <w:t>were</w:t>
            </w:r>
            <w:r w:rsidRPr="00680847">
              <w:t xml:space="preserve"> </w:t>
            </w:r>
            <w:r>
              <w:t>included</w:t>
            </w:r>
            <w:r w:rsidRPr="00680847">
              <w:t xml:space="preserve"> in the 2012</w:t>
            </w:r>
            <w:r w:rsidR="00FA5150">
              <w:noBreakHyphen/>
            </w:r>
            <w:r w:rsidRPr="00680847">
              <w:t>13</w:t>
            </w:r>
            <w:r>
              <w:t> </w:t>
            </w:r>
            <w:r w:rsidRPr="00680847">
              <w:t xml:space="preserve">NIRA </w:t>
            </w:r>
            <w:r>
              <w:t xml:space="preserve">performance </w:t>
            </w:r>
            <w:r w:rsidRPr="00680847">
              <w:t xml:space="preserve">report. </w:t>
            </w:r>
            <w:r>
              <w:t>Other</w:t>
            </w:r>
            <w:r w:rsidRPr="00680847">
              <w:t xml:space="preserve"> data for 2004</w:t>
            </w:r>
            <w:r w:rsidR="00FA5150">
              <w:noBreakHyphen/>
            </w:r>
            <w:r w:rsidRPr="00680847">
              <w:t xml:space="preserve">05 </w:t>
            </w:r>
            <w:r>
              <w:t>were included</w:t>
            </w:r>
            <w:r w:rsidRPr="00680847">
              <w:t xml:space="preserve"> in the 2011</w:t>
            </w:r>
            <w:r w:rsidR="00FA5150">
              <w:noBreakHyphen/>
            </w:r>
            <w:r w:rsidRPr="00680847">
              <w:t xml:space="preserve">12 NIRA </w:t>
            </w:r>
            <w:r>
              <w:t>performance report.</w:t>
            </w:r>
          </w:p>
        </w:tc>
      </w:tr>
      <w:tr w:rsidR="00C276CB" w14:paraId="7E6D3E06" w14:textId="77777777" w:rsidTr="00DA7289">
        <w:trPr>
          <w:cantSplit/>
        </w:trPr>
        <w:tc>
          <w:tcPr>
            <w:tcW w:w="8789" w:type="dxa"/>
            <w:tcBorders>
              <w:top w:val="nil"/>
              <w:left w:val="nil"/>
              <w:bottom w:val="single" w:sz="6" w:space="0" w:color="78A22F"/>
              <w:right w:val="nil"/>
            </w:tcBorders>
            <w:shd w:val="clear" w:color="auto" w:fill="F2F2F2"/>
          </w:tcPr>
          <w:p w14:paraId="03B97FEC" w14:textId="77777777" w:rsidR="00C276CB" w:rsidRDefault="00C276CB" w:rsidP="00DA7289">
            <w:pPr>
              <w:pStyle w:val="Box"/>
              <w:spacing w:before="0" w:line="120" w:lineRule="exact"/>
            </w:pPr>
          </w:p>
        </w:tc>
      </w:tr>
      <w:tr w:rsidR="00C276CB" w:rsidRPr="000863A5" w14:paraId="29709907" w14:textId="77777777" w:rsidTr="00DA7289">
        <w:tc>
          <w:tcPr>
            <w:tcW w:w="8789" w:type="dxa"/>
            <w:tcBorders>
              <w:top w:val="single" w:sz="6" w:space="0" w:color="78A22F"/>
              <w:left w:val="nil"/>
              <w:bottom w:val="nil"/>
              <w:right w:val="nil"/>
            </w:tcBorders>
          </w:tcPr>
          <w:p w14:paraId="3FF15C59" w14:textId="77777777" w:rsidR="00C276CB" w:rsidRPr="00626D32" w:rsidRDefault="00C276CB" w:rsidP="00DA7289">
            <w:pPr>
              <w:pStyle w:val="BoxSpaceBelow"/>
            </w:pPr>
          </w:p>
        </w:tc>
      </w:tr>
    </w:tbl>
    <w:p w14:paraId="59763406" w14:textId="77777777" w:rsidR="00C276CB" w:rsidRDefault="00C276CB" w:rsidP="00C276CB">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C276CB" w14:paraId="4920B595" w14:textId="77777777" w:rsidTr="00170EF9">
        <w:tc>
          <w:tcPr>
            <w:tcW w:w="8789" w:type="dxa"/>
            <w:tcBorders>
              <w:top w:val="single" w:sz="6" w:space="0" w:color="78A22F"/>
              <w:left w:val="nil"/>
              <w:bottom w:val="nil"/>
              <w:right w:val="nil"/>
            </w:tcBorders>
            <w:shd w:val="clear" w:color="auto" w:fill="F2F2F2"/>
          </w:tcPr>
          <w:p w14:paraId="26B6AD3D" w14:textId="599D9381" w:rsidR="00C276CB" w:rsidRDefault="00C276CB" w:rsidP="00B87346">
            <w:pPr>
              <w:pStyle w:val="BoxTitle"/>
            </w:pPr>
            <w:r>
              <w:rPr>
                <w:b w:val="0"/>
              </w:rPr>
              <w:t>Box 2</w:t>
            </w:r>
            <w:r w:rsidR="00B87346">
              <w:rPr>
                <w:b w:val="0"/>
              </w:rPr>
              <w:t>3</w:t>
            </w:r>
            <w:r>
              <w:tab/>
              <w:t>Comment on data quality</w:t>
            </w:r>
          </w:p>
        </w:tc>
      </w:tr>
      <w:tr w:rsidR="00C276CB" w:rsidRPr="00680847" w14:paraId="61D5B42A" w14:textId="77777777" w:rsidTr="00170EF9">
        <w:trPr>
          <w:cantSplit/>
        </w:trPr>
        <w:tc>
          <w:tcPr>
            <w:tcW w:w="8789" w:type="dxa"/>
            <w:tcBorders>
              <w:top w:val="nil"/>
              <w:left w:val="nil"/>
              <w:bottom w:val="nil"/>
              <w:right w:val="nil"/>
            </w:tcBorders>
            <w:shd w:val="clear" w:color="auto" w:fill="F2F2F2"/>
          </w:tcPr>
          <w:p w14:paraId="7861BC7E" w14:textId="77777777" w:rsidR="004C1073" w:rsidRPr="00680847" w:rsidRDefault="004C1073" w:rsidP="004C1073">
            <w:pPr>
              <w:pStyle w:val="Box"/>
            </w:pPr>
            <w:r w:rsidRPr="00680847">
              <w:t>Key points on data quality for this indicator are summarised below.</w:t>
            </w:r>
          </w:p>
          <w:p w14:paraId="58892A14" w14:textId="77777777" w:rsidR="004C1073" w:rsidRPr="00680847" w:rsidRDefault="004C1073" w:rsidP="004C1073">
            <w:pPr>
              <w:pStyle w:val="BoxListBullet"/>
            </w:pPr>
            <w:r w:rsidRPr="00680847">
              <w:t>The data provide relevant information on the proportion of people who are overweight and obese. Data are available by State and Territory.</w:t>
            </w:r>
          </w:p>
          <w:p w14:paraId="2120284B" w14:textId="379B238A" w:rsidR="004C1073" w:rsidRDefault="004C1073" w:rsidP="004C1073">
            <w:pPr>
              <w:pStyle w:val="BoxListBullet"/>
            </w:pPr>
            <w:r w:rsidRPr="00680847">
              <w:t xml:space="preserve">Data for </w:t>
            </w:r>
            <w:r>
              <w:t xml:space="preserve">Aboriginal and Torres Strait Islander </w:t>
            </w:r>
            <w:r w:rsidRPr="00680847">
              <w:t xml:space="preserve">people are available from the </w:t>
            </w:r>
            <w:r>
              <w:t xml:space="preserve">NATSIHS </w:t>
            </w:r>
            <w:r w:rsidRPr="00680847">
              <w:t>and data for non</w:t>
            </w:r>
            <w:r w:rsidR="00FA5150">
              <w:noBreakHyphen/>
            </w:r>
            <w:r w:rsidRPr="00680847">
              <w:t xml:space="preserve">Indigenous comparisons are available from the </w:t>
            </w:r>
            <w:r>
              <w:t>N</w:t>
            </w:r>
            <w:r w:rsidRPr="00680847">
              <w:t xml:space="preserve">HS. </w:t>
            </w:r>
          </w:p>
          <w:p w14:paraId="69B695B8" w14:textId="13C788EB" w:rsidR="004C1073" w:rsidRPr="00680847" w:rsidRDefault="004C1073" w:rsidP="004C1073">
            <w:pPr>
              <w:pStyle w:val="BoxListBullet"/>
            </w:pPr>
            <w:r w:rsidRPr="00680847">
              <w:t xml:space="preserve">The </w:t>
            </w:r>
            <w:r>
              <w:t>N</w:t>
            </w:r>
            <w:r w:rsidRPr="00680847">
              <w:t>ATSIHS is conducted every six years with the most recent available data for 201</w:t>
            </w:r>
            <w:r>
              <w:t>8</w:t>
            </w:r>
            <w:r w:rsidR="00FA5150">
              <w:noBreakHyphen/>
            </w:r>
            <w:r>
              <w:t>19</w:t>
            </w:r>
            <w:r w:rsidRPr="00680847">
              <w:t xml:space="preserve">. The </w:t>
            </w:r>
            <w:r>
              <w:t>N</w:t>
            </w:r>
            <w:r w:rsidRPr="00680847">
              <w:t>HS is conducted every three years with the most re</w:t>
            </w:r>
            <w:r>
              <w:t>cent available data for 2017</w:t>
            </w:r>
            <w:r w:rsidR="00FA5150">
              <w:noBreakHyphen/>
            </w:r>
            <w:r>
              <w:t xml:space="preserve">18. </w:t>
            </w:r>
          </w:p>
          <w:p w14:paraId="1D258A1E" w14:textId="3916BB4A" w:rsidR="004E22DD" w:rsidRPr="004E22DD" w:rsidRDefault="004C1073" w:rsidP="004E22DD">
            <w:pPr>
              <w:pStyle w:val="BoxListBullet"/>
              <w:rPr>
                <w:shd w:val="clear" w:color="auto" w:fill="FFFF00"/>
              </w:rPr>
            </w:pPr>
            <w:r w:rsidRPr="00680847">
              <w:t>Non</w:t>
            </w:r>
            <w:r w:rsidR="00FA5150">
              <w:noBreakHyphen/>
            </w:r>
            <w:r w:rsidRPr="00680847">
              <w:t xml:space="preserve">Indigenous data from the </w:t>
            </w:r>
            <w:r>
              <w:t>N</w:t>
            </w:r>
            <w:r w:rsidRPr="00680847">
              <w:t>HS do not include people living in very remote areas, which affects the comparability of the NT results.</w:t>
            </w:r>
            <w:r w:rsidR="00170EF9">
              <w:t xml:space="preserve"> </w:t>
            </w:r>
            <w:r w:rsidR="004E22DD" w:rsidRPr="00662E2F">
              <w:t>Non</w:t>
            </w:r>
            <w:r w:rsidR="00F34E12">
              <w:noBreakHyphen/>
            </w:r>
            <w:r w:rsidR="004E22DD" w:rsidRPr="00662E2F">
              <w:t>Indigenous data for outer regional and remote areas, by State and Territory, have been combined as data quality is not sufficient to support separate reporting. They have been reported separately at the national level.</w:t>
            </w:r>
          </w:p>
          <w:p w14:paraId="1C9A90D5" w14:textId="6DF4551F" w:rsidR="004C1073" w:rsidRPr="00680847" w:rsidRDefault="0037302B" w:rsidP="00034247">
            <w:pPr>
              <w:pStyle w:val="BoxListBullet"/>
            </w:pPr>
            <w:r w:rsidRPr="00662E2F">
              <w:t>For 2017</w:t>
            </w:r>
            <w:r w:rsidR="00F34E12">
              <w:noBreakHyphen/>
            </w:r>
            <w:r w:rsidRPr="00662E2F">
              <w:t>18 NHS and 2018</w:t>
            </w:r>
            <w:r w:rsidR="00F34E12">
              <w:noBreakHyphen/>
            </w:r>
            <w:r w:rsidRPr="00662E2F">
              <w:t>19 NATSIHS</w:t>
            </w:r>
            <w:r w:rsidR="004E2AF6" w:rsidRPr="00662E2F">
              <w:t>, the ABS have advised that 95 per cent confidence intervals and RSEs for the aged standardised rates are not available</w:t>
            </w:r>
            <w:r w:rsidR="004E2AF6" w:rsidRPr="00662E2F">
              <w:rPr>
                <w:color w:val="1F497D"/>
              </w:rPr>
              <w:t xml:space="preserve"> and </w:t>
            </w:r>
            <w:r w:rsidR="004E2AF6" w:rsidRPr="00662E2F">
              <w:t>that users should refer to th</w:t>
            </w:r>
            <w:r w:rsidR="004E2AF6" w:rsidRPr="00662E2F">
              <w:rPr>
                <w:color w:val="1F497D"/>
              </w:rPr>
              <w:t>ose for the</w:t>
            </w:r>
            <w:r w:rsidR="004E2AF6" w:rsidRPr="00662E2F">
              <w:t xml:space="preserve"> associated crude rates.</w:t>
            </w:r>
          </w:p>
          <w:p w14:paraId="1F89613F" w14:textId="77777777" w:rsidR="00A03E93" w:rsidRPr="00E23DEB" w:rsidRDefault="00A03E93" w:rsidP="00A03E93">
            <w:pPr>
              <w:pStyle w:val="BoxListBullet"/>
            </w:pPr>
            <w:r w:rsidRPr="00E516C4">
              <w:t xml:space="preserve">Data are of acceptable accuracy. Some </w:t>
            </w:r>
            <w:r w:rsidRPr="005A6EB0">
              <w:t xml:space="preserve">proportions </w:t>
            </w:r>
            <w:r>
              <w:t xml:space="preserve">have </w:t>
            </w:r>
            <w:r w:rsidRPr="005A6EB0">
              <w:t xml:space="preserve">a </w:t>
            </w:r>
            <w:r>
              <w:t xml:space="preserve">large </w:t>
            </w:r>
            <w:r w:rsidRPr="005A6EB0">
              <w:t xml:space="preserve">confidence interval </w:t>
            </w:r>
            <w:r>
              <w:t xml:space="preserve">and </w:t>
            </w:r>
            <w:r w:rsidRPr="005A6EB0">
              <w:t>should be used with caution</w:t>
            </w:r>
            <w:r w:rsidRPr="00E516C4">
              <w:t>.</w:t>
            </w:r>
          </w:p>
          <w:p w14:paraId="49ABE0A3" w14:textId="4AA476B2" w:rsidR="00C276CB" w:rsidRPr="00680847" w:rsidRDefault="00A03E93" w:rsidP="00A03E93">
            <w:pPr>
              <w:pStyle w:val="BoxListBullet"/>
            </w:pPr>
            <w:r w:rsidRPr="00D8320A">
              <w:t>The 2004</w:t>
            </w:r>
            <w:r>
              <w:noBreakHyphen/>
            </w:r>
            <w:r w:rsidRPr="00D8320A">
              <w:t xml:space="preserve">05 NATSIHS and NHS </w:t>
            </w:r>
            <w:r>
              <w:t>calculated BMI from height and weight ‘as reported’ by respondents. These results</w:t>
            </w:r>
            <w:r w:rsidRPr="00D8320A">
              <w:t xml:space="preserve"> </w:t>
            </w:r>
            <w:r>
              <w:t xml:space="preserve">may differ from </w:t>
            </w:r>
            <w:r w:rsidRPr="00D8320A">
              <w:t>2011–13 and 2017–19 data, which are based on measured height and weight.</w:t>
            </w:r>
            <w:r w:rsidR="00C276CB" w:rsidRPr="00680847">
              <w:t xml:space="preserve"> </w:t>
            </w:r>
          </w:p>
        </w:tc>
      </w:tr>
      <w:tr w:rsidR="00170EF9" w14:paraId="2FD442BB" w14:textId="77777777" w:rsidTr="00170EF9">
        <w:tc>
          <w:tcPr>
            <w:tcW w:w="8789" w:type="dxa"/>
            <w:tcBorders>
              <w:top w:val="nil"/>
              <w:left w:val="nil"/>
              <w:bottom w:val="nil"/>
              <w:right w:val="nil"/>
            </w:tcBorders>
            <w:shd w:val="clear" w:color="auto" w:fill="F2F2F2"/>
          </w:tcPr>
          <w:p w14:paraId="3865AE16" w14:textId="4314CF6A" w:rsidR="00170EF9" w:rsidRDefault="00170EF9" w:rsidP="00572E4B">
            <w:pPr>
              <w:pStyle w:val="Continued"/>
            </w:pPr>
            <w:bookmarkStart w:id="22" w:name="_Ref341361528"/>
            <w:r w:rsidRPr="00315070">
              <w:t xml:space="preserve"> (</w:t>
            </w:r>
            <w:r w:rsidRPr="00DB0CCE">
              <w:t>continued</w:t>
            </w:r>
            <w:r w:rsidRPr="00315070">
              <w:t xml:space="preserve"> next page)</w:t>
            </w:r>
          </w:p>
        </w:tc>
      </w:tr>
      <w:tr w:rsidR="00170EF9" w14:paraId="0A2356BE" w14:textId="77777777" w:rsidTr="00170EF9">
        <w:tc>
          <w:tcPr>
            <w:tcW w:w="8789" w:type="dxa"/>
            <w:tcBorders>
              <w:top w:val="nil"/>
              <w:left w:val="nil"/>
              <w:bottom w:val="single" w:sz="6" w:space="0" w:color="78A22F"/>
              <w:right w:val="nil"/>
            </w:tcBorders>
            <w:shd w:val="clear" w:color="auto" w:fill="F2F2F2"/>
          </w:tcPr>
          <w:p w14:paraId="7D10D75F" w14:textId="77777777" w:rsidR="00170EF9" w:rsidRDefault="00170EF9" w:rsidP="00572E4B">
            <w:pPr>
              <w:pStyle w:val="Box"/>
              <w:keepNext w:val="0"/>
              <w:spacing w:before="0" w:line="120" w:lineRule="exact"/>
            </w:pPr>
          </w:p>
        </w:tc>
      </w:tr>
    </w:tbl>
    <w:p w14:paraId="08C37AFD" w14:textId="77777777" w:rsidR="00170EF9" w:rsidRDefault="00170EF9" w:rsidP="00170EF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70EF9" w14:paraId="36E6AB52" w14:textId="77777777" w:rsidTr="00572E4B">
        <w:tc>
          <w:tcPr>
            <w:tcW w:w="5000" w:type="pct"/>
            <w:tcBorders>
              <w:top w:val="single" w:sz="6" w:space="0" w:color="78A22F"/>
              <w:left w:val="nil"/>
              <w:bottom w:val="nil"/>
              <w:right w:val="nil"/>
            </w:tcBorders>
            <w:shd w:val="clear" w:color="auto" w:fill="F2F2F2"/>
          </w:tcPr>
          <w:p w14:paraId="4E51E5B8" w14:textId="4ABC9186" w:rsidR="00170EF9" w:rsidRDefault="00170EF9" w:rsidP="00170EF9">
            <w:pPr>
              <w:pStyle w:val="BoxTitle"/>
            </w:pPr>
            <w:r>
              <w:rPr>
                <w:b w:val="0"/>
              </w:rPr>
              <w:t>Box 23</w:t>
            </w:r>
            <w:r>
              <w:tab/>
            </w:r>
            <w:r w:rsidRPr="00EA0D57">
              <w:rPr>
                <w:rStyle w:val="Continuedintitle"/>
              </w:rPr>
              <w:t>(continued</w:t>
            </w:r>
            <w:r>
              <w:rPr>
                <w:rStyle w:val="Continuedintitle"/>
              </w:rPr>
              <w:t>)</w:t>
            </w:r>
          </w:p>
        </w:tc>
      </w:tr>
      <w:tr w:rsidR="00170EF9" w14:paraId="67C590B9" w14:textId="77777777" w:rsidTr="00572E4B">
        <w:tc>
          <w:tcPr>
            <w:tcW w:w="5000" w:type="pct"/>
            <w:tcBorders>
              <w:top w:val="nil"/>
              <w:left w:val="nil"/>
              <w:bottom w:val="nil"/>
              <w:right w:val="nil"/>
            </w:tcBorders>
            <w:shd w:val="clear" w:color="auto" w:fill="F2F2F2"/>
          </w:tcPr>
          <w:p w14:paraId="53898A12" w14:textId="05A1D600" w:rsidR="00170EF9" w:rsidRDefault="00170EF9" w:rsidP="00170EF9">
            <w:pPr>
              <w:pStyle w:val="BoxListBullet"/>
            </w:pPr>
            <w:r w:rsidRPr="00D8320A">
              <w:t>Physical measurement variables have a relatively high rate of non</w:t>
            </w:r>
            <w:r>
              <w:noBreakHyphen/>
            </w:r>
            <w:r w:rsidRPr="00D8320A">
              <w:t xml:space="preserve">response, compared to other variables, due to respondent sensitivities and the voluntary nature of these questions. For </w:t>
            </w:r>
            <w:r>
              <w:t xml:space="preserve">the 2017–19 data, records </w:t>
            </w:r>
            <w:r w:rsidRPr="00D8320A">
              <w:t>with missing height and weight values</w:t>
            </w:r>
            <w:r>
              <w:t xml:space="preserve"> </w:t>
            </w:r>
            <w:r w:rsidRPr="00D8320A">
              <w:t>received a donor record response from a similar respondent.</w:t>
            </w:r>
            <w:r>
              <w:t xml:space="preserve"> C</w:t>
            </w:r>
            <w:r w:rsidRPr="00DF1D06">
              <w:t xml:space="preserve">omparisons </w:t>
            </w:r>
            <w:r>
              <w:t xml:space="preserve">with </w:t>
            </w:r>
            <w:r w:rsidRPr="00DF1D06">
              <w:t>earlier years</w:t>
            </w:r>
            <w:r>
              <w:t xml:space="preserve"> should only be made for </w:t>
            </w:r>
            <w:r w:rsidRPr="00662E2F">
              <w:t xml:space="preserve">proportions </w:t>
            </w:r>
            <w:r w:rsidR="00A03E93" w:rsidRPr="00662E2F">
              <w:t xml:space="preserve">(which are comparable with earlier years) </w:t>
            </w:r>
            <w:r w:rsidRPr="00662E2F">
              <w:t>and not numbers of people</w:t>
            </w:r>
            <w:r w:rsidR="00A03E93" w:rsidRPr="00662E2F">
              <w:t xml:space="preserve"> (</w:t>
            </w:r>
            <w:r w:rsidRPr="00662E2F">
              <w:t>as imputation on physical measurement data was not done for earlier surveys</w:t>
            </w:r>
            <w:r w:rsidR="00A03E93" w:rsidRPr="00662E2F">
              <w:t>)</w:t>
            </w:r>
            <w:r w:rsidRPr="00662E2F">
              <w:t>.</w:t>
            </w:r>
            <w:r w:rsidR="00A03E93">
              <w:t xml:space="preserve"> </w:t>
            </w:r>
          </w:p>
          <w:p w14:paraId="5E82B7F8" w14:textId="77777777" w:rsidR="00170EF9" w:rsidRPr="00680847" w:rsidRDefault="00170EF9" w:rsidP="00170EF9">
            <w:pPr>
              <w:pStyle w:val="BoxListBullet"/>
            </w:pPr>
            <w:r w:rsidRPr="00680847">
              <w:t>Detailed explanatory notes are publicly available to assist in the interpretation of results.</w:t>
            </w:r>
          </w:p>
          <w:p w14:paraId="57D8805B" w14:textId="77777777" w:rsidR="00170EF9" w:rsidRPr="00680847" w:rsidRDefault="00170EF9" w:rsidP="00170EF9">
            <w:pPr>
              <w:pStyle w:val="BoxListBullet"/>
            </w:pPr>
            <w:r w:rsidRPr="00680847">
              <w:t>Additional data from the data source are available on</w:t>
            </w:r>
            <w:r>
              <w:noBreakHyphen/>
            </w:r>
            <w:r w:rsidRPr="00680847">
              <w:t>line, and on request.</w:t>
            </w:r>
          </w:p>
          <w:p w14:paraId="27C1060A" w14:textId="77777777" w:rsidR="00170EF9" w:rsidRPr="00680847" w:rsidRDefault="00170EF9" w:rsidP="00170EF9">
            <w:pPr>
              <w:pStyle w:val="Box"/>
            </w:pPr>
            <w:r w:rsidRPr="00680847">
              <w:t>The Steering Committee also notes the following issues.</w:t>
            </w:r>
          </w:p>
          <w:p w14:paraId="33118573" w14:textId="77777777" w:rsidR="00170EF9" w:rsidRPr="00680847" w:rsidRDefault="00170EF9" w:rsidP="00170EF9">
            <w:pPr>
              <w:pStyle w:val="BoxListBullet"/>
            </w:pPr>
            <w:r>
              <w:t>N</w:t>
            </w:r>
            <w:r w:rsidRPr="00680847">
              <w:t xml:space="preserve">ATSIHS data are only available every six years. </w:t>
            </w:r>
          </w:p>
          <w:p w14:paraId="175D0CED" w14:textId="4239621F" w:rsidR="00170EF9" w:rsidRDefault="00170EF9" w:rsidP="00170EF9">
            <w:pPr>
              <w:pStyle w:val="BoxListBullet"/>
            </w:pPr>
            <w:r w:rsidRPr="00506C4C">
              <w:rPr>
                <w:iCs/>
              </w:rPr>
              <w:t>The size of some standard errors means that the survey data may not be adequate for measuring difference. Comparisons over time or across jurisdictions may be difficult to assess if the size of the standard errors is large compared to the difference between the estimates.</w:t>
            </w:r>
          </w:p>
        </w:tc>
      </w:tr>
      <w:tr w:rsidR="00170EF9" w14:paraId="49223A72" w14:textId="77777777" w:rsidTr="00572E4B">
        <w:tc>
          <w:tcPr>
            <w:tcW w:w="5000" w:type="pct"/>
            <w:tcBorders>
              <w:top w:val="nil"/>
              <w:left w:val="nil"/>
              <w:bottom w:val="single" w:sz="6" w:space="0" w:color="78A22F"/>
              <w:right w:val="nil"/>
            </w:tcBorders>
            <w:shd w:val="clear" w:color="auto" w:fill="F2F2F2"/>
          </w:tcPr>
          <w:p w14:paraId="214E04FE" w14:textId="77777777" w:rsidR="00170EF9" w:rsidRDefault="00170EF9" w:rsidP="00572E4B">
            <w:pPr>
              <w:pStyle w:val="Box"/>
              <w:spacing w:before="0" w:line="120" w:lineRule="exact"/>
            </w:pPr>
          </w:p>
        </w:tc>
      </w:tr>
      <w:tr w:rsidR="00170EF9" w:rsidRPr="000863A5" w14:paraId="5F01F6B0" w14:textId="77777777" w:rsidTr="00572E4B">
        <w:tc>
          <w:tcPr>
            <w:tcW w:w="5000" w:type="pct"/>
            <w:tcBorders>
              <w:top w:val="single" w:sz="6" w:space="0" w:color="78A22F"/>
              <w:left w:val="nil"/>
              <w:bottom w:val="nil"/>
              <w:right w:val="nil"/>
            </w:tcBorders>
          </w:tcPr>
          <w:p w14:paraId="41290DC4" w14:textId="77777777" w:rsidR="00170EF9" w:rsidRPr="00626D32" w:rsidRDefault="00170EF9" w:rsidP="00572E4B">
            <w:pPr>
              <w:pStyle w:val="BoxSpaceBelow"/>
            </w:pPr>
          </w:p>
        </w:tc>
      </w:tr>
    </w:tbl>
    <w:p w14:paraId="696199A6" w14:textId="77777777" w:rsidR="00170EF9" w:rsidRDefault="00170EF9" w:rsidP="00170EF9">
      <w:pPr>
        <w:pStyle w:val="BodyText"/>
      </w:pPr>
    </w:p>
    <w:p w14:paraId="3099BB4B" w14:textId="77777777" w:rsidR="00170EF9" w:rsidRDefault="00170EF9" w:rsidP="008822BF">
      <w:pPr>
        <w:pStyle w:val="BodyText"/>
      </w:pPr>
    </w:p>
    <w:p w14:paraId="14B30364" w14:textId="77777777" w:rsidR="00170EF9" w:rsidRDefault="00170EF9" w:rsidP="008822BF">
      <w:pPr>
        <w:pStyle w:val="BodyText"/>
      </w:pPr>
    </w:p>
    <w:p w14:paraId="3295D052" w14:textId="77777777" w:rsidR="00170EF9" w:rsidRDefault="00170EF9" w:rsidP="008822BF">
      <w:pPr>
        <w:pStyle w:val="BodyText"/>
      </w:pPr>
    </w:p>
    <w:p w14:paraId="0127A4F4" w14:textId="77777777" w:rsidR="00354C64" w:rsidRDefault="00354C64" w:rsidP="008822BF">
      <w:pPr>
        <w:pStyle w:val="BodyText"/>
      </w:pPr>
      <w:r>
        <w:br w:type="page"/>
      </w:r>
    </w:p>
    <w:p w14:paraId="468A3B1B" w14:textId="05614F30" w:rsidR="00680847" w:rsidRDefault="00680847" w:rsidP="008F5A63">
      <w:pPr>
        <w:pStyle w:val="Heading3"/>
        <w:spacing w:after="120"/>
      </w:pPr>
      <w:r w:rsidRPr="00EE361B">
        <w:lastRenderedPageBreak/>
        <w:t>Indicator 6: Under 5 mortality rate by leading cause</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Indicator 6: Under 5 mortality rate by leading cause&#10;&#10;Table&#10;&#10;More details can be found within the text surrounding this image."/>
      </w:tblPr>
      <w:tblGrid>
        <w:gridCol w:w="2122"/>
        <w:gridCol w:w="6657"/>
      </w:tblGrid>
      <w:tr w:rsidR="008F5A63" w14:paraId="5572EB73" w14:textId="77777777" w:rsidTr="008F5A63">
        <w:tc>
          <w:tcPr>
            <w:tcW w:w="2122" w:type="dxa"/>
          </w:tcPr>
          <w:p w14:paraId="073EF972" w14:textId="589A6E74" w:rsidR="008F5A63" w:rsidRDefault="008F5A63" w:rsidP="00870410">
            <w:pPr>
              <w:pStyle w:val="TableBodyNA"/>
            </w:pPr>
            <w:r w:rsidRPr="00B82DC5">
              <w:t xml:space="preserve">Key amendments from </w:t>
            </w:r>
            <w:r w:rsidR="00383553">
              <w:t>p</w:t>
            </w:r>
            <w:r w:rsidRPr="00B82DC5">
              <w:t>revious cycle of reporting:</w:t>
            </w:r>
          </w:p>
        </w:tc>
        <w:tc>
          <w:tcPr>
            <w:tcW w:w="6657" w:type="dxa"/>
          </w:tcPr>
          <w:p w14:paraId="15F43A72" w14:textId="6AEB53E7" w:rsidR="008F5A63" w:rsidRPr="00B1567F" w:rsidRDefault="00406C75" w:rsidP="00B87346">
            <w:pPr>
              <w:pStyle w:val="TableBodyNA"/>
            </w:pPr>
            <w:r>
              <w:t xml:space="preserve">Single </w:t>
            </w:r>
            <w:r w:rsidR="008159C7">
              <w:t xml:space="preserve">year child (0–4) </w:t>
            </w:r>
            <w:r>
              <w:t xml:space="preserve">mortality rate data have been </w:t>
            </w:r>
            <w:r w:rsidR="00B87346">
              <w:t>resupplied</w:t>
            </w:r>
            <w:r>
              <w:t xml:space="preserve"> </w:t>
            </w:r>
            <w:r w:rsidR="00B87346">
              <w:t>(</w:t>
            </w:r>
            <w:r>
              <w:t xml:space="preserve">2006 </w:t>
            </w:r>
            <w:r w:rsidR="00B87346">
              <w:t xml:space="preserve">to 2017) </w:t>
            </w:r>
            <w:r>
              <w:t xml:space="preserve">due to </w:t>
            </w:r>
            <w:r w:rsidR="00B87346">
              <w:t xml:space="preserve">new Aboriginal and Torres Strait Islander </w:t>
            </w:r>
            <w:r>
              <w:t>population d</w:t>
            </w:r>
            <w:r w:rsidR="00B87346">
              <w:t>ata</w:t>
            </w:r>
            <w:r>
              <w:t>.</w:t>
            </w:r>
          </w:p>
        </w:tc>
      </w:tr>
      <w:tr w:rsidR="00B1567F" w14:paraId="0EAFADB8" w14:textId="77777777" w:rsidTr="008F5A63">
        <w:tc>
          <w:tcPr>
            <w:tcW w:w="2122" w:type="dxa"/>
          </w:tcPr>
          <w:p w14:paraId="4684038C" w14:textId="46A0C590" w:rsidR="00B1567F" w:rsidRPr="00B82DC5" w:rsidRDefault="00B1567F" w:rsidP="00870410">
            <w:pPr>
              <w:pStyle w:val="TableBodyNA"/>
            </w:pPr>
            <w:r w:rsidRPr="00D87AA9">
              <w:t>Target:</w:t>
            </w:r>
          </w:p>
        </w:tc>
        <w:tc>
          <w:tcPr>
            <w:tcW w:w="6657" w:type="dxa"/>
          </w:tcPr>
          <w:p w14:paraId="5188F86F" w14:textId="27D09505" w:rsidR="00B1567F" w:rsidRPr="005332B8" w:rsidRDefault="00B1567F" w:rsidP="00870410">
            <w:pPr>
              <w:pStyle w:val="TableBodyNA"/>
            </w:pPr>
            <w:r w:rsidRPr="00C6095F">
              <w:t>Halving the gap in mortality rates for Indigenous children under five within a decade (by 2018)</w:t>
            </w:r>
          </w:p>
        </w:tc>
      </w:tr>
      <w:tr w:rsidR="00B1567F" w14:paraId="1E4C0F11" w14:textId="77777777" w:rsidTr="008F5A63">
        <w:tc>
          <w:tcPr>
            <w:tcW w:w="2122" w:type="dxa"/>
          </w:tcPr>
          <w:p w14:paraId="21EE4C9D" w14:textId="386D71EC" w:rsidR="00B1567F" w:rsidRPr="00D87AA9" w:rsidRDefault="00B1567F" w:rsidP="00870410">
            <w:pPr>
              <w:pStyle w:val="TableBodyNA"/>
            </w:pPr>
            <w:r w:rsidRPr="00D87AA9">
              <w:t>Measure:</w:t>
            </w:r>
          </w:p>
        </w:tc>
        <w:tc>
          <w:tcPr>
            <w:tcW w:w="6657" w:type="dxa"/>
          </w:tcPr>
          <w:p w14:paraId="6B83A0C3" w14:textId="60FEBD67" w:rsidR="00FB3FB5" w:rsidRDefault="00B1567F" w:rsidP="00870410">
            <w:pPr>
              <w:pStyle w:val="TableBodyNA"/>
            </w:pPr>
            <w:r>
              <w:t>Mortality rates for children aged less than five years, by leading cause of death (CoD), by Indigenous status.</w:t>
            </w:r>
          </w:p>
          <w:p w14:paraId="7C18898E" w14:textId="77777777" w:rsidR="00B1567F" w:rsidRDefault="00B1567F" w:rsidP="00870410">
            <w:pPr>
              <w:pStyle w:val="TableBodyNA"/>
            </w:pPr>
            <w:r>
              <w:t>The measure is defined as:</w:t>
            </w:r>
          </w:p>
          <w:p w14:paraId="52072251" w14:textId="15B82728" w:rsidR="00B1567F" w:rsidRPr="00870410" w:rsidRDefault="00B1567F" w:rsidP="00870410">
            <w:pPr>
              <w:pStyle w:val="TableBodyNA"/>
              <w:rPr>
                <w:i/>
              </w:rPr>
            </w:pPr>
            <w:r w:rsidRPr="00870410">
              <w:rPr>
                <w:i/>
              </w:rPr>
              <w:t>Perinatal</w:t>
            </w:r>
            <w:r w:rsidR="00AD3C2B" w:rsidRPr="00870410">
              <w:rPr>
                <w:i/>
              </w:rPr>
              <w:t xml:space="preserve"> mortality rate</w:t>
            </w:r>
          </w:p>
          <w:p w14:paraId="76BC5F21" w14:textId="31C0A833" w:rsidR="00B1567F" w:rsidRDefault="00B1567F" w:rsidP="006F24C5">
            <w:pPr>
              <w:pStyle w:val="TableBullet"/>
            </w:pPr>
            <w:r w:rsidRPr="008822BF">
              <w:rPr>
                <w:i/>
              </w:rPr>
              <w:t>Numerator</w:t>
            </w:r>
            <w:r>
              <w:t xml:space="preserve"> — number of perinatal deaths (fetal and neonatal) </w:t>
            </w:r>
          </w:p>
          <w:p w14:paraId="339A6FCC" w14:textId="47018072" w:rsidR="00B1567F" w:rsidRDefault="00B1567F" w:rsidP="006F24C5">
            <w:pPr>
              <w:pStyle w:val="TableBullet"/>
            </w:pPr>
            <w:r w:rsidRPr="008822BF">
              <w:rPr>
                <w:i/>
              </w:rPr>
              <w:t>Denominator</w:t>
            </w:r>
            <w:r>
              <w:t xml:space="preserve"> — number of all live births and stillbirths</w:t>
            </w:r>
          </w:p>
          <w:p w14:paraId="46BFB3DC" w14:textId="77777777" w:rsidR="00B1567F" w:rsidRDefault="00B1567F" w:rsidP="00870410">
            <w:pPr>
              <w:pStyle w:val="TableBodyNA"/>
            </w:pPr>
            <w:r>
              <w:t xml:space="preserve">presented as a </w:t>
            </w:r>
            <w:r w:rsidRPr="008822BF">
              <w:rPr>
                <w:i/>
              </w:rPr>
              <w:t xml:space="preserve">rate per 1000 births </w:t>
            </w:r>
            <w:r>
              <w:t>(including live births and stillbirths of at least 20 completed weeks of gestation or with a birth weight of at least 400 grams)</w:t>
            </w:r>
          </w:p>
          <w:p w14:paraId="67F2A8D9" w14:textId="771EF9C9" w:rsidR="00B1567F" w:rsidRPr="00870410" w:rsidRDefault="00B1567F" w:rsidP="00870410">
            <w:pPr>
              <w:pStyle w:val="TableBodyNA"/>
              <w:rPr>
                <w:i/>
              </w:rPr>
            </w:pPr>
            <w:r w:rsidRPr="00870410">
              <w:rPr>
                <w:i/>
              </w:rPr>
              <w:t>Infant</w:t>
            </w:r>
            <w:r w:rsidR="00AD3C2B" w:rsidRPr="00870410">
              <w:rPr>
                <w:i/>
              </w:rPr>
              <w:t xml:space="preserve"> mortality rate</w:t>
            </w:r>
          </w:p>
          <w:p w14:paraId="63447056" w14:textId="1FA9800A" w:rsidR="00B1567F" w:rsidRDefault="00B1567F" w:rsidP="006F24C5">
            <w:pPr>
              <w:pStyle w:val="TableBullet"/>
            </w:pPr>
            <w:r w:rsidRPr="008822BF">
              <w:rPr>
                <w:i/>
              </w:rPr>
              <w:t>Numerator</w:t>
            </w:r>
            <w:r>
              <w:t xml:space="preserve"> — number of deaths among children less than one year</w:t>
            </w:r>
          </w:p>
          <w:p w14:paraId="53967579" w14:textId="44A1C551" w:rsidR="00B1567F" w:rsidRDefault="00B1567F" w:rsidP="006F24C5">
            <w:pPr>
              <w:pStyle w:val="TableBullet"/>
            </w:pPr>
            <w:r w:rsidRPr="008822BF">
              <w:rPr>
                <w:i/>
              </w:rPr>
              <w:t>Denominator</w:t>
            </w:r>
            <w:r>
              <w:t xml:space="preserve"> — number of live births</w:t>
            </w:r>
          </w:p>
          <w:p w14:paraId="4E2581D1" w14:textId="77777777" w:rsidR="00B1567F" w:rsidRDefault="00B1567F" w:rsidP="00870410">
            <w:pPr>
              <w:pStyle w:val="TableBodyNA"/>
            </w:pPr>
            <w:r>
              <w:t xml:space="preserve">presented as a </w:t>
            </w:r>
            <w:r w:rsidRPr="008822BF">
              <w:rPr>
                <w:i/>
              </w:rPr>
              <w:t>rate per 1000 live births</w:t>
            </w:r>
          </w:p>
          <w:p w14:paraId="5307DBB8" w14:textId="0221DD0C" w:rsidR="00B1567F" w:rsidRPr="00870410" w:rsidRDefault="00B1567F" w:rsidP="00870410">
            <w:pPr>
              <w:pStyle w:val="TableBodyNA"/>
              <w:rPr>
                <w:i/>
              </w:rPr>
            </w:pPr>
            <w:r w:rsidRPr="00870410">
              <w:rPr>
                <w:i/>
              </w:rPr>
              <w:t xml:space="preserve">Child </w:t>
            </w:r>
            <w:r w:rsidR="00AD3C2B" w:rsidRPr="00870410">
              <w:rPr>
                <w:i/>
              </w:rPr>
              <w:t>(</w:t>
            </w:r>
            <w:r w:rsidRPr="00870410">
              <w:rPr>
                <w:i/>
              </w:rPr>
              <w:t>1−4 years</w:t>
            </w:r>
            <w:r w:rsidR="00AD3C2B" w:rsidRPr="00870410">
              <w:rPr>
                <w:i/>
              </w:rPr>
              <w:t>) mortality rate</w:t>
            </w:r>
          </w:p>
          <w:p w14:paraId="6F85092B" w14:textId="0D1B8B6C" w:rsidR="00B1567F" w:rsidRDefault="00B1567F" w:rsidP="006F24C5">
            <w:pPr>
              <w:pStyle w:val="TableBullet"/>
            </w:pPr>
            <w:r w:rsidRPr="008822BF">
              <w:rPr>
                <w:i/>
              </w:rPr>
              <w:t>Numerator</w:t>
            </w:r>
            <w:r>
              <w:t xml:space="preserve"> — number of deaths among children 1–4 years</w:t>
            </w:r>
          </w:p>
          <w:p w14:paraId="5DBDA2F7" w14:textId="74C05D49" w:rsidR="00B1567F" w:rsidRDefault="00B1567F" w:rsidP="006F24C5">
            <w:pPr>
              <w:pStyle w:val="TableBullet"/>
            </w:pPr>
            <w:r w:rsidRPr="008822BF">
              <w:rPr>
                <w:i/>
              </w:rPr>
              <w:t>Denominator</w:t>
            </w:r>
            <w:r>
              <w:t xml:space="preserve"> — total population of children aged 1–4 years</w:t>
            </w:r>
          </w:p>
          <w:p w14:paraId="50737DBD" w14:textId="7418EAA7" w:rsidR="00B1567F" w:rsidRDefault="00B1567F" w:rsidP="00870410">
            <w:pPr>
              <w:pStyle w:val="TableBodyNA"/>
            </w:pPr>
            <w:r>
              <w:t>presented a</w:t>
            </w:r>
            <w:r w:rsidR="00F50913">
              <w:t xml:space="preserve">s a </w:t>
            </w:r>
            <w:r w:rsidR="00F50913" w:rsidRPr="008822BF">
              <w:rPr>
                <w:i/>
              </w:rPr>
              <w:t>rate per 100 000 population</w:t>
            </w:r>
          </w:p>
          <w:p w14:paraId="67F3A1A9" w14:textId="7CC32FCD" w:rsidR="00B1567F" w:rsidRPr="00870410" w:rsidRDefault="00B1567F" w:rsidP="00870410">
            <w:pPr>
              <w:pStyle w:val="TableBodyNA"/>
              <w:rPr>
                <w:i/>
              </w:rPr>
            </w:pPr>
            <w:r w:rsidRPr="00870410">
              <w:rPr>
                <w:i/>
              </w:rPr>
              <w:t xml:space="preserve">Child </w:t>
            </w:r>
            <w:r w:rsidR="00AD3C2B" w:rsidRPr="00870410">
              <w:rPr>
                <w:i/>
              </w:rPr>
              <w:t>(</w:t>
            </w:r>
            <w:r w:rsidRPr="00870410">
              <w:rPr>
                <w:i/>
              </w:rPr>
              <w:t>0−4 years</w:t>
            </w:r>
            <w:r w:rsidR="00AD3C2B" w:rsidRPr="00870410">
              <w:rPr>
                <w:i/>
              </w:rPr>
              <w:t>) mortality rate</w:t>
            </w:r>
          </w:p>
          <w:p w14:paraId="088DAF8F" w14:textId="12C7BC6C" w:rsidR="00B1567F" w:rsidRDefault="00B1567F" w:rsidP="006F24C5">
            <w:pPr>
              <w:pStyle w:val="TableBullet"/>
            </w:pPr>
            <w:r w:rsidRPr="008822BF">
              <w:rPr>
                <w:i/>
              </w:rPr>
              <w:t>Numerator</w:t>
            </w:r>
            <w:r>
              <w:t xml:space="preserve"> — number of deaths among children aged 0–4 years </w:t>
            </w:r>
          </w:p>
          <w:p w14:paraId="3E94A849" w14:textId="13943B4D" w:rsidR="00B1567F" w:rsidRDefault="00B1567F" w:rsidP="006F24C5">
            <w:pPr>
              <w:pStyle w:val="TableBullet"/>
            </w:pPr>
            <w:r w:rsidRPr="008822BF">
              <w:rPr>
                <w:i/>
              </w:rPr>
              <w:t>Denominator</w:t>
            </w:r>
            <w:r>
              <w:t xml:space="preserve"> — total population of children aged 0–4 years</w:t>
            </w:r>
          </w:p>
          <w:p w14:paraId="6808E038" w14:textId="77777777" w:rsidR="00B1567F" w:rsidRDefault="00B1567F" w:rsidP="00870410">
            <w:pPr>
              <w:pStyle w:val="TableBodyNA"/>
            </w:pPr>
            <w:r>
              <w:t xml:space="preserve">presented as a </w:t>
            </w:r>
            <w:r w:rsidRPr="008822BF">
              <w:rPr>
                <w:i/>
              </w:rPr>
              <w:t>rate per 100 000 population</w:t>
            </w:r>
            <w:r>
              <w:t>.</w:t>
            </w:r>
          </w:p>
          <w:p w14:paraId="22483BA9" w14:textId="77777777" w:rsidR="00FB3FB5" w:rsidRDefault="00FB3FB5" w:rsidP="00870410">
            <w:pPr>
              <w:pStyle w:val="TableBodyNA"/>
            </w:pPr>
          </w:p>
          <w:p w14:paraId="779628E1" w14:textId="77777777" w:rsidR="00B1567F" w:rsidRDefault="00B1567F" w:rsidP="00870410">
            <w:pPr>
              <w:pStyle w:val="TableBodyNA"/>
            </w:pPr>
            <w:r>
              <w:t>Rates are calculated for children 1–4 and children 0–4 years on the following basis:</w:t>
            </w:r>
          </w:p>
          <w:p w14:paraId="56AB2CE8" w14:textId="424C0F00" w:rsidR="00B1567F" w:rsidRDefault="00B1567F" w:rsidP="00DA7289">
            <w:pPr>
              <w:pStyle w:val="TableBullet"/>
            </w:pPr>
            <w:r w:rsidRPr="00001AEF">
              <w:t xml:space="preserve">Rates for single year use single year for numerator </w:t>
            </w:r>
            <w:r w:rsidR="00001AEF" w:rsidRPr="00001AEF">
              <w:t xml:space="preserve">and population data, as at 30 June of the year, </w:t>
            </w:r>
            <w:r w:rsidRPr="00001AEF">
              <w:t xml:space="preserve">for denominator. </w:t>
            </w:r>
          </w:p>
          <w:p w14:paraId="79AB99B1" w14:textId="40DC5705" w:rsidR="00B1567F" w:rsidRDefault="00B1567F" w:rsidP="006F24C5">
            <w:pPr>
              <w:pStyle w:val="TableBullet"/>
            </w:pPr>
            <w:r>
              <w:t xml:space="preserve">Rates for 5 years combined use average of 5 years for numerator and average of 5 years </w:t>
            </w:r>
            <w:r w:rsidR="00001AEF">
              <w:t xml:space="preserve">population data, as at 30 June of each year, </w:t>
            </w:r>
            <w:r>
              <w:t>for denominator.</w:t>
            </w:r>
          </w:p>
          <w:p w14:paraId="3F4B77B2" w14:textId="77777777" w:rsidR="00B1567F" w:rsidRDefault="00B1567F" w:rsidP="00870410">
            <w:pPr>
              <w:pStyle w:val="TableBodyNA"/>
            </w:pPr>
            <w:r>
              <w:t>Rates for infant (0&lt;1 years) and perinatal mortality are calculated on the following basis:</w:t>
            </w:r>
          </w:p>
          <w:p w14:paraId="4D3BC70C" w14:textId="61A91567" w:rsidR="00B1567F" w:rsidRDefault="00B1567F" w:rsidP="006F24C5">
            <w:pPr>
              <w:pStyle w:val="TableBullet"/>
            </w:pPr>
            <w:r>
              <w:t>Rates for single year use single year numerator and single year denominator</w:t>
            </w:r>
          </w:p>
          <w:p w14:paraId="2C167152" w14:textId="77777777" w:rsidR="00B1567F" w:rsidRDefault="00B1567F" w:rsidP="006F24C5">
            <w:pPr>
              <w:pStyle w:val="TableBullet"/>
            </w:pPr>
            <w:r>
              <w:t>Rates for 5 years combined use average of five years for numerator and a single year midpoint (live births for infants or live births and still births for perinatal) for the denominator.</w:t>
            </w:r>
          </w:p>
          <w:p w14:paraId="4236AA15" w14:textId="415659A3" w:rsidR="00B1567F" w:rsidRDefault="00B1567F" w:rsidP="00870410">
            <w:pPr>
              <w:pStyle w:val="TableBodyNA"/>
            </w:pPr>
            <w:r w:rsidRPr="00B1567F">
              <w:t>[Note: The measure refers to ‘leading cause of death’. Data are provided for ‘selected causes of death’ according to the ICD</w:t>
            </w:r>
            <w:r w:rsidR="00FA5150">
              <w:noBreakHyphen/>
            </w:r>
            <w:r w:rsidRPr="00B1567F">
              <w:t>10 codes used for ‘leading cause of death’ in the Aboriginal and Torres Strait Islander Health Performance Framework].</w:t>
            </w:r>
          </w:p>
          <w:p w14:paraId="4DFDD7C9" w14:textId="10DAEB1C" w:rsidR="00001AEF" w:rsidRPr="00C6095F" w:rsidRDefault="00C7031E" w:rsidP="00870410">
            <w:pPr>
              <w:pStyle w:val="TableBodyNA"/>
            </w:pPr>
            <w:r>
              <w:t>‘</w:t>
            </w:r>
            <w:r w:rsidR="00001AEF">
              <w:t>Perinatal mortality</w:t>
            </w:r>
            <w:r>
              <w:t>’</w:t>
            </w:r>
            <w:r w:rsidR="00001AEF">
              <w:t xml:space="preserve"> is defined in the ABS Perinatals Collection as death of a baby within 28 days of birth (neonatal death) or of a fetus (unborn child) of at least 20 completed weeks of gestation or with a birth weight of at least 400 grams.</w:t>
            </w:r>
          </w:p>
        </w:tc>
      </w:tr>
    </w:tbl>
    <w:p w14:paraId="5B5BB78F" w14:textId="77777777" w:rsidR="008F5A63" w:rsidRDefault="008F5A63" w:rsidP="00001AEF">
      <w:pPr>
        <w:pStyle w:val="BoxSpaceBelow"/>
      </w:pPr>
    </w:p>
    <w:tbl>
      <w:tblPr>
        <w:tblW w:w="8789" w:type="dxa"/>
        <w:tblCellMar>
          <w:right w:w="0" w:type="dxa"/>
        </w:tblCellMar>
        <w:tblLook w:val="0000" w:firstRow="0" w:lastRow="0" w:firstColumn="0" w:lastColumn="0" w:noHBand="0" w:noVBand="0"/>
      </w:tblPr>
      <w:tblGrid>
        <w:gridCol w:w="2093"/>
        <w:gridCol w:w="6696"/>
      </w:tblGrid>
      <w:tr w:rsidR="00680847" w:rsidRPr="00D87AA9" w14:paraId="10375C27" w14:textId="77777777" w:rsidTr="00001AEF">
        <w:tc>
          <w:tcPr>
            <w:tcW w:w="2093" w:type="dxa"/>
          </w:tcPr>
          <w:p w14:paraId="110636F2" w14:textId="7642D654" w:rsidR="00680847" w:rsidRPr="00D87AA9" w:rsidRDefault="00680847" w:rsidP="00680847">
            <w:pPr>
              <w:pStyle w:val="TableBodyText"/>
            </w:pPr>
          </w:p>
        </w:tc>
        <w:tc>
          <w:tcPr>
            <w:tcW w:w="6696" w:type="dxa"/>
          </w:tcPr>
          <w:p w14:paraId="15941F89" w14:textId="716B705D" w:rsidR="00680847" w:rsidRDefault="00680847" w:rsidP="00870410">
            <w:pPr>
              <w:pStyle w:val="TableBodyNA"/>
            </w:pPr>
            <w:r>
              <w:t xml:space="preserve">Rate ratios and rate differences are calculated for </w:t>
            </w:r>
            <w:r w:rsidR="00815570">
              <w:t>comparisons between</w:t>
            </w:r>
            <w:r>
              <w:t xml:space="preserve"> </w:t>
            </w:r>
            <w:r w:rsidR="009431D9">
              <w:t xml:space="preserve">Aboriginal and Torres Strait Islander </w:t>
            </w:r>
            <w:r w:rsidR="00815570">
              <w:t>and</w:t>
            </w:r>
            <w:r>
              <w:t xml:space="preserve"> non</w:t>
            </w:r>
            <w:r w:rsidR="00FA5150">
              <w:noBreakHyphen/>
            </w:r>
            <w:r>
              <w:t>Indigenous Australians.</w:t>
            </w:r>
          </w:p>
          <w:p w14:paraId="5378B8C8" w14:textId="77777777" w:rsidR="00680847" w:rsidRDefault="00680847" w:rsidP="00870410">
            <w:pPr>
              <w:pStyle w:val="TableBodyNA"/>
            </w:pPr>
            <w:r>
              <w:t>Variability bands are calculated for rates (single year and national data for five years combined) using the standard method.</w:t>
            </w:r>
          </w:p>
          <w:p w14:paraId="45CE2391" w14:textId="64A1E090" w:rsidR="00680847" w:rsidRPr="00D87AA9" w:rsidRDefault="00680847" w:rsidP="00870410">
            <w:pPr>
              <w:pStyle w:val="TableBodyNA"/>
            </w:pPr>
            <w:r>
              <w:t xml:space="preserve">Causes are listed from highest to lowest </w:t>
            </w:r>
            <w:r w:rsidR="009431D9">
              <w:t xml:space="preserve">Aboriginal and Torres Strait Islander </w:t>
            </w:r>
            <w:r>
              <w:t xml:space="preserve">crude numbers for the most recent 5 year combined period. The top 5 causes need to be reassessed each reporting period. If a change is identified, data may be backcast to the baseline year for the most recent set of top 5 causes to </w:t>
            </w:r>
            <w:r w:rsidR="002B469C">
              <w:t>ensure a consistent time series</w:t>
            </w:r>
          </w:p>
        </w:tc>
      </w:tr>
      <w:tr w:rsidR="00680847" w:rsidRPr="00D87AA9" w14:paraId="1FC2B4E3" w14:textId="77777777" w:rsidTr="008F5A63">
        <w:tc>
          <w:tcPr>
            <w:tcW w:w="2093" w:type="dxa"/>
          </w:tcPr>
          <w:p w14:paraId="36D6FBEA" w14:textId="77777777" w:rsidR="00680847" w:rsidRPr="00D87AA9" w:rsidRDefault="00680847" w:rsidP="008822BF">
            <w:pPr>
              <w:pStyle w:val="TableBodyNA"/>
            </w:pPr>
            <w:r w:rsidRPr="00D87AA9">
              <w:t>Data source:</w:t>
            </w:r>
          </w:p>
        </w:tc>
        <w:tc>
          <w:tcPr>
            <w:tcW w:w="6696" w:type="dxa"/>
          </w:tcPr>
          <w:p w14:paraId="708B1F3D" w14:textId="77777777" w:rsidR="00680847" w:rsidRDefault="00680847" w:rsidP="00870410">
            <w:pPr>
              <w:pStyle w:val="TableBodyNA"/>
            </w:pPr>
            <w:r>
              <w:t xml:space="preserve">Perinatal </w:t>
            </w:r>
            <w:r w:rsidRPr="004B7D4D">
              <w:rPr>
                <w:i/>
              </w:rPr>
              <w:t>Numerator</w:t>
            </w:r>
            <w:r>
              <w:t xml:space="preserve"> — ABS </w:t>
            </w:r>
            <w:r w:rsidRPr="004B7D4D">
              <w:rPr>
                <w:u w:val="single"/>
              </w:rPr>
              <w:t>Perinatal Deaths Collection</w:t>
            </w:r>
          </w:p>
          <w:p w14:paraId="243A6232" w14:textId="77777777" w:rsidR="00680847" w:rsidRDefault="00680847" w:rsidP="00870410">
            <w:pPr>
              <w:pStyle w:val="TableBodyNA"/>
            </w:pPr>
            <w:r>
              <w:t xml:space="preserve">Perinatal </w:t>
            </w:r>
            <w:r w:rsidRPr="004B7D4D">
              <w:rPr>
                <w:i/>
              </w:rPr>
              <w:t>Denominator</w:t>
            </w:r>
            <w:r>
              <w:t xml:space="preserve"> — ABS </w:t>
            </w:r>
            <w:r w:rsidRPr="004B7D4D">
              <w:rPr>
                <w:u w:val="single"/>
              </w:rPr>
              <w:t>Births Collection</w:t>
            </w:r>
            <w:r>
              <w:t xml:space="preserve"> and ABS </w:t>
            </w:r>
            <w:r w:rsidRPr="004B7D4D">
              <w:rPr>
                <w:u w:val="single"/>
              </w:rPr>
              <w:t>Perinatal Deaths Collection</w:t>
            </w:r>
          </w:p>
          <w:p w14:paraId="1C6D932E" w14:textId="22F46920" w:rsidR="00680847" w:rsidRDefault="00680847" w:rsidP="00870410">
            <w:pPr>
              <w:pStyle w:val="TableBodyNA"/>
            </w:pPr>
            <w:r>
              <w:t xml:space="preserve">Infant </w:t>
            </w:r>
            <w:r w:rsidRPr="002431BF">
              <w:rPr>
                <w:i/>
              </w:rPr>
              <w:t>Numerator</w:t>
            </w:r>
            <w:r>
              <w:t xml:space="preserve"> — ABS </w:t>
            </w:r>
            <w:r w:rsidRPr="004B7D4D">
              <w:rPr>
                <w:u w:val="single"/>
              </w:rPr>
              <w:t>Death Registrations</w:t>
            </w:r>
            <w:r w:rsidR="006B46D6">
              <w:rPr>
                <w:u w:val="single"/>
              </w:rPr>
              <w:t xml:space="preserve"> </w:t>
            </w:r>
            <w:r w:rsidR="006B46D6" w:rsidRPr="00EA4095">
              <w:t xml:space="preserve">and </w:t>
            </w:r>
            <w:r w:rsidR="006B46D6">
              <w:rPr>
                <w:u w:val="single"/>
              </w:rPr>
              <w:t xml:space="preserve">ABS Cause of </w:t>
            </w:r>
            <w:r w:rsidR="00012B4D">
              <w:rPr>
                <w:u w:val="single"/>
              </w:rPr>
              <w:t>D</w:t>
            </w:r>
            <w:r w:rsidR="006B46D6">
              <w:rPr>
                <w:u w:val="single"/>
              </w:rPr>
              <w:t>eaths</w:t>
            </w:r>
            <w:r>
              <w:t xml:space="preserve"> Collection </w:t>
            </w:r>
          </w:p>
          <w:p w14:paraId="32B41E5C" w14:textId="77777777" w:rsidR="00680847" w:rsidRDefault="00680847" w:rsidP="00870410">
            <w:pPr>
              <w:pStyle w:val="TableBodyNA"/>
            </w:pPr>
            <w:r>
              <w:t xml:space="preserve">Infant </w:t>
            </w:r>
            <w:r w:rsidRPr="002431BF">
              <w:rPr>
                <w:i/>
              </w:rPr>
              <w:t>Denominator</w:t>
            </w:r>
            <w:r>
              <w:t xml:space="preserve"> — ABS </w:t>
            </w:r>
            <w:r w:rsidRPr="004B7D4D">
              <w:rPr>
                <w:u w:val="single"/>
              </w:rPr>
              <w:t>Births Collection</w:t>
            </w:r>
          </w:p>
          <w:p w14:paraId="0FCA6C15" w14:textId="16081F71" w:rsidR="00680847" w:rsidRDefault="00680847" w:rsidP="00870410">
            <w:pPr>
              <w:pStyle w:val="TableBodyNA"/>
            </w:pPr>
            <w:r>
              <w:t xml:space="preserve">Child </w:t>
            </w:r>
            <w:r w:rsidRPr="002431BF">
              <w:rPr>
                <w:i/>
              </w:rPr>
              <w:t>Numerator</w:t>
            </w:r>
            <w:r>
              <w:t xml:space="preserve"> — ABS </w:t>
            </w:r>
            <w:r w:rsidRPr="002431BF">
              <w:rPr>
                <w:u w:val="single"/>
              </w:rPr>
              <w:t xml:space="preserve">Death Registrations </w:t>
            </w:r>
            <w:r w:rsidR="00012B4D" w:rsidRPr="00EA4095">
              <w:t xml:space="preserve">and </w:t>
            </w:r>
            <w:r w:rsidR="00012B4D">
              <w:rPr>
                <w:u w:val="single"/>
              </w:rPr>
              <w:t>ABS Cause of D</w:t>
            </w:r>
            <w:r w:rsidR="006B46D6">
              <w:rPr>
                <w:u w:val="single"/>
              </w:rPr>
              <w:t xml:space="preserve">eaths </w:t>
            </w:r>
            <w:r w:rsidRPr="00611985">
              <w:t>Collection</w:t>
            </w:r>
            <w:r>
              <w:t xml:space="preserve">. </w:t>
            </w:r>
          </w:p>
          <w:p w14:paraId="58D0FA05" w14:textId="5E3C2FCD" w:rsidR="00B87346" w:rsidRDefault="00680847" w:rsidP="00870410">
            <w:pPr>
              <w:pStyle w:val="TableBodyNA"/>
            </w:pPr>
            <w:r>
              <w:t xml:space="preserve">Child </w:t>
            </w:r>
            <w:r w:rsidRPr="002431BF">
              <w:rPr>
                <w:i/>
              </w:rPr>
              <w:t>Denominator</w:t>
            </w:r>
            <w:r>
              <w:t xml:space="preserve"> — ABS </w:t>
            </w:r>
            <w:r w:rsidRPr="002431BF">
              <w:rPr>
                <w:u w:val="single"/>
              </w:rPr>
              <w:t>Estimated Resident Population</w:t>
            </w:r>
            <w:r>
              <w:t xml:space="preserve"> (ERP) for total population. </w:t>
            </w:r>
            <w:r w:rsidR="00BD5DEA">
              <w:t xml:space="preserve">ABS </w:t>
            </w:r>
            <w:r w:rsidRPr="00BD5DEA">
              <w:rPr>
                <w:u w:val="single"/>
              </w:rPr>
              <w:t>Estimates and Projections</w:t>
            </w:r>
            <w:r>
              <w:t xml:space="preserve"> for </w:t>
            </w:r>
            <w:r w:rsidR="00D12D13">
              <w:t xml:space="preserve">Aboriginal and Torres Strait Islander </w:t>
            </w:r>
            <w:r>
              <w:t>population. Non</w:t>
            </w:r>
            <w:r w:rsidR="00FA5150">
              <w:noBreakHyphen/>
            </w:r>
            <w:r>
              <w:t xml:space="preserve">Indigenous population estimates are calculated by subtracting </w:t>
            </w:r>
            <w:r w:rsidR="00D12D13">
              <w:t xml:space="preserve">Aboriginal and Torres Strait Islander </w:t>
            </w:r>
            <w:r>
              <w:t xml:space="preserve">population </w:t>
            </w:r>
            <w:r w:rsidR="009F3665">
              <w:t>estimates/</w:t>
            </w:r>
            <w:r>
              <w:t xml:space="preserve">projections from the total population estimates. </w:t>
            </w:r>
          </w:p>
          <w:p w14:paraId="46332D85" w14:textId="6E7E6061" w:rsidR="00680847" w:rsidRPr="00F75BA4" w:rsidRDefault="009F3665" w:rsidP="00870410">
            <w:pPr>
              <w:pStyle w:val="TableBodyNA"/>
            </w:pPr>
            <w:r>
              <w:t xml:space="preserve">All </w:t>
            </w:r>
            <w:r w:rsidR="00B87346">
              <w:t xml:space="preserve">mortality rates are derived using </w:t>
            </w:r>
            <w:r>
              <w:t xml:space="preserve">2016 </w:t>
            </w:r>
            <w:r w:rsidR="00680847">
              <w:t>Census</w:t>
            </w:r>
            <w:r w:rsidR="00FA5150">
              <w:noBreakHyphen/>
            </w:r>
            <w:r w:rsidR="00680847">
              <w:t>based</w:t>
            </w:r>
            <w:r w:rsidR="00B87346">
              <w:t xml:space="preserve"> Aboriginal and Torres Strait Islander populations</w:t>
            </w:r>
            <w:r w:rsidR="00680847">
              <w:t>.</w:t>
            </w:r>
          </w:p>
          <w:p w14:paraId="4F342D82" w14:textId="676173B8" w:rsidR="00E23FC9" w:rsidRPr="00D87AA9" w:rsidRDefault="00680847" w:rsidP="00870410">
            <w:pPr>
              <w:pStyle w:val="TableBodyNA"/>
            </w:pPr>
            <w:r>
              <w:t>All data available annually.</w:t>
            </w:r>
          </w:p>
        </w:tc>
      </w:tr>
      <w:tr w:rsidR="00680847" w:rsidRPr="00D87AA9" w14:paraId="2019D028" w14:textId="77777777" w:rsidTr="008F5A63">
        <w:tc>
          <w:tcPr>
            <w:tcW w:w="2093" w:type="dxa"/>
          </w:tcPr>
          <w:p w14:paraId="0BA22815" w14:textId="77777777" w:rsidR="00680847" w:rsidRPr="00D87AA9" w:rsidRDefault="00680847" w:rsidP="008822BF">
            <w:pPr>
              <w:pStyle w:val="TableBodyNA"/>
            </w:pPr>
            <w:r w:rsidRPr="00D87AA9">
              <w:t>Data provider:</w:t>
            </w:r>
          </w:p>
        </w:tc>
        <w:tc>
          <w:tcPr>
            <w:tcW w:w="6696" w:type="dxa"/>
          </w:tcPr>
          <w:p w14:paraId="7D1B6C61" w14:textId="2ADEB2A7" w:rsidR="00680847" w:rsidRPr="00D87AA9" w:rsidRDefault="00680847" w:rsidP="00870410">
            <w:pPr>
              <w:pStyle w:val="TableBodyNA"/>
            </w:pPr>
            <w:r w:rsidRPr="00C6095F">
              <w:t>ABS</w:t>
            </w:r>
          </w:p>
        </w:tc>
      </w:tr>
      <w:tr w:rsidR="00680847" w:rsidRPr="00D87AA9" w14:paraId="506A6951" w14:textId="77777777" w:rsidTr="008F5A63">
        <w:tc>
          <w:tcPr>
            <w:tcW w:w="2093" w:type="dxa"/>
            <w:shd w:val="clear" w:color="auto" w:fill="auto"/>
          </w:tcPr>
          <w:p w14:paraId="19535F62" w14:textId="77777777" w:rsidR="00680847" w:rsidRPr="00D87AA9" w:rsidRDefault="00680847" w:rsidP="008822BF">
            <w:pPr>
              <w:pStyle w:val="TableBodyNA"/>
            </w:pPr>
            <w:r w:rsidRPr="00D87AA9">
              <w:t>Data availability:</w:t>
            </w:r>
          </w:p>
        </w:tc>
        <w:tc>
          <w:tcPr>
            <w:tcW w:w="6696" w:type="dxa"/>
            <w:shd w:val="clear" w:color="auto" w:fill="auto"/>
          </w:tcPr>
          <w:p w14:paraId="6465C8FA" w14:textId="5FCEDF75" w:rsidR="00760FAF" w:rsidRDefault="009F3665" w:rsidP="00870410">
            <w:pPr>
              <w:pStyle w:val="TableBodyNA"/>
            </w:pPr>
            <w:r>
              <w:t>2018</w:t>
            </w:r>
            <w:r w:rsidR="001A03C8">
              <w:t xml:space="preserve"> </w:t>
            </w:r>
            <w:r w:rsidR="00760FAF">
              <w:t>— Perinatal deaths</w:t>
            </w:r>
            <w:r w:rsidR="000B665F">
              <w:t xml:space="preserve">, </w:t>
            </w:r>
            <w:r w:rsidR="00450B0B">
              <w:t>Causes of d</w:t>
            </w:r>
            <w:r w:rsidR="00760FAF">
              <w:t>eath</w:t>
            </w:r>
            <w:r w:rsidR="000B665F">
              <w:t xml:space="preserve">, </w:t>
            </w:r>
            <w:r w:rsidR="00760FAF">
              <w:t>Death</w:t>
            </w:r>
            <w:r w:rsidR="00FE7AE3">
              <w:t xml:space="preserve"> Registration</w:t>
            </w:r>
            <w:r w:rsidR="00760FAF">
              <w:t>s collection</w:t>
            </w:r>
            <w:r w:rsidR="000B665F">
              <w:t xml:space="preserve">, </w:t>
            </w:r>
            <w:r w:rsidR="00760FAF">
              <w:t xml:space="preserve">Births collection </w:t>
            </w:r>
          </w:p>
          <w:p w14:paraId="256936DC" w14:textId="3426C345" w:rsidR="001C6327" w:rsidRPr="009910BE" w:rsidRDefault="00760FAF" w:rsidP="00870410">
            <w:pPr>
              <w:pStyle w:val="TableBodyNA"/>
            </w:pPr>
            <w:r>
              <w:t>30</w:t>
            </w:r>
            <w:r w:rsidR="00F34E12">
              <w:t> </w:t>
            </w:r>
            <w:r>
              <w:t xml:space="preserve">June </w:t>
            </w:r>
            <w:r w:rsidR="009F3665">
              <w:t xml:space="preserve">2018 </w:t>
            </w:r>
            <w:r w:rsidR="001C6327">
              <w:t xml:space="preserve">(revised 2006 to 2017) </w:t>
            </w:r>
            <w:r>
              <w:t>(based on</w:t>
            </w:r>
            <w:r w:rsidR="00F50913">
              <w:t xml:space="preserve"> </w:t>
            </w:r>
            <w:r w:rsidR="009F3665">
              <w:t xml:space="preserve">2016 </w:t>
            </w:r>
            <w:r w:rsidR="00F50913">
              <w:t>Census) — Population data</w:t>
            </w:r>
          </w:p>
        </w:tc>
      </w:tr>
      <w:tr w:rsidR="00680847" w:rsidRPr="00D87AA9" w14:paraId="6A6D8289" w14:textId="77777777" w:rsidTr="008F5A63">
        <w:tc>
          <w:tcPr>
            <w:tcW w:w="2093" w:type="dxa"/>
            <w:shd w:val="clear" w:color="auto" w:fill="auto"/>
          </w:tcPr>
          <w:p w14:paraId="1D5728A3" w14:textId="77777777" w:rsidR="00680847" w:rsidRPr="00D87AA9" w:rsidRDefault="00680847" w:rsidP="008822BF">
            <w:pPr>
              <w:pStyle w:val="TableBodyNA"/>
            </w:pPr>
            <w:r w:rsidRPr="00D87AA9">
              <w:t>Cross tabulations provided:</w:t>
            </w:r>
          </w:p>
        </w:tc>
        <w:tc>
          <w:tcPr>
            <w:tcW w:w="6696" w:type="dxa"/>
            <w:shd w:val="clear" w:color="auto" w:fill="auto"/>
          </w:tcPr>
          <w:p w14:paraId="33BEB162" w14:textId="17C36DDA" w:rsidR="00680847" w:rsidRDefault="00680847" w:rsidP="00870410">
            <w:pPr>
              <w:pStyle w:val="TableBodyNA"/>
            </w:pPr>
            <w:r>
              <w:t xml:space="preserve">Data are reported individually by jurisdiction of residence by Indigenous status for NSW, Queensland, WA, SA and </w:t>
            </w:r>
            <w:r w:rsidR="00F8458B">
              <w:t xml:space="preserve">the </w:t>
            </w:r>
            <w:r>
              <w:t xml:space="preserve">NT only. </w:t>
            </w:r>
            <w:r w:rsidR="006B0124">
              <w:t xml:space="preserve">Each table by jurisdiction will also include a </w:t>
            </w:r>
            <w:r w:rsidR="00C7031E">
              <w:t>‘</w:t>
            </w:r>
            <w:r w:rsidR="006B0124">
              <w:t>national</w:t>
            </w:r>
            <w:r w:rsidR="00C7031E">
              <w:t>’</w:t>
            </w:r>
            <w:r w:rsidR="006B0124">
              <w:t xml:space="preserve"> total made up of these 5 jurisdictions only.</w:t>
            </w:r>
          </w:p>
          <w:p w14:paraId="0208A82B" w14:textId="35D36526" w:rsidR="00680847" w:rsidRDefault="00680847" w:rsidP="00870410">
            <w:pPr>
              <w:pStyle w:val="TableBodyNA"/>
            </w:pPr>
            <w:r>
              <w:t>Single year data are reported for time series analysis at the national level (</w:t>
            </w:r>
            <w:r w:rsidR="00406C75">
              <w:t xml:space="preserve">2006 to </w:t>
            </w:r>
            <w:r w:rsidR="009F3665">
              <w:t xml:space="preserve">2018 </w:t>
            </w:r>
            <w:r>
              <w:t>for perinatal</w:t>
            </w:r>
            <w:r w:rsidR="00406C75">
              <w:t>,</w:t>
            </w:r>
            <w:r>
              <w:t xml:space="preserve"> for infant</w:t>
            </w:r>
            <w:r w:rsidR="00406C75">
              <w:t>,</w:t>
            </w:r>
            <w:r>
              <w:t xml:space="preserve"> and child 0−4). Five</w:t>
            </w:r>
            <w:r w:rsidR="00FA5150">
              <w:noBreakHyphen/>
            </w:r>
            <w:r>
              <w:t>year aggregated data reported for current year analysis (</w:t>
            </w:r>
            <w:r w:rsidR="009F3665">
              <w:t>2014</w:t>
            </w:r>
            <w:r>
              <w:t>−</w:t>
            </w:r>
            <w:r w:rsidR="009F3665">
              <w:t xml:space="preserve">2018 </w:t>
            </w:r>
            <w:r>
              <w:t>for perinatal</w:t>
            </w:r>
            <w:r w:rsidR="00EA4095">
              <w:t>,</w:t>
            </w:r>
            <w:r>
              <w:t xml:space="preserve"> infant, child 1−4 and child 0−4).</w:t>
            </w:r>
          </w:p>
          <w:p w14:paraId="1C5CD503" w14:textId="61967CFF" w:rsidR="00680847" w:rsidRDefault="00680847" w:rsidP="00870410">
            <w:pPr>
              <w:pStyle w:val="TableBodyNA"/>
            </w:pPr>
            <w:r>
              <w:t xml:space="preserve">For </w:t>
            </w:r>
            <w:r w:rsidR="009431D9">
              <w:t xml:space="preserve">Aboriginal and Torres Strait Islander </w:t>
            </w:r>
            <w:r>
              <w:t>and non</w:t>
            </w:r>
            <w:r w:rsidR="00FA5150">
              <w:noBreakHyphen/>
            </w:r>
            <w:r>
              <w:t>Indigenous:</w:t>
            </w:r>
          </w:p>
          <w:p w14:paraId="30648505" w14:textId="77777777" w:rsidR="00680847" w:rsidRDefault="00680847" w:rsidP="00680847">
            <w:pPr>
              <w:pStyle w:val="TableBullet"/>
              <w:rPr>
                <w:szCs w:val="24"/>
              </w:rPr>
            </w:pPr>
            <w:r>
              <w:t>Single year data, national, by age (perinatal, infant, child)</w:t>
            </w:r>
          </w:p>
          <w:p w14:paraId="1B4FDBBF" w14:textId="51F255A0" w:rsidR="00680847" w:rsidRDefault="00680847" w:rsidP="00680847">
            <w:pPr>
              <w:pStyle w:val="TableBullet"/>
              <w:rPr>
                <w:szCs w:val="24"/>
              </w:rPr>
            </w:pPr>
            <w:r>
              <w:t>Five year aggregate data, by State and Territory, by age group (perinatal, infant, child 1−4 and child 0−4), by all</w:t>
            </w:r>
            <w:r w:rsidR="00FA5150">
              <w:noBreakHyphen/>
            </w:r>
            <w:r>
              <w:t>cause total</w:t>
            </w:r>
          </w:p>
          <w:p w14:paraId="61ADFA70" w14:textId="0D695842" w:rsidR="00680847" w:rsidRPr="00D87AA9" w:rsidRDefault="00680847" w:rsidP="00680847">
            <w:pPr>
              <w:pStyle w:val="TableBullet"/>
              <w:rPr>
                <w:szCs w:val="24"/>
              </w:rPr>
            </w:pPr>
            <w:r>
              <w:t>Five year aggregated data, national, by selected causes of death, by age group (perinatal, infant, child 1−4 and child 0−4).</w:t>
            </w:r>
          </w:p>
        </w:tc>
      </w:tr>
    </w:tbl>
    <w:p w14:paraId="0635B889" w14:textId="77777777" w:rsidR="00680847" w:rsidRDefault="00680847" w:rsidP="00FA7518">
      <w:pPr>
        <w:pStyle w:val="BodyText"/>
      </w:pPr>
    </w:p>
    <w:p w14:paraId="0CB1E1CB" w14:textId="77777777" w:rsidR="000B665F" w:rsidRDefault="000B665F">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680847" w14:paraId="355D9028" w14:textId="77777777" w:rsidTr="004F04D8">
        <w:tc>
          <w:tcPr>
            <w:tcW w:w="8789" w:type="dxa"/>
            <w:tcBorders>
              <w:top w:val="single" w:sz="6" w:space="0" w:color="78A22F"/>
              <w:left w:val="nil"/>
              <w:bottom w:val="nil"/>
              <w:right w:val="nil"/>
            </w:tcBorders>
            <w:shd w:val="clear" w:color="auto" w:fill="F2F2F2"/>
          </w:tcPr>
          <w:p w14:paraId="55F50F6C" w14:textId="5C97E9E0" w:rsidR="00680847" w:rsidRDefault="00680847" w:rsidP="00B87346">
            <w:pPr>
              <w:pStyle w:val="BoxTitle"/>
            </w:pPr>
            <w:r>
              <w:rPr>
                <w:b w:val="0"/>
              </w:rPr>
              <w:t>Box</w:t>
            </w:r>
            <w:r w:rsidR="00B1719E">
              <w:rPr>
                <w:b w:val="0"/>
              </w:rPr>
              <w:t xml:space="preserve"> </w:t>
            </w:r>
            <w:r w:rsidR="005906C2">
              <w:rPr>
                <w:b w:val="0"/>
              </w:rPr>
              <w:t>2</w:t>
            </w:r>
            <w:r w:rsidR="00B87346">
              <w:rPr>
                <w:b w:val="0"/>
              </w:rPr>
              <w:t>4</w:t>
            </w:r>
            <w:r>
              <w:tab/>
              <w:t>Results</w:t>
            </w:r>
          </w:p>
        </w:tc>
      </w:tr>
      <w:tr w:rsidR="00680847" w:rsidRPr="00680847" w14:paraId="669A415C" w14:textId="77777777" w:rsidTr="004F04D8">
        <w:trPr>
          <w:cantSplit/>
        </w:trPr>
        <w:tc>
          <w:tcPr>
            <w:tcW w:w="8789" w:type="dxa"/>
            <w:tcBorders>
              <w:top w:val="nil"/>
              <w:left w:val="nil"/>
              <w:bottom w:val="nil"/>
              <w:right w:val="nil"/>
            </w:tcBorders>
            <w:shd w:val="clear" w:color="auto" w:fill="F2F2F2"/>
          </w:tcPr>
          <w:p w14:paraId="00427498" w14:textId="5A477426" w:rsidR="006B589C" w:rsidRPr="00680847" w:rsidRDefault="00680847" w:rsidP="00680847">
            <w:pPr>
              <w:pStyle w:val="Box"/>
            </w:pPr>
            <w:r w:rsidRPr="00680847">
              <w:t xml:space="preserve">For this report, new data are available for this indicator for </w:t>
            </w:r>
            <w:r w:rsidR="00E33FEA" w:rsidRPr="00680847">
              <w:t>201</w:t>
            </w:r>
            <w:r w:rsidR="00E33FEA">
              <w:t>8</w:t>
            </w:r>
            <w:r w:rsidR="004407E5">
              <w:t xml:space="preserve"> and revised data are available for 2006 to 2017</w:t>
            </w:r>
            <w:r w:rsidRPr="00680847">
              <w:t xml:space="preserve">. </w:t>
            </w:r>
            <w:r w:rsidR="004407E5">
              <w:t>N</w:t>
            </w:r>
            <w:r w:rsidRPr="00680847">
              <w:t xml:space="preserve">ew aggregate year data </w:t>
            </w:r>
            <w:r w:rsidR="004407E5">
              <w:t xml:space="preserve">are available </w:t>
            </w:r>
            <w:r w:rsidRPr="00680847">
              <w:t xml:space="preserve">for </w:t>
            </w:r>
            <w:r w:rsidR="004407E5">
              <w:t>2014–2018</w:t>
            </w:r>
            <w:r w:rsidRPr="00680847">
              <w:t>.</w:t>
            </w:r>
            <w:r w:rsidR="005519B4">
              <w:t xml:space="preserve"> </w:t>
            </w:r>
          </w:p>
          <w:p w14:paraId="23B8D97E" w14:textId="18D645D2" w:rsidR="00680847" w:rsidRPr="00680847" w:rsidRDefault="009B231E" w:rsidP="00680847">
            <w:pPr>
              <w:pStyle w:val="BoxListBullet"/>
            </w:pPr>
            <w:r>
              <w:t>S</w:t>
            </w:r>
            <w:r w:rsidR="00680847" w:rsidRPr="00680847">
              <w:t xml:space="preserve">ingle year mortality rates </w:t>
            </w:r>
            <w:r w:rsidR="00063E26">
              <w:t xml:space="preserve">for perinatal, infant and children </w:t>
            </w:r>
            <w:r w:rsidR="00680847" w:rsidRPr="00680847">
              <w:t>a</w:t>
            </w:r>
            <w:r w:rsidR="009A3160">
              <w:t>re presented in table</w:t>
            </w:r>
            <w:r w:rsidR="00A96FBF">
              <w:t xml:space="preserve"> NIRA 6.1</w:t>
            </w:r>
            <w:r w:rsidR="00E7729E">
              <w:t xml:space="preserve"> (all</w:t>
            </w:r>
            <w:r w:rsidR="00FA5150">
              <w:noBreakHyphen/>
            </w:r>
            <w:r w:rsidR="00E7729E">
              <w:t>cause</w:t>
            </w:r>
            <w:r w:rsidR="00063E26">
              <w:t>)</w:t>
            </w:r>
            <w:r w:rsidR="008D0AB2">
              <w:t>.</w:t>
            </w:r>
          </w:p>
          <w:p w14:paraId="057C7651" w14:textId="683507F0" w:rsidR="00680847" w:rsidRPr="00680847" w:rsidRDefault="009B231E" w:rsidP="00680847">
            <w:pPr>
              <w:pStyle w:val="BoxListBullet"/>
            </w:pPr>
            <w:r>
              <w:t>P</w:t>
            </w:r>
            <w:r w:rsidR="00680847" w:rsidRPr="00680847">
              <w:t>erinatal mortality rates, by State and Territory are presented in table</w:t>
            </w:r>
            <w:r w:rsidR="009A3160">
              <w:t>s</w:t>
            </w:r>
            <w:r w:rsidR="00680847" w:rsidRPr="00680847">
              <w:t xml:space="preserve"> NIRA.6.2 </w:t>
            </w:r>
            <w:r w:rsidR="00E7729E">
              <w:t xml:space="preserve">(all cause) </w:t>
            </w:r>
            <w:r w:rsidR="00680847" w:rsidRPr="00680847">
              <w:t>and NIRA.6.</w:t>
            </w:r>
            <w:r w:rsidR="0072207B">
              <w:t>6</w:t>
            </w:r>
            <w:r w:rsidR="00E7729E">
              <w:t xml:space="preserve"> (selected causes)</w:t>
            </w:r>
          </w:p>
          <w:p w14:paraId="12D3B61A" w14:textId="557E605F" w:rsidR="00680847" w:rsidRPr="00680847" w:rsidRDefault="009B231E" w:rsidP="00680847">
            <w:pPr>
              <w:pStyle w:val="BoxListBullet"/>
            </w:pPr>
            <w:r>
              <w:t>I</w:t>
            </w:r>
            <w:r w:rsidR="00680847" w:rsidRPr="00680847">
              <w:t>nfant mortality rates, by State and Territory are presented in table</w:t>
            </w:r>
            <w:r w:rsidR="009A3160">
              <w:t>s</w:t>
            </w:r>
            <w:r w:rsidR="00680847" w:rsidRPr="00680847">
              <w:t xml:space="preserve"> NIRA.6.</w:t>
            </w:r>
            <w:r w:rsidR="0072207B">
              <w:t>3</w:t>
            </w:r>
            <w:r w:rsidR="00680847" w:rsidRPr="00680847">
              <w:t xml:space="preserve"> </w:t>
            </w:r>
            <w:r w:rsidR="00E7729E">
              <w:t xml:space="preserve">(all cause) </w:t>
            </w:r>
            <w:r w:rsidR="00680847" w:rsidRPr="00680847">
              <w:t>and NIRA.6.</w:t>
            </w:r>
            <w:r w:rsidR="00C234E7">
              <w:t xml:space="preserve">7 </w:t>
            </w:r>
            <w:r w:rsidR="00E7729E">
              <w:t>(selected causes)</w:t>
            </w:r>
          </w:p>
          <w:p w14:paraId="5EFDD185" w14:textId="6C4402B6" w:rsidR="00680847" w:rsidRPr="00680847" w:rsidRDefault="009B231E" w:rsidP="00680847">
            <w:pPr>
              <w:pStyle w:val="BoxListBullet"/>
            </w:pPr>
            <w:r>
              <w:t>C</w:t>
            </w:r>
            <w:r w:rsidR="00680847" w:rsidRPr="00680847">
              <w:t>h</w:t>
            </w:r>
            <w:r w:rsidR="009A3160">
              <w:t>ild mortality (aged 1</w:t>
            </w:r>
            <w:r w:rsidR="009A3160">
              <w:rPr>
                <w:rFonts w:cs="Arial"/>
              </w:rPr>
              <w:t>−</w:t>
            </w:r>
            <w:r w:rsidR="00680847" w:rsidRPr="00680847">
              <w:t xml:space="preserve">4 years) rates by State and Territory </w:t>
            </w:r>
            <w:r w:rsidR="0072207B">
              <w:t>are presented in tables</w:t>
            </w:r>
            <w:r w:rsidR="00995C2F">
              <w:t> </w:t>
            </w:r>
            <w:r w:rsidR="0072207B">
              <w:t>NIRA.6.4</w:t>
            </w:r>
            <w:r w:rsidR="00680847" w:rsidRPr="00680847">
              <w:t xml:space="preserve"> </w:t>
            </w:r>
            <w:r w:rsidR="00E7729E">
              <w:t xml:space="preserve">(all cause) </w:t>
            </w:r>
            <w:r w:rsidR="00680847" w:rsidRPr="00680847">
              <w:t>and NIRA.6.</w:t>
            </w:r>
            <w:r w:rsidR="00C234E7">
              <w:t xml:space="preserve">8 </w:t>
            </w:r>
            <w:r w:rsidR="00E7729E">
              <w:t>(selected causes)</w:t>
            </w:r>
          </w:p>
          <w:p w14:paraId="4A5BBF7F" w14:textId="1579B68B" w:rsidR="00680847" w:rsidRDefault="009B231E" w:rsidP="00680847">
            <w:pPr>
              <w:pStyle w:val="BoxListBullet"/>
            </w:pPr>
            <w:r>
              <w:t>C</w:t>
            </w:r>
            <w:r w:rsidR="009A3160">
              <w:t>hild mortality (aged 0</w:t>
            </w:r>
            <w:r w:rsidR="009A3160">
              <w:rPr>
                <w:rFonts w:cs="Arial"/>
              </w:rPr>
              <w:t>−</w:t>
            </w:r>
            <w:r w:rsidR="00680847" w:rsidRPr="00680847">
              <w:t xml:space="preserve">4 years) rates by State and Territory are presented </w:t>
            </w:r>
            <w:r w:rsidR="0072207B">
              <w:t>in tables</w:t>
            </w:r>
            <w:r w:rsidR="00995C2F">
              <w:t> </w:t>
            </w:r>
            <w:r w:rsidR="0072207B">
              <w:t xml:space="preserve">NIRA.6.5 </w:t>
            </w:r>
            <w:r w:rsidR="00A7767C">
              <w:t xml:space="preserve">(all cause) </w:t>
            </w:r>
            <w:r w:rsidR="0072207B">
              <w:t xml:space="preserve">and </w:t>
            </w:r>
            <w:r w:rsidR="006B4D32">
              <w:t>NIRA.6.9 (selected causes).</w:t>
            </w:r>
          </w:p>
          <w:p w14:paraId="4F616631" w14:textId="5088D605" w:rsidR="00273D2D" w:rsidRPr="00680847" w:rsidRDefault="005906C2" w:rsidP="008159C7">
            <w:pPr>
              <w:pStyle w:val="Box"/>
            </w:pPr>
            <w:r w:rsidRPr="00971B30">
              <w:t xml:space="preserve">Revised rates for single year data </w:t>
            </w:r>
            <w:r w:rsidR="006B4D32">
              <w:t>for</w:t>
            </w:r>
            <w:r>
              <w:t xml:space="preserve"> 2006 to 2017 </w:t>
            </w:r>
            <w:r w:rsidRPr="00971B30">
              <w:t>are provided to maintain a comparable time series</w:t>
            </w:r>
            <w:r w:rsidR="008159C7">
              <w:t xml:space="preserve"> and are</w:t>
            </w:r>
            <w:r w:rsidRPr="00971B30">
              <w:t xml:space="preserve"> presented in table NIRA.</w:t>
            </w:r>
            <w:r w:rsidR="004407E5">
              <w:t>6</w:t>
            </w:r>
            <w:r>
              <w:t>.1</w:t>
            </w:r>
            <w:r w:rsidRPr="00971B30">
              <w:t>.</w:t>
            </w:r>
            <w:r>
              <w:t xml:space="preserve"> </w:t>
            </w:r>
          </w:p>
        </w:tc>
      </w:tr>
      <w:tr w:rsidR="00680847" w14:paraId="5D9C1C20" w14:textId="77777777" w:rsidTr="004F04D8">
        <w:trPr>
          <w:cantSplit/>
        </w:trPr>
        <w:tc>
          <w:tcPr>
            <w:tcW w:w="8789" w:type="dxa"/>
            <w:tcBorders>
              <w:top w:val="nil"/>
              <w:left w:val="nil"/>
              <w:bottom w:val="single" w:sz="6" w:space="0" w:color="78A22F"/>
              <w:right w:val="nil"/>
            </w:tcBorders>
            <w:shd w:val="clear" w:color="auto" w:fill="F2F2F2"/>
          </w:tcPr>
          <w:p w14:paraId="46CA6546" w14:textId="77777777" w:rsidR="00680847" w:rsidRDefault="00680847">
            <w:pPr>
              <w:pStyle w:val="Box"/>
              <w:spacing w:before="0" w:line="120" w:lineRule="exact"/>
            </w:pPr>
          </w:p>
        </w:tc>
      </w:tr>
      <w:tr w:rsidR="00680847" w:rsidRPr="000863A5" w14:paraId="32D09914" w14:textId="77777777" w:rsidTr="004F04D8">
        <w:tc>
          <w:tcPr>
            <w:tcW w:w="8789" w:type="dxa"/>
            <w:tcBorders>
              <w:top w:val="single" w:sz="6" w:space="0" w:color="78A22F"/>
              <w:left w:val="nil"/>
              <w:bottom w:val="nil"/>
              <w:right w:val="nil"/>
            </w:tcBorders>
          </w:tcPr>
          <w:p w14:paraId="48EFCE77" w14:textId="77777777" w:rsidR="00680847" w:rsidRPr="00626D32" w:rsidRDefault="00680847" w:rsidP="00680847">
            <w:pPr>
              <w:pStyle w:val="BoxSpaceBelow"/>
            </w:pPr>
          </w:p>
        </w:tc>
      </w:tr>
    </w:tbl>
    <w:p w14:paraId="078D52AF" w14:textId="77777777" w:rsidR="00680847" w:rsidRDefault="00680847">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680847" w14:paraId="32A38B17" w14:textId="77777777" w:rsidTr="004F04D8">
        <w:tc>
          <w:tcPr>
            <w:tcW w:w="8789" w:type="dxa"/>
            <w:tcBorders>
              <w:top w:val="single" w:sz="6" w:space="0" w:color="78A22F"/>
              <w:left w:val="nil"/>
              <w:bottom w:val="nil"/>
              <w:right w:val="nil"/>
            </w:tcBorders>
            <w:shd w:val="clear" w:color="auto" w:fill="F2F2F2"/>
          </w:tcPr>
          <w:p w14:paraId="53A9C2D0" w14:textId="6287B3AE" w:rsidR="00680847" w:rsidRDefault="00680847" w:rsidP="00B87346">
            <w:pPr>
              <w:pStyle w:val="BoxTitle"/>
            </w:pPr>
            <w:r w:rsidRPr="000A6D48">
              <w:rPr>
                <w:b w:val="0"/>
              </w:rPr>
              <w:t>Box</w:t>
            </w:r>
            <w:r w:rsidR="00B1719E" w:rsidRPr="000A6D48">
              <w:rPr>
                <w:b w:val="0"/>
              </w:rPr>
              <w:t xml:space="preserve"> </w:t>
            </w:r>
            <w:r w:rsidR="005A2220" w:rsidRPr="000A6D48">
              <w:rPr>
                <w:b w:val="0"/>
              </w:rPr>
              <w:t>2</w:t>
            </w:r>
            <w:r w:rsidR="00B87346">
              <w:rPr>
                <w:b w:val="0"/>
              </w:rPr>
              <w:t>5</w:t>
            </w:r>
            <w:r w:rsidRPr="00437C7F">
              <w:tab/>
              <w:t>Comment on data quality</w:t>
            </w:r>
            <w:r>
              <w:t xml:space="preserve"> </w:t>
            </w:r>
          </w:p>
        </w:tc>
      </w:tr>
      <w:tr w:rsidR="00680847" w:rsidRPr="00680847" w14:paraId="723CFFBB" w14:textId="77777777" w:rsidTr="004F04D8">
        <w:trPr>
          <w:cantSplit/>
        </w:trPr>
        <w:tc>
          <w:tcPr>
            <w:tcW w:w="8789" w:type="dxa"/>
            <w:tcBorders>
              <w:top w:val="nil"/>
              <w:left w:val="nil"/>
              <w:bottom w:val="nil"/>
              <w:right w:val="nil"/>
            </w:tcBorders>
            <w:shd w:val="clear" w:color="auto" w:fill="F2F2F2"/>
          </w:tcPr>
          <w:p w14:paraId="471BCFEA" w14:textId="0C26BF49" w:rsidR="00680847" w:rsidRPr="00680847" w:rsidRDefault="00680847" w:rsidP="00680847">
            <w:pPr>
              <w:pStyle w:val="Box"/>
              <w:keepLines/>
            </w:pPr>
            <w:r w:rsidRPr="00680847">
              <w:t xml:space="preserve">Key points on data quality for this indicator are summarised </w:t>
            </w:r>
            <w:r w:rsidR="006B4D32" w:rsidRPr="00680847">
              <w:t>below.</w:t>
            </w:r>
          </w:p>
          <w:p w14:paraId="110426B1" w14:textId="77777777" w:rsidR="00680847" w:rsidRPr="00680847" w:rsidRDefault="00680847" w:rsidP="0082461D">
            <w:pPr>
              <w:pStyle w:val="BoxListBullet"/>
            </w:pPr>
            <w:r w:rsidRPr="00680847">
              <w:t xml:space="preserve">The data provide relevant information on child under five mortality rates by leading cause of </w:t>
            </w:r>
            <w:r w:rsidRPr="0082461D">
              <w:t>death</w:t>
            </w:r>
            <w:r w:rsidRPr="00680847">
              <w:t>. Data are presented for perinatal, infant and young child mortality, by leading cause of death and all cause totals. Data are available by State and Territory, but are not of sufficient quality for reporting for Victoria, Tasmania and the ACT.</w:t>
            </w:r>
          </w:p>
          <w:p w14:paraId="674D103E" w14:textId="5A694D7E" w:rsidR="00680847" w:rsidRDefault="00680847" w:rsidP="00784D6B">
            <w:pPr>
              <w:pStyle w:val="BoxListBullet"/>
            </w:pPr>
            <w:r w:rsidRPr="00680847">
              <w:t xml:space="preserve">Annual data are available. The most recent available data </w:t>
            </w:r>
            <w:r w:rsidR="00E206A7">
              <w:t>are for</w:t>
            </w:r>
            <w:r w:rsidR="005A3C3A">
              <w:t xml:space="preserve"> </w:t>
            </w:r>
            <w:r w:rsidR="005A2220" w:rsidRPr="00680847">
              <w:t>201</w:t>
            </w:r>
            <w:r w:rsidR="005A2220">
              <w:t>8</w:t>
            </w:r>
            <w:r w:rsidRPr="00680847">
              <w:t>. Data by cause of death are presented as five year combined data at the State and Territory level, due to the volatility of the small numbers involved. Single year data are only reliable for all cause totals.</w:t>
            </w:r>
          </w:p>
          <w:p w14:paraId="411C20BE" w14:textId="19480EE2" w:rsidR="005906C2" w:rsidRDefault="005906C2" w:rsidP="000D6945">
            <w:pPr>
              <w:pStyle w:val="BoxListBullet"/>
            </w:pPr>
            <w:r>
              <w:t xml:space="preserve">Rates </w:t>
            </w:r>
            <w:r w:rsidR="005A2220">
              <w:t xml:space="preserve">for </w:t>
            </w:r>
            <w:r w:rsidR="00760201">
              <w:t xml:space="preserve">single year historical </w:t>
            </w:r>
            <w:r>
              <w:t xml:space="preserve">data for children aged 0–4 years have been </w:t>
            </w:r>
            <w:r w:rsidR="00760201">
              <w:t xml:space="preserve">revised </w:t>
            </w:r>
            <w:r>
              <w:t>to account for new Aboriginal and Torres Strait Islander population estimates and projections (</w:t>
            </w:r>
            <w:r w:rsidR="00E206A7">
              <w:t xml:space="preserve">based </w:t>
            </w:r>
            <w:r>
              <w:t>on the 2016 Census)</w:t>
            </w:r>
            <w:r w:rsidR="00E206A7">
              <w:t xml:space="preserve"> released in July 2019</w:t>
            </w:r>
            <w:r w:rsidR="005A2220">
              <w:t>.</w:t>
            </w:r>
          </w:p>
          <w:p w14:paraId="02A00AC4" w14:textId="14CECD57" w:rsidR="00E206A7" w:rsidRPr="00E206A7" w:rsidRDefault="009431D9" w:rsidP="00E206A7">
            <w:pPr>
              <w:pStyle w:val="BoxListBullet"/>
              <w:rPr>
                <w:szCs w:val="24"/>
              </w:rPr>
            </w:pPr>
            <w:r>
              <w:t>Aboriginal and Torres Strait Islander</w:t>
            </w:r>
            <w:r w:rsidRPr="00680847">
              <w:t xml:space="preserve"> </w:t>
            </w:r>
            <w:r w:rsidR="00B63E92" w:rsidRPr="00680847">
              <w:t xml:space="preserve">mortality rates should be used with caution (although the data are generally considered comparable across jurisdictions and </w:t>
            </w:r>
            <w:r w:rsidR="00D03091">
              <w:t>over time)</w:t>
            </w:r>
            <w:r w:rsidR="00E206A7">
              <w:t>:</w:t>
            </w:r>
          </w:p>
          <w:p w14:paraId="7D138E0A" w14:textId="3517CD95" w:rsidR="00680847" w:rsidRPr="001F7FBB" w:rsidRDefault="00E206A7" w:rsidP="008822BF">
            <w:pPr>
              <w:pStyle w:val="BoxListBullet2"/>
              <w:rPr>
                <w:szCs w:val="24"/>
              </w:rPr>
            </w:pPr>
            <w:r>
              <w:t>a</w:t>
            </w:r>
            <w:r w:rsidRPr="00680847">
              <w:t xml:space="preserve">lthough </w:t>
            </w:r>
            <w:r w:rsidR="00B63E92" w:rsidRPr="00680847">
              <w:t xml:space="preserve">most deaths of </w:t>
            </w:r>
            <w:r w:rsidR="009431D9">
              <w:t>Aboriginal and Torres Strait Islander</w:t>
            </w:r>
            <w:r w:rsidR="009431D9" w:rsidRPr="00680847">
              <w:t xml:space="preserve"> </w:t>
            </w:r>
            <w:r w:rsidR="00B63E92" w:rsidRPr="00680847">
              <w:t xml:space="preserve">people are registered, it is likely that some are not accurately identified </w:t>
            </w:r>
            <w:r>
              <w:t xml:space="preserve">and the </w:t>
            </w:r>
            <w:r w:rsidR="00F80EE3">
              <w:t>Aboriginal and Torres Strait Islander</w:t>
            </w:r>
            <w:r w:rsidR="00F80EE3" w:rsidRPr="00680847">
              <w:t xml:space="preserve"> </w:t>
            </w:r>
            <w:r w:rsidR="00B63E92" w:rsidRPr="00680847">
              <w:t>and the mortal</w:t>
            </w:r>
            <w:r w:rsidR="00B63E92">
              <w:t>ity rate may be underestimated.</w:t>
            </w:r>
          </w:p>
        </w:tc>
      </w:tr>
      <w:tr w:rsidR="001F7FBB" w14:paraId="09353F88" w14:textId="77777777" w:rsidTr="000D6945">
        <w:tc>
          <w:tcPr>
            <w:tcW w:w="8789" w:type="dxa"/>
            <w:tcBorders>
              <w:top w:val="nil"/>
              <w:left w:val="nil"/>
              <w:bottom w:val="nil"/>
              <w:right w:val="nil"/>
            </w:tcBorders>
            <w:shd w:val="clear" w:color="auto" w:fill="F2F2F2"/>
          </w:tcPr>
          <w:p w14:paraId="14A14087" w14:textId="1BC0BA58" w:rsidR="001F7FBB" w:rsidRDefault="001F7FBB" w:rsidP="000D6945">
            <w:pPr>
              <w:pStyle w:val="Continued"/>
            </w:pPr>
            <w:bookmarkStart w:id="23" w:name="_Ref375126402"/>
            <w:r w:rsidRPr="00315070">
              <w:t xml:space="preserve"> (</w:t>
            </w:r>
            <w:r w:rsidRPr="00DB0CCE">
              <w:t>continued</w:t>
            </w:r>
            <w:r w:rsidRPr="00315070">
              <w:t xml:space="preserve"> next page)</w:t>
            </w:r>
          </w:p>
        </w:tc>
      </w:tr>
      <w:tr w:rsidR="001F7FBB" w14:paraId="6A99297A" w14:textId="77777777" w:rsidTr="000D6945">
        <w:tc>
          <w:tcPr>
            <w:tcW w:w="8789" w:type="dxa"/>
            <w:tcBorders>
              <w:top w:val="nil"/>
              <w:left w:val="nil"/>
              <w:bottom w:val="single" w:sz="6" w:space="0" w:color="78A22F"/>
              <w:right w:val="nil"/>
            </w:tcBorders>
            <w:shd w:val="clear" w:color="auto" w:fill="F2F2F2"/>
          </w:tcPr>
          <w:p w14:paraId="5AD2F8A1" w14:textId="77777777" w:rsidR="001F7FBB" w:rsidRDefault="001F7FBB" w:rsidP="000D6945">
            <w:pPr>
              <w:pStyle w:val="Box"/>
              <w:keepNext w:val="0"/>
              <w:spacing w:before="0" w:line="120" w:lineRule="exact"/>
            </w:pPr>
          </w:p>
        </w:tc>
      </w:tr>
    </w:tbl>
    <w:p w14:paraId="10D92A3B" w14:textId="77777777" w:rsidR="001F7FBB" w:rsidRDefault="001F7FBB" w:rsidP="001F7FB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F7FBB" w14:paraId="07D505E6" w14:textId="77777777" w:rsidTr="000D6945">
        <w:tc>
          <w:tcPr>
            <w:tcW w:w="5000" w:type="pct"/>
            <w:tcBorders>
              <w:top w:val="single" w:sz="6" w:space="0" w:color="78A22F"/>
              <w:left w:val="nil"/>
              <w:bottom w:val="nil"/>
              <w:right w:val="nil"/>
            </w:tcBorders>
            <w:shd w:val="clear" w:color="auto" w:fill="F2F2F2"/>
          </w:tcPr>
          <w:p w14:paraId="7635C50A" w14:textId="6D368DA4" w:rsidR="001F7FBB" w:rsidRDefault="001F7FBB" w:rsidP="00781D1E">
            <w:pPr>
              <w:pStyle w:val="BoxTitle"/>
            </w:pPr>
            <w:r>
              <w:rPr>
                <w:b w:val="0"/>
              </w:rPr>
              <w:t xml:space="preserve">Box </w:t>
            </w:r>
            <w:r w:rsidR="00CD100F">
              <w:rPr>
                <w:b w:val="0"/>
              </w:rPr>
              <w:t>2</w:t>
            </w:r>
            <w:r w:rsidR="00781D1E">
              <w:rPr>
                <w:b w:val="0"/>
              </w:rPr>
              <w:t>5</w:t>
            </w:r>
            <w:r>
              <w:tab/>
            </w:r>
            <w:r w:rsidRPr="00EA0D57">
              <w:rPr>
                <w:rStyle w:val="Continuedintitle"/>
              </w:rPr>
              <w:t>(continued</w:t>
            </w:r>
            <w:r>
              <w:rPr>
                <w:rStyle w:val="Continuedintitle"/>
              </w:rPr>
              <w:t>)</w:t>
            </w:r>
          </w:p>
        </w:tc>
      </w:tr>
      <w:tr w:rsidR="001F7FBB" w14:paraId="23113EBC" w14:textId="77777777" w:rsidTr="000D6945">
        <w:tc>
          <w:tcPr>
            <w:tcW w:w="5000" w:type="pct"/>
            <w:tcBorders>
              <w:top w:val="nil"/>
              <w:left w:val="nil"/>
              <w:bottom w:val="nil"/>
              <w:right w:val="nil"/>
            </w:tcBorders>
            <w:shd w:val="clear" w:color="auto" w:fill="F2F2F2"/>
          </w:tcPr>
          <w:p w14:paraId="0949699B" w14:textId="799A80FF" w:rsidR="001F7FBB" w:rsidRPr="005A2220" w:rsidRDefault="00E206A7" w:rsidP="008822BF">
            <w:pPr>
              <w:pStyle w:val="BoxListBullet2"/>
              <w:rPr>
                <w:szCs w:val="24"/>
              </w:rPr>
            </w:pPr>
            <w:r>
              <w:t>n</w:t>
            </w:r>
            <w:r w:rsidR="001F7FBB" w:rsidRPr="00A35642">
              <w:t>on</w:t>
            </w:r>
            <w:r w:rsidR="00FA5150">
              <w:noBreakHyphen/>
            </w:r>
            <w:r w:rsidR="001F7FBB" w:rsidRPr="00A35642">
              <w:t xml:space="preserve">Indigenous population estimates are </w:t>
            </w:r>
            <w:r w:rsidR="001F7FBB" w:rsidRPr="0082461D">
              <w:t>available</w:t>
            </w:r>
            <w:r w:rsidR="001F7FBB" w:rsidRPr="00A35642">
              <w:t xml:space="preserve"> for Census years only. In the intervening years, population estimates are only available for the total population and the </w:t>
            </w:r>
            <w:r w:rsidR="001F7FBB">
              <w:t>Aboriginal and Torres Strait Islander</w:t>
            </w:r>
            <w:r w:rsidR="001F7FBB" w:rsidRPr="00A35642">
              <w:t xml:space="preserve"> population, with non</w:t>
            </w:r>
            <w:r w:rsidR="00FA5150">
              <w:noBreakHyphen/>
            </w:r>
            <w:r w:rsidR="001F7FBB" w:rsidRPr="00A35642">
              <w:t xml:space="preserve">Indigenous population estimates derived by subtracting the </w:t>
            </w:r>
            <w:r>
              <w:t xml:space="preserve">estimated or </w:t>
            </w:r>
            <w:r w:rsidR="001F7FBB" w:rsidRPr="00A35642">
              <w:t xml:space="preserve">projected </w:t>
            </w:r>
            <w:r w:rsidR="001F7FBB">
              <w:t>Aboriginal and Torres Strait Islander</w:t>
            </w:r>
            <w:r w:rsidR="001F7FBB" w:rsidRPr="00A35642">
              <w:t xml:space="preserve"> popula</w:t>
            </w:r>
            <w:r w:rsidR="001F7FBB">
              <w:t>tion from the total population.</w:t>
            </w:r>
            <w:r>
              <w:t xml:space="preserve"> </w:t>
            </w:r>
            <w:r w:rsidRPr="00F1640C">
              <w:t>For this report the non</w:t>
            </w:r>
            <w:r w:rsidR="00FA5150">
              <w:noBreakHyphen/>
            </w:r>
            <w:r w:rsidRPr="00F1640C">
              <w:t>Indigenous population denominator</w:t>
            </w:r>
            <w:r>
              <w:t>s</w:t>
            </w:r>
            <w:r w:rsidRPr="00F1640C">
              <w:t xml:space="preserve"> ha</w:t>
            </w:r>
            <w:r>
              <w:t>ve</w:t>
            </w:r>
            <w:r w:rsidRPr="00F1640C">
              <w:t xml:space="preserve"> been calculated by subtracting the 201</w:t>
            </w:r>
            <w:r>
              <w:t>6</w:t>
            </w:r>
            <w:r w:rsidRPr="00F1640C">
              <w:t xml:space="preserve"> Census</w:t>
            </w:r>
            <w:r w:rsidR="00FA5150">
              <w:noBreakHyphen/>
            </w:r>
            <w:r w:rsidRPr="00F1640C">
              <w:t xml:space="preserve">based </w:t>
            </w:r>
            <w:r>
              <w:t>Aboriginal and Torres Strait Islander estimates and p</w:t>
            </w:r>
            <w:r w:rsidRPr="00F1640C">
              <w:t xml:space="preserve">rojections from the </w:t>
            </w:r>
            <w:r>
              <w:t>total</w:t>
            </w:r>
            <w:r w:rsidRPr="00F1640C">
              <w:t xml:space="preserve"> Estimated Resident Population. Such figures have a degree of uncertainty and should be used with caution, particularly as the time from the base year of the projection series increases.</w:t>
            </w:r>
          </w:p>
          <w:p w14:paraId="1E161725" w14:textId="64C7100E" w:rsidR="001F7FBB" w:rsidRPr="004A793A" w:rsidRDefault="00781D1E" w:rsidP="000D6945">
            <w:pPr>
              <w:pStyle w:val="BoxListBullet"/>
              <w:rPr>
                <w:szCs w:val="24"/>
              </w:rPr>
            </w:pPr>
            <w:r>
              <w:rPr>
                <w:rStyle w:val="BoxListBulletChar"/>
                <w:rFonts w:eastAsia="Calibri"/>
              </w:rPr>
              <w:t xml:space="preserve">For </w:t>
            </w:r>
            <w:r w:rsidR="001F7FBB" w:rsidRPr="001F7FBB">
              <w:rPr>
                <w:rStyle w:val="BoxListBulletChar"/>
                <w:rFonts w:eastAsia="Calibri"/>
              </w:rPr>
              <w:t>NSW, Queensland and NT</w:t>
            </w:r>
            <w:r>
              <w:rPr>
                <w:rStyle w:val="BoxListBulletChar"/>
                <w:rFonts w:eastAsia="Calibri"/>
              </w:rPr>
              <w:t xml:space="preserve"> there have been recent improvements in the quality and </w:t>
            </w:r>
            <w:r w:rsidR="001F7FBB" w:rsidRPr="006E3BB2">
              <w:rPr>
                <w:rStyle w:val="BoxListBulletChar"/>
                <w:rFonts w:eastAsia="Calibri"/>
              </w:rPr>
              <w:t>timeliness of birth</w:t>
            </w:r>
            <w:r>
              <w:rPr>
                <w:rStyle w:val="BoxListBulletChar"/>
                <w:rFonts w:eastAsia="Calibri"/>
              </w:rPr>
              <w:t xml:space="preserve"> </w:t>
            </w:r>
            <w:r w:rsidRPr="006E3BB2">
              <w:rPr>
                <w:rStyle w:val="BoxListBulletChar"/>
                <w:rFonts w:eastAsia="Calibri"/>
              </w:rPr>
              <w:t>registrations</w:t>
            </w:r>
            <w:r>
              <w:rPr>
                <w:rStyle w:val="BoxListBulletChar"/>
                <w:rFonts w:eastAsia="Calibri"/>
              </w:rPr>
              <w:t xml:space="preserve"> that affect the birth counts</w:t>
            </w:r>
            <w:r w:rsidR="001F7FBB" w:rsidRPr="001F7FBB">
              <w:rPr>
                <w:rStyle w:val="BoxListBulletChar"/>
                <w:rFonts w:eastAsia="Calibri"/>
              </w:rPr>
              <w:t xml:space="preserve">. Care should be taken when interpreting changes </w:t>
            </w:r>
            <w:r>
              <w:rPr>
                <w:rStyle w:val="BoxListBulletChar"/>
                <w:rFonts w:eastAsia="Calibri"/>
              </w:rPr>
              <w:t xml:space="preserve">over time in </w:t>
            </w:r>
            <w:r w:rsidR="001F7FBB" w:rsidRPr="001F7FBB">
              <w:rPr>
                <w:rStyle w:val="BoxListBulletChar"/>
                <w:rFonts w:eastAsia="Calibri"/>
              </w:rPr>
              <w:t xml:space="preserve">infant mortality rates for </w:t>
            </w:r>
            <w:r>
              <w:rPr>
                <w:rStyle w:val="BoxListBulletChar"/>
                <w:rFonts w:eastAsia="Calibri"/>
              </w:rPr>
              <w:t>these jurisdictions</w:t>
            </w:r>
            <w:r w:rsidR="008159C7">
              <w:rPr>
                <w:rStyle w:val="BoxListBulletChar"/>
                <w:rFonts w:eastAsia="Calibri"/>
              </w:rPr>
              <w:t>, as increases in birth counts with no change to infant death counts will show as a decrease in infant mortality rates</w:t>
            </w:r>
            <w:r w:rsidR="001F7FBB" w:rsidRPr="006E3BB2">
              <w:rPr>
                <w:rFonts w:eastAsia="Calibri"/>
                <w:color w:val="000000" w:themeColor="text1"/>
              </w:rPr>
              <w:t xml:space="preserve">. </w:t>
            </w:r>
          </w:p>
          <w:p w14:paraId="0B15BC8F" w14:textId="4A30C290" w:rsidR="004A793A" w:rsidRPr="006E3BB2" w:rsidRDefault="004A793A" w:rsidP="004A793A">
            <w:pPr>
              <w:pStyle w:val="BoxListBullet"/>
              <w:rPr>
                <w:szCs w:val="24"/>
              </w:rPr>
            </w:pPr>
            <w:r w:rsidRPr="004A793A">
              <w:rPr>
                <w:szCs w:val="24"/>
              </w:rPr>
              <w:t>Fetal and perinatal deaths disaggregated by Indigenous status are not published for SA but are included in national totals. It is recommended these totals be used with caution while the ABS assesses the quality of the SA data.</w:t>
            </w:r>
          </w:p>
          <w:p w14:paraId="5082B1BE" w14:textId="14C21E76" w:rsidR="001F7FBB" w:rsidRDefault="001F7FBB" w:rsidP="001F7FBB">
            <w:pPr>
              <w:pStyle w:val="BoxListBullet"/>
              <w:rPr>
                <w:szCs w:val="24"/>
              </w:rPr>
            </w:pPr>
            <w:r w:rsidRPr="00680847">
              <w:t>Detailed explanatory notes are publicly available to assist in the interpretation of results. Additional data from the data source are ava</w:t>
            </w:r>
            <w:r>
              <w:t>ilable on</w:t>
            </w:r>
            <w:r w:rsidR="00FA5150">
              <w:noBreakHyphen/>
            </w:r>
            <w:r>
              <w:t>line, and on request.</w:t>
            </w:r>
          </w:p>
          <w:p w14:paraId="40E9B4EB" w14:textId="77777777" w:rsidR="001F7FBB" w:rsidRPr="00680847" w:rsidRDefault="001F7FBB" w:rsidP="001F7FBB">
            <w:pPr>
              <w:pStyle w:val="Box"/>
              <w:keepLines/>
            </w:pPr>
            <w:r w:rsidRPr="00680847">
              <w:t>The Steering Committee also notes the following issues.</w:t>
            </w:r>
          </w:p>
          <w:p w14:paraId="49B65609" w14:textId="1A748CD6" w:rsidR="00E206A7" w:rsidRPr="00E206A7" w:rsidRDefault="001F7FBB" w:rsidP="001F7FBB">
            <w:pPr>
              <w:pStyle w:val="BoxListBullet"/>
              <w:rPr>
                <w:szCs w:val="24"/>
              </w:rPr>
            </w:pPr>
            <w:r w:rsidRPr="00680847">
              <w:t xml:space="preserve">The </w:t>
            </w:r>
            <w:r w:rsidRPr="0082461D">
              <w:t>NIRAPIMG</w:t>
            </w:r>
            <w:r w:rsidRPr="00680847">
              <w:t xml:space="preserve"> has advised that single year data should only be used for time series analysis. Current period analysis should refer to the most recent aggregate years</w:t>
            </w:r>
            <w:r>
              <w:t>’</w:t>
            </w:r>
            <w:r w:rsidRPr="00680847">
              <w:t xml:space="preserve"> data.</w:t>
            </w:r>
            <w:r>
              <w:t xml:space="preserve"> </w:t>
            </w:r>
          </w:p>
          <w:p w14:paraId="17957DD5" w14:textId="65CA6991" w:rsidR="001F7FBB" w:rsidRPr="00E206A7" w:rsidRDefault="001F7FBB" w:rsidP="001F7FBB">
            <w:pPr>
              <w:pStyle w:val="BoxListBullet"/>
              <w:rPr>
                <w:szCs w:val="24"/>
              </w:rPr>
            </w:pPr>
            <w:r w:rsidRPr="00680847">
              <w:t xml:space="preserve">Variability bands accompanying mortality data should be used for comparisons within a jurisdiction either at point in time or over time. They should not be used for comparisons across </w:t>
            </w:r>
            <w:r w:rsidRPr="0082461D">
              <w:t>jurisdictions</w:t>
            </w:r>
            <w:r w:rsidRPr="00680847">
              <w:t>, as the variability bands (and underlying mortality rates) do not take into account differences in under</w:t>
            </w:r>
            <w:r w:rsidR="00FA5150">
              <w:noBreakHyphen/>
            </w:r>
            <w:r w:rsidRPr="00680847">
              <w:t xml:space="preserve">identification of </w:t>
            </w:r>
            <w:r>
              <w:t>Aboriginal and Torres Strait Islander</w:t>
            </w:r>
            <w:r w:rsidRPr="00680847">
              <w:t xml:space="preserve"> Australians in de</w:t>
            </w:r>
            <w:r>
              <w:t>aths data across jurisdictions.</w:t>
            </w:r>
          </w:p>
          <w:p w14:paraId="27E46DA4" w14:textId="064849C9" w:rsidR="00E206A7" w:rsidRDefault="00E206A7" w:rsidP="00E206A7">
            <w:pPr>
              <w:pStyle w:val="BoxListBullet"/>
            </w:pPr>
            <w:r>
              <w:t>Aboriginal and Torres Strait Islander population backcast estimates are based on assumptions. Uncertainty of the estimates increases as the time from the Census</w:t>
            </w:r>
            <w:r w:rsidR="00FA5150">
              <w:noBreakHyphen/>
            </w:r>
            <w:r>
              <w:t>base</w:t>
            </w:r>
            <w:r w:rsidR="001A2FAE">
              <w:t xml:space="preserve"> year increases. </w:t>
            </w:r>
          </w:p>
          <w:p w14:paraId="02A42BA7" w14:textId="505C2E35" w:rsidR="00E206A7" w:rsidRDefault="00E206A7" w:rsidP="00E206A7">
            <w:pPr>
              <w:pStyle w:val="BoxListBullet"/>
              <w:rPr>
                <w:szCs w:val="24"/>
              </w:rPr>
            </w:pPr>
            <w:r>
              <w:t xml:space="preserve">Given the uncertainty of population estimates, coupled with the potential mismatch between the numerator (deaths) and denominator (population) due to different identification rates, comparisons of </w:t>
            </w:r>
            <w:r w:rsidR="000E2039">
              <w:t xml:space="preserve">child (0–4 and 1–4 years) mortality </w:t>
            </w:r>
            <w:r>
              <w:t>rates over long time periods should be undertaken with caution (eg rates for 2006 compared with rates for 2016 and later years).</w:t>
            </w:r>
            <w:r w:rsidR="001A03C8">
              <w:t xml:space="preserve"> </w:t>
            </w:r>
          </w:p>
          <w:p w14:paraId="12500660" w14:textId="3760EB8E" w:rsidR="001F7FBB" w:rsidRDefault="001F7FBB" w:rsidP="00781D1E">
            <w:pPr>
              <w:pStyle w:val="BoxListBullet"/>
              <w:keepLines/>
            </w:pPr>
            <w:r w:rsidRPr="0082461D">
              <w:t>Mortality</w:t>
            </w:r>
            <w:r w:rsidRPr="00860DDD">
              <w:t xml:space="preserve"> rates </w:t>
            </w:r>
            <w:r>
              <w:t xml:space="preserve">by Indigenous status </w:t>
            </w:r>
            <w:r w:rsidR="00781D1E">
              <w:t xml:space="preserve">disaggregated by remoteness </w:t>
            </w:r>
            <w:r w:rsidRPr="00860DDD">
              <w:t xml:space="preserve">are not available. </w:t>
            </w:r>
            <w:r>
              <w:t xml:space="preserve">The </w:t>
            </w:r>
            <w:r w:rsidRPr="00860DDD">
              <w:t xml:space="preserve">ABS advised that further analysis is required to determine </w:t>
            </w:r>
            <w:r>
              <w:t xml:space="preserve">the </w:t>
            </w:r>
            <w:r w:rsidRPr="00860DDD">
              <w:t xml:space="preserve">adjustments required for performance reporting. </w:t>
            </w:r>
            <w:r>
              <w:t>T</w:t>
            </w:r>
            <w:r w:rsidRPr="00860DDD">
              <w:t xml:space="preserve">he ABS has published some unadjusted data in </w:t>
            </w:r>
            <w:r w:rsidRPr="00887A9D">
              <w:rPr>
                <w:i/>
              </w:rPr>
              <w:t>Deaths</w:t>
            </w:r>
            <w:r>
              <w:rPr>
                <w:i/>
              </w:rPr>
              <w:t>,</w:t>
            </w:r>
            <w:r w:rsidRPr="00887A9D">
              <w:rPr>
                <w:i/>
              </w:rPr>
              <w:t xml:space="preserve"> Australia</w:t>
            </w:r>
            <w:r>
              <w:rPr>
                <w:i/>
              </w:rPr>
              <w:t xml:space="preserve"> </w:t>
            </w:r>
            <w:r w:rsidRPr="00D03091">
              <w:t>(Cat. no.</w:t>
            </w:r>
            <w:r>
              <w:t> </w:t>
            </w:r>
            <w:r w:rsidRPr="00D03091">
              <w:t>3302.0)</w:t>
            </w:r>
            <w:r w:rsidRPr="00860DDD">
              <w:t>,</w:t>
            </w:r>
            <w:r>
              <w:t xml:space="preserve"> but</w:t>
            </w:r>
            <w:r w:rsidRPr="00860DDD">
              <w:t xml:space="preserve"> these data should be used with caution, as the under</w:t>
            </w:r>
            <w:r w:rsidR="00FA5150">
              <w:noBreakHyphen/>
            </w:r>
            <w:r w:rsidRPr="00860DDD">
              <w:t>identification of Indigenous status in deaths registrations increases as remoteness decreases</w:t>
            </w:r>
            <w:r>
              <w:t>.</w:t>
            </w:r>
          </w:p>
        </w:tc>
      </w:tr>
      <w:tr w:rsidR="001F7FBB" w14:paraId="105EA3BE" w14:textId="77777777" w:rsidTr="000D6945">
        <w:tc>
          <w:tcPr>
            <w:tcW w:w="5000" w:type="pct"/>
            <w:tcBorders>
              <w:top w:val="nil"/>
              <w:left w:val="nil"/>
              <w:bottom w:val="single" w:sz="6" w:space="0" w:color="78A22F"/>
              <w:right w:val="nil"/>
            </w:tcBorders>
            <w:shd w:val="clear" w:color="auto" w:fill="F2F2F2"/>
          </w:tcPr>
          <w:p w14:paraId="67A06C11" w14:textId="77777777" w:rsidR="001F7FBB" w:rsidRDefault="001F7FBB" w:rsidP="000D6945">
            <w:pPr>
              <w:pStyle w:val="Box"/>
              <w:spacing w:before="0" w:line="120" w:lineRule="exact"/>
            </w:pPr>
          </w:p>
        </w:tc>
      </w:tr>
      <w:tr w:rsidR="001F7FBB" w:rsidRPr="000863A5" w14:paraId="6B0E397F" w14:textId="77777777" w:rsidTr="000D6945">
        <w:tc>
          <w:tcPr>
            <w:tcW w:w="5000" w:type="pct"/>
            <w:tcBorders>
              <w:top w:val="single" w:sz="6" w:space="0" w:color="78A22F"/>
              <w:left w:val="nil"/>
              <w:bottom w:val="nil"/>
              <w:right w:val="nil"/>
            </w:tcBorders>
          </w:tcPr>
          <w:p w14:paraId="19BC6227" w14:textId="77777777" w:rsidR="001F7FBB" w:rsidRPr="00626D32" w:rsidRDefault="001F7FBB" w:rsidP="000D6945">
            <w:pPr>
              <w:pStyle w:val="BoxSpaceBelow"/>
            </w:pPr>
          </w:p>
        </w:tc>
      </w:tr>
    </w:tbl>
    <w:p w14:paraId="6433E7AC" w14:textId="77777777" w:rsidR="001F7FBB" w:rsidRDefault="001F7FBB" w:rsidP="008822BF">
      <w:pPr>
        <w:pStyle w:val="BoxSpaceBelow"/>
      </w:pPr>
      <w:r>
        <w:br w:type="page"/>
      </w:r>
    </w:p>
    <w:p w14:paraId="3EDB8AED" w14:textId="2862751F" w:rsidR="00680847" w:rsidRPr="00921D4D" w:rsidRDefault="00680847" w:rsidP="00680847">
      <w:pPr>
        <w:pStyle w:val="Heading3"/>
        <w:keepLines/>
      </w:pPr>
      <w:r w:rsidRPr="00921D4D">
        <w:lastRenderedPageBreak/>
        <w:t xml:space="preserve">Indicator 7: </w:t>
      </w:r>
      <w:r>
        <w:t>Proportion of babies born of low birth</w:t>
      </w:r>
      <w:r w:rsidR="00293E8B">
        <w:t xml:space="preserve"> </w:t>
      </w:r>
      <w:r>
        <w:t>weight</w:t>
      </w:r>
      <w:bookmarkEnd w:id="23"/>
    </w:p>
    <w:p w14:paraId="076D73F4" w14:textId="77777777" w:rsidR="00680847" w:rsidRDefault="00680847" w:rsidP="002B469C">
      <w:pPr>
        <w:keepNext/>
      </w:pPr>
    </w:p>
    <w:tbl>
      <w:tblPr>
        <w:tblW w:w="8789" w:type="dxa"/>
        <w:tblCellMar>
          <w:right w:w="0" w:type="dxa"/>
        </w:tblCellMar>
        <w:tblLook w:val="0000" w:firstRow="0" w:lastRow="0" w:firstColumn="0" w:lastColumn="0" w:noHBand="0" w:noVBand="0"/>
      </w:tblPr>
      <w:tblGrid>
        <w:gridCol w:w="2093"/>
        <w:gridCol w:w="6696"/>
      </w:tblGrid>
      <w:tr w:rsidR="00680847" w:rsidRPr="00D87AA9" w14:paraId="10ACB699" w14:textId="77777777" w:rsidTr="004F04D8">
        <w:tc>
          <w:tcPr>
            <w:tcW w:w="2093" w:type="dxa"/>
          </w:tcPr>
          <w:p w14:paraId="3A5001CE" w14:textId="3C1B8543" w:rsidR="00680847" w:rsidRPr="00D87AA9" w:rsidRDefault="00680847" w:rsidP="00870410">
            <w:pPr>
              <w:pStyle w:val="TableBodyNA"/>
            </w:pPr>
            <w:r w:rsidRPr="00B82DC5">
              <w:t>Key amendments fr</w:t>
            </w:r>
            <w:r w:rsidR="00F50913">
              <w:t>om previous cycle of reporting:</w:t>
            </w:r>
          </w:p>
        </w:tc>
        <w:tc>
          <w:tcPr>
            <w:tcW w:w="6696" w:type="dxa"/>
          </w:tcPr>
          <w:p w14:paraId="2A621AD9" w14:textId="148C3A51" w:rsidR="00680847" w:rsidRPr="00D87AA9" w:rsidRDefault="00360E8B" w:rsidP="00870410">
            <w:pPr>
              <w:pStyle w:val="TableBodyNA"/>
            </w:pPr>
            <w:r w:rsidRPr="005332B8">
              <w:t xml:space="preserve">This </w:t>
            </w:r>
            <w:r>
              <w:t xml:space="preserve">indicator is </w:t>
            </w:r>
            <w:r w:rsidRPr="005332B8">
              <w:t xml:space="preserve">unchanged from </w:t>
            </w:r>
            <w:r>
              <w:t xml:space="preserve">the </w:t>
            </w:r>
            <w:r w:rsidRPr="005332B8">
              <w:t xml:space="preserve">previous </w:t>
            </w:r>
            <w:r>
              <w:t>NIRA performance report</w:t>
            </w:r>
          </w:p>
        </w:tc>
      </w:tr>
      <w:tr w:rsidR="00680847" w:rsidRPr="00D87AA9" w14:paraId="4E3B1AB5" w14:textId="77777777" w:rsidTr="004F04D8">
        <w:tc>
          <w:tcPr>
            <w:tcW w:w="2093" w:type="dxa"/>
          </w:tcPr>
          <w:p w14:paraId="4CE5D529" w14:textId="77777777" w:rsidR="00680847" w:rsidRPr="00D87AA9" w:rsidRDefault="00680847" w:rsidP="00870410">
            <w:pPr>
              <w:pStyle w:val="TableBodyNA"/>
            </w:pPr>
            <w:r w:rsidRPr="00D87AA9">
              <w:t>Target:</w:t>
            </w:r>
          </w:p>
        </w:tc>
        <w:tc>
          <w:tcPr>
            <w:tcW w:w="6696" w:type="dxa"/>
          </w:tcPr>
          <w:p w14:paraId="3E9AA866" w14:textId="06D43662" w:rsidR="00680847" w:rsidRPr="00D87AA9" w:rsidRDefault="00680847" w:rsidP="00870410">
            <w:pPr>
              <w:pStyle w:val="TableBodyNA"/>
            </w:pPr>
            <w:r w:rsidRPr="004F1FEB">
              <w:t>Halving the gap in mortality rates for Indigenous children under five within a decade (by 2018)</w:t>
            </w:r>
          </w:p>
        </w:tc>
      </w:tr>
      <w:tr w:rsidR="00680847" w:rsidRPr="00D87AA9" w14:paraId="142318E2" w14:textId="77777777" w:rsidTr="004F04D8">
        <w:tc>
          <w:tcPr>
            <w:tcW w:w="2093" w:type="dxa"/>
          </w:tcPr>
          <w:p w14:paraId="4C7C80CC" w14:textId="77777777" w:rsidR="00680847" w:rsidRPr="00D87AA9" w:rsidRDefault="00680847" w:rsidP="00870410">
            <w:pPr>
              <w:pStyle w:val="TableBodyNA"/>
            </w:pPr>
            <w:r w:rsidRPr="00D87AA9">
              <w:t>Measure:</w:t>
            </w:r>
          </w:p>
        </w:tc>
        <w:tc>
          <w:tcPr>
            <w:tcW w:w="6696" w:type="dxa"/>
          </w:tcPr>
          <w:p w14:paraId="5F65F34A" w14:textId="14DDEBCF" w:rsidR="00680847" w:rsidRPr="004F1FEB" w:rsidRDefault="00680847" w:rsidP="00870410">
            <w:pPr>
              <w:pStyle w:val="TableBodyNA"/>
            </w:pPr>
            <w:r w:rsidRPr="004F1FEB">
              <w:t>The incidence of low birth</w:t>
            </w:r>
            <w:r w:rsidR="00293E8B">
              <w:t xml:space="preserve"> </w:t>
            </w:r>
            <w:r w:rsidRPr="004F1FEB">
              <w:t>weight among live</w:t>
            </w:r>
            <w:r w:rsidR="00FA5150">
              <w:noBreakHyphen/>
            </w:r>
            <w:r w:rsidRPr="004F1FEB">
              <w:t xml:space="preserve">born </w:t>
            </w:r>
            <w:r w:rsidR="00E919C4" w:rsidRPr="004F1FEB">
              <w:t>babies, of</w:t>
            </w:r>
            <w:r w:rsidRPr="004F1FEB">
              <w:t xml:space="preserve"> mothers by Indigenous status</w:t>
            </w:r>
            <w:r w:rsidR="00F144E1">
              <w:t>, and among live</w:t>
            </w:r>
            <w:r w:rsidR="00FA5150">
              <w:noBreakHyphen/>
            </w:r>
            <w:r w:rsidR="00F144E1">
              <w:t>born babies by Indigenous status</w:t>
            </w:r>
            <w:r w:rsidRPr="004F1FEB">
              <w:t>.</w:t>
            </w:r>
          </w:p>
          <w:p w14:paraId="7C4EBEF3" w14:textId="77777777" w:rsidR="00680847" w:rsidRPr="004F1FEB" w:rsidRDefault="00680847" w:rsidP="00870410">
            <w:pPr>
              <w:pStyle w:val="TableBodyNA"/>
            </w:pPr>
            <w:r w:rsidRPr="004F1FEB">
              <w:t>The measure is defined as:</w:t>
            </w:r>
          </w:p>
          <w:p w14:paraId="74006337" w14:textId="04CA5CE3" w:rsidR="00680847" w:rsidRPr="004F1FEB" w:rsidRDefault="00680847" w:rsidP="00217FEB">
            <w:pPr>
              <w:pStyle w:val="TableBullet"/>
            </w:pPr>
            <w:r w:rsidRPr="00436A2C">
              <w:rPr>
                <w:i/>
              </w:rPr>
              <w:t>Numerator</w:t>
            </w:r>
            <w:r w:rsidRPr="004F1FEB">
              <w:t xml:space="preserve"> — number of low birth</w:t>
            </w:r>
            <w:r w:rsidR="00293E8B">
              <w:t xml:space="preserve"> </w:t>
            </w:r>
            <w:r w:rsidRPr="004F1FEB">
              <w:t>weight live</w:t>
            </w:r>
            <w:r w:rsidR="00FA5150">
              <w:noBreakHyphen/>
            </w:r>
            <w:r w:rsidRPr="004F1FEB">
              <w:t>born singleton infants</w:t>
            </w:r>
          </w:p>
          <w:p w14:paraId="4DEB2765" w14:textId="35DFB4B5" w:rsidR="00680847" w:rsidRPr="004F1FEB" w:rsidRDefault="00680847" w:rsidP="00217FEB">
            <w:pPr>
              <w:pStyle w:val="TableBullet"/>
            </w:pPr>
            <w:r w:rsidRPr="00436A2C">
              <w:rPr>
                <w:i/>
              </w:rPr>
              <w:t xml:space="preserve">Denominator </w:t>
            </w:r>
            <w:r w:rsidR="007509C7">
              <w:t>— number of live</w:t>
            </w:r>
            <w:r w:rsidR="00FA5150">
              <w:noBreakHyphen/>
            </w:r>
            <w:r w:rsidR="007509C7">
              <w:t>born singleton infants</w:t>
            </w:r>
          </w:p>
          <w:p w14:paraId="5153359E" w14:textId="77777777" w:rsidR="00680847" w:rsidRPr="004F1FEB" w:rsidRDefault="00680847" w:rsidP="00870410">
            <w:pPr>
              <w:pStyle w:val="TableBodyNA"/>
            </w:pPr>
            <w:r w:rsidRPr="004F1FEB">
              <w:t xml:space="preserve">presented as a </w:t>
            </w:r>
            <w:r w:rsidRPr="004F1FEB">
              <w:rPr>
                <w:i/>
              </w:rPr>
              <w:t>rate per 100 infants</w:t>
            </w:r>
          </w:p>
          <w:p w14:paraId="367BC21A" w14:textId="07F899A6" w:rsidR="00680847" w:rsidRPr="004F1FEB" w:rsidRDefault="00C7031E" w:rsidP="00870410">
            <w:pPr>
              <w:pStyle w:val="TableBodyNA"/>
            </w:pPr>
            <w:r>
              <w:t>‘</w:t>
            </w:r>
            <w:r w:rsidR="00680847" w:rsidRPr="004F1FEB">
              <w:t>Births</w:t>
            </w:r>
            <w:r>
              <w:t>’</w:t>
            </w:r>
            <w:r w:rsidR="00680847" w:rsidRPr="004F1FEB">
              <w:t xml:space="preserve"> excludes multiple births and stillbirths</w:t>
            </w:r>
            <w:r w:rsidR="007509C7">
              <w:t xml:space="preserve"> and births of less than 20 weeks gestation (where gestation is known).</w:t>
            </w:r>
          </w:p>
          <w:p w14:paraId="4D3D847C" w14:textId="2F8930E0" w:rsidR="00680847" w:rsidRPr="004F1FEB" w:rsidRDefault="00C7031E" w:rsidP="00870410">
            <w:pPr>
              <w:pStyle w:val="TableBodyNA"/>
            </w:pPr>
            <w:r>
              <w:t>‘</w:t>
            </w:r>
            <w:r w:rsidR="00680847" w:rsidRPr="004F1FEB">
              <w:t>Low birth</w:t>
            </w:r>
            <w:r w:rsidR="00293E8B">
              <w:t xml:space="preserve"> </w:t>
            </w:r>
            <w:r w:rsidR="00680847" w:rsidRPr="004F1FEB">
              <w:t>weight</w:t>
            </w:r>
            <w:r>
              <w:t>’</w:t>
            </w:r>
            <w:r w:rsidR="00680847" w:rsidRPr="004F1FEB">
              <w:t xml:space="preserve"> is defined as: less than 2500 grams</w:t>
            </w:r>
          </w:p>
          <w:p w14:paraId="2EC4EC93" w14:textId="28442099" w:rsidR="00680847" w:rsidRDefault="00815570" w:rsidP="00870410">
            <w:pPr>
              <w:pStyle w:val="TableBodyNA"/>
            </w:pPr>
            <w:r>
              <w:t>Rate ratios and rate differences are calculated for comparisons between Indigenous and non</w:t>
            </w:r>
            <w:r w:rsidR="00FA5150">
              <w:noBreakHyphen/>
            </w:r>
            <w:r>
              <w:t>Indigenous Australians</w:t>
            </w:r>
            <w:r w:rsidRPr="004F1FEB" w:rsidDel="00815570">
              <w:t xml:space="preserve"> </w:t>
            </w:r>
          </w:p>
          <w:p w14:paraId="4FD3A9CB" w14:textId="74214548" w:rsidR="00680847" w:rsidRPr="004F1FEB" w:rsidRDefault="00F144E1" w:rsidP="00870410">
            <w:pPr>
              <w:pStyle w:val="TableBodyNA"/>
            </w:pPr>
            <w:r>
              <w:t xml:space="preserve">For 2011, data on the Indigenous status of the baby were available for 6 </w:t>
            </w:r>
            <w:r w:rsidR="00096D71">
              <w:t>jurisdictions</w:t>
            </w:r>
            <w:r>
              <w:t xml:space="preserve"> – NSW, Victoria, Queensland, Tas</w:t>
            </w:r>
            <w:r w:rsidR="000A1A31">
              <w:t>mania</w:t>
            </w:r>
            <w:r>
              <w:t>, the ACT and the NT. For 2012 onwards, nationally standardised data about the Indigenous status of the baby were supplied fr</w:t>
            </w:r>
            <w:r w:rsidR="00012B4D">
              <w:t>o</w:t>
            </w:r>
            <w:r>
              <w:t xml:space="preserve">m all jurisdictions to the </w:t>
            </w:r>
            <w:r w:rsidR="003C4488" w:rsidRPr="003C4488">
              <w:t>National Perinatal Data Collection</w:t>
            </w:r>
            <w:r w:rsidR="003C4488">
              <w:t xml:space="preserve"> (</w:t>
            </w:r>
            <w:r>
              <w:t>NPDC</w:t>
            </w:r>
            <w:r w:rsidR="003C4488">
              <w:t>)</w:t>
            </w:r>
            <w:r>
              <w:t xml:space="preserve">. </w:t>
            </w:r>
          </w:p>
          <w:p w14:paraId="64FE8AE3" w14:textId="2DD25461" w:rsidR="00680847" w:rsidRPr="00D87AA9" w:rsidRDefault="00680847" w:rsidP="00870410">
            <w:pPr>
              <w:pStyle w:val="TableBodyNA"/>
            </w:pPr>
            <w:r w:rsidRPr="004F1FEB">
              <w:t>Variability bands are calculated for rates (single year data and for national data for three years combined) using the standard method</w:t>
            </w:r>
            <w:r w:rsidR="004E7A5A">
              <w:t>.</w:t>
            </w:r>
          </w:p>
        </w:tc>
      </w:tr>
      <w:tr w:rsidR="00680847" w:rsidRPr="00D87AA9" w14:paraId="24DAE169" w14:textId="77777777" w:rsidTr="004F04D8">
        <w:tc>
          <w:tcPr>
            <w:tcW w:w="2093" w:type="dxa"/>
          </w:tcPr>
          <w:p w14:paraId="217E5797" w14:textId="77777777" w:rsidR="00680847" w:rsidRPr="00D87AA9" w:rsidRDefault="00680847" w:rsidP="00870410">
            <w:pPr>
              <w:pStyle w:val="TableBodyNA"/>
            </w:pPr>
            <w:r w:rsidRPr="00D87AA9">
              <w:t>Data source:</w:t>
            </w:r>
          </w:p>
        </w:tc>
        <w:tc>
          <w:tcPr>
            <w:tcW w:w="6696" w:type="dxa"/>
          </w:tcPr>
          <w:p w14:paraId="3529EFA2" w14:textId="30F83DDF" w:rsidR="00680847" w:rsidRPr="00D87AA9" w:rsidRDefault="00680847" w:rsidP="00870410">
            <w:pPr>
              <w:pStyle w:val="TableBodyNA"/>
            </w:pPr>
            <w:r w:rsidRPr="004F1FEB">
              <w:rPr>
                <w:i/>
              </w:rPr>
              <w:t>Numerator and denominator</w:t>
            </w:r>
            <w:r w:rsidRPr="004F1FEB">
              <w:t xml:space="preserve"> — AIHW </w:t>
            </w:r>
            <w:r w:rsidRPr="004F1FEB">
              <w:rPr>
                <w:u w:val="single"/>
              </w:rPr>
              <w:t>National Perinatal Data Collection</w:t>
            </w:r>
            <w:r w:rsidRPr="004F1FEB">
              <w:t xml:space="preserve"> (NPDC). Data are available annually</w:t>
            </w:r>
          </w:p>
        </w:tc>
      </w:tr>
      <w:tr w:rsidR="00680847" w:rsidRPr="00D87AA9" w14:paraId="64771309" w14:textId="77777777" w:rsidTr="004F04D8">
        <w:tc>
          <w:tcPr>
            <w:tcW w:w="2093" w:type="dxa"/>
          </w:tcPr>
          <w:p w14:paraId="7C063E86" w14:textId="77777777" w:rsidR="00680847" w:rsidRPr="00D87AA9" w:rsidRDefault="00680847" w:rsidP="00870410">
            <w:pPr>
              <w:pStyle w:val="TableBodyNA"/>
            </w:pPr>
            <w:r w:rsidRPr="00D87AA9">
              <w:t>Data provider:</w:t>
            </w:r>
          </w:p>
        </w:tc>
        <w:tc>
          <w:tcPr>
            <w:tcW w:w="6696" w:type="dxa"/>
          </w:tcPr>
          <w:p w14:paraId="1EFCD4A9" w14:textId="3E6A6EAD" w:rsidR="005510E3" w:rsidRPr="00D87AA9" w:rsidRDefault="00680847" w:rsidP="00870410">
            <w:pPr>
              <w:pStyle w:val="TableBodyNA"/>
            </w:pPr>
            <w:r w:rsidRPr="004F1FEB">
              <w:t>AIHW</w:t>
            </w:r>
          </w:p>
        </w:tc>
      </w:tr>
      <w:tr w:rsidR="00680847" w:rsidRPr="00D87AA9" w14:paraId="10BF9AFB" w14:textId="77777777" w:rsidTr="004F04D8">
        <w:tc>
          <w:tcPr>
            <w:tcW w:w="2093" w:type="dxa"/>
            <w:shd w:val="clear" w:color="auto" w:fill="auto"/>
          </w:tcPr>
          <w:p w14:paraId="47223096" w14:textId="77777777" w:rsidR="00680847" w:rsidRPr="00D87AA9" w:rsidRDefault="00680847" w:rsidP="00870410">
            <w:pPr>
              <w:pStyle w:val="TableBodyNA"/>
            </w:pPr>
            <w:r w:rsidRPr="00D87AA9">
              <w:t>Data availability:</w:t>
            </w:r>
          </w:p>
        </w:tc>
        <w:tc>
          <w:tcPr>
            <w:tcW w:w="6696" w:type="dxa"/>
            <w:shd w:val="clear" w:color="auto" w:fill="auto"/>
          </w:tcPr>
          <w:p w14:paraId="1E49D00F" w14:textId="1B452243" w:rsidR="00680847" w:rsidRPr="009910BE" w:rsidRDefault="005A6B7E" w:rsidP="00870410">
            <w:pPr>
              <w:pStyle w:val="TableBodyNA"/>
            </w:pPr>
            <w:r w:rsidRPr="004F1FEB">
              <w:t>201</w:t>
            </w:r>
            <w:r>
              <w:t>7</w:t>
            </w:r>
          </w:p>
        </w:tc>
      </w:tr>
      <w:tr w:rsidR="00680847" w:rsidRPr="00D87AA9" w14:paraId="170C9314" w14:textId="77777777" w:rsidTr="004F04D8">
        <w:tc>
          <w:tcPr>
            <w:tcW w:w="2093" w:type="dxa"/>
            <w:shd w:val="clear" w:color="auto" w:fill="auto"/>
          </w:tcPr>
          <w:p w14:paraId="21A94642" w14:textId="77777777" w:rsidR="00680847" w:rsidRPr="00D87AA9" w:rsidRDefault="00680847" w:rsidP="00870410">
            <w:pPr>
              <w:pStyle w:val="TableBodyNA"/>
            </w:pPr>
            <w:r w:rsidRPr="00D87AA9">
              <w:t>Cross tabulations provided:</w:t>
            </w:r>
          </w:p>
        </w:tc>
        <w:tc>
          <w:tcPr>
            <w:tcW w:w="6696" w:type="dxa"/>
            <w:shd w:val="clear" w:color="auto" w:fill="auto"/>
          </w:tcPr>
          <w:p w14:paraId="75F918DB" w14:textId="77777777" w:rsidR="00680847" w:rsidRPr="004F1FEB" w:rsidRDefault="00680847" w:rsidP="00870410">
            <w:pPr>
              <w:pStyle w:val="TableBodyNA"/>
            </w:pPr>
            <w:r w:rsidRPr="004F1FEB">
              <w:t xml:space="preserve">State and Territory, by: </w:t>
            </w:r>
          </w:p>
          <w:p w14:paraId="703B8351" w14:textId="77777777" w:rsidR="00680847" w:rsidRPr="004F1FEB" w:rsidRDefault="00680847" w:rsidP="00680847">
            <w:pPr>
              <w:pStyle w:val="TableBullet"/>
            </w:pPr>
            <w:r w:rsidRPr="004F1FEB">
              <w:t>Indigenous status (of the mother)</w:t>
            </w:r>
          </w:p>
          <w:p w14:paraId="36299AB6" w14:textId="464017D1" w:rsidR="00680847" w:rsidRPr="004F1FEB" w:rsidRDefault="00680847" w:rsidP="00680847">
            <w:pPr>
              <w:pStyle w:val="TableBullet"/>
            </w:pPr>
            <w:r w:rsidRPr="004F1FEB">
              <w:t xml:space="preserve">Indigenous status (of the mother), by remoteness (based on </w:t>
            </w:r>
            <w:r w:rsidR="00AD73D5">
              <w:t xml:space="preserve">2016 </w:t>
            </w:r>
            <w:r w:rsidRPr="004F1FEB">
              <w:t>ASGS)</w:t>
            </w:r>
          </w:p>
          <w:p w14:paraId="7520FB53" w14:textId="77777777" w:rsidR="00680847" w:rsidRPr="004F1FEB" w:rsidRDefault="00680847" w:rsidP="00680847">
            <w:pPr>
              <w:pStyle w:val="TableBullet"/>
            </w:pPr>
            <w:r w:rsidRPr="004F1FEB">
              <w:t>Indigenous status (of the infant)</w:t>
            </w:r>
          </w:p>
          <w:p w14:paraId="0D569CBC" w14:textId="23DE7E9A" w:rsidR="00680847" w:rsidRDefault="00680847" w:rsidP="00680847">
            <w:pPr>
              <w:pStyle w:val="TableBullet"/>
            </w:pPr>
            <w:r w:rsidRPr="004F1FEB">
              <w:t>Indigenous status (of the infan</w:t>
            </w:r>
            <w:r w:rsidR="00815570">
              <w:t>t</w:t>
            </w:r>
            <w:r w:rsidRPr="004F1FEB">
              <w:t>), by remoteness (based</w:t>
            </w:r>
            <w:r>
              <w:t xml:space="preserve"> on</w:t>
            </w:r>
            <w:r w:rsidRPr="004F1FEB">
              <w:t xml:space="preserve"> </w:t>
            </w:r>
            <w:r w:rsidR="00AD73D5">
              <w:t xml:space="preserve">2016 </w:t>
            </w:r>
            <w:r w:rsidRPr="004F1FEB">
              <w:t>ASGS)</w:t>
            </w:r>
          </w:p>
          <w:p w14:paraId="4EC79C42" w14:textId="77777777" w:rsidR="005510E3" w:rsidRPr="004F1FEB" w:rsidRDefault="005510E3" w:rsidP="00680847">
            <w:pPr>
              <w:pStyle w:val="TableBullet"/>
            </w:pPr>
            <w:r>
              <w:t>Indigenous status (of the mother and of the baby)</w:t>
            </w:r>
          </w:p>
          <w:p w14:paraId="6DEF7947" w14:textId="67541295" w:rsidR="00680847" w:rsidRPr="00D87AA9" w:rsidRDefault="00760FAF" w:rsidP="00AC7908">
            <w:pPr>
              <w:pStyle w:val="TableBodyNA"/>
              <w:rPr>
                <w:szCs w:val="24"/>
              </w:rPr>
            </w:pPr>
            <w:r w:rsidRPr="004F1FEB">
              <w:t>Three</w:t>
            </w:r>
            <w:r w:rsidR="00FA5150">
              <w:noBreakHyphen/>
            </w:r>
            <w:r w:rsidRPr="004F1FEB">
              <w:t xml:space="preserve">year aggregated data reported for current year analysis </w:t>
            </w:r>
            <w:r w:rsidR="005510E3">
              <w:t>for Indigenous status of the mother (</w:t>
            </w:r>
            <w:r w:rsidR="005A6B7E" w:rsidRPr="004F1FEB">
              <w:t>20</w:t>
            </w:r>
            <w:r w:rsidR="005A6B7E">
              <w:t>15</w:t>
            </w:r>
            <w:r w:rsidRPr="004F1FEB">
              <w:t>−</w:t>
            </w:r>
            <w:r w:rsidR="005A6B7E" w:rsidRPr="004F1FEB">
              <w:t>201</w:t>
            </w:r>
            <w:r w:rsidR="005A6B7E">
              <w:t>7</w:t>
            </w:r>
            <w:r w:rsidR="00041B6D">
              <w:t>)</w:t>
            </w:r>
            <w:r w:rsidR="00680B2C" w:rsidRPr="00AC7908">
              <w:t xml:space="preserve">. </w:t>
            </w:r>
            <w:r w:rsidR="0035536F" w:rsidRPr="00041B6D">
              <w:t>T</w:t>
            </w:r>
            <w:r w:rsidR="0035536F">
              <w:t>hree</w:t>
            </w:r>
            <w:r w:rsidR="0035536F" w:rsidRPr="00041B6D">
              <w:t xml:space="preserve"> </w:t>
            </w:r>
            <w:r w:rsidR="005510E3" w:rsidRPr="00041B6D">
              <w:t>yea</w:t>
            </w:r>
            <w:r w:rsidR="001F2953" w:rsidRPr="00041B6D">
              <w:t>r</w:t>
            </w:r>
            <w:r w:rsidR="005510E3" w:rsidRPr="00041B6D">
              <w:t xml:space="preserve">s of aggregate data are reported for current year analysis for Indigenous status of the </w:t>
            </w:r>
            <w:r w:rsidR="005510E3" w:rsidRPr="00CA00CE">
              <w:t>baby</w:t>
            </w:r>
            <w:r w:rsidR="005510E3" w:rsidRPr="00870441">
              <w:t xml:space="preserve"> and of the </w:t>
            </w:r>
            <w:r w:rsidR="00041B6D" w:rsidRPr="00870441">
              <w:t xml:space="preserve">Indigenous status of the </w:t>
            </w:r>
            <w:r w:rsidR="005510E3" w:rsidRPr="00870441">
              <w:t>mother</w:t>
            </w:r>
            <w:r w:rsidR="00041B6D" w:rsidRPr="00870441">
              <w:t xml:space="preserve"> stratified by Indigenous status of</w:t>
            </w:r>
            <w:r w:rsidR="005510E3" w:rsidRPr="00870441">
              <w:t xml:space="preserve"> the</w:t>
            </w:r>
            <w:r w:rsidR="005510E3" w:rsidRPr="00CA00CE">
              <w:t xml:space="preserve"> baby</w:t>
            </w:r>
            <w:r w:rsidR="005510E3">
              <w:t xml:space="preserve"> (</w:t>
            </w:r>
            <w:r w:rsidR="005A6B7E">
              <w:t>2015</w:t>
            </w:r>
            <w:r w:rsidR="00FA5150">
              <w:t>–</w:t>
            </w:r>
            <w:r w:rsidR="005A6B7E">
              <w:t>2017</w:t>
            </w:r>
            <w:r w:rsidR="005510E3">
              <w:t>)</w:t>
            </w:r>
            <w:r w:rsidR="0035536F">
              <w:t>.</w:t>
            </w:r>
          </w:p>
        </w:tc>
      </w:tr>
    </w:tbl>
    <w:p w14:paraId="58732A86" w14:textId="77777777" w:rsidR="00680847" w:rsidRDefault="00680847" w:rsidP="00680847">
      <w:pPr>
        <w:pStyle w:val="BodyText"/>
      </w:pPr>
      <w:r>
        <w:br w:type="page"/>
      </w:r>
    </w:p>
    <w:p w14:paraId="553342BA" w14:textId="77777777" w:rsidR="00680847" w:rsidRDefault="00680847">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680847" w14:paraId="7EE959BA" w14:textId="77777777" w:rsidTr="004F04D8">
        <w:tc>
          <w:tcPr>
            <w:tcW w:w="8789" w:type="dxa"/>
            <w:tcBorders>
              <w:top w:val="single" w:sz="6" w:space="0" w:color="78A22F"/>
              <w:left w:val="nil"/>
              <w:bottom w:val="nil"/>
              <w:right w:val="nil"/>
            </w:tcBorders>
            <w:shd w:val="clear" w:color="auto" w:fill="F2F2F2"/>
          </w:tcPr>
          <w:p w14:paraId="2A93B090" w14:textId="75490DB9" w:rsidR="00680847" w:rsidRDefault="00680847" w:rsidP="001F13EB">
            <w:pPr>
              <w:pStyle w:val="BoxTitle"/>
            </w:pPr>
            <w:r>
              <w:rPr>
                <w:b w:val="0"/>
              </w:rPr>
              <w:t>Box</w:t>
            </w:r>
            <w:r w:rsidR="00B1719E">
              <w:rPr>
                <w:b w:val="0"/>
              </w:rPr>
              <w:t xml:space="preserve"> </w:t>
            </w:r>
            <w:r w:rsidR="00AD73D5">
              <w:rPr>
                <w:b w:val="0"/>
              </w:rPr>
              <w:t>2</w:t>
            </w:r>
            <w:r w:rsidR="001F13EB">
              <w:rPr>
                <w:b w:val="0"/>
              </w:rPr>
              <w:t>6</w:t>
            </w:r>
            <w:r>
              <w:tab/>
              <w:t>Results</w:t>
            </w:r>
          </w:p>
        </w:tc>
      </w:tr>
      <w:tr w:rsidR="00680847" w:rsidRPr="00680847" w14:paraId="68920E19" w14:textId="77777777" w:rsidTr="004F04D8">
        <w:trPr>
          <w:cantSplit/>
        </w:trPr>
        <w:tc>
          <w:tcPr>
            <w:tcW w:w="8789" w:type="dxa"/>
            <w:tcBorders>
              <w:top w:val="nil"/>
              <w:left w:val="nil"/>
              <w:bottom w:val="nil"/>
              <w:right w:val="nil"/>
            </w:tcBorders>
            <w:shd w:val="clear" w:color="auto" w:fill="F2F2F2"/>
          </w:tcPr>
          <w:p w14:paraId="59243778" w14:textId="519047B7" w:rsidR="00680847" w:rsidRPr="00680847" w:rsidRDefault="00680847" w:rsidP="00680847">
            <w:pPr>
              <w:pStyle w:val="Box"/>
            </w:pPr>
            <w:r w:rsidRPr="00680847">
              <w:t xml:space="preserve">For this report, new data for this indicator are available for </w:t>
            </w:r>
            <w:r w:rsidR="00AD73D5" w:rsidRPr="00680847">
              <w:t>201</w:t>
            </w:r>
            <w:r w:rsidR="00AD73D5">
              <w:t>7</w:t>
            </w:r>
            <w:r w:rsidRPr="00680847">
              <w:t xml:space="preserve">. This results in new aggregate year data for </w:t>
            </w:r>
            <w:r w:rsidR="00AD73D5">
              <w:t>2015–2017</w:t>
            </w:r>
            <w:r w:rsidRPr="00680847">
              <w:t>.</w:t>
            </w:r>
          </w:p>
          <w:p w14:paraId="5D70DD05" w14:textId="77777777" w:rsidR="00680847" w:rsidRPr="00680847" w:rsidRDefault="00680847" w:rsidP="00680847">
            <w:pPr>
              <w:pStyle w:val="BoxListBullet"/>
            </w:pPr>
            <w:r w:rsidRPr="00680847">
              <w:t>Single year data by State and Territory (Indigenous status of the mother) are presented in table NIRA.7.1.</w:t>
            </w:r>
          </w:p>
          <w:p w14:paraId="4DDBEE45" w14:textId="77777777" w:rsidR="00680847" w:rsidRPr="00680847" w:rsidRDefault="00680847" w:rsidP="00680847">
            <w:pPr>
              <w:pStyle w:val="BoxListBullet"/>
            </w:pPr>
            <w:r w:rsidRPr="00680847">
              <w:t>Single year data by State and Territory by remoteness (Indigenous status of the mother) are presented in table NIRA 7.2.</w:t>
            </w:r>
          </w:p>
          <w:p w14:paraId="0950A4A9" w14:textId="77777777" w:rsidR="00680847" w:rsidRPr="00680847" w:rsidRDefault="00680847" w:rsidP="00680847">
            <w:pPr>
              <w:pStyle w:val="BoxListBullet"/>
            </w:pPr>
            <w:r w:rsidRPr="00680847">
              <w:t>Single year data by State and Territory (Indigenous status of the infant) are presented in table NIRA.7.3.</w:t>
            </w:r>
          </w:p>
          <w:p w14:paraId="75C9A7D4" w14:textId="77777777" w:rsidR="00680847" w:rsidRPr="00680847" w:rsidRDefault="00680847" w:rsidP="00680847">
            <w:pPr>
              <w:pStyle w:val="BoxListBullet"/>
            </w:pPr>
            <w:r w:rsidRPr="00680847">
              <w:t>Single year data by State and Territory by remoteness (Indigenous status of the infant) are presented in table NIRA 7.4.</w:t>
            </w:r>
          </w:p>
          <w:p w14:paraId="5438784F" w14:textId="77777777" w:rsidR="00680847" w:rsidRPr="00680847" w:rsidRDefault="00680847" w:rsidP="00680847">
            <w:pPr>
              <w:pStyle w:val="BoxListBullet"/>
            </w:pPr>
            <w:r w:rsidRPr="00680847">
              <w:t>Aggregate year data by State and Territory (Indigenous status of the mother) are presented in table NIRA.7.5.</w:t>
            </w:r>
          </w:p>
          <w:p w14:paraId="156C5820" w14:textId="77777777" w:rsidR="00F50910" w:rsidRDefault="00680847" w:rsidP="00F50910">
            <w:pPr>
              <w:pStyle w:val="BoxListBullet"/>
            </w:pPr>
            <w:r w:rsidRPr="00680847">
              <w:t>Aggregate year data by State and Territory, by remoteness (Indigenous status of the mother) are presented in table NIRA.7.6.</w:t>
            </w:r>
          </w:p>
          <w:p w14:paraId="03936C7D" w14:textId="77777777" w:rsidR="008F66B1" w:rsidRPr="000F7959" w:rsidRDefault="00F50910" w:rsidP="00680847">
            <w:pPr>
              <w:pStyle w:val="BoxListBullet"/>
            </w:pPr>
            <w:r w:rsidRPr="000F7959">
              <w:t>Aggregate year data by State and Territory (Indigenous status of the infant) are presented in</w:t>
            </w:r>
            <w:r w:rsidR="008F66B1" w:rsidRPr="000F7959">
              <w:t xml:space="preserve"> table NIRA.7.7. </w:t>
            </w:r>
          </w:p>
          <w:p w14:paraId="49B5A08C" w14:textId="77777777" w:rsidR="008F66B1" w:rsidRPr="000F7959" w:rsidRDefault="008F66B1" w:rsidP="00680847">
            <w:pPr>
              <w:pStyle w:val="BoxListBullet"/>
            </w:pPr>
            <w:r w:rsidRPr="000F7959">
              <w:t>Aggregate year data by State and Territory by remoteness (Indigenous status of the infant) are presented in table NIRA 7.8</w:t>
            </w:r>
            <w:r w:rsidR="000F7959">
              <w:t>.</w:t>
            </w:r>
          </w:p>
          <w:p w14:paraId="57DCE9FC" w14:textId="77777777" w:rsidR="007A2DB5" w:rsidRPr="008F66B1" w:rsidRDefault="008F66B1" w:rsidP="00680847">
            <w:pPr>
              <w:pStyle w:val="BoxListBullet"/>
            </w:pPr>
            <w:r w:rsidRPr="008F66B1">
              <w:t>Aggregate year data by State and Territory (Indigenous status of the mother and of the baby) are presented in table NIRA.7.9.</w:t>
            </w:r>
          </w:p>
          <w:p w14:paraId="6A30AE0D" w14:textId="0DA54D99" w:rsidR="00680847" w:rsidRPr="00680847" w:rsidRDefault="00BC0687" w:rsidP="00CF0606">
            <w:pPr>
              <w:pStyle w:val="Box"/>
            </w:pPr>
            <w:r>
              <w:t xml:space="preserve">Data </w:t>
            </w:r>
            <w:r w:rsidR="00AD73D5">
              <w:t xml:space="preserve">are available </w:t>
            </w:r>
            <w:r>
              <w:t>for</w:t>
            </w:r>
            <w:r w:rsidR="00AD73D5">
              <w:t>: 2016 in the 2017</w:t>
            </w:r>
            <w:r w:rsidR="00FA5150">
              <w:noBreakHyphen/>
            </w:r>
            <w:r w:rsidR="00AD73D5">
              <w:t>18 NIRA performance report;</w:t>
            </w:r>
            <w:r>
              <w:t xml:space="preserve"> 2015 in the 2016</w:t>
            </w:r>
            <w:r w:rsidR="00FA5150">
              <w:noBreakHyphen/>
            </w:r>
            <w:r>
              <w:t>17 NIRA performance report</w:t>
            </w:r>
            <w:r w:rsidR="00AD73D5">
              <w:t>;</w:t>
            </w:r>
            <w:r w:rsidR="00082DB4">
              <w:t xml:space="preserve"> </w:t>
            </w:r>
            <w:r w:rsidR="0035536F">
              <w:t>2014 in the 2015</w:t>
            </w:r>
            <w:r w:rsidR="00FA5150">
              <w:noBreakHyphen/>
            </w:r>
            <w:r w:rsidR="0035536F">
              <w:t>16 NIRA performance report</w:t>
            </w:r>
            <w:r w:rsidR="00AD73D5">
              <w:t>;</w:t>
            </w:r>
            <w:r w:rsidR="00082DB4">
              <w:t xml:space="preserve"> </w:t>
            </w:r>
            <w:r w:rsidR="005510E3">
              <w:t>2013 in the 2014</w:t>
            </w:r>
            <w:r w:rsidR="00FA5150">
              <w:noBreakHyphen/>
            </w:r>
            <w:r w:rsidR="005510E3">
              <w:t>15 NIRA performance report</w:t>
            </w:r>
            <w:r w:rsidR="00AD73D5">
              <w:t>;</w:t>
            </w:r>
            <w:r w:rsidR="00082DB4">
              <w:t xml:space="preserve"> and</w:t>
            </w:r>
            <w:r w:rsidR="00AD73D5">
              <w:t>,</w:t>
            </w:r>
            <w:r w:rsidR="00082DB4">
              <w:t xml:space="preserve"> </w:t>
            </w:r>
            <w:r w:rsidR="00054A8F">
              <w:t>2012 in the 2013</w:t>
            </w:r>
            <w:r w:rsidR="00FA5150">
              <w:noBreakHyphen/>
            </w:r>
            <w:r w:rsidR="00054A8F">
              <w:t xml:space="preserve">14 NIRA </w:t>
            </w:r>
            <w:r w:rsidR="003661AB">
              <w:t xml:space="preserve">performance </w:t>
            </w:r>
            <w:r w:rsidR="00054A8F">
              <w:t xml:space="preserve">report. </w:t>
            </w:r>
            <w:r w:rsidR="00680847" w:rsidRPr="00680847">
              <w:t xml:space="preserve">Data for 2011 and remoteness data for 2010, 2009, 2008 and 2007 (Indigenous status of the mother only) </w:t>
            </w:r>
            <w:r w:rsidR="00082DB4">
              <w:t>are available</w:t>
            </w:r>
            <w:r w:rsidR="00680847" w:rsidRPr="00680847">
              <w:t xml:space="preserve"> in the 2012</w:t>
            </w:r>
            <w:r w:rsidR="00FA5150">
              <w:noBreakHyphen/>
            </w:r>
            <w:r w:rsidR="00680847" w:rsidRPr="00680847">
              <w:t xml:space="preserve">13 NIRA </w:t>
            </w:r>
            <w:r w:rsidR="003661AB">
              <w:t xml:space="preserve">performance </w:t>
            </w:r>
            <w:r w:rsidR="00680847" w:rsidRPr="00680847">
              <w:t>report. Data for 2007 to 2010 are available in the 2011</w:t>
            </w:r>
            <w:r w:rsidR="00FA5150">
              <w:noBreakHyphen/>
            </w:r>
            <w:r w:rsidR="00680847" w:rsidRPr="00680847">
              <w:t xml:space="preserve">12 NIRA </w:t>
            </w:r>
            <w:r w:rsidR="00F8458B">
              <w:t xml:space="preserve">performance </w:t>
            </w:r>
            <w:r w:rsidR="00FA7518">
              <w:t>report.</w:t>
            </w:r>
          </w:p>
        </w:tc>
      </w:tr>
      <w:tr w:rsidR="00680847" w14:paraId="4C289319" w14:textId="77777777" w:rsidTr="004F04D8">
        <w:trPr>
          <w:cantSplit/>
        </w:trPr>
        <w:tc>
          <w:tcPr>
            <w:tcW w:w="8789" w:type="dxa"/>
            <w:tcBorders>
              <w:top w:val="nil"/>
              <w:left w:val="nil"/>
              <w:bottom w:val="single" w:sz="6" w:space="0" w:color="78A22F"/>
              <w:right w:val="nil"/>
            </w:tcBorders>
            <w:shd w:val="clear" w:color="auto" w:fill="F2F2F2"/>
          </w:tcPr>
          <w:p w14:paraId="4633CC11" w14:textId="77777777" w:rsidR="00680847" w:rsidRDefault="00680847">
            <w:pPr>
              <w:pStyle w:val="Box"/>
              <w:spacing w:before="0" w:line="120" w:lineRule="exact"/>
            </w:pPr>
          </w:p>
        </w:tc>
      </w:tr>
      <w:tr w:rsidR="00680847" w:rsidRPr="000863A5" w14:paraId="5551E516" w14:textId="77777777" w:rsidTr="004F04D8">
        <w:tc>
          <w:tcPr>
            <w:tcW w:w="8789" w:type="dxa"/>
            <w:tcBorders>
              <w:top w:val="single" w:sz="6" w:space="0" w:color="78A22F"/>
              <w:left w:val="nil"/>
              <w:bottom w:val="nil"/>
              <w:right w:val="nil"/>
            </w:tcBorders>
          </w:tcPr>
          <w:p w14:paraId="4BA007A3" w14:textId="77777777" w:rsidR="00680847" w:rsidRPr="00626D32" w:rsidRDefault="00680847" w:rsidP="00680847">
            <w:pPr>
              <w:pStyle w:val="BoxSpaceBelow"/>
            </w:pPr>
          </w:p>
        </w:tc>
      </w:tr>
    </w:tbl>
    <w:p w14:paraId="41CE53E9" w14:textId="77777777" w:rsidR="00680847" w:rsidRDefault="00680847">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680847" w14:paraId="7C22D95F" w14:textId="77777777" w:rsidTr="004F04D8">
        <w:tc>
          <w:tcPr>
            <w:tcW w:w="8789" w:type="dxa"/>
            <w:tcBorders>
              <w:top w:val="single" w:sz="6" w:space="0" w:color="78A22F"/>
              <w:left w:val="nil"/>
              <w:bottom w:val="nil"/>
              <w:right w:val="nil"/>
            </w:tcBorders>
            <w:shd w:val="clear" w:color="auto" w:fill="F2F2F2"/>
          </w:tcPr>
          <w:p w14:paraId="2375E019" w14:textId="331545F3" w:rsidR="00680847" w:rsidRDefault="00680847" w:rsidP="001F13EB">
            <w:pPr>
              <w:pStyle w:val="BoxTitle"/>
            </w:pPr>
            <w:r w:rsidRPr="00606B68">
              <w:rPr>
                <w:b w:val="0"/>
              </w:rPr>
              <w:t>Box</w:t>
            </w:r>
            <w:r w:rsidR="00B1719E" w:rsidRPr="00606B68">
              <w:rPr>
                <w:b w:val="0"/>
              </w:rPr>
              <w:t xml:space="preserve"> </w:t>
            </w:r>
            <w:r w:rsidR="00AD73D5">
              <w:rPr>
                <w:b w:val="0"/>
              </w:rPr>
              <w:t>2</w:t>
            </w:r>
            <w:r w:rsidR="001F13EB">
              <w:rPr>
                <w:b w:val="0"/>
              </w:rPr>
              <w:t>7</w:t>
            </w:r>
            <w:r w:rsidRPr="00606B68">
              <w:tab/>
              <w:t>Comment on data quality</w:t>
            </w:r>
          </w:p>
        </w:tc>
      </w:tr>
      <w:tr w:rsidR="00680847" w:rsidRPr="00680847" w14:paraId="77763DEB" w14:textId="77777777" w:rsidTr="004F04D8">
        <w:trPr>
          <w:cantSplit/>
        </w:trPr>
        <w:tc>
          <w:tcPr>
            <w:tcW w:w="8789" w:type="dxa"/>
            <w:tcBorders>
              <w:top w:val="nil"/>
              <w:left w:val="nil"/>
              <w:bottom w:val="nil"/>
              <w:right w:val="nil"/>
            </w:tcBorders>
            <w:shd w:val="clear" w:color="auto" w:fill="F2F2F2"/>
          </w:tcPr>
          <w:p w14:paraId="5FFA1DDA" w14:textId="77777777" w:rsidR="00680847" w:rsidRPr="00680847" w:rsidRDefault="00680847" w:rsidP="00680847">
            <w:pPr>
              <w:pStyle w:val="Box"/>
              <w:keepLines/>
            </w:pPr>
            <w:r w:rsidRPr="00680847">
              <w:t>Key points on data quality for this indicator are summarised below.</w:t>
            </w:r>
          </w:p>
          <w:p w14:paraId="19581647" w14:textId="12C93BBE" w:rsidR="00680847" w:rsidRPr="000F7959" w:rsidRDefault="00680847" w:rsidP="005A3036">
            <w:pPr>
              <w:pStyle w:val="BoxListBullet"/>
              <w:keepLines/>
            </w:pPr>
            <w:r w:rsidRPr="00680847">
              <w:t>The data provide relevant information on the proportion of babies born of low birth</w:t>
            </w:r>
            <w:r w:rsidR="00293E8B">
              <w:t xml:space="preserve"> </w:t>
            </w:r>
            <w:r w:rsidRPr="00680847">
              <w:t xml:space="preserve">weight. Data are available by State and Territory. </w:t>
            </w:r>
          </w:p>
          <w:p w14:paraId="635B72B7" w14:textId="7529FBE0" w:rsidR="00680847" w:rsidRPr="00680847" w:rsidRDefault="00680847" w:rsidP="00680847">
            <w:pPr>
              <w:pStyle w:val="BoxListBullet"/>
              <w:keepLines/>
            </w:pPr>
            <w:r w:rsidRPr="00680847">
              <w:t xml:space="preserve">Data are collected and published annually. The most recent available </w:t>
            </w:r>
            <w:r w:rsidR="009A2120">
              <w:t xml:space="preserve">data are for </w:t>
            </w:r>
            <w:r w:rsidR="00AD73D5">
              <w:t>2017</w:t>
            </w:r>
            <w:r w:rsidRPr="00680847">
              <w:t>. Data are presented as three</w:t>
            </w:r>
            <w:r w:rsidR="00FA5150">
              <w:noBreakHyphen/>
            </w:r>
            <w:r w:rsidRPr="00680847">
              <w:t xml:space="preserve">year combined data due to the volatility of the small numbers involved. Single year data are reported for time series comparisons. </w:t>
            </w:r>
          </w:p>
          <w:p w14:paraId="4E4FF6AF" w14:textId="25B08153" w:rsidR="009D3762" w:rsidRDefault="009D3762" w:rsidP="009D3762">
            <w:pPr>
              <w:pStyle w:val="BoxListBullet"/>
            </w:pPr>
            <w:r>
              <w:t>R</w:t>
            </w:r>
            <w:r w:rsidRPr="009D3762">
              <w:t>ecords where Indigenous status was not stated were excluded from Indigenous and non</w:t>
            </w:r>
            <w:r w:rsidR="00FA5150">
              <w:noBreakHyphen/>
            </w:r>
            <w:r w:rsidRPr="009D3762">
              <w:t>Indigenous analyses but were included in totals.</w:t>
            </w:r>
          </w:p>
          <w:p w14:paraId="464CB6EA" w14:textId="3B6BD630" w:rsidR="009A2120" w:rsidRDefault="009A2120" w:rsidP="009D3762">
            <w:pPr>
              <w:pStyle w:val="BoxListBullet"/>
            </w:pPr>
            <w:r w:rsidRPr="00680847">
              <w:t xml:space="preserve">Indigenous status of the baby </w:t>
            </w:r>
            <w:r>
              <w:t>was</w:t>
            </w:r>
            <w:r w:rsidRPr="00680847">
              <w:t xml:space="preserve"> </w:t>
            </w:r>
            <w:r w:rsidR="00815570">
              <w:t xml:space="preserve">added to the perinatal </w:t>
            </w:r>
            <w:r w:rsidRPr="00680847">
              <w:t xml:space="preserve">National </w:t>
            </w:r>
            <w:r w:rsidR="00815570">
              <w:t xml:space="preserve">Minimum </w:t>
            </w:r>
            <w:r w:rsidRPr="00680847">
              <w:t xml:space="preserve">Data </w:t>
            </w:r>
            <w:r w:rsidR="00FE22D4">
              <w:t xml:space="preserve">Set </w:t>
            </w:r>
            <w:r w:rsidRPr="00680847">
              <w:t xml:space="preserve"> </w:t>
            </w:r>
            <w:r w:rsidR="00FE22D4">
              <w:t xml:space="preserve">for collection </w:t>
            </w:r>
            <w:r>
              <w:t xml:space="preserve">from </w:t>
            </w:r>
            <w:r w:rsidR="00FE22D4">
              <w:t xml:space="preserve">July </w:t>
            </w:r>
            <w:r>
              <w:t>2012</w:t>
            </w:r>
            <w:r w:rsidR="00FE22D4">
              <w:t>. Nationally standardised data about the Indige</w:t>
            </w:r>
            <w:r w:rsidR="00096D71">
              <w:t>n</w:t>
            </w:r>
            <w:r w:rsidR="00FE22D4">
              <w:t xml:space="preserve">ous status of the </w:t>
            </w:r>
            <w:r w:rsidR="004722E0">
              <w:t xml:space="preserve">infant </w:t>
            </w:r>
            <w:r w:rsidR="00FE22D4">
              <w:t>were supplied from all jurisdictions to the NPDC</w:t>
            </w:r>
            <w:r w:rsidR="00777063">
              <w:t xml:space="preserve"> with the first full year of reporting</w:t>
            </w:r>
            <w:r w:rsidR="00505774">
              <w:t xml:space="preserve"> against the standards for 2013 (p</w:t>
            </w:r>
            <w:r>
              <w:t>reviously</w:t>
            </w:r>
            <w:r w:rsidR="00FE22D4">
              <w:t>, non</w:t>
            </w:r>
            <w:r w:rsidR="00FA5150">
              <w:noBreakHyphen/>
            </w:r>
            <w:r w:rsidR="00FE22D4">
              <w:t>standardised</w:t>
            </w:r>
            <w:r>
              <w:t xml:space="preserve"> data were </w:t>
            </w:r>
            <w:r w:rsidR="00995C2F">
              <w:t xml:space="preserve">available </w:t>
            </w:r>
            <w:r>
              <w:t>for limited jurisdictions</w:t>
            </w:r>
            <w:r w:rsidR="00864E10">
              <w:t xml:space="preserve"> only</w:t>
            </w:r>
            <w:r>
              <w:t>)</w:t>
            </w:r>
            <w:r w:rsidR="007F5D5F">
              <w:t>.</w:t>
            </w:r>
          </w:p>
          <w:p w14:paraId="08120015" w14:textId="2357F99F" w:rsidR="003109D3" w:rsidRDefault="003109D3" w:rsidP="009A2120">
            <w:pPr>
              <w:pStyle w:val="BoxListBullet"/>
              <w:keepLines/>
            </w:pPr>
            <w:r>
              <w:t>Supplementary data were reported for Indigenous status of the mother stratified by Indigenous status of the</w:t>
            </w:r>
            <w:r w:rsidR="008C5BAE">
              <w:t xml:space="preserve"> infant</w:t>
            </w:r>
            <w:r>
              <w:t xml:space="preserve"> (</w:t>
            </w:r>
            <w:r w:rsidR="0035536F">
              <w:t>three</w:t>
            </w:r>
            <w:r>
              <w:t xml:space="preserve"> full years of data</w:t>
            </w:r>
            <w:r w:rsidR="008D3BAF">
              <w:t>,</w:t>
            </w:r>
            <w:r>
              <w:t xml:space="preserve"> </w:t>
            </w:r>
            <w:r w:rsidR="00AD73D5">
              <w:t>2015–2017</w:t>
            </w:r>
            <w:r w:rsidR="005C047E">
              <w:t xml:space="preserve"> </w:t>
            </w:r>
            <w:r>
              <w:t>combined</w:t>
            </w:r>
            <w:r w:rsidR="000B665F">
              <w:t>,</w:t>
            </w:r>
            <w:r>
              <w:t xml:space="preserve"> are available).</w:t>
            </w:r>
          </w:p>
          <w:p w14:paraId="3599EDA3" w14:textId="77777777" w:rsidR="00680847" w:rsidRDefault="009A2120" w:rsidP="00680847">
            <w:pPr>
              <w:pStyle w:val="BoxListBullet"/>
            </w:pPr>
            <w:r>
              <w:t xml:space="preserve">Data for </w:t>
            </w:r>
            <w:r w:rsidR="00370054">
              <w:t xml:space="preserve">Indigenous status are influenced by the quality of </w:t>
            </w:r>
            <w:r w:rsidR="00F80EE3">
              <w:t xml:space="preserve">Aboriginal and Torres Strait Islander </w:t>
            </w:r>
            <w:r w:rsidR="00370054">
              <w:t xml:space="preserve">identification of mothers and babies </w:t>
            </w:r>
            <w:r>
              <w:t>in the NPDC</w:t>
            </w:r>
            <w:r w:rsidR="00995C2F">
              <w:t>,</w:t>
            </w:r>
            <w:r>
              <w:t xml:space="preserve"> </w:t>
            </w:r>
            <w:r w:rsidR="00370054">
              <w:t>which is likely to differ ac</w:t>
            </w:r>
            <w:r w:rsidR="003F6889">
              <w:t>ross jurisdictions.</w:t>
            </w:r>
          </w:p>
          <w:p w14:paraId="6F12AE45" w14:textId="5AC0BCF6" w:rsidR="000E2039" w:rsidRDefault="00A413DD" w:rsidP="000E2039">
            <w:pPr>
              <w:pStyle w:val="BoxListBullet"/>
            </w:pPr>
            <w:r>
              <w:t xml:space="preserve">Data are reported by remoteness </w:t>
            </w:r>
            <w:r w:rsidR="00995C2F">
              <w:t xml:space="preserve">and </w:t>
            </w:r>
            <w:r>
              <w:t xml:space="preserve">Indigenous status of </w:t>
            </w:r>
            <w:r w:rsidR="00995C2F">
              <w:t xml:space="preserve">both </w:t>
            </w:r>
            <w:r>
              <w:t xml:space="preserve">the mother and the infant. </w:t>
            </w:r>
            <w:r w:rsidR="000E2039">
              <w:t>Remoteness data for 2017 are not directly comparable to earlier years due to the application of new ABS remoteness areas based on the 2016 Census (similarly, remoteness data for 2012 to 2016 are not directly comparable to earlier years, due to the application of new ABS remoteness areas based on the 2011 Census)</w:t>
            </w:r>
            <w:r w:rsidR="000E2039" w:rsidRPr="00A675C3">
              <w:t>.</w:t>
            </w:r>
            <w:r w:rsidR="000E2039">
              <w:t xml:space="preserve"> </w:t>
            </w:r>
          </w:p>
          <w:p w14:paraId="0A6B481E" w14:textId="3824991D" w:rsidR="007F5D5F" w:rsidRPr="00680847" w:rsidRDefault="007F5D5F" w:rsidP="00680847">
            <w:pPr>
              <w:pStyle w:val="BoxListBullet"/>
            </w:pPr>
            <w:r w:rsidRPr="00680847">
              <w:t>Detailed explanatory notes are publicly available to assist in</w:t>
            </w:r>
            <w:r>
              <w:t xml:space="preserve"> the interpretation of results.</w:t>
            </w:r>
          </w:p>
          <w:p w14:paraId="50BA68C2" w14:textId="77777777" w:rsidR="00680847" w:rsidRPr="00680847" w:rsidRDefault="00680847" w:rsidP="00680847">
            <w:pPr>
              <w:pStyle w:val="BoxListBullet"/>
              <w:keepLines/>
            </w:pPr>
            <w:r w:rsidRPr="00680847">
              <w:t xml:space="preserve">Additional data from the data source are available online, and on request. </w:t>
            </w:r>
          </w:p>
          <w:p w14:paraId="1A51CDB8" w14:textId="77777777" w:rsidR="00680847" w:rsidRPr="00680847" w:rsidRDefault="00680847" w:rsidP="00680847">
            <w:pPr>
              <w:pStyle w:val="Box"/>
              <w:keepLines/>
            </w:pPr>
            <w:r w:rsidRPr="00680847">
              <w:t>The Steering Committee also notes the following issues:</w:t>
            </w:r>
          </w:p>
          <w:p w14:paraId="4F4DCD41" w14:textId="18EFA585" w:rsidR="00F85DF8" w:rsidRPr="00F85DF8" w:rsidRDefault="00F85DF8" w:rsidP="00504DA4">
            <w:pPr>
              <w:pStyle w:val="BoxListBullet"/>
              <w:rPr>
                <w:szCs w:val="24"/>
              </w:rPr>
            </w:pPr>
            <w:r>
              <w:t>The AIHW is working with jurisdictions on an ongoing basis to improve the capture, quality and timeliness of the data</w:t>
            </w:r>
            <w:r w:rsidR="00870441">
              <w:t>.</w:t>
            </w:r>
            <w:r w:rsidDel="00F144E1">
              <w:t xml:space="preserve"> </w:t>
            </w:r>
          </w:p>
          <w:p w14:paraId="76C82667" w14:textId="77777777" w:rsidR="00680847" w:rsidRPr="00680847" w:rsidRDefault="00680847" w:rsidP="00504DA4">
            <w:pPr>
              <w:pStyle w:val="BoxListBullet"/>
              <w:rPr>
                <w:szCs w:val="24"/>
              </w:rPr>
            </w:pPr>
            <w:r w:rsidRPr="00680847">
              <w:t>The NIRA</w:t>
            </w:r>
            <w:r w:rsidR="00995C2F">
              <w:t xml:space="preserve"> </w:t>
            </w:r>
            <w:r w:rsidRPr="00680847">
              <w:t xml:space="preserve">PIMG has advised that single year data should only be used for time series </w:t>
            </w:r>
            <w:r w:rsidRPr="0049542F">
              <w:t>analysis</w:t>
            </w:r>
            <w:r w:rsidRPr="00680847">
              <w:t xml:space="preserve"> and reporting. Current period analysis should refer to the most recent aggregate year data.</w:t>
            </w:r>
          </w:p>
        </w:tc>
      </w:tr>
      <w:tr w:rsidR="00680847" w14:paraId="3AE6D939" w14:textId="77777777" w:rsidTr="004F04D8">
        <w:trPr>
          <w:cantSplit/>
        </w:trPr>
        <w:tc>
          <w:tcPr>
            <w:tcW w:w="8789" w:type="dxa"/>
            <w:tcBorders>
              <w:top w:val="nil"/>
              <w:left w:val="nil"/>
              <w:bottom w:val="single" w:sz="6" w:space="0" w:color="78A22F"/>
              <w:right w:val="nil"/>
            </w:tcBorders>
            <w:shd w:val="clear" w:color="auto" w:fill="F2F2F2"/>
          </w:tcPr>
          <w:p w14:paraId="0E324DFF" w14:textId="77777777" w:rsidR="00680847" w:rsidRDefault="00680847">
            <w:pPr>
              <w:pStyle w:val="Box"/>
              <w:spacing w:before="0" w:line="120" w:lineRule="exact"/>
            </w:pPr>
          </w:p>
        </w:tc>
      </w:tr>
      <w:tr w:rsidR="00680847" w:rsidRPr="000863A5" w14:paraId="321DAE14" w14:textId="77777777" w:rsidTr="004F04D8">
        <w:tc>
          <w:tcPr>
            <w:tcW w:w="8789" w:type="dxa"/>
            <w:tcBorders>
              <w:top w:val="single" w:sz="6" w:space="0" w:color="78A22F"/>
              <w:left w:val="nil"/>
              <w:bottom w:val="nil"/>
              <w:right w:val="nil"/>
            </w:tcBorders>
          </w:tcPr>
          <w:p w14:paraId="45283247" w14:textId="77777777" w:rsidR="00680847" w:rsidRPr="00626D32" w:rsidRDefault="00680847" w:rsidP="00680847">
            <w:pPr>
              <w:pStyle w:val="BoxSpaceBelow"/>
            </w:pPr>
          </w:p>
        </w:tc>
      </w:tr>
    </w:tbl>
    <w:p w14:paraId="37ABF867" w14:textId="77777777" w:rsidR="00CF2C3C" w:rsidRDefault="00CF2C3C" w:rsidP="00CF2C3C">
      <w:pPr>
        <w:pStyle w:val="BodyText"/>
        <w:rPr>
          <w:rFonts w:ascii="Arial" w:hAnsi="Arial"/>
          <w:sz w:val="26"/>
        </w:rPr>
      </w:pPr>
      <w:bookmarkStart w:id="24" w:name="_Ref341361556"/>
      <w:r>
        <w:br w:type="page"/>
      </w:r>
    </w:p>
    <w:p w14:paraId="5B6557AA" w14:textId="77777777" w:rsidR="00680847" w:rsidRPr="00D87AA9" w:rsidRDefault="00680847" w:rsidP="00680847">
      <w:pPr>
        <w:pStyle w:val="Heading3"/>
      </w:pPr>
      <w:bookmarkStart w:id="25" w:name="_Ref405202332"/>
      <w:r w:rsidRPr="00D87AA9">
        <w:lastRenderedPageBreak/>
        <w:t xml:space="preserve">Indicator 8: </w:t>
      </w:r>
      <w:r>
        <w:t>Tobacco smoking during pregnancy</w:t>
      </w:r>
      <w:bookmarkEnd w:id="24"/>
      <w:bookmarkEnd w:id="25"/>
    </w:p>
    <w:p w14:paraId="59E10333" w14:textId="77777777" w:rsidR="00680847" w:rsidRPr="00D87AA9" w:rsidRDefault="00680847" w:rsidP="00680847"/>
    <w:tbl>
      <w:tblPr>
        <w:tblW w:w="8789" w:type="dxa"/>
        <w:tblCellMar>
          <w:right w:w="0" w:type="dxa"/>
        </w:tblCellMar>
        <w:tblLook w:val="0000" w:firstRow="0" w:lastRow="0" w:firstColumn="0" w:lastColumn="0" w:noHBand="0" w:noVBand="0"/>
      </w:tblPr>
      <w:tblGrid>
        <w:gridCol w:w="2093"/>
        <w:gridCol w:w="6696"/>
      </w:tblGrid>
      <w:tr w:rsidR="00680847" w:rsidRPr="00D87AA9" w14:paraId="175E0329" w14:textId="77777777" w:rsidTr="004F04D8">
        <w:tc>
          <w:tcPr>
            <w:tcW w:w="2093" w:type="dxa"/>
          </w:tcPr>
          <w:p w14:paraId="6E6197EF" w14:textId="7F3F8058" w:rsidR="00680847" w:rsidRPr="00D87AA9" w:rsidRDefault="00680847" w:rsidP="00870410">
            <w:pPr>
              <w:pStyle w:val="TableBodyNA"/>
            </w:pPr>
            <w:r w:rsidRPr="00B82DC5">
              <w:t>Key amendments fr</w:t>
            </w:r>
            <w:r w:rsidR="00F50913">
              <w:t>om previous cycle of reporting:</w:t>
            </w:r>
          </w:p>
        </w:tc>
        <w:tc>
          <w:tcPr>
            <w:tcW w:w="6696" w:type="dxa"/>
          </w:tcPr>
          <w:p w14:paraId="310E945A" w14:textId="3130921D" w:rsidR="00680847" w:rsidRPr="004F1FEB" w:rsidRDefault="00760FAF" w:rsidP="00870410">
            <w:pPr>
              <w:pStyle w:val="TableBodyNA"/>
            </w:pPr>
            <w:r w:rsidRPr="005332B8">
              <w:t xml:space="preserve">This </w:t>
            </w:r>
            <w:r>
              <w:t xml:space="preserve">indicator is </w:t>
            </w:r>
            <w:r w:rsidRPr="005332B8">
              <w:t xml:space="preserve">unchanged from </w:t>
            </w:r>
            <w:r w:rsidR="00F8458B">
              <w:t xml:space="preserve">the </w:t>
            </w:r>
            <w:r w:rsidRPr="005332B8">
              <w:t xml:space="preserve">previous </w:t>
            </w:r>
            <w:r w:rsidR="00F555B6">
              <w:t>NIRA performance report</w:t>
            </w:r>
          </w:p>
        </w:tc>
      </w:tr>
      <w:tr w:rsidR="00680847" w:rsidRPr="00D87AA9" w14:paraId="6A6E9C6B" w14:textId="77777777" w:rsidTr="004F04D8">
        <w:tc>
          <w:tcPr>
            <w:tcW w:w="2093" w:type="dxa"/>
          </w:tcPr>
          <w:p w14:paraId="0CABF3CB" w14:textId="77777777" w:rsidR="00680847" w:rsidRPr="00D87AA9" w:rsidRDefault="00680847" w:rsidP="00870410">
            <w:pPr>
              <w:pStyle w:val="TableBodyNA"/>
            </w:pPr>
            <w:r w:rsidRPr="00D87AA9">
              <w:t>Target:</w:t>
            </w:r>
          </w:p>
        </w:tc>
        <w:tc>
          <w:tcPr>
            <w:tcW w:w="6696" w:type="dxa"/>
          </w:tcPr>
          <w:p w14:paraId="15A80904" w14:textId="422BB7E4" w:rsidR="00680847" w:rsidRPr="004F1FEB" w:rsidRDefault="00680847" w:rsidP="00870410">
            <w:pPr>
              <w:pStyle w:val="TableBodyNA"/>
            </w:pPr>
            <w:r w:rsidRPr="004F1FEB">
              <w:t>Halving the gap in mortality rates for Indigenous children under five within a decade (by 2018)</w:t>
            </w:r>
          </w:p>
        </w:tc>
      </w:tr>
      <w:tr w:rsidR="00680847" w:rsidRPr="00D87AA9" w14:paraId="777D97E9" w14:textId="77777777" w:rsidTr="004F04D8">
        <w:tc>
          <w:tcPr>
            <w:tcW w:w="2093" w:type="dxa"/>
          </w:tcPr>
          <w:p w14:paraId="30739707" w14:textId="77777777" w:rsidR="00680847" w:rsidRPr="00D87AA9" w:rsidRDefault="00680847" w:rsidP="00870410">
            <w:pPr>
              <w:pStyle w:val="TableBodyNA"/>
            </w:pPr>
            <w:r w:rsidRPr="00D87AA9">
              <w:t>Measure:</w:t>
            </w:r>
          </w:p>
        </w:tc>
        <w:tc>
          <w:tcPr>
            <w:tcW w:w="6696" w:type="dxa"/>
          </w:tcPr>
          <w:p w14:paraId="5D75BF6F" w14:textId="77777777" w:rsidR="00680847" w:rsidRPr="004F1FEB" w:rsidRDefault="00680847" w:rsidP="00870410">
            <w:pPr>
              <w:pStyle w:val="TableBodyNA"/>
            </w:pPr>
            <w:r w:rsidRPr="004F1FEB">
              <w:t>Proportion of mothers who smoked during pregnancy, by Indigenous status</w:t>
            </w:r>
          </w:p>
          <w:p w14:paraId="2605FBAA" w14:textId="77777777" w:rsidR="00680847" w:rsidRPr="004F1FEB" w:rsidRDefault="00680847" w:rsidP="00870410">
            <w:pPr>
              <w:pStyle w:val="TableBodyNA"/>
            </w:pPr>
            <w:r w:rsidRPr="004F1FEB">
              <w:t>The measure is defined as:</w:t>
            </w:r>
          </w:p>
          <w:p w14:paraId="4E946D3E" w14:textId="77777777" w:rsidR="00680847" w:rsidRPr="004F1FEB" w:rsidRDefault="00680847" w:rsidP="00680847">
            <w:pPr>
              <w:pStyle w:val="TableBullet"/>
              <w:rPr>
                <w:szCs w:val="24"/>
              </w:rPr>
            </w:pPr>
            <w:r w:rsidRPr="004F1FEB">
              <w:rPr>
                <w:i/>
              </w:rPr>
              <w:t>Numerator</w:t>
            </w:r>
            <w:r w:rsidRPr="004F1FEB">
              <w:t xml:space="preserve"> — number of women who smoked during pregnancy</w:t>
            </w:r>
          </w:p>
          <w:p w14:paraId="2F2FBE1D" w14:textId="77777777" w:rsidR="00680847" w:rsidRPr="004F1FEB" w:rsidRDefault="00680847" w:rsidP="00680847">
            <w:pPr>
              <w:pStyle w:val="TableBullet"/>
              <w:rPr>
                <w:szCs w:val="24"/>
              </w:rPr>
            </w:pPr>
            <w:r w:rsidRPr="004F1FEB">
              <w:rPr>
                <w:i/>
              </w:rPr>
              <w:t>Denominator</w:t>
            </w:r>
            <w:r w:rsidRPr="004F1FEB">
              <w:t xml:space="preserve"> — total number of women who gave birth</w:t>
            </w:r>
          </w:p>
          <w:p w14:paraId="559D292A" w14:textId="77777777" w:rsidR="00680847" w:rsidRPr="004F1FEB" w:rsidRDefault="00680847" w:rsidP="00870410">
            <w:pPr>
              <w:pStyle w:val="TableBodyNA"/>
            </w:pPr>
            <w:r w:rsidRPr="004F1FEB">
              <w:t xml:space="preserve">presented as a </w:t>
            </w:r>
            <w:r w:rsidR="00F8458B">
              <w:rPr>
                <w:i/>
              </w:rPr>
              <w:t xml:space="preserve">percentage of the </w:t>
            </w:r>
            <w:r w:rsidRPr="004F1FEB">
              <w:rPr>
                <w:i/>
              </w:rPr>
              <w:t>relevant population</w:t>
            </w:r>
          </w:p>
          <w:p w14:paraId="1EAEB872" w14:textId="460EFC92" w:rsidR="00C673A8" w:rsidRDefault="00815570" w:rsidP="00870410">
            <w:pPr>
              <w:pStyle w:val="TableBodyNA"/>
            </w:pPr>
            <w:r>
              <w:t xml:space="preserve">Rate ratios and rate differences are calculated for comparisons between </w:t>
            </w:r>
            <w:r w:rsidR="00F80EE3">
              <w:t xml:space="preserve">Aboriginal and Torres Strait Islander </w:t>
            </w:r>
            <w:r>
              <w:t>and non</w:t>
            </w:r>
            <w:r w:rsidR="00FA5150">
              <w:noBreakHyphen/>
            </w:r>
            <w:r>
              <w:t>Indigenous Australians</w:t>
            </w:r>
            <w:r w:rsidR="00325B5A">
              <w:t>.</w:t>
            </w:r>
            <w:r w:rsidRPr="004F1FEB" w:rsidDel="00815570">
              <w:t xml:space="preserve"> </w:t>
            </w:r>
          </w:p>
          <w:p w14:paraId="41D32D2B" w14:textId="77777777" w:rsidR="00680847" w:rsidRPr="004F1FEB" w:rsidRDefault="00680847" w:rsidP="00870410">
            <w:pPr>
              <w:pStyle w:val="TableBodyNA"/>
            </w:pPr>
            <w:r w:rsidRPr="004F1FEB">
              <w:t xml:space="preserve">The data exclude pregnant women whose smoking status during pregnancy is unknown or not stated. </w:t>
            </w:r>
          </w:p>
          <w:p w14:paraId="76672A43" w14:textId="336900B9" w:rsidR="00680847" w:rsidRPr="004F1FEB" w:rsidRDefault="00680847" w:rsidP="00870410">
            <w:pPr>
              <w:pStyle w:val="TableBodyNA"/>
            </w:pPr>
            <w:r w:rsidRPr="004F1FEB">
              <w:t xml:space="preserve">Age standardised rates are calculated for comparing </w:t>
            </w:r>
            <w:r w:rsidR="00F80EE3">
              <w:t>Aboriginal and Torres Strait Islander</w:t>
            </w:r>
            <w:r w:rsidR="00F80EE3" w:rsidRPr="004F1FEB">
              <w:t xml:space="preserve"> </w:t>
            </w:r>
            <w:r w:rsidRPr="004F1FEB">
              <w:t>and non</w:t>
            </w:r>
            <w:r w:rsidR="00FA5150">
              <w:noBreakHyphen/>
            </w:r>
            <w:r w:rsidRPr="004F1FEB">
              <w:t xml:space="preserve">Indigenous Australians using: </w:t>
            </w:r>
          </w:p>
          <w:p w14:paraId="6ECD4DE3" w14:textId="77777777" w:rsidR="00680847" w:rsidRPr="004F1FEB" w:rsidRDefault="00680847" w:rsidP="00680847">
            <w:pPr>
              <w:pStyle w:val="TableBullet"/>
              <w:rPr>
                <w:szCs w:val="24"/>
              </w:rPr>
            </w:pPr>
            <w:r w:rsidRPr="004F1FEB">
              <w:t>the direct method</w:t>
            </w:r>
          </w:p>
          <w:p w14:paraId="5531FFEA" w14:textId="77777777" w:rsidR="00680847" w:rsidRPr="004F1FEB" w:rsidRDefault="00680847" w:rsidP="00680847">
            <w:pPr>
              <w:pStyle w:val="TableBullet"/>
              <w:rPr>
                <w:szCs w:val="24"/>
              </w:rPr>
            </w:pPr>
            <w:r w:rsidRPr="004F1FEB">
              <w:t xml:space="preserve">five year age groups from 15–19 years to 40–44 years </w:t>
            </w:r>
          </w:p>
          <w:p w14:paraId="28343FBA" w14:textId="71C039D6" w:rsidR="00680847" w:rsidRPr="00F50913" w:rsidRDefault="00680847" w:rsidP="00680847">
            <w:pPr>
              <w:pStyle w:val="TableBullet"/>
              <w:rPr>
                <w:szCs w:val="24"/>
              </w:rPr>
            </w:pPr>
            <w:r w:rsidRPr="004F1FEB">
              <w:t>the</w:t>
            </w:r>
            <w:r>
              <w:t xml:space="preserve"> 30</w:t>
            </w:r>
            <w:r w:rsidR="00F34E12">
              <w:t> </w:t>
            </w:r>
            <w:r>
              <w:t xml:space="preserve">June 2001 </w:t>
            </w:r>
            <w:r w:rsidRPr="004F1FEB">
              <w:t xml:space="preserve">Australian female </w:t>
            </w:r>
            <w:r>
              <w:t>Estimated Resident Population (ERP) based on the 2001 Census as the standard population.</w:t>
            </w:r>
          </w:p>
        </w:tc>
      </w:tr>
      <w:tr w:rsidR="00680847" w:rsidRPr="00D87AA9" w14:paraId="20499910" w14:textId="77777777" w:rsidTr="004F04D8">
        <w:tc>
          <w:tcPr>
            <w:tcW w:w="2093" w:type="dxa"/>
          </w:tcPr>
          <w:p w14:paraId="2839C194" w14:textId="77777777" w:rsidR="00680847" w:rsidRPr="00D87AA9" w:rsidRDefault="00680847" w:rsidP="00870410">
            <w:pPr>
              <w:pStyle w:val="TableBodyNA"/>
            </w:pPr>
            <w:r w:rsidRPr="00D87AA9">
              <w:t>Data source:</w:t>
            </w:r>
          </w:p>
        </w:tc>
        <w:tc>
          <w:tcPr>
            <w:tcW w:w="6696" w:type="dxa"/>
          </w:tcPr>
          <w:p w14:paraId="5E81453A" w14:textId="49AE9B19" w:rsidR="00680847" w:rsidRPr="004F1FEB" w:rsidRDefault="00680847" w:rsidP="00870410">
            <w:pPr>
              <w:pStyle w:val="TableBodyNA"/>
            </w:pPr>
            <w:r w:rsidRPr="004F1FEB">
              <w:rPr>
                <w:i/>
              </w:rPr>
              <w:t>Numerator and denominator</w:t>
            </w:r>
            <w:r w:rsidRPr="004F1FEB">
              <w:t xml:space="preserve"> — AIHW </w:t>
            </w:r>
            <w:r w:rsidRPr="004F1FEB">
              <w:rPr>
                <w:u w:val="single"/>
              </w:rPr>
              <w:t>National Perinatal Data Collection</w:t>
            </w:r>
            <w:r w:rsidRPr="004F1FEB">
              <w:t xml:space="preserve"> (NPDC). Data are available annually</w:t>
            </w:r>
          </w:p>
        </w:tc>
      </w:tr>
      <w:tr w:rsidR="00680847" w:rsidRPr="00D87AA9" w14:paraId="67E75EE6" w14:textId="77777777" w:rsidTr="004F04D8">
        <w:tc>
          <w:tcPr>
            <w:tcW w:w="2093" w:type="dxa"/>
          </w:tcPr>
          <w:p w14:paraId="4281D03B" w14:textId="77777777" w:rsidR="00680847" w:rsidRPr="00D87AA9" w:rsidRDefault="00680847" w:rsidP="00870410">
            <w:pPr>
              <w:pStyle w:val="TableBodyNA"/>
            </w:pPr>
            <w:r w:rsidRPr="00D87AA9">
              <w:t>Data provider:</w:t>
            </w:r>
          </w:p>
        </w:tc>
        <w:tc>
          <w:tcPr>
            <w:tcW w:w="6696" w:type="dxa"/>
          </w:tcPr>
          <w:p w14:paraId="69226772" w14:textId="4A80F230" w:rsidR="00680847" w:rsidRPr="004F1FEB" w:rsidRDefault="00680847" w:rsidP="00870410">
            <w:pPr>
              <w:pStyle w:val="TableBodyNA"/>
            </w:pPr>
            <w:r w:rsidRPr="004F1FEB">
              <w:t>AIHW</w:t>
            </w:r>
          </w:p>
        </w:tc>
      </w:tr>
      <w:tr w:rsidR="00680847" w:rsidRPr="00D87AA9" w14:paraId="25194DA5" w14:textId="77777777" w:rsidTr="004F04D8">
        <w:tc>
          <w:tcPr>
            <w:tcW w:w="2093" w:type="dxa"/>
            <w:shd w:val="clear" w:color="auto" w:fill="auto"/>
          </w:tcPr>
          <w:p w14:paraId="32307945" w14:textId="77777777" w:rsidR="00680847" w:rsidRPr="00D87AA9" w:rsidRDefault="00680847" w:rsidP="00870410">
            <w:pPr>
              <w:pStyle w:val="TableBodyNA"/>
            </w:pPr>
            <w:r w:rsidRPr="00D87AA9">
              <w:t>Data availability:</w:t>
            </w:r>
          </w:p>
        </w:tc>
        <w:tc>
          <w:tcPr>
            <w:tcW w:w="6696" w:type="dxa"/>
            <w:shd w:val="clear" w:color="auto" w:fill="auto"/>
          </w:tcPr>
          <w:p w14:paraId="58433371" w14:textId="619C502B" w:rsidR="00680847" w:rsidRPr="004F1FEB" w:rsidRDefault="00E9121D" w:rsidP="00870410">
            <w:pPr>
              <w:pStyle w:val="TableBodyNA"/>
            </w:pPr>
            <w:r w:rsidRPr="004F1FEB">
              <w:t>201</w:t>
            </w:r>
            <w:r>
              <w:t>7</w:t>
            </w:r>
          </w:p>
        </w:tc>
      </w:tr>
      <w:tr w:rsidR="00680847" w:rsidRPr="00D87AA9" w14:paraId="454DD439" w14:textId="77777777" w:rsidTr="004F04D8">
        <w:tc>
          <w:tcPr>
            <w:tcW w:w="2093" w:type="dxa"/>
            <w:shd w:val="clear" w:color="auto" w:fill="auto"/>
          </w:tcPr>
          <w:p w14:paraId="56C47361" w14:textId="77777777" w:rsidR="00680847" w:rsidRPr="00D87AA9" w:rsidRDefault="00680847" w:rsidP="00870410">
            <w:pPr>
              <w:pStyle w:val="TableBodyNA"/>
            </w:pPr>
            <w:r w:rsidRPr="00D87AA9">
              <w:t>Cross tabulations provided:</w:t>
            </w:r>
          </w:p>
        </w:tc>
        <w:tc>
          <w:tcPr>
            <w:tcW w:w="6696" w:type="dxa"/>
            <w:shd w:val="clear" w:color="auto" w:fill="auto"/>
          </w:tcPr>
          <w:p w14:paraId="498B322B" w14:textId="77777777" w:rsidR="00680847" w:rsidRPr="004F1FEB" w:rsidRDefault="00680847" w:rsidP="00870410">
            <w:pPr>
              <w:pStyle w:val="TableBodyNA"/>
            </w:pPr>
            <w:r w:rsidRPr="004F1FEB">
              <w:t xml:space="preserve">State and Territory, </w:t>
            </w:r>
            <w:r w:rsidR="00F80EE3">
              <w:t>Aboriginal and Torres Strait Islander</w:t>
            </w:r>
            <w:r w:rsidR="00F80EE3" w:rsidRPr="004F1FEB">
              <w:t xml:space="preserve"> </w:t>
            </w:r>
            <w:r w:rsidRPr="004F1FEB">
              <w:t xml:space="preserve">(crude rates), by : </w:t>
            </w:r>
          </w:p>
          <w:p w14:paraId="7C1084F8" w14:textId="77777777" w:rsidR="00680847" w:rsidRPr="004F1FEB" w:rsidRDefault="00680847" w:rsidP="00680847">
            <w:pPr>
              <w:pStyle w:val="TableBullet"/>
              <w:rPr>
                <w:szCs w:val="24"/>
              </w:rPr>
            </w:pPr>
            <w:r w:rsidRPr="004F1FEB">
              <w:t xml:space="preserve">smoking status </w:t>
            </w:r>
          </w:p>
          <w:p w14:paraId="20CA06C5" w14:textId="44BC77C9" w:rsidR="00680847" w:rsidRPr="004F1FEB" w:rsidRDefault="00680847" w:rsidP="00680847">
            <w:pPr>
              <w:pStyle w:val="TableBullet"/>
              <w:rPr>
                <w:szCs w:val="24"/>
              </w:rPr>
            </w:pPr>
            <w:r w:rsidRPr="004F1FEB">
              <w:t xml:space="preserve">smoking status by remoteness (based on </w:t>
            </w:r>
            <w:r w:rsidR="00E9121D">
              <w:t xml:space="preserve">2016 </w:t>
            </w:r>
            <w:r w:rsidRPr="004F1FEB">
              <w:t>ASGS)</w:t>
            </w:r>
          </w:p>
          <w:p w14:paraId="213D70C0" w14:textId="77777777" w:rsidR="00680847" w:rsidRPr="004F1FEB" w:rsidRDefault="00680847" w:rsidP="00870410">
            <w:pPr>
              <w:pStyle w:val="TableBodyNA"/>
            </w:pPr>
            <w:r w:rsidRPr="004F1FEB">
              <w:t>State and Territory, by Indigenous status (age standardised rates), by:</w:t>
            </w:r>
          </w:p>
          <w:p w14:paraId="4D1B3D4F" w14:textId="77777777" w:rsidR="00680847" w:rsidRPr="004F1FEB" w:rsidRDefault="00680847" w:rsidP="00680847">
            <w:pPr>
              <w:pStyle w:val="TableBullet"/>
              <w:rPr>
                <w:szCs w:val="24"/>
              </w:rPr>
            </w:pPr>
            <w:r w:rsidRPr="004F1FEB">
              <w:t>smoking status</w:t>
            </w:r>
          </w:p>
          <w:p w14:paraId="290BD096" w14:textId="0D4C2A1F" w:rsidR="00680847" w:rsidRPr="004F1FEB" w:rsidRDefault="00680847" w:rsidP="00E9121D">
            <w:pPr>
              <w:pStyle w:val="TableBullet"/>
              <w:rPr>
                <w:szCs w:val="24"/>
              </w:rPr>
            </w:pPr>
            <w:r w:rsidRPr="004F1FEB">
              <w:t xml:space="preserve">smoking status by remoteness (based on </w:t>
            </w:r>
            <w:r w:rsidR="00E9121D">
              <w:t xml:space="preserve">2016 </w:t>
            </w:r>
            <w:r w:rsidRPr="004F1FEB">
              <w:t>ASGS)</w:t>
            </w:r>
          </w:p>
        </w:tc>
      </w:tr>
    </w:tbl>
    <w:p w14:paraId="55D35E5B" w14:textId="77777777" w:rsidR="00680847" w:rsidRDefault="00680847">
      <w:pPr>
        <w:rPr>
          <w:rFonts w:ascii="Arial" w:hAnsi="Arial"/>
          <w:sz w:val="20"/>
          <w:szCs w:val="20"/>
        </w:rPr>
      </w:pPr>
      <w:r w:rsidRPr="00D87AA9">
        <w:br w:type="page"/>
      </w:r>
    </w:p>
    <w:p w14:paraId="28D7A61F" w14:textId="77777777" w:rsidR="00680847" w:rsidRDefault="00680847">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680847" w14:paraId="27D50AC3" w14:textId="77777777" w:rsidTr="004F04D8">
        <w:tc>
          <w:tcPr>
            <w:tcW w:w="8789" w:type="dxa"/>
            <w:tcBorders>
              <w:top w:val="single" w:sz="6" w:space="0" w:color="78A22F"/>
              <w:left w:val="nil"/>
              <w:bottom w:val="nil"/>
              <w:right w:val="nil"/>
            </w:tcBorders>
            <w:shd w:val="clear" w:color="auto" w:fill="F2F2F2"/>
          </w:tcPr>
          <w:p w14:paraId="740CBDAA" w14:textId="0654EAD3" w:rsidR="00680847" w:rsidRDefault="00680847" w:rsidP="001F13EB">
            <w:pPr>
              <w:pStyle w:val="BoxTitle"/>
            </w:pPr>
            <w:r>
              <w:rPr>
                <w:b w:val="0"/>
              </w:rPr>
              <w:t>Box</w:t>
            </w:r>
            <w:r w:rsidR="00B1719E">
              <w:rPr>
                <w:b w:val="0"/>
              </w:rPr>
              <w:t xml:space="preserve"> </w:t>
            </w:r>
            <w:r w:rsidR="008F5EB3">
              <w:rPr>
                <w:b w:val="0"/>
              </w:rPr>
              <w:t>2</w:t>
            </w:r>
            <w:r w:rsidR="001F13EB">
              <w:rPr>
                <w:b w:val="0"/>
              </w:rPr>
              <w:t>8</w:t>
            </w:r>
            <w:r>
              <w:tab/>
              <w:t>Results</w:t>
            </w:r>
          </w:p>
        </w:tc>
      </w:tr>
      <w:tr w:rsidR="00680847" w:rsidRPr="00680847" w14:paraId="3025AE1F" w14:textId="77777777" w:rsidTr="004F04D8">
        <w:trPr>
          <w:cantSplit/>
        </w:trPr>
        <w:tc>
          <w:tcPr>
            <w:tcW w:w="8789" w:type="dxa"/>
            <w:tcBorders>
              <w:top w:val="nil"/>
              <w:left w:val="nil"/>
              <w:bottom w:val="nil"/>
              <w:right w:val="nil"/>
            </w:tcBorders>
            <w:shd w:val="clear" w:color="auto" w:fill="F2F2F2"/>
          </w:tcPr>
          <w:p w14:paraId="330A92D0" w14:textId="503ACB56" w:rsidR="00680847" w:rsidRPr="00680847" w:rsidRDefault="00680847" w:rsidP="00680847">
            <w:pPr>
              <w:pStyle w:val="Box"/>
            </w:pPr>
            <w:r w:rsidRPr="00680847">
              <w:t xml:space="preserve">For this report, new data for this indicator are available for </w:t>
            </w:r>
            <w:r w:rsidR="00E9121D" w:rsidRPr="00680847">
              <w:t>201</w:t>
            </w:r>
            <w:r w:rsidR="00E9121D">
              <w:t>7</w:t>
            </w:r>
            <w:r w:rsidRPr="00680847">
              <w:t>.</w:t>
            </w:r>
          </w:p>
          <w:p w14:paraId="37AF0357" w14:textId="77777777" w:rsidR="00680847" w:rsidRPr="00680847" w:rsidRDefault="00680847" w:rsidP="00680847">
            <w:pPr>
              <w:pStyle w:val="BoxListBullet"/>
            </w:pPr>
            <w:r w:rsidRPr="00680847">
              <w:t xml:space="preserve">Crude rates for </w:t>
            </w:r>
            <w:r w:rsidR="00F80EE3">
              <w:t>Aboriginal and Torres Strait Islander</w:t>
            </w:r>
            <w:r w:rsidR="00F80EE3" w:rsidRPr="00680847">
              <w:t xml:space="preserve"> </w:t>
            </w:r>
            <w:r w:rsidRPr="00680847">
              <w:t>females by State and Territory are presented in table NIRA.8.1</w:t>
            </w:r>
          </w:p>
          <w:p w14:paraId="501FE8E9" w14:textId="77777777" w:rsidR="00680847" w:rsidRPr="00680847" w:rsidRDefault="00680847" w:rsidP="00680847">
            <w:pPr>
              <w:pStyle w:val="BoxListBullet"/>
            </w:pPr>
            <w:r w:rsidRPr="00680847">
              <w:t xml:space="preserve">Crude rates for </w:t>
            </w:r>
            <w:r w:rsidR="00F80EE3">
              <w:t>Aboriginal and Torres Strait Islander</w:t>
            </w:r>
            <w:r w:rsidR="00F80EE3" w:rsidRPr="00680847">
              <w:t xml:space="preserve"> </w:t>
            </w:r>
            <w:r w:rsidRPr="00680847">
              <w:t>females by State and Territory, by remoteness are presented in table NIRA.8.2</w:t>
            </w:r>
          </w:p>
          <w:p w14:paraId="73371758" w14:textId="77777777" w:rsidR="00680847" w:rsidRPr="00680847" w:rsidRDefault="00680847" w:rsidP="00680847">
            <w:pPr>
              <w:pStyle w:val="BoxListBullet"/>
            </w:pPr>
            <w:r w:rsidRPr="00680847">
              <w:t>Age standardised rates, by State and Territory, by Indigenous status are presented in table</w:t>
            </w:r>
            <w:r w:rsidR="00995C2F">
              <w:t> </w:t>
            </w:r>
            <w:r w:rsidRPr="00680847">
              <w:t>NIRA.8.3.</w:t>
            </w:r>
          </w:p>
          <w:p w14:paraId="23878FF8" w14:textId="77777777" w:rsidR="00680847" w:rsidRPr="00680847" w:rsidRDefault="00680847" w:rsidP="00680847">
            <w:pPr>
              <w:pStyle w:val="BoxListBullet"/>
            </w:pPr>
            <w:r w:rsidRPr="00680847">
              <w:t>Age standardised rates, by State and Territory, by Indigenous status, by remoteness are presented in table NIRA.8.4.</w:t>
            </w:r>
          </w:p>
          <w:p w14:paraId="22AAE075" w14:textId="5C94A6CA" w:rsidR="008B36C7" w:rsidRDefault="00870441" w:rsidP="00DD7967">
            <w:pPr>
              <w:pStyle w:val="Box"/>
            </w:pPr>
            <w:r>
              <w:t>D</w:t>
            </w:r>
            <w:r w:rsidR="00BC0687">
              <w:t xml:space="preserve">ata </w:t>
            </w:r>
            <w:r w:rsidR="00E9121D">
              <w:t xml:space="preserve">are available </w:t>
            </w:r>
            <w:r w:rsidR="00BC0687">
              <w:t>for</w:t>
            </w:r>
            <w:r w:rsidR="00E9121D">
              <w:t>:</w:t>
            </w:r>
            <w:r w:rsidR="00BC0687">
              <w:t xml:space="preserve"> 2015 in the 2016</w:t>
            </w:r>
            <w:r w:rsidR="00FA5150">
              <w:noBreakHyphen/>
            </w:r>
            <w:r w:rsidR="00BC0687">
              <w:t>17 NIRA performance report</w:t>
            </w:r>
            <w:r w:rsidR="00E9121D">
              <w:t>;</w:t>
            </w:r>
            <w:r w:rsidR="00082DB4">
              <w:t xml:space="preserve"> </w:t>
            </w:r>
            <w:r w:rsidR="00505FEE">
              <w:t>2014 in the 2015</w:t>
            </w:r>
            <w:r w:rsidR="00FA5150">
              <w:noBreakHyphen/>
            </w:r>
            <w:r w:rsidR="00505FEE">
              <w:t>16 NIRA performance report</w:t>
            </w:r>
            <w:r w:rsidR="00E9121D">
              <w:t>;</w:t>
            </w:r>
            <w:r w:rsidR="00082DB4">
              <w:t xml:space="preserve"> and</w:t>
            </w:r>
            <w:r w:rsidR="00E9121D">
              <w:t>,</w:t>
            </w:r>
            <w:r w:rsidR="008B36C7">
              <w:t xml:space="preserve"> 2013 in the 2014</w:t>
            </w:r>
            <w:r w:rsidR="00FA5150">
              <w:noBreakHyphen/>
            </w:r>
            <w:r w:rsidR="008B36C7">
              <w:t xml:space="preserve">15 NIRA performance report. </w:t>
            </w:r>
          </w:p>
          <w:p w14:paraId="1071A74C" w14:textId="2AFCA59A" w:rsidR="00680847" w:rsidRPr="00680847" w:rsidRDefault="00870441" w:rsidP="00DD7967">
            <w:pPr>
              <w:pStyle w:val="Box"/>
            </w:pPr>
            <w:r>
              <w:t>D</w:t>
            </w:r>
            <w:r w:rsidR="00B9504F">
              <w:t>ata for a</w:t>
            </w:r>
            <w:r w:rsidR="00F40B3B">
              <w:t>ge standardised rates</w:t>
            </w:r>
            <w:r w:rsidR="00F40B3B" w:rsidRPr="00680847">
              <w:t xml:space="preserve"> </w:t>
            </w:r>
            <w:r w:rsidR="00E9121D">
              <w:t xml:space="preserve">are available </w:t>
            </w:r>
            <w:r w:rsidR="00680847" w:rsidRPr="00680847">
              <w:t xml:space="preserve">for </w:t>
            </w:r>
            <w:r w:rsidR="00C673A8">
              <w:t xml:space="preserve">2012, </w:t>
            </w:r>
            <w:r w:rsidR="00680847" w:rsidRPr="00680847">
              <w:t>2011, 2010, 2009, 2008 and 2007</w:t>
            </w:r>
            <w:r w:rsidR="00E9121D">
              <w:t xml:space="preserve"> </w:t>
            </w:r>
            <w:r w:rsidR="00680847" w:rsidRPr="00680847">
              <w:t xml:space="preserve">in </w:t>
            </w:r>
            <w:r w:rsidR="00B9504F">
              <w:t>the 2013</w:t>
            </w:r>
            <w:r w:rsidR="00FA5150">
              <w:noBreakHyphen/>
            </w:r>
            <w:r w:rsidR="00B9504F">
              <w:t xml:space="preserve">14 NIRA </w:t>
            </w:r>
            <w:r w:rsidR="003661AB">
              <w:t xml:space="preserve">performance </w:t>
            </w:r>
            <w:r w:rsidR="00B9504F">
              <w:t>report</w:t>
            </w:r>
            <w:r w:rsidR="00680847" w:rsidRPr="00680847">
              <w:t>.</w:t>
            </w:r>
          </w:p>
          <w:p w14:paraId="71FDC96F" w14:textId="1C975FAB" w:rsidR="00680847" w:rsidRPr="00680847" w:rsidRDefault="00870441" w:rsidP="00E9121D">
            <w:pPr>
              <w:pStyle w:val="Box"/>
            </w:pPr>
            <w:r>
              <w:t>D</w:t>
            </w:r>
            <w:r w:rsidR="00680847" w:rsidRPr="00680847">
              <w:t xml:space="preserve">ata </w:t>
            </w:r>
            <w:r w:rsidR="00E9121D">
              <w:t xml:space="preserve">for crude rates are available </w:t>
            </w:r>
            <w:r w:rsidR="00680847" w:rsidRPr="00680847">
              <w:t>for</w:t>
            </w:r>
            <w:r w:rsidR="00E9121D">
              <w:t>;</w:t>
            </w:r>
            <w:r w:rsidR="00680847" w:rsidRPr="00680847">
              <w:t xml:space="preserve"> </w:t>
            </w:r>
            <w:r w:rsidR="00C673A8">
              <w:t>2012 in the 2013</w:t>
            </w:r>
            <w:r w:rsidR="00FA5150">
              <w:noBreakHyphen/>
            </w:r>
            <w:r w:rsidR="00C673A8">
              <w:t>14 NIRA performance report</w:t>
            </w:r>
            <w:r w:rsidR="00E9121D">
              <w:t xml:space="preserve">; </w:t>
            </w:r>
            <w:r w:rsidR="00680847" w:rsidRPr="00680847">
              <w:t>2011 in the 2012</w:t>
            </w:r>
            <w:r w:rsidR="00FA5150">
              <w:noBreakHyphen/>
            </w:r>
            <w:r w:rsidR="00680847" w:rsidRPr="00680847">
              <w:t>13 NIRA performance report</w:t>
            </w:r>
            <w:r w:rsidR="00E9121D">
              <w:t xml:space="preserve">; </w:t>
            </w:r>
            <w:r w:rsidR="00680847" w:rsidRPr="00680847">
              <w:t>2010 in the 2011</w:t>
            </w:r>
            <w:r w:rsidR="00FA5150">
              <w:noBreakHyphen/>
            </w:r>
            <w:r w:rsidR="00680847" w:rsidRPr="00680847">
              <w:t>12 NIRA performance report</w:t>
            </w:r>
            <w:r w:rsidR="00E9121D">
              <w:t xml:space="preserve">; </w:t>
            </w:r>
            <w:r w:rsidR="009A1C19">
              <w:t>2009 in the 2010</w:t>
            </w:r>
            <w:r w:rsidR="00FA5150">
              <w:noBreakHyphen/>
            </w:r>
            <w:r w:rsidR="009A1C19">
              <w:t>11 NIRA performance report</w:t>
            </w:r>
            <w:r w:rsidR="00E9121D">
              <w:t>;</w:t>
            </w:r>
            <w:r w:rsidR="009A1C19">
              <w:t xml:space="preserve"> and</w:t>
            </w:r>
            <w:r w:rsidR="00E9121D">
              <w:t>,</w:t>
            </w:r>
            <w:r w:rsidR="009A1C19">
              <w:t xml:space="preserve"> 2007 and </w:t>
            </w:r>
            <w:r w:rsidR="009A1C19" w:rsidRPr="00680847">
              <w:t xml:space="preserve">2008 </w:t>
            </w:r>
            <w:r w:rsidR="00680847" w:rsidRPr="00680847">
              <w:t>in the 2009</w:t>
            </w:r>
            <w:r w:rsidR="00FA5150">
              <w:noBreakHyphen/>
            </w:r>
            <w:r w:rsidR="00680847" w:rsidRPr="00680847">
              <w:t xml:space="preserve">10 </w:t>
            </w:r>
            <w:r w:rsidR="009A1C19">
              <w:t>NIRA performance report</w:t>
            </w:r>
            <w:r w:rsidR="00680847" w:rsidRPr="00680847">
              <w:t>.</w:t>
            </w:r>
          </w:p>
        </w:tc>
      </w:tr>
      <w:tr w:rsidR="00680847" w14:paraId="7904071E" w14:textId="77777777" w:rsidTr="004F04D8">
        <w:trPr>
          <w:cantSplit/>
        </w:trPr>
        <w:tc>
          <w:tcPr>
            <w:tcW w:w="8789" w:type="dxa"/>
            <w:tcBorders>
              <w:top w:val="nil"/>
              <w:left w:val="nil"/>
              <w:bottom w:val="single" w:sz="6" w:space="0" w:color="78A22F"/>
              <w:right w:val="nil"/>
            </w:tcBorders>
            <w:shd w:val="clear" w:color="auto" w:fill="F2F2F2"/>
          </w:tcPr>
          <w:p w14:paraId="3095AC69" w14:textId="77777777" w:rsidR="00680847" w:rsidRDefault="00680847">
            <w:pPr>
              <w:pStyle w:val="Box"/>
              <w:spacing w:before="0" w:line="120" w:lineRule="exact"/>
            </w:pPr>
          </w:p>
        </w:tc>
      </w:tr>
      <w:tr w:rsidR="00680847" w:rsidRPr="000863A5" w14:paraId="3C6FBDAA" w14:textId="77777777" w:rsidTr="004F04D8">
        <w:tc>
          <w:tcPr>
            <w:tcW w:w="8789" w:type="dxa"/>
            <w:tcBorders>
              <w:top w:val="single" w:sz="6" w:space="0" w:color="78A22F"/>
              <w:left w:val="nil"/>
              <w:bottom w:val="nil"/>
              <w:right w:val="nil"/>
            </w:tcBorders>
          </w:tcPr>
          <w:p w14:paraId="2A91F4F9" w14:textId="77777777" w:rsidR="00680847" w:rsidRPr="00626D32" w:rsidRDefault="00680847" w:rsidP="00421935">
            <w:pPr>
              <w:pStyle w:val="BoxSpaceBelow"/>
              <w:spacing w:before="0" w:after="0" w:line="20" w:lineRule="exact"/>
            </w:pPr>
          </w:p>
        </w:tc>
      </w:tr>
    </w:tbl>
    <w:p w14:paraId="25CBE7FE" w14:textId="77777777" w:rsidR="00680847" w:rsidRDefault="00680847">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680847" w14:paraId="19FE1613" w14:textId="77777777" w:rsidTr="004F04D8">
        <w:tc>
          <w:tcPr>
            <w:tcW w:w="8789" w:type="dxa"/>
            <w:tcBorders>
              <w:top w:val="single" w:sz="6" w:space="0" w:color="78A22F"/>
              <w:left w:val="nil"/>
              <w:bottom w:val="nil"/>
              <w:right w:val="nil"/>
            </w:tcBorders>
            <w:shd w:val="clear" w:color="auto" w:fill="F2F2F2"/>
          </w:tcPr>
          <w:p w14:paraId="1A8FCED2" w14:textId="290F3D2D" w:rsidR="00680847" w:rsidRDefault="00680847" w:rsidP="001F13EB">
            <w:pPr>
              <w:pStyle w:val="BoxTitle"/>
            </w:pPr>
            <w:r w:rsidRPr="00606B68">
              <w:rPr>
                <w:b w:val="0"/>
              </w:rPr>
              <w:t xml:space="preserve">Box </w:t>
            </w:r>
            <w:r w:rsidR="001F13EB">
              <w:rPr>
                <w:b w:val="0"/>
              </w:rPr>
              <w:t>29</w:t>
            </w:r>
            <w:r w:rsidRPr="003C599F">
              <w:tab/>
            </w:r>
            <w:r w:rsidRPr="00606B68">
              <w:t>Comment on data quality</w:t>
            </w:r>
          </w:p>
        </w:tc>
      </w:tr>
      <w:tr w:rsidR="00680847" w:rsidRPr="00680847" w14:paraId="5522DFB1" w14:textId="77777777" w:rsidTr="004F04D8">
        <w:trPr>
          <w:cantSplit/>
        </w:trPr>
        <w:tc>
          <w:tcPr>
            <w:tcW w:w="8789" w:type="dxa"/>
            <w:tcBorders>
              <w:top w:val="nil"/>
              <w:left w:val="nil"/>
              <w:bottom w:val="nil"/>
              <w:right w:val="nil"/>
            </w:tcBorders>
            <w:shd w:val="clear" w:color="auto" w:fill="F2F2F2"/>
          </w:tcPr>
          <w:p w14:paraId="43A18AD4" w14:textId="77777777" w:rsidR="00680847" w:rsidRPr="00680847" w:rsidRDefault="00680847" w:rsidP="00680847">
            <w:pPr>
              <w:pStyle w:val="Box"/>
            </w:pPr>
            <w:r w:rsidRPr="00680847">
              <w:t>Key points on data quality for this indicator are summarised below.</w:t>
            </w:r>
          </w:p>
          <w:p w14:paraId="2757BC23" w14:textId="0623DD29" w:rsidR="00680847" w:rsidRPr="003E3EED" w:rsidRDefault="00680847" w:rsidP="005A3036">
            <w:pPr>
              <w:pStyle w:val="BoxListBullet"/>
            </w:pPr>
            <w:r w:rsidRPr="00680847">
              <w:t>Data provide relevant information on the rate of tobacco smoking of mothers during pregnancy. Data are available by State and Territory.</w:t>
            </w:r>
            <w:r w:rsidR="002549C4">
              <w:t xml:space="preserve"> </w:t>
            </w:r>
          </w:p>
          <w:p w14:paraId="6BD94B60" w14:textId="569D4452" w:rsidR="00680847" w:rsidRPr="00680847" w:rsidRDefault="00680847" w:rsidP="00680847">
            <w:pPr>
              <w:pStyle w:val="BoxListBullet"/>
            </w:pPr>
            <w:r w:rsidRPr="00680847">
              <w:t xml:space="preserve">Data for this indicator are available annually. The most recent available data are for </w:t>
            </w:r>
            <w:r w:rsidR="00E9121D" w:rsidRPr="00680847">
              <w:t>201</w:t>
            </w:r>
            <w:r w:rsidR="00E9121D">
              <w:t>7</w:t>
            </w:r>
            <w:r w:rsidRPr="00680847">
              <w:t>.</w:t>
            </w:r>
          </w:p>
          <w:p w14:paraId="0A2D98B7" w14:textId="61E02A46" w:rsidR="00680847" w:rsidRPr="00680847" w:rsidRDefault="00680847" w:rsidP="00680847">
            <w:pPr>
              <w:pStyle w:val="BoxListBullet"/>
            </w:pPr>
            <w:r w:rsidRPr="00680847">
              <w:t>Data on females who smoked during pregnancy includes those who quit smoking during pregnancy.</w:t>
            </w:r>
            <w:r w:rsidR="009D3762" w:rsidRPr="009D3762">
              <w:rPr>
                <w:rFonts w:ascii="Book Antiqua" w:hAnsi="Book Antiqua"/>
                <w:lang w:eastAsia="en-US"/>
              </w:rPr>
              <w:t xml:space="preserve"> </w:t>
            </w:r>
            <w:r w:rsidR="009D3762" w:rsidRPr="009D3762">
              <w:t>Data excludes women whose smoking status was not stated</w:t>
            </w:r>
            <w:r w:rsidR="009D3762">
              <w:t>.</w:t>
            </w:r>
          </w:p>
          <w:p w14:paraId="12485B42" w14:textId="77777777" w:rsidR="00217C29" w:rsidRDefault="00217C29" w:rsidP="00217C29">
            <w:pPr>
              <w:pStyle w:val="BoxListBullet"/>
            </w:pPr>
            <w:r>
              <w:t>From 2012</w:t>
            </w:r>
            <w:r w:rsidR="00DD7967">
              <w:t>,</w:t>
            </w:r>
            <w:r>
              <w:t xml:space="preserve"> all States and Territories reported against the standardised data items on smoking during pregnancy included </w:t>
            </w:r>
            <w:r w:rsidR="00F83F68">
              <w:t xml:space="preserve">in </w:t>
            </w:r>
            <w:r w:rsidRPr="00680847">
              <w:t>the Perinatal National Minimum Data Set</w:t>
            </w:r>
            <w:r>
              <w:t>.</w:t>
            </w:r>
            <w:r w:rsidRPr="00680847">
              <w:t xml:space="preserve"> For previous </w:t>
            </w:r>
            <w:r w:rsidR="000A6D48">
              <w:t>data</w:t>
            </w:r>
            <w:r w:rsidRPr="00680847">
              <w:t>, lack of consistent smoking questions affected comparability across jurisdictions.</w:t>
            </w:r>
          </w:p>
          <w:p w14:paraId="7CE19DFB" w14:textId="77777777" w:rsidR="00680847" w:rsidRPr="00680847" w:rsidRDefault="00680847" w:rsidP="00680847">
            <w:pPr>
              <w:pStyle w:val="BoxListBullet"/>
            </w:pPr>
            <w:r w:rsidRPr="00680847">
              <w:t xml:space="preserve">Changing levels of </w:t>
            </w:r>
            <w:r w:rsidR="00F80EE3">
              <w:t>Aboriginal and Torres Strait Islander</w:t>
            </w:r>
            <w:r w:rsidR="00F80EE3" w:rsidRPr="00680847">
              <w:t xml:space="preserve"> </w:t>
            </w:r>
            <w:r w:rsidRPr="00680847">
              <w:t>identification over time and across jurisdictions may affect the accuracy of time series data.</w:t>
            </w:r>
          </w:p>
          <w:p w14:paraId="7676B06C" w14:textId="48B4325E" w:rsidR="00A413DD" w:rsidRPr="00680847" w:rsidRDefault="00A413DD" w:rsidP="00DD57F7">
            <w:pPr>
              <w:pStyle w:val="BoxListBullet"/>
            </w:pPr>
            <w:r>
              <w:t>Data are reported by remoteness</w:t>
            </w:r>
            <w:r w:rsidR="00172622">
              <w:t xml:space="preserve"> for this indicator</w:t>
            </w:r>
            <w:r>
              <w:t xml:space="preserve">. </w:t>
            </w:r>
            <w:r w:rsidR="000E2039">
              <w:t>Remoteness data for 2017 are not directly comparable to earlier years due to the application of new ABS remoteness areas based on the 2016 Census (similarly, remoteness data for 2012 to 2016 are not directly comparable to earlier years, due to the application of new ABS remoteness areas based on the 2011 Census)</w:t>
            </w:r>
            <w:r w:rsidR="000E2039" w:rsidRPr="00A675C3">
              <w:t>.</w:t>
            </w:r>
            <w:r w:rsidR="000E2039">
              <w:t xml:space="preserve"> </w:t>
            </w:r>
          </w:p>
          <w:p w14:paraId="425B2462" w14:textId="7F03D8D1" w:rsidR="00680847" w:rsidRPr="00680847" w:rsidRDefault="00680847" w:rsidP="00680847">
            <w:pPr>
              <w:pStyle w:val="BoxListBullet"/>
            </w:pPr>
            <w:r w:rsidRPr="00680847">
              <w:t>Detailed explanatory notes are publicly available to assist in the interpretation of results.</w:t>
            </w:r>
            <w:r w:rsidR="00FA7B55">
              <w:t xml:space="preserve"> </w:t>
            </w:r>
          </w:p>
          <w:p w14:paraId="3D8F94E6" w14:textId="3E4FF264" w:rsidR="00680847" w:rsidRPr="00680847" w:rsidRDefault="00680847" w:rsidP="00680847">
            <w:pPr>
              <w:pStyle w:val="BoxListBullet"/>
            </w:pPr>
            <w:r w:rsidRPr="00680847">
              <w:t>Additional data from the data source are available on</w:t>
            </w:r>
            <w:r w:rsidR="00FA5150">
              <w:noBreakHyphen/>
            </w:r>
            <w:r w:rsidRPr="00680847">
              <w:t>line, and on request.</w:t>
            </w:r>
          </w:p>
          <w:p w14:paraId="48501877" w14:textId="1466782E" w:rsidR="00680847" w:rsidRPr="00680847" w:rsidRDefault="00680847" w:rsidP="00680847">
            <w:pPr>
              <w:pStyle w:val="Box"/>
            </w:pPr>
            <w:r w:rsidRPr="00680847">
              <w:t>The Steering Committee also notes the following issue:</w:t>
            </w:r>
          </w:p>
          <w:p w14:paraId="43C77010" w14:textId="77777777" w:rsidR="00680847" w:rsidRPr="00680847" w:rsidRDefault="00F85DF8" w:rsidP="00F85DF8">
            <w:pPr>
              <w:pStyle w:val="BoxListBullet"/>
              <w:rPr>
                <w:szCs w:val="24"/>
              </w:rPr>
            </w:pPr>
            <w:r>
              <w:t>The AIHW is working with jurisdictions on an ongoing basis to improve the capture, quality and timeliness of the data.</w:t>
            </w:r>
          </w:p>
        </w:tc>
      </w:tr>
      <w:tr w:rsidR="00680847" w14:paraId="4933E749" w14:textId="77777777" w:rsidTr="004F04D8">
        <w:trPr>
          <w:cantSplit/>
        </w:trPr>
        <w:tc>
          <w:tcPr>
            <w:tcW w:w="8789" w:type="dxa"/>
            <w:tcBorders>
              <w:top w:val="nil"/>
              <w:left w:val="nil"/>
              <w:bottom w:val="single" w:sz="6" w:space="0" w:color="78A22F"/>
              <w:right w:val="nil"/>
            </w:tcBorders>
            <w:shd w:val="clear" w:color="auto" w:fill="F2F2F2"/>
          </w:tcPr>
          <w:p w14:paraId="35EC66E3" w14:textId="77777777" w:rsidR="00680847" w:rsidRDefault="00680847">
            <w:pPr>
              <w:pStyle w:val="Box"/>
              <w:spacing w:before="0" w:line="120" w:lineRule="exact"/>
            </w:pPr>
          </w:p>
        </w:tc>
      </w:tr>
      <w:tr w:rsidR="00680847" w:rsidRPr="000863A5" w14:paraId="1CD2F572" w14:textId="77777777" w:rsidTr="004F04D8">
        <w:tc>
          <w:tcPr>
            <w:tcW w:w="8789" w:type="dxa"/>
            <w:tcBorders>
              <w:top w:val="single" w:sz="6" w:space="0" w:color="78A22F"/>
              <w:left w:val="nil"/>
              <w:bottom w:val="nil"/>
              <w:right w:val="nil"/>
            </w:tcBorders>
          </w:tcPr>
          <w:p w14:paraId="673CA6AC" w14:textId="77777777" w:rsidR="00680847" w:rsidRPr="00626D32" w:rsidRDefault="00680847" w:rsidP="003302DC">
            <w:pPr>
              <w:pStyle w:val="BoxSpaceBelow"/>
              <w:spacing w:before="0"/>
            </w:pPr>
          </w:p>
        </w:tc>
      </w:tr>
    </w:tbl>
    <w:p w14:paraId="2B678F78" w14:textId="77777777" w:rsidR="00555E7F" w:rsidRDefault="00555E7F" w:rsidP="008822BF">
      <w:pPr>
        <w:pStyle w:val="BoxSpaceBelow"/>
      </w:pPr>
      <w:bookmarkStart w:id="26" w:name="_Ref277842788"/>
      <w:bookmarkStart w:id="27" w:name="_Ref341361562"/>
      <w:r>
        <w:br w:type="page"/>
      </w:r>
    </w:p>
    <w:p w14:paraId="0C733EA9" w14:textId="7CA6F08F" w:rsidR="00680847" w:rsidRPr="00921D4D" w:rsidRDefault="00680847" w:rsidP="00680847">
      <w:pPr>
        <w:pStyle w:val="Heading3"/>
      </w:pPr>
      <w:r w:rsidRPr="00921D4D">
        <w:lastRenderedPageBreak/>
        <w:t xml:space="preserve">Indicator 9: </w:t>
      </w:r>
      <w:bookmarkEnd w:id="26"/>
      <w:r>
        <w:t>Antenatal care</w:t>
      </w:r>
      <w:bookmarkEnd w:id="27"/>
    </w:p>
    <w:p w14:paraId="3C377E7C" w14:textId="77777777" w:rsidR="00680847" w:rsidRPr="00D87AA9" w:rsidRDefault="00680847" w:rsidP="00680847">
      <w:pPr>
        <w:keepNext/>
      </w:pPr>
    </w:p>
    <w:tbl>
      <w:tblPr>
        <w:tblW w:w="8789" w:type="dxa"/>
        <w:tblCellMar>
          <w:right w:w="0" w:type="dxa"/>
        </w:tblCellMar>
        <w:tblLook w:val="0000" w:firstRow="0" w:lastRow="0" w:firstColumn="0" w:lastColumn="0" w:noHBand="0" w:noVBand="0"/>
      </w:tblPr>
      <w:tblGrid>
        <w:gridCol w:w="2093"/>
        <w:gridCol w:w="6696"/>
      </w:tblGrid>
      <w:tr w:rsidR="00D1545B" w:rsidRPr="00D87AA9" w14:paraId="1E5B09E4" w14:textId="77777777" w:rsidTr="00523EC2">
        <w:trPr>
          <w:cantSplit/>
        </w:trPr>
        <w:tc>
          <w:tcPr>
            <w:tcW w:w="2093" w:type="dxa"/>
          </w:tcPr>
          <w:p w14:paraId="26F2A92B" w14:textId="4DD189E9" w:rsidR="00D1545B" w:rsidRPr="00D87AA9" w:rsidRDefault="00D1545B" w:rsidP="00870410">
            <w:pPr>
              <w:pStyle w:val="TableBodyNA"/>
            </w:pPr>
            <w:r w:rsidRPr="00B82DC5">
              <w:t>Key amendments from previous cycle of reporting</w:t>
            </w:r>
            <w:r>
              <w:t>:</w:t>
            </w:r>
          </w:p>
        </w:tc>
        <w:tc>
          <w:tcPr>
            <w:tcW w:w="6696" w:type="dxa"/>
          </w:tcPr>
          <w:p w14:paraId="4650A1C6" w14:textId="38C9E09D" w:rsidR="00D1545B" w:rsidRPr="00975B0A" w:rsidRDefault="0009162B" w:rsidP="00870410">
            <w:pPr>
              <w:pStyle w:val="TableBodyNA"/>
            </w:pPr>
            <w:r w:rsidRPr="005332B8">
              <w:t xml:space="preserve">This </w:t>
            </w:r>
            <w:r>
              <w:t xml:space="preserve">indicator is </w:t>
            </w:r>
            <w:r w:rsidRPr="005332B8">
              <w:t xml:space="preserve">unchanged from </w:t>
            </w:r>
            <w:r>
              <w:t xml:space="preserve">the </w:t>
            </w:r>
            <w:r w:rsidRPr="005332B8">
              <w:t xml:space="preserve">previous </w:t>
            </w:r>
            <w:r>
              <w:t>NIRA performance report</w:t>
            </w:r>
            <w:r w:rsidRPr="005332B8" w:rsidDel="001F13EB">
              <w:t xml:space="preserve"> </w:t>
            </w:r>
          </w:p>
        </w:tc>
      </w:tr>
      <w:tr w:rsidR="00680847" w:rsidRPr="00D87AA9" w14:paraId="37FC4581" w14:textId="77777777" w:rsidTr="00523EC2">
        <w:trPr>
          <w:cantSplit/>
        </w:trPr>
        <w:tc>
          <w:tcPr>
            <w:tcW w:w="2093" w:type="dxa"/>
          </w:tcPr>
          <w:p w14:paraId="1E1A82E9" w14:textId="77777777" w:rsidR="00680847" w:rsidRPr="00D87AA9" w:rsidRDefault="00680847" w:rsidP="00870410">
            <w:pPr>
              <w:pStyle w:val="TableBodyNA"/>
            </w:pPr>
            <w:r w:rsidRPr="00D87AA9">
              <w:t>Target:</w:t>
            </w:r>
          </w:p>
        </w:tc>
        <w:tc>
          <w:tcPr>
            <w:tcW w:w="6696" w:type="dxa"/>
          </w:tcPr>
          <w:p w14:paraId="4402BC3D" w14:textId="0E14CB53" w:rsidR="00680847" w:rsidRPr="00D87AA9" w:rsidRDefault="00680847" w:rsidP="00870410">
            <w:pPr>
              <w:pStyle w:val="TableBodyNA"/>
            </w:pPr>
            <w:r w:rsidRPr="00975B0A">
              <w:t>Halving the gap in mortality rates for Indigenous children under five within a decade (by 2018)</w:t>
            </w:r>
          </w:p>
        </w:tc>
      </w:tr>
      <w:tr w:rsidR="00680847" w:rsidRPr="00D87AA9" w14:paraId="2CBA296A" w14:textId="77777777" w:rsidTr="00523EC2">
        <w:trPr>
          <w:cantSplit/>
        </w:trPr>
        <w:tc>
          <w:tcPr>
            <w:tcW w:w="2093" w:type="dxa"/>
          </w:tcPr>
          <w:p w14:paraId="64033B6E" w14:textId="77777777" w:rsidR="00680847" w:rsidRPr="00D87AA9" w:rsidRDefault="00680847" w:rsidP="00870410">
            <w:pPr>
              <w:pStyle w:val="TableBodyNA"/>
            </w:pPr>
            <w:r w:rsidRPr="00D87AA9">
              <w:t>Measure:</w:t>
            </w:r>
          </w:p>
        </w:tc>
        <w:tc>
          <w:tcPr>
            <w:tcW w:w="6696" w:type="dxa"/>
          </w:tcPr>
          <w:p w14:paraId="6B0BD56F" w14:textId="77777777" w:rsidR="00680847" w:rsidRDefault="00680847" w:rsidP="00870410">
            <w:pPr>
              <w:pStyle w:val="TableBodyNA"/>
            </w:pPr>
            <w:r>
              <w:t>There are two measures for this indicator, both to be reported by Indigenous status:</w:t>
            </w:r>
          </w:p>
          <w:p w14:paraId="09603E90" w14:textId="77777777" w:rsidR="00680847" w:rsidRDefault="00680847" w:rsidP="00870410">
            <w:pPr>
              <w:pStyle w:val="TableBodyNA"/>
            </w:pPr>
            <w:r>
              <w:t>Measure (9a): Number of women who gave birth, where an antenatal visit was reported in the first trimester, as a proportion of women who gave birth</w:t>
            </w:r>
          </w:p>
          <w:p w14:paraId="38B938FB" w14:textId="77777777" w:rsidR="00680847" w:rsidRDefault="00680847" w:rsidP="00870410">
            <w:pPr>
              <w:pStyle w:val="TableBodyNA"/>
            </w:pPr>
            <w:r>
              <w:t>Measure (9b): Number of women who gave birth, where five or more antenatal visits were reported, as a proportion of women who gave birth</w:t>
            </w:r>
          </w:p>
          <w:p w14:paraId="065F728F" w14:textId="36573F2C" w:rsidR="00680847" w:rsidRDefault="00680847" w:rsidP="00870410">
            <w:pPr>
              <w:pStyle w:val="TableBodyNA"/>
            </w:pPr>
            <w:r>
              <w:t xml:space="preserve">Age standardised rates are calculated for </w:t>
            </w:r>
            <w:r w:rsidR="00F80EE3">
              <w:t xml:space="preserve">Aboriginal and Torres Strait Islander </w:t>
            </w:r>
            <w:r>
              <w:t xml:space="preserve">and non−Indigenous Australians using: </w:t>
            </w:r>
          </w:p>
          <w:p w14:paraId="16BA8A27" w14:textId="77777777" w:rsidR="00680847" w:rsidRDefault="00680847" w:rsidP="00680847">
            <w:pPr>
              <w:pStyle w:val="TableBullet"/>
              <w:rPr>
                <w:szCs w:val="24"/>
              </w:rPr>
            </w:pPr>
            <w:r>
              <w:t>the direct method</w:t>
            </w:r>
          </w:p>
          <w:p w14:paraId="0D52C879" w14:textId="77777777" w:rsidR="00680847" w:rsidRDefault="00680847" w:rsidP="00680847">
            <w:pPr>
              <w:pStyle w:val="TableBullet"/>
              <w:rPr>
                <w:szCs w:val="24"/>
              </w:rPr>
            </w:pPr>
            <w:r>
              <w:t xml:space="preserve">five year age groups from 15–19 years to 40–44 years </w:t>
            </w:r>
          </w:p>
          <w:p w14:paraId="3BE17651" w14:textId="6C8DDE48" w:rsidR="00680847" w:rsidRPr="00734373" w:rsidRDefault="00680847" w:rsidP="00680847">
            <w:pPr>
              <w:pStyle w:val="TableBullet"/>
              <w:rPr>
                <w:szCs w:val="24"/>
              </w:rPr>
            </w:pPr>
            <w:r>
              <w:t>the 30</w:t>
            </w:r>
            <w:r w:rsidR="00F34E12">
              <w:t> </w:t>
            </w:r>
            <w:r>
              <w:t xml:space="preserve">June 2001 Australian female Estimated Resident Population (ERP) based on the 2001 Census as the standard population. </w:t>
            </w:r>
          </w:p>
          <w:p w14:paraId="282AB06A" w14:textId="1635055D" w:rsidR="00680847" w:rsidRDefault="00815570" w:rsidP="00870410">
            <w:pPr>
              <w:pStyle w:val="TableBodyNA"/>
            </w:pPr>
            <w:r>
              <w:t xml:space="preserve">Rate ratios and rate differences are calculated for comparisons between </w:t>
            </w:r>
            <w:r w:rsidR="00F80EE3">
              <w:t xml:space="preserve">Aboriginal and Torres Strait Islander </w:t>
            </w:r>
            <w:r>
              <w:t>and non</w:t>
            </w:r>
            <w:r w:rsidR="00FA5150">
              <w:noBreakHyphen/>
            </w:r>
            <w:r>
              <w:t>Indigenous Australians</w:t>
            </w:r>
            <w:r w:rsidRPr="004F1FEB" w:rsidDel="00815570">
              <w:t xml:space="preserve"> </w:t>
            </w:r>
          </w:p>
          <w:p w14:paraId="77B9C4A7" w14:textId="3B589132" w:rsidR="00680847" w:rsidRPr="00D87AA9" w:rsidRDefault="00680847" w:rsidP="00870410">
            <w:pPr>
              <w:pStyle w:val="TableBodyNA"/>
            </w:pPr>
            <w:r>
              <w:t xml:space="preserve">Variability bands accompanying perinatal data should be used for the purposes of comparisons over time and for national estimates at a point in time for </w:t>
            </w:r>
            <w:r w:rsidR="00F80EE3">
              <w:t xml:space="preserve">Aboriginal and Torres Strait Islander </w:t>
            </w:r>
            <w:r>
              <w:t>/non</w:t>
            </w:r>
            <w:r w:rsidR="00FA5150">
              <w:noBreakHyphen/>
            </w:r>
            <w:r>
              <w:t>Indigenous comparisons.</w:t>
            </w:r>
          </w:p>
        </w:tc>
      </w:tr>
      <w:tr w:rsidR="00680847" w:rsidRPr="00D87AA9" w14:paraId="71ACACB2" w14:textId="77777777" w:rsidTr="00523EC2">
        <w:trPr>
          <w:cantSplit/>
        </w:trPr>
        <w:tc>
          <w:tcPr>
            <w:tcW w:w="2093" w:type="dxa"/>
          </w:tcPr>
          <w:p w14:paraId="7CD38CF7" w14:textId="77777777" w:rsidR="00680847" w:rsidRPr="00D87AA9" w:rsidRDefault="00680847" w:rsidP="00870410">
            <w:pPr>
              <w:pStyle w:val="TableBodyNA"/>
            </w:pPr>
            <w:r w:rsidRPr="00D87AA9">
              <w:t>Measure (9a):</w:t>
            </w:r>
          </w:p>
        </w:tc>
        <w:tc>
          <w:tcPr>
            <w:tcW w:w="6696" w:type="dxa"/>
          </w:tcPr>
          <w:p w14:paraId="5AD3C82E" w14:textId="77777777" w:rsidR="00680847" w:rsidRDefault="00680847" w:rsidP="00870410">
            <w:pPr>
              <w:pStyle w:val="TableBodyNA"/>
            </w:pPr>
            <w:r>
              <w:t>Number of women who gave birth, where an antenatal visit was reported in the first trimester, as a proportion of women who gave birth, by Indigenous status</w:t>
            </w:r>
          </w:p>
          <w:p w14:paraId="43A872ED" w14:textId="77777777" w:rsidR="00680847" w:rsidRDefault="00680847" w:rsidP="00870410">
            <w:pPr>
              <w:pStyle w:val="TableBodyNA"/>
            </w:pPr>
            <w:r>
              <w:t>The measure is defined as:</w:t>
            </w:r>
          </w:p>
          <w:p w14:paraId="304DD6C6" w14:textId="77777777" w:rsidR="00680847" w:rsidRDefault="00680847" w:rsidP="00680847">
            <w:pPr>
              <w:pStyle w:val="TableBullet"/>
              <w:rPr>
                <w:szCs w:val="24"/>
              </w:rPr>
            </w:pPr>
            <w:r w:rsidRPr="004F1FEB">
              <w:rPr>
                <w:i/>
              </w:rPr>
              <w:t>Numerator</w:t>
            </w:r>
            <w:r>
              <w:t xml:space="preserve"> — number of women who gave birth who attended at least one antenatal visit in the first trimester (up to and including 13 completed weeks), for at least one live or stillborn baby.</w:t>
            </w:r>
          </w:p>
          <w:p w14:paraId="35353A41" w14:textId="77777777" w:rsidR="00680847" w:rsidRDefault="00680847" w:rsidP="00680847">
            <w:pPr>
              <w:pStyle w:val="TableBullet"/>
              <w:rPr>
                <w:szCs w:val="24"/>
              </w:rPr>
            </w:pPr>
            <w:r w:rsidRPr="004F1FEB">
              <w:rPr>
                <w:i/>
              </w:rPr>
              <w:t>Denominator</w:t>
            </w:r>
            <w:r>
              <w:t xml:space="preserve"> — total number of women who gave birth, for at least one live or still born baby (where gestation at first antenatal visit is known)</w:t>
            </w:r>
          </w:p>
          <w:p w14:paraId="23BBAB70" w14:textId="680A732A" w:rsidR="00680847" w:rsidRPr="00D87AA9" w:rsidRDefault="00680847" w:rsidP="00870410">
            <w:pPr>
              <w:pStyle w:val="TableBodyNA"/>
            </w:pPr>
            <w:r>
              <w:t xml:space="preserve">presented as a </w:t>
            </w:r>
            <w:r w:rsidR="00F8458B">
              <w:rPr>
                <w:i/>
              </w:rPr>
              <w:t xml:space="preserve">percentage of the </w:t>
            </w:r>
            <w:r w:rsidRPr="004F1FEB">
              <w:rPr>
                <w:i/>
              </w:rPr>
              <w:t>relevant population</w:t>
            </w:r>
          </w:p>
        </w:tc>
      </w:tr>
      <w:tr w:rsidR="00680847" w:rsidRPr="00D87AA9" w14:paraId="56BDEF6E" w14:textId="77777777" w:rsidTr="00523EC2">
        <w:trPr>
          <w:cantSplit/>
        </w:trPr>
        <w:tc>
          <w:tcPr>
            <w:tcW w:w="2093" w:type="dxa"/>
          </w:tcPr>
          <w:p w14:paraId="086A0DAC" w14:textId="73F1105C" w:rsidR="00680847" w:rsidRPr="00D87AA9" w:rsidRDefault="00F50913" w:rsidP="00870410">
            <w:pPr>
              <w:pStyle w:val="TableBodyNA"/>
            </w:pPr>
            <w:r>
              <w:rPr>
                <w:rFonts w:ascii="Times New Roman" w:hAnsi="Times New Roman"/>
                <w:sz w:val="24"/>
                <w:szCs w:val="24"/>
              </w:rPr>
              <w:br w:type="page"/>
            </w:r>
            <w:r w:rsidR="00680847" w:rsidRPr="00D87AA9">
              <w:t>Measure (9b):</w:t>
            </w:r>
          </w:p>
        </w:tc>
        <w:tc>
          <w:tcPr>
            <w:tcW w:w="6696" w:type="dxa"/>
          </w:tcPr>
          <w:p w14:paraId="679B2D43" w14:textId="77777777" w:rsidR="00680847" w:rsidRDefault="00680847" w:rsidP="00870410">
            <w:pPr>
              <w:pStyle w:val="TableBodyNA"/>
            </w:pPr>
            <w:r>
              <w:t>Number of women who gave birth, where five or more antenatal visits were reported, as a proportion of women who gave birth, by Indigenous status</w:t>
            </w:r>
          </w:p>
          <w:p w14:paraId="59F1BE55" w14:textId="77777777" w:rsidR="00680847" w:rsidRDefault="00680847" w:rsidP="00870410">
            <w:pPr>
              <w:pStyle w:val="TableBodyNA"/>
            </w:pPr>
            <w:r>
              <w:t>The measure is defined as:</w:t>
            </w:r>
          </w:p>
          <w:p w14:paraId="2A1F9AFF" w14:textId="77777777" w:rsidR="00680847" w:rsidRDefault="00680847" w:rsidP="00680847">
            <w:pPr>
              <w:pStyle w:val="TableBullet"/>
              <w:rPr>
                <w:szCs w:val="24"/>
              </w:rPr>
            </w:pPr>
            <w:r w:rsidRPr="004F1FEB">
              <w:rPr>
                <w:i/>
              </w:rPr>
              <w:t xml:space="preserve">Numerator </w:t>
            </w:r>
            <w:r>
              <w:t>— number of women who gave birth who attended five or more antenatal visits for pregnancy of 32 or more weeks gestational age, for at least one live or stillborn baby</w:t>
            </w:r>
          </w:p>
          <w:p w14:paraId="1989F37E" w14:textId="77777777" w:rsidR="00680847" w:rsidRDefault="00680847" w:rsidP="00680847">
            <w:pPr>
              <w:pStyle w:val="TableBullet"/>
              <w:rPr>
                <w:szCs w:val="24"/>
              </w:rPr>
            </w:pPr>
            <w:r w:rsidRPr="004F1FEB">
              <w:rPr>
                <w:i/>
              </w:rPr>
              <w:t>Denominator</w:t>
            </w:r>
            <w:r>
              <w:t xml:space="preserve"> — total number of women who gave birth to a baby of 32 weeks or more gestation, for at least one live or still born baby (where number of antenatal visits is known)</w:t>
            </w:r>
          </w:p>
          <w:p w14:paraId="5B07D687" w14:textId="5E287B91" w:rsidR="00680847" w:rsidRPr="00D1545B" w:rsidRDefault="00680847" w:rsidP="00870410">
            <w:pPr>
              <w:pStyle w:val="TableBodyNA"/>
              <w:rPr>
                <w:i/>
              </w:rPr>
            </w:pPr>
            <w:r>
              <w:t xml:space="preserve">presented as a </w:t>
            </w:r>
            <w:r w:rsidR="00F8458B">
              <w:rPr>
                <w:i/>
              </w:rPr>
              <w:t xml:space="preserve">percentage of the </w:t>
            </w:r>
            <w:r w:rsidRPr="004F1FEB">
              <w:rPr>
                <w:i/>
              </w:rPr>
              <w:t>relevant population</w:t>
            </w:r>
          </w:p>
        </w:tc>
      </w:tr>
      <w:tr w:rsidR="00680847" w:rsidRPr="00D87AA9" w14:paraId="2BC6EEDF" w14:textId="77777777" w:rsidTr="00523EC2">
        <w:trPr>
          <w:cantSplit/>
        </w:trPr>
        <w:tc>
          <w:tcPr>
            <w:tcW w:w="2093" w:type="dxa"/>
          </w:tcPr>
          <w:p w14:paraId="4F972880" w14:textId="64FD50B4" w:rsidR="00680847" w:rsidRPr="00D87AA9" w:rsidRDefault="00680847" w:rsidP="00870410">
            <w:pPr>
              <w:pStyle w:val="TableBodyNA"/>
            </w:pPr>
            <w:r w:rsidRPr="00D87AA9">
              <w:t xml:space="preserve">Data source </w:t>
            </w:r>
            <w:r w:rsidR="00523EC2">
              <w:br/>
            </w:r>
            <w:r w:rsidRPr="00D87AA9">
              <w:t>(9a and 9b):</w:t>
            </w:r>
          </w:p>
        </w:tc>
        <w:tc>
          <w:tcPr>
            <w:tcW w:w="6696" w:type="dxa"/>
          </w:tcPr>
          <w:p w14:paraId="74F992A9" w14:textId="77777777" w:rsidR="00680847" w:rsidRDefault="00680847" w:rsidP="00870410">
            <w:pPr>
              <w:pStyle w:val="TableBodyNA"/>
            </w:pPr>
            <w:r w:rsidRPr="00975B0A">
              <w:t xml:space="preserve">Numerator and denominator — AIHW </w:t>
            </w:r>
            <w:r w:rsidRPr="004F1FEB">
              <w:rPr>
                <w:u w:val="single"/>
              </w:rPr>
              <w:t>National Perinatal Data Collection</w:t>
            </w:r>
            <w:r w:rsidRPr="00975B0A">
              <w:t xml:space="preserve"> (NPDC)</w:t>
            </w:r>
          </w:p>
          <w:p w14:paraId="257C4745" w14:textId="77777777" w:rsidR="00680847" w:rsidRPr="00D87AA9" w:rsidRDefault="00680847" w:rsidP="00680847">
            <w:pPr>
              <w:pStyle w:val="TableBodyText"/>
            </w:pPr>
          </w:p>
        </w:tc>
      </w:tr>
      <w:tr w:rsidR="00680847" w:rsidRPr="00D87AA9" w14:paraId="1CCFECE7" w14:textId="77777777" w:rsidTr="00523EC2">
        <w:trPr>
          <w:cantSplit/>
        </w:trPr>
        <w:tc>
          <w:tcPr>
            <w:tcW w:w="2093" w:type="dxa"/>
          </w:tcPr>
          <w:p w14:paraId="2346A50F" w14:textId="650E041F" w:rsidR="00680847" w:rsidRPr="00D87AA9" w:rsidRDefault="00680847" w:rsidP="00870410">
            <w:pPr>
              <w:pStyle w:val="TableBodyNA"/>
            </w:pPr>
            <w:r w:rsidRPr="00D87AA9">
              <w:t xml:space="preserve">Data provider </w:t>
            </w:r>
            <w:r w:rsidR="00523EC2">
              <w:br/>
            </w:r>
            <w:r w:rsidRPr="00D87AA9">
              <w:t>(9a and 9b):</w:t>
            </w:r>
          </w:p>
        </w:tc>
        <w:tc>
          <w:tcPr>
            <w:tcW w:w="6696" w:type="dxa"/>
          </w:tcPr>
          <w:p w14:paraId="6836E3D9" w14:textId="77777777" w:rsidR="00680847" w:rsidRPr="00D87AA9" w:rsidRDefault="00680847" w:rsidP="00870410">
            <w:pPr>
              <w:pStyle w:val="TableBodyNA"/>
            </w:pPr>
            <w:r w:rsidRPr="00975B0A">
              <w:t>AIHW</w:t>
            </w:r>
          </w:p>
        </w:tc>
      </w:tr>
      <w:tr w:rsidR="00680847" w:rsidRPr="00D87AA9" w14:paraId="7741A060" w14:textId="77777777" w:rsidTr="00523EC2">
        <w:trPr>
          <w:cantSplit/>
        </w:trPr>
        <w:tc>
          <w:tcPr>
            <w:tcW w:w="2093" w:type="dxa"/>
            <w:shd w:val="clear" w:color="auto" w:fill="auto"/>
          </w:tcPr>
          <w:p w14:paraId="365B8707" w14:textId="65C10754" w:rsidR="00680847" w:rsidRPr="00D87AA9" w:rsidRDefault="00680847" w:rsidP="00870410">
            <w:pPr>
              <w:pStyle w:val="TableBodyNA"/>
            </w:pPr>
            <w:r w:rsidRPr="00D87AA9">
              <w:t xml:space="preserve">Data availability </w:t>
            </w:r>
            <w:r w:rsidR="00523EC2">
              <w:br/>
            </w:r>
            <w:r w:rsidRPr="00D87AA9">
              <w:t>(9a and 9b):</w:t>
            </w:r>
          </w:p>
        </w:tc>
        <w:tc>
          <w:tcPr>
            <w:tcW w:w="6696" w:type="dxa"/>
            <w:shd w:val="clear" w:color="auto" w:fill="auto"/>
          </w:tcPr>
          <w:p w14:paraId="7057E6E4" w14:textId="1F95C6CA" w:rsidR="00680847" w:rsidRPr="00D87AA9" w:rsidRDefault="00511C6D" w:rsidP="00870410">
            <w:pPr>
              <w:pStyle w:val="TableBodyNA"/>
            </w:pPr>
            <w:r w:rsidRPr="00975B0A">
              <w:t>201</w:t>
            </w:r>
            <w:r>
              <w:t>7</w:t>
            </w:r>
          </w:p>
        </w:tc>
      </w:tr>
      <w:tr w:rsidR="00680847" w:rsidRPr="00D87AA9" w14:paraId="7D5957B5" w14:textId="77777777" w:rsidTr="00523EC2">
        <w:trPr>
          <w:cantSplit/>
        </w:trPr>
        <w:tc>
          <w:tcPr>
            <w:tcW w:w="2093" w:type="dxa"/>
            <w:shd w:val="clear" w:color="auto" w:fill="auto"/>
          </w:tcPr>
          <w:p w14:paraId="2BB28447" w14:textId="77777777" w:rsidR="00680847" w:rsidRPr="00D87AA9" w:rsidRDefault="00680847" w:rsidP="00870410">
            <w:pPr>
              <w:pStyle w:val="TableBodyNA"/>
            </w:pPr>
            <w:r w:rsidRPr="00D87AA9">
              <w:lastRenderedPageBreak/>
              <w:t>Cross tabulations provided (9a</w:t>
            </w:r>
            <w:r>
              <w:t xml:space="preserve"> and 9b</w:t>
            </w:r>
            <w:r w:rsidRPr="00D87AA9">
              <w:t>):</w:t>
            </w:r>
          </w:p>
        </w:tc>
        <w:tc>
          <w:tcPr>
            <w:tcW w:w="6696" w:type="dxa"/>
            <w:shd w:val="clear" w:color="auto" w:fill="auto"/>
          </w:tcPr>
          <w:p w14:paraId="7A8965F1" w14:textId="77777777" w:rsidR="00680847" w:rsidRDefault="00680847" w:rsidP="00523EC2">
            <w:pPr>
              <w:pStyle w:val="TableBodyNA"/>
            </w:pPr>
            <w:r>
              <w:t xml:space="preserve">State and Territory, by: </w:t>
            </w:r>
          </w:p>
          <w:p w14:paraId="0418B9B4" w14:textId="77777777" w:rsidR="00680847" w:rsidRDefault="00F80EE3" w:rsidP="00680847">
            <w:pPr>
              <w:pStyle w:val="TableBullet"/>
              <w:rPr>
                <w:szCs w:val="24"/>
              </w:rPr>
            </w:pPr>
            <w:r>
              <w:t xml:space="preserve">Aboriginal and Torres Strait Islander </w:t>
            </w:r>
            <w:r w:rsidR="00680847">
              <w:t>(crude rates)</w:t>
            </w:r>
          </w:p>
          <w:p w14:paraId="4398D847" w14:textId="4FF8037B" w:rsidR="00680847" w:rsidRDefault="00F80EE3" w:rsidP="00680847">
            <w:pPr>
              <w:pStyle w:val="TableBullet"/>
              <w:rPr>
                <w:szCs w:val="24"/>
              </w:rPr>
            </w:pPr>
            <w:r>
              <w:t xml:space="preserve">Aboriginal and Torres Strait Islander </w:t>
            </w:r>
            <w:r w:rsidR="00680847">
              <w:t xml:space="preserve">by </w:t>
            </w:r>
            <w:r w:rsidR="00680847" w:rsidRPr="00C02798">
              <w:t xml:space="preserve">remoteness (measure (a) only) (crude </w:t>
            </w:r>
            <w:r w:rsidR="00680847">
              <w:t xml:space="preserve">rates) (based on </w:t>
            </w:r>
            <w:r w:rsidR="00511C6D">
              <w:t xml:space="preserve">2016 </w:t>
            </w:r>
            <w:r w:rsidR="00680847">
              <w:t>ASGS)</w:t>
            </w:r>
          </w:p>
          <w:p w14:paraId="59ADE3DF" w14:textId="77777777" w:rsidR="00680847" w:rsidRDefault="00680847" w:rsidP="00680847">
            <w:pPr>
              <w:pStyle w:val="TableBullet"/>
              <w:rPr>
                <w:szCs w:val="24"/>
              </w:rPr>
            </w:pPr>
            <w:r>
              <w:t>Indigenous status (age standardised rates)</w:t>
            </w:r>
          </w:p>
          <w:p w14:paraId="0470FAFC" w14:textId="78AA6630" w:rsidR="00680847" w:rsidRPr="00D1545B" w:rsidRDefault="00680847" w:rsidP="00511C6D">
            <w:pPr>
              <w:pStyle w:val="TableBullet"/>
              <w:rPr>
                <w:szCs w:val="24"/>
              </w:rPr>
            </w:pPr>
            <w:r>
              <w:t xml:space="preserve">Indigenous status by remoteness (age standardised rates) (based on </w:t>
            </w:r>
            <w:r w:rsidR="00511C6D">
              <w:t xml:space="preserve">2016 </w:t>
            </w:r>
            <w:r>
              <w:t>ASGS)</w:t>
            </w:r>
          </w:p>
        </w:tc>
      </w:tr>
    </w:tbl>
    <w:p w14:paraId="6786A380" w14:textId="77777777" w:rsidR="003C412A" w:rsidRDefault="003C412A">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3C412A" w14:paraId="085D8034" w14:textId="77777777" w:rsidTr="004F04D8">
        <w:tc>
          <w:tcPr>
            <w:tcW w:w="8789" w:type="dxa"/>
            <w:tcBorders>
              <w:top w:val="single" w:sz="6" w:space="0" w:color="78A22F"/>
              <w:left w:val="nil"/>
              <w:bottom w:val="nil"/>
              <w:right w:val="nil"/>
            </w:tcBorders>
            <w:shd w:val="clear" w:color="auto" w:fill="F2F2F2"/>
          </w:tcPr>
          <w:p w14:paraId="333B634E" w14:textId="15944B6E" w:rsidR="003C412A" w:rsidRDefault="003C412A" w:rsidP="00AD020A">
            <w:pPr>
              <w:pStyle w:val="BoxTitle"/>
            </w:pPr>
            <w:r>
              <w:rPr>
                <w:b w:val="0"/>
              </w:rPr>
              <w:t>Box</w:t>
            </w:r>
            <w:r w:rsidR="00B1719E">
              <w:rPr>
                <w:b w:val="0"/>
              </w:rPr>
              <w:t xml:space="preserve"> </w:t>
            </w:r>
            <w:r w:rsidR="00CD100F">
              <w:rPr>
                <w:b w:val="0"/>
              </w:rPr>
              <w:t>3</w:t>
            </w:r>
            <w:r w:rsidR="00AD020A">
              <w:rPr>
                <w:b w:val="0"/>
              </w:rPr>
              <w:t>0</w:t>
            </w:r>
            <w:r>
              <w:tab/>
              <w:t>Results</w:t>
            </w:r>
          </w:p>
        </w:tc>
      </w:tr>
      <w:tr w:rsidR="003C412A" w:rsidRPr="003C412A" w14:paraId="7D83FE06" w14:textId="77777777" w:rsidTr="004F04D8">
        <w:trPr>
          <w:cantSplit/>
        </w:trPr>
        <w:tc>
          <w:tcPr>
            <w:tcW w:w="8789" w:type="dxa"/>
            <w:tcBorders>
              <w:top w:val="nil"/>
              <w:left w:val="nil"/>
              <w:bottom w:val="nil"/>
              <w:right w:val="nil"/>
            </w:tcBorders>
            <w:shd w:val="clear" w:color="auto" w:fill="F2F2F2"/>
          </w:tcPr>
          <w:p w14:paraId="060C0EB4" w14:textId="2FCC7ED4" w:rsidR="003C412A" w:rsidRPr="003C412A" w:rsidRDefault="003C412A" w:rsidP="003C412A">
            <w:pPr>
              <w:pStyle w:val="Box"/>
            </w:pPr>
            <w:r w:rsidRPr="003C412A">
              <w:t xml:space="preserve">For this report, new data for this indicator are available for </w:t>
            </w:r>
            <w:r w:rsidR="00511C6D" w:rsidRPr="003C412A">
              <w:t>201</w:t>
            </w:r>
            <w:r w:rsidR="00511C6D">
              <w:t>7</w:t>
            </w:r>
            <w:r w:rsidRPr="003C412A">
              <w:t>.</w:t>
            </w:r>
          </w:p>
          <w:p w14:paraId="179CD1A1" w14:textId="39929CE2" w:rsidR="003C412A" w:rsidRPr="003C412A" w:rsidRDefault="003C412A" w:rsidP="003C412A">
            <w:pPr>
              <w:pStyle w:val="BoxListBullet"/>
            </w:pPr>
            <w:r w:rsidRPr="003C412A">
              <w:t xml:space="preserve">Crude data for </w:t>
            </w:r>
            <w:r w:rsidR="00F80EE3">
              <w:t>Aboriginal and Torres Strait Islander</w:t>
            </w:r>
            <w:r w:rsidR="00F80EE3" w:rsidRPr="003C412A">
              <w:t xml:space="preserve"> </w:t>
            </w:r>
            <w:r w:rsidRPr="003C412A">
              <w:t>women by State and Territory are presented in tables NIRA.9.1 and NIRA.9.3</w:t>
            </w:r>
            <w:r w:rsidR="00870441">
              <w:t>.</w:t>
            </w:r>
          </w:p>
          <w:p w14:paraId="7622D6D7" w14:textId="48994E5C" w:rsidR="003C412A" w:rsidRPr="003C412A" w:rsidRDefault="003C412A" w:rsidP="003C412A">
            <w:pPr>
              <w:pStyle w:val="BoxListBullet"/>
            </w:pPr>
            <w:r w:rsidRPr="003C412A">
              <w:t xml:space="preserve">Crude data for </w:t>
            </w:r>
            <w:r w:rsidR="00F80EE3">
              <w:t>Aboriginal and Torres Strait Islander</w:t>
            </w:r>
            <w:r w:rsidR="00F80EE3" w:rsidRPr="003C412A">
              <w:t xml:space="preserve"> </w:t>
            </w:r>
            <w:r w:rsidRPr="003C412A">
              <w:t>women by State and Territory, by remoteness are presented in table NIRA.9.2</w:t>
            </w:r>
            <w:r w:rsidR="00870441">
              <w:t>.</w:t>
            </w:r>
          </w:p>
          <w:p w14:paraId="3198EFA4" w14:textId="780CDC0F" w:rsidR="003C412A" w:rsidRPr="003C412A" w:rsidRDefault="003C412A" w:rsidP="003C412A">
            <w:pPr>
              <w:pStyle w:val="BoxListBullet"/>
            </w:pPr>
            <w:r w:rsidRPr="003C412A">
              <w:t>Age standardised data by State and Territory, by Indigenous status are presented in tables</w:t>
            </w:r>
            <w:r w:rsidR="00F40B3B">
              <w:t> </w:t>
            </w:r>
            <w:r w:rsidRPr="003C412A">
              <w:t>NIRA.9.4 and NIRA.9.</w:t>
            </w:r>
            <w:r w:rsidR="00F60E5D">
              <w:t>5</w:t>
            </w:r>
            <w:r w:rsidR="00545A4B">
              <w:t xml:space="preserve">. </w:t>
            </w:r>
          </w:p>
          <w:p w14:paraId="532E3208" w14:textId="26602575" w:rsidR="003C412A" w:rsidRPr="003C412A" w:rsidRDefault="003C412A" w:rsidP="003C412A">
            <w:pPr>
              <w:pStyle w:val="BoxListBullet"/>
            </w:pPr>
            <w:r w:rsidRPr="003C412A">
              <w:t>Age standardised data by State and Territory, by Indigenous status, by remoteness are presented in tables NIRA.9.6 and NIRA.9.</w:t>
            </w:r>
            <w:r w:rsidR="00F60E5D">
              <w:t>7</w:t>
            </w:r>
            <w:r w:rsidRPr="003C412A">
              <w:t>.</w:t>
            </w:r>
            <w:r w:rsidR="00545A4B">
              <w:t xml:space="preserve"> </w:t>
            </w:r>
          </w:p>
          <w:p w14:paraId="2E423360" w14:textId="387E057D" w:rsidR="00FC12CC" w:rsidRDefault="00870441" w:rsidP="003C412A">
            <w:pPr>
              <w:pStyle w:val="Box"/>
            </w:pPr>
            <w:r>
              <w:t>D</w:t>
            </w:r>
            <w:r w:rsidR="00545A4B">
              <w:t xml:space="preserve">ata </w:t>
            </w:r>
            <w:r w:rsidR="00511C6D">
              <w:t xml:space="preserve">are available </w:t>
            </w:r>
            <w:r w:rsidR="00545A4B">
              <w:t>for</w:t>
            </w:r>
            <w:r w:rsidR="00511C6D">
              <w:t>: 2016 in the 2017</w:t>
            </w:r>
            <w:r w:rsidR="00FA5150">
              <w:noBreakHyphen/>
            </w:r>
            <w:r w:rsidR="00511C6D">
              <w:t>18 NIRA performance report;</w:t>
            </w:r>
            <w:r w:rsidR="00545A4B">
              <w:t xml:space="preserve"> 2015 in the 2016</w:t>
            </w:r>
            <w:r w:rsidR="00FA5150">
              <w:noBreakHyphen/>
            </w:r>
            <w:r w:rsidR="00545A4B">
              <w:t>17 NIRA performance report</w:t>
            </w:r>
            <w:r w:rsidR="00511C6D">
              <w:t>;</w:t>
            </w:r>
            <w:r w:rsidR="00082DB4">
              <w:t xml:space="preserve"> </w:t>
            </w:r>
            <w:r w:rsidR="00505FEE">
              <w:t>2014 in the 2015</w:t>
            </w:r>
            <w:r w:rsidR="00FA5150">
              <w:noBreakHyphen/>
            </w:r>
            <w:r w:rsidR="00505FEE">
              <w:t>16 NIRA performance report</w:t>
            </w:r>
            <w:r w:rsidR="00511C6D">
              <w:t>;</w:t>
            </w:r>
            <w:r w:rsidR="00082DB4">
              <w:t xml:space="preserve"> and</w:t>
            </w:r>
            <w:r w:rsidR="00511C6D">
              <w:t>,</w:t>
            </w:r>
            <w:r w:rsidR="00FC12CC">
              <w:t xml:space="preserve"> 201</w:t>
            </w:r>
            <w:r w:rsidR="005871DB">
              <w:t>3</w:t>
            </w:r>
            <w:r w:rsidR="00FC12CC">
              <w:t xml:space="preserve"> in the 2014</w:t>
            </w:r>
            <w:r w:rsidR="00FA5150">
              <w:noBreakHyphen/>
            </w:r>
            <w:r w:rsidR="00FC12CC">
              <w:t xml:space="preserve">15 NIRA performance report. </w:t>
            </w:r>
          </w:p>
          <w:p w14:paraId="3CB9B4E1" w14:textId="46B4E6E3" w:rsidR="003C412A" w:rsidRPr="003C412A" w:rsidRDefault="00870441" w:rsidP="003C412A">
            <w:pPr>
              <w:pStyle w:val="Box"/>
            </w:pPr>
            <w:r>
              <w:t>A</w:t>
            </w:r>
            <w:r w:rsidR="004B53C9">
              <w:t>ge standardised</w:t>
            </w:r>
            <w:r w:rsidR="003C412A" w:rsidRPr="003C412A">
              <w:t xml:space="preserve"> data </w:t>
            </w:r>
            <w:r w:rsidR="00511C6D">
              <w:t xml:space="preserve">are available </w:t>
            </w:r>
            <w:r w:rsidR="003C412A" w:rsidRPr="003C412A">
              <w:t xml:space="preserve">for </w:t>
            </w:r>
            <w:r w:rsidR="00841EFF">
              <w:t xml:space="preserve">2012, </w:t>
            </w:r>
            <w:r w:rsidR="003C412A" w:rsidRPr="003C412A">
              <w:t xml:space="preserve">2011, 2010, 2009, 2008 and 2007 in </w:t>
            </w:r>
            <w:r w:rsidR="00841EFF">
              <w:t>the 2013</w:t>
            </w:r>
            <w:r w:rsidR="00FA5150">
              <w:noBreakHyphen/>
            </w:r>
            <w:r w:rsidR="00841EFF">
              <w:t xml:space="preserve">14 NIRA </w:t>
            </w:r>
            <w:r w:rsidR="003661AB">
              <w:t xml:space="preserve">performance </w:t>
            </w:r>
            <w:r w:rsidR="00841EFF">
              <w:t>report.</w:t>
            </w:r>
          </w:p>
          <w:p w14:paraId="3B5CEEC2" w14:textId="26A71333" w:rsidR="003C412A" w:rsidRPr="003C412A" w:rsidRDefault="00511C6D" w:rsidP="003C412A">
            <w:pPr>
              <w:pStyle w:val="Box"/>
            </w:pPr>
            <w:r>
              <w:t xml:space="preserve">Data for crude rates are available </w:t>
            </w:r>
            <w:r w:rsidR="003C412A" w:rsidRPr="003C412A">
              <w:t>for</w:t>
            </w:r>
            <w:r>
              <w:t xml:space="preserve">: </w:t>
            </w:r>
            <w:r w:rsidR="00664070">
              <w:t>2012 in the 2013</w:t>
            </w:r>
            <w:r w:rsidR="00FA5150">
              <w:noBreakHyphen/>
            </w:r>
            <w:r w:rsidR="00664070">
              <w:t>14 NIRA performance report</w:t>
            </w:r>
            <w:r>
              <w:t xml:space="preserve">; </w:t>
            </w:r>
            <w:r w:rsidR="003C412A" w:rsidRPr="003C412A">
              <w:t>2011 in the 2012</w:t>
            </w:r>
            <w:r w:rsidR="00FA5150">
              <w:noBreakHyphen/>
            </w:r>
            <w:r w:rsidR="003C412A" w:rsidRPr="003C412A">
              <w:t xml:space="preserve">13 NIRA </w:t>
            </w:r>
            <w:r w:rsidR="003661AB">
              <w:t xml:space="preserve">performance </w:t>
            </w:r>
            <w:r w:rsidR="003C412A" w:rsidRPr="003C412A">
              <w:t>report</w:t>
            </w:r>
            <w:r>
              <w:t>;</w:t>
            </w:r>
            <w:r w:rsidR="003C412A" w:rsidRPr="003C412A">
              <w:t xml:space="preserve"> and</w:t>
            </w:r>
            <w:r>
              <w:t>,</w:t>
            </w:r>
            <w:r w:rsidR="003C412A" w:rsidRPr="003C412A">
              <w:t xml:space="preserve"> 2010, 2009, 2008 and 2007 in the 2011</w:t>
            </w:r>
            <w:r w:rsidR="00FA5150">
              <w:noBreakHyphen/>
            </w:r>
            <w:r w:rsidR="003C412A" w:rsidRPr="003C412A">
              <w:t xml:space="preserve">12 </w:t>
            </w:r>
            <w:r w:rsidR="00F555B6">
              <w:t>NIRA performance report</w:t>
            </w:r>
            <w:r w:rsidR="003C412A" w:rsidRPr="003C412A">
              <w:t>.</w:t>
            </w:r>
          </w:p>
          <w:p w14:paraId="77406C34" w14:textId="77777777" w:rsidR="003C412A" w:rsidRPr="003C412A" w:rsidRDefault="003C412A" w:rsidP="003C412A">
            <w:pPr>
              <w:pStyle w:val="Box"/>
            </w:pPr>
            <w:r w:rsidRPr="003C412A">
              <w:t xml:space="preserve">The attachment table contents page provides a complete list of </w:t>
            </w:r>
            <w:r w:rsidR="004B53C9">
              <w:t>data tables for this indicator.</w:t>
            </w:r>
          </w:p>
        </w:tc>
      </w:tr>
      <w:tr w:rsidR="003C412A" w14:paraId="7F6089C3" w14:textId="77777777" w:rsidTr="004F04D8">
        <w:trPr>
          <w:cantSplit/>
        </w:trPr>
        <w:tc>
          <w:tcPr>
            <w:tcW w:w="8789" w:type="dxa"/>
            <w:tcBorders>
              <w:top w:val="nil"/>
              <w:left w:val="nil"/>
              <w:bottom w:val="single" w:sz="6" w:space="0" w:color="78A22F"/>
              <w:right w:val="nil"/>
            </w:tcBorders>
            <w:shd w:val="clear" w:color="auto" w:fill="F2F2F2"/>
          </w:tcPr>
          <w:p w14:paraId="4BB52530" w14:textId="77777777" w:rsidR="003C412A" w:rsidRDefault="003C412A">
            <w:pPr>
              <w:pStyle w:val="Box"/>
              <w:spacing w:before="0" w:line="120" w:lineRule="exact"/>
            </w:pPr>
          </w:p>
        </w:tc>
      </w:tr>
      <w:tr w:rsidR="003C412A" w:rsidRPr="000863A5" w14:paraId="39D20017" w14:textId="77777777" w:rsidTr="004F04D8">
        <w:tc>
          <w:tcPr>
            <w:tcW w:w="8789" w:type="dxa"/>
            <w:tcBorders>
              <w:top w:val="single" w:sz="6" w:space="0" w:color="78A22F"/>
              <w:left w:val="nil"/>
              <w:bottom w:val="nil"/>
              <w:right w:val="nil"/>
            </w:tcBorders>
          </w:tcPr>
          <w:p w14:paraId="3591EA30" w14:textId="77777777" w:rsidR="003C412A" w:rsidRPr="00626D32" w:rsidRDefault="003C412A" w:rsidP="004C6DAF">
            <w:pPr>
              <w:pStyle w:val="BoxSpaceBelow"/>
            </w:pPr>
          </w:p>
        </w:tc>
      </w:tr>
    </w:tbl>
    <w:p w14:paraId="485A453A" w14:textId="77777777" w:rsidR="003C412A" w:rsidRDefault="003C412A">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3C412A" w14:paraId="12B4D24E" w14:textId="77777777" w:rsidTr="004F04D8">
        <w:tc>
          <w:tcPr>
            <w:tcW w:w="8789" w:type="dxa"/>
            <w:tcBorders>
              <w:top w:val="single" w:sz="6" w:space="0" w:color="78A22F"/>
              <w:left w:val="nil"/>
              <w:bottom w:val="nil"/>
              <w:right w:val="nil"/>
            </w:tcBorders>
            <w:shd w:val="clear" w:color="auto" w:fill="F2F2F2"/>
          </w:tcPr>
          <w:p w14:paraId="4A1E97DD" w14:textId="2934F066" w:rsidR="003C412A" w:rsidRDefault="003C412A" w:rsidP="00AD020A">
            <w:pPr>
              <w:pStyle w:val="BoxTitle"/>
            </w:pPr>
            <w:r>
              <w:rPr>
                <w:b w:val="0"/>
              </w:rPr>
              <w:t>Box</w:t>
            </w:r>
            <w:r w:rsidR="00B1719E">
              <w:rPr>
                <w:b w:val="0"/>
              </w:rPr>
              <w:t xml:space="preserve"> </w:t>
            </w:r>
            <w:r w:rsidR="00CD100F">
              <w:rPr>
                <w:b w:val="0"/>
              </w:rPr>
              <w:t>3</w:t>
            </w:r>
            <w:r w:rsidR="00AD020A">
              <w:rPr>
                <w:b w:val="0"/>
              </w:rPr>
              <w:t>1</w:t>
            </w:r>
            <w:r>
              <w:tab/>
            </w:r>
            <w:r w:rsidRPr="00AB58A3">
              <w:t>Comment on data quality</w:t>
            </w:r>
          </w:p>
        </w:tc>
      </w:tr>
      <w:tr w:rsidR="003C412A" w:rsidRPr="003C412A" w14:paraId="3281FCC7" w14:textId="77777777" w:rsidTr="004F04D8">
        <w:trPr>
          <w:cantSplit/>
        </w:trPr>
        <w:tc>
          <w:tcPr>
            <w:tcW w:w="8789" w:type="dxa"/>
            <w:tcBorders>
              <w:top w:val="nil"/>
              <w:left w:val="nil"/>
              <w:bottom w:val="nil"/>
              <w:right w:val="nil"/>
            </w:tcBorders>
            <w:shd w:val="clear" w:color="auto" w:fill="F2F2F2"/>
          </w:tcPr>
          <w:p w14:paraId="3DF4A5B8" w14:textId="77777777" w:rsidR="003C412A" w:rsidRPr="003C412A" w:rsidRDefault="003C412A" w:rsidP="003C412A">
            <w:pPr>
              <w:pStyle w:val="Box"/>
            </w:pPr>
            <w:r w:rsidRPr="003C412A">
              <w:t>Key points on data quality for this indicator are summarised below.</w:t>
            </w:r>
          </w:p>
          <w:p w14:paraId="6D866433" w14:textId="77777777" w:rsidR="003C412A" w:rsidRPr="003C412A" w:rsidRDefault="003C412A" w:rsidP="003C412A">
            <w:pPr>
              <w:pStyle w:val="BoxListBullet"/>
            </w:pPr>
            <w:r w:rsidRPr="003C412A">
              <w:t>Data provide relevant information on the proportion of women who attended an antenatal visit in the first trimester (measure 9a) and the proportion of women who attended at least five antenatal visits (measure 9b).</w:t>
            </w:r>
          </w:p>
          <w:p w14:paraId="57BEE8FE" w14:textId="340B74C6" w:rsidR="003C412A" w:rsidRPr="003C412A" w:rsidRDefault="003C412A" w:rsidP="004306F6">
            <w:pPr>
              <w:pStyle w:val="BoxListBullet"/>
            </w:pPr>
            <w:r w:rsidRPr="003C412A">
              <w:t>Data for measure 9(a) are available for all states and territories</w:t>
            </w:r>
            <w:r w:rsidR="00A61B0E">
              <w:t xml:space="preserve"> from 2011</w:t>
            </w:r>
            <w:r w:rsidRPr="003C412A">
              <w:t xml:space="preserve">. </w:t>
            </w:r>
            <w:r w:rsidR="00D83FD9">
              <w:t>Data f</w:t>
            </w:r>
            <w:r w:rsidRPr="003C412A">
              <w:t>or measure</w:t>
            </w:r>
            <w:r w:rsidR="00D83FD9">
              <w:t> </w:t>
            </w:r>
            <w:r w:rsidRPr="003C412A">
              <w:t>9(b)</w:t>
            </w:r>
            <w:r w:rsidR="00D83FD9">
              <w:t xml:space="preserve"> ar</w:t>
            </w:r>
            <w:r w:rsidR="008F5EB3" w:rsidRPr="003C412A">
              <w:t xml:space="preserve">e </w:t>
            </w:r>
            <w:r w:rsidRPr="003C412A">
              <w:t xml:space="preserve">available for </w:t>
            </w:r>
            <w:r w:rsidR="00D83FD9">
              <w:t xml:space="preserve">all states and territories from </w:t>
            </w:r>
            <w:r w:rsidR="00365846">
              <w:t>2016</w:t>
            </w:r>
            <w:r w:rsidR="001F13EB" w:rsidRPr="003C412A">
              <w:t>.</w:t>
            </w:r>
            <w:r w:rsidR="00DB0792">
              <w:t xml:space="preserve"> </w:t>
            </w:r>
          </w:p>
          <w:p w14:paraId="51FD4AD7" w14:textId="368BA174" w:rsidR="003C412A" w:rsidRPr="003E3EED" w:rsidRDefault="003C412A" w:rsidP="005A3036">
            <w:pPr>
              <w:pStyle w:val="BoxListBullet"/>
            </w:pPr>
            <w:r w:rsidRPr="003C412A">
              <w:t>Annual data are available. The most recent available data</w:t>
            </w:r>
            <w:r w:rsidR="00F81C5D">
              <w:t xml:space="preserve"> are for </w:t>
            </w:r>
            <w:r w:rsidR="008F5EB3">
              <w:t>2017</w:t>
            </w:r>
            <w:r w:rsidRPr="003C412A">
              <w:t>.</w:t>
            </w:r>
          </w:p>
          <w:p w14:paraId="7D2CE987" w14:textId="77777777" w:rsidR="003C412A" w:rsidRPr="003C412A" w:rsidRDefault="003C412A" w:rsidP="003C412A">
            <w:pPr>
              <w:pStyle w:val="BoxListBullet"/>
            </w:pPr>
            <w:r w:rsidRPr="003C412A">
              <w:t xml:space="preserve">Antenatal care definitions and response rates differ across jurisdictions and comparisons should be made with caution. </w:t>
            </w:r>
          </w:p>
          <w:p w14:paraId="3F07CE90" w14:textId="2C2EC8FC" w:rsidR="003C412A" w:rsidRPr="003C412A" w:rsidRDefault="003C412A" w:rsidP="003C412A">
            <w:pPr>
              <w:pStyle w:val="BoxListBullet"/>
            </w:pPr>
            <w:r w:rsidRPr="003C412A">
              <w:t xml:space="preserve">Changing levels of </w:t>
            </w:r>
            <w:r w:rsidR="00F80EE3">
              <w:t>Aboriginal and Torres Strait Islander</w:t>
            </w:r>
            <w:r w:rsidR="00F80EE3" w:rsidRPr="003C412A">
              <w:t xml:space="preserve"> </w:t>
            </w:r>
            <w:r w:rsidRPr="003C412A">
              <w:t>identification over time and across jurisdictions may affect the accuracy of time series data.</w:t>
            </w:r>
            <w:r w:rsidR="009D3762">
              <w:t xml:space="preserve"> R</w:t>
            </w:r>
            <w:r w:rsidR="009D3762" w:rsidRPr="009D3762">
              <w:t>ecords where Indigenous status was not stated were excluded from analyses.</w:t>
            </w:r>
          </w:p>
          <w:p w14:paraId="298C4128" w14:textId="0C7BB9F7" w:rsidR="007E14F1" w:rsidRPr="00680847" w:rsidRDefault="007E14F1" w:rsidP="00AD020A">
            <w:pPr>
              <w:pStyle w:val="BoxListBullet"/>
            </w:pPr>
            <w:r>
              <w:t>Data are reported by remoteness for t</w:t>
            </w:r>
            <w:r w:rsidR="005666C1">
              <w:t xml:space="preserve">his indicator. </w:t>
            </w:r>
            <w:r w:rsidR="000E2039">
              <w:t>Remoteness data for 2017 are not directly comparable to earlier years due to the application of new ABS remoteness areas based on the 2016 Census (similarly, remoteness data for 2012 to 2016 are not directly comparable to earlier years, due to the application of new ABS remoteness areas based on the 2011 Census)</w:t>
            </w:r>
            <w:r w:rsidR="000E2039" w:rsidRPr="00A675C3">
              <w:t>.</w:t>
            </w:r>
          </w:p>
          <w:p w14:paraId="04AC6304" w14:textId="776B8093" w:rsidR="003C412A" w:rsidRPr="003C412A" w:rsidRDefault="000B665F" w:rsidP="003C412A">
            <w:pPr>
              <w:pStyle w:val="BoxListBullet"/>
            </w:pPr>
            <w:r w:rsidRPr="00680847">
              <w:t>Detailed explanatory notes are publicly available to assist in the interpretation of results.</w:t>
            </w:r>
            <w:r w:rsidR="003C412A" w:rsidRPr="003C412A">
              <w:t xml:space="preserve"> </w:t>
            </w:r>
          </w:p>
          <w:p w14:paraId="645F4EDE" w14:textId="4701EAD1" w:rsidR="003C412A" w:rsidRPr="003C412A" w:rsidRDefault="003C412A" w:rsidP="00DB0792">
            <w:pPr>
              <w:pStyle w:val="Box"/>
            </w:pPr>
            <w:r w:rsidRPr="003C412A">
              <w:t>The Steering Committee a</w:t>
            </w:r>
            <w:r w:rsidR="00DB0792">
              <w:t>lso notes the following issue:</w:t>
            </w:r>
          </w:p>
          <w:p w14:paraId="37618041" w14:textId="77777777" w:rsidR="003C412A" w:rsidRPr="003C412A" w:rsidRDefault="00F85DF8" w:rsidP="00E11A4A">
            <w:pPr>
              <w:pStyle w:val="BoxListBullet"/>
            </w:pPr>
            <w:r>
              <w:t>The AIHW is working with jurisdictions on an ongoing basis to improve the capture, quality and timeliness of the data</w:t>
            </w:r>
          </w:p>
        </w:tc>
      </w:tr>
      <w:tr w:rsidR="003C412A" w14:paraId="72EA59E0" w14:textId="77777777" w:rsidTr="004F04D8">
        <w:trPr>
          <w:cantSplit/>
        </w:trPr>
        <w:tc>
          <w:tcPr>
            <w:tcW w:w="8789" w:type="dxa"/>
            <w:tcBorders>
              <w:top w:val="nil"/>
              <w:left w:val="nil"/>
              <w:bottom w:val="single" w:sz="6" w:space="0" w:color="78A22F"/>
              <w:right w:val="nil"/>
            </w:tcBorders>
            <w:shd w:val="clear" w:color="auto" w:fill="F2F2F2"/>
          </w:tcPr>
          <w:p w14:paraId="3FCB3CDA" w14:textId="77777777" w:rsidR="003C412A" w:rsidRDefault="003C412A">
            <w:pPr>
              <w:pStyle w:val="Box"/>
              <w:spacing w:before="0" w:line="120" w:lineRule="exact"/>
            </w:pPr>
          </w:p>
        </w:tc>
      </w:tr>
      <w:tr w:rsidR="003C412A" w:rsidRPr="000863A5" w14:paraId="04CDA10B" w14:textId="77777777" w:rsidTr="004F04D8">
        <w:tc>
          <w:tcPr>
            <w:tcW w:w="8789" w:type="dxa"/>
            <w:tcBorders>
              <w:top w:val="single" w:sz="6" w:space="0" w:color="78A22F"/>
              <w:left w:val="nil"/>
              <w:bottom w:val="nil"/>
              <w:right w:val="nil"/>
            </w:tcBorders>
          </w:tcPr>
          <w:p w14:paraId="2386C8AF" w14:textId="77777777" w:rsidR="003C412A" w:rsidRPr="00626D32" w:rsidRDefault="003C412A" w:rsidP="004C6DAF">
            <w:pPr>
              <w:pStyle w:val="BoxSpaceBelow"/>
            </w:pPr>
          </w:p>
        </w:tc>
      </w:tr>
    </w:tbl>
    <w:p w14:paraId="5FA7D0B3" w14:textId="77777777" w:rsidR="003C412A" w:rsidRDefault="003C412A" w:rsidP="003C412A">
      <w:pPr>
        <w:pStyle w:val="BodyText"/>
        <w:rPr>
          <w:rFonts w:ascii="Arial" w:hAnsi="Arial"/>
          <w:sz w:val="20"/>
        </w:rPr>
      </w:pPr>
      <w:r>
        <w:br w:type="page"/>
      </w:r>
    </w:p>
    <w:p w14:paraId="43FE5B96" w14:textId="2C2782CA" w:rsidR="003C412A" w:rsidRDefault="003C412A" w:rsidP="007F3549">
      <w:pPr>
        <w:pStyle w:val="Heading3"/>
        <w:spacing w:after="240"/>
      </w:pPr>
      <w:bookmarkStart w:id="28" w:name="_Ref277842812"/>
      <w:bookmarkStart w:id="29" w:name="_Ref341361573"/>
      <w:bookmarkStart w:id="30" w:name="_Ref466928113"/>
      <w:r w:rsidRPr="00921D4D">
        <w:lastRenderedPageBreak/>
        <w:t>Indicator 10:</w:t>
      </w:r>
      <w:bookmarkEnd w:id="28"/>
      <w:r>
        <w:t xml:space="preserve"> The proportion of Indigenous children, who are enrolled in (and attending, where possible to measure) a preschool program in the year before</w:t>
      </w:r>
      <w:r w:rsidR="000B665F">
        <w:t xml:space="preserve"> formal</w:t>
      </w:r>
      <w:r>
        <w:t xml:space="preserve"> schooling</w:t>
      </w:r>
      <w:bookmarkEnd w:id="29"/>
      <w:r w:rsidR="00BF443C">
        <w:t xml:space="preserve"> </w:t>
      </w:r>
      <w:bookmarkEnd w:id="30"/>
    </w:p>
    <w:tbl>
      <w:tblPr>
        <w:tblW w:w="8789" w:type="dxa"/>
        <w:tblCellMar>
          <w:right w:w="0" w:type="dxa"/>
        </w:tblCellMar>
        <w:tblLook w:val="0000" w:firstRow="0" w:lastRow="0" w:firstColumn="0" w:lastColumn="0" w:noHBand="0" w:noVBand="0"/>
      </w:tblPr>
      <w:tblGrid>
        <w:gridCol w:w="2093"/>
        <w:gridCol w:w="6696"/>
      </w:tblGrid>
      <w:tr w:rsidR="00185AE7" w:rsidRPr="00185AE7" w14:paraId="6570908F" w14:textId="77777777" w:rsidTr="00523EC2">
        <w:trPr>
          <w:cantSplit/>
        </w:trPr>
        <w:tc>
          <w:tcPr>
            <w:tcW w:w="2093" w:type="dxa"/>
          </w:tcPr>
          <w:p w14:paraId="43AA4E16" w14:textId="56CE527B" w:rsidR="00185AE7" w:rsidRPr="00185AE7" w:rsidRDefault="00185AE7" w:rsidP="00523EC2">
            <w:pPr>
              <w:pStyle w:val="TableBodyNA"/>
            </w:pPr>
            <w:r w:rsidRPr="00185AE7">
              <w:t>Key amendments fr</w:t>
            </w:r>
            <w:r w:rsidR="00356183">
              <w:t>om previous cycle of reporting:</w:t>
            </w:r>
          </w:p>
        </w:tc>
        <w:tc>
          <w:tcPr>
            <w:tcW w:w="6696" w:type="dxa"/>
          </w:tcPr>
          <w:p w14:paraId="7782868C" w14:textId="228A7C1E" w:rsidR="00185AE7" w:rsidRPr="00185AE7" w:rsidRDefault="00214DFB" w:rsidP="00523EC2">
            <w:pPr>
              <w:pStyle w:val="TableBodyNA"/>
              <w:rPr>
                <w:szCs w:val="18"/>
              </w:rPr>
            </w:pPr>
            <w:r>
              <w:t>Historical data (2015 to 2017) for measure 10a have been resupplied due to new Aboriginal and Torres Strait Islander population data.</w:t>
            </w:r>
          </w:p>
        </w:tc>
      </w:tr>
      <w:tr w:rsidR="00185AE7" w:rsidRPr="00185AE7" w14:paraId="77E0AB18" w14:textId="77777777" w:rsidTr="00523EC2">
        <w:trPr>
          <w:cantSplit/>
        </w:trPr>
        <w:tc>
          <w:tcPr>
            <w:tcW w:w="2093" w:type="dxa"/>
          </w:tcPr>
          <w:p w14:paraId="2A66A6C7" w14:textId="77777777" w:rsidR="00185AE7" w:rsidRPr="00185AE7" w:rsidRDefault="00185AE7" w:rsidP="00523EC2">
            <w:pPr>
              <w:pStyle w:val="TableBodyNA"/>
            </w:pPr>
            <w:r w:rsidRPr="00185AE7">
              <w:t>Target:</w:t>
            </w:r>
          </w:p>
        </w:tc>
        <w:tc>
          <w:tcPr>
            <w:tcW w:w="6696" w:type="dxa"/>
          </w:tcPr>
          <w:p w14:paraId="372A969C" w14:textId="6B0B752E" w:rsidR="00185AE7" w:rsidRPr="00185AE7" w:rsidRDefault="00185AE7" w:rsidP="00523EC2">
            <w:pPr>
              <w:pStyle w:val="TableBodyNA"/>
            </w:pPr>
            <w:r w:rsidRPr="00185AE7">
              <w:t>95 per cent of all Indigenous four</w:t>
            </w:r>
            <w:r w:rsidR="00FA5150">
              <w:noBreakHyphen/>
            </w:r>
            <w:r w:rsidRPr="00185AE7">
              <w:t>year</w:t>
            </w:r>
            <w:r w:rsidR="00FA5150">
              <w:noBreakHyphen/>
            </w:r>
            <w:r w:rsidRPr="00185AE7">
              <w:t>olds enrolled in earl</w:t>
            </w:r>
            <w:r w:rsidR="00356183">
              <w:t>y childhood education (by 2025)</w:t>
            </w:r>
          </w:p>
        </w:tc>
      </w:tr>
      <w:tr w:rsidR="00185AE7" w:rsidRPr="00185AE7" w14:paraId="5F7CD7D9" w14:textId="77777777" w:rsidTr="00523EC2">
        <w:trPr>
          <w:cantSplit/>
        </w:trPr>
        <w:tc>
          <w:tcPr>
            <w:tcW w:w="2093" w:type="dxa"/>
          </w:tcPr>
          <w:p w14:paraId="0110C26A" w14:textId="77777777" w:rsidR="00185AE7" w:rsidRPr="00185AE7" w:rsidRDefault="00185AE7" w:rsidP="00523EC2">
            <w:pPr>
              <w:pStyle w:val="TableBodyNA"/>
            </w:pPr>
            <w:r w:rsidRPr="00185AE7">
              <w:t>Measure:</w:t>
            </w:r>
          </w:p>
        </w:tc>
        <w:tc>
          <w:tcPr>
            <w:tcW w:w="6696" w:type="dxa"/>
          </w:tcPr>
          <w:p w14:paraId="7AFF185F" w14:textId="77777777" w:rsidR="00185AE7" w:rsidRPr="00185AE7" w:rsidRDefault="00185AE7" w:rsidP="00523EC2">
            <w:pPr>
              <w:pStyle w:val="TableBodyNA"/>
            </w:pPr>
            <w:r w:rsidRPr="00185AE7">
              <w:t>There are two measures for this indicator:</w:t>
            </w:r>
          </w:p>
          <w:p w14:paraId="4EB78507" w14:textId="77777777" w:rsidR="00185AE7" w:rsidRPr="00185AE7" w:rsidRDefault="00185AE7" w:rsidP="00523EC2">
            <w:pPr>
              <w:pStyle w:val="TableBodyNA"/>
            </w:pPr>
            <w:r w:rsidRPr="00185AE7">
              <w:t xml:space="preserve">Measure (a): the proportion of children enrolled in a preschool program in the year before full time schooling. </w:t>
            </w:r>
          </w:p>
          <w:p w14:paraId="0D285621" w14:textId="06CC905A" w:rsidR="00185AE7" w:rsidRPr="00185AE7" w:rsidRDefault="00185AE7" w:rsidP="00523EC2">
            <w:pPr>
              <w:pStyle w:val="TableBodyNA"/>
            </w:pPr>
            <w:r w:rsidRPr="00185AE7">
              <w:t>Measure (b): the proportion of children attending a preschool program in the ye</w:t>
            </w:r>
            <w:r w:rsidR="00356183">
              <w:t xml:space="preserve">ar before full time schooling. </w:t>
            </w:r>
          </w:p>
        </w:tc>
      </w:tr>
      <w:tr w:rsidR="00185AE7" w:rsidRPr="00185AE7" w14:paraId="421F6218" w14:textId="77777777" w:rsidTr="00523EC2">
        <w:trPr>
          <w:cantSplit/>
        </w:trPr>
        <w:tc>
          <w:tcPr>
            <w:tcW w:w="2093" w:type="dxa"/>
          </w:tcPr>
          <w:p w14:paraId="537191F2" w14:textId="77777777" w:rsidR="00185AE7" w:rsidRPr="00185AE7" w:rsidRDefault="00185AE7" w:rsidP="00523EC2">
            <w:pPr>
              <w:pStyle w:val="TableBodyNA"/>
            </w:pPr>
            <w:r w:rsidRPr="00185AE7">
              <w:t>Measure (10a)</w:t>
            </w:r>
          </w:p>
        </w:tc>
        <w:tc>
          <w:tcPr>
            <w:tcW w:w="6696" w:type="dxa"/>
          </w:tcPr>
          <w:p w14:paraId="46F8E341" w14:textId="77777777" w:rsidR="00185AE7" w:rsidRPr="00185AE7" w:rsidRDefault="00185AE7" w:rsidP="00523EC2">
            <w:pPr>
              <w:pStyle w:val="TableBodyNA"/>
            </w:pPr>
            <w:r w:rsidRPr="00185AE7">
              <w:t xml:space="preserve">Measure (a): the proportion of children enrolled in a preschool program in the year before full time schooling. </w:t>
            </w:r>
          </w:p>
          <w:p w14:paraId="23CC7DA8" w14:textId="77777777" w:rsidR="00185AE7" w:rsidRPr="00185AE7" w:rsidRDefault="00185AE7" w:rsidP="00523EC2">
            <w:pPr>
              <w:pStyle w:val="TableBodyNA"/>
            </w:pPr>
            <w:r w:rsidRPr="00185AE7">
              <w:t>The measure is defined as</w:t>
            </w:r>
          </w:p>
          <w:p w14:paraId="76FD6BAC" w14:textId="7ED67CE4" w:rsidR="00185AE7" w:rsidRPr="00185AE7" w:rsidRDefault="00185AE7" w:rsidP="00185AE7">
            <w:pPr>
              <w:pStyle w:val="TableBullet"/>
              <w:spacing w:line="220" w:lineRule="atLeast"/>
              <w:rPr>
                <w:szCs w:val="18"/>
              </w:rPr>
            </w:pPr>
            <w:r w:rsidRPr="00185AE7">
              <w:rPr>
                <w:i/>
                <w:szCs w:val="18"/>
              </w:rPr>
              <w:t>Numerator</w:t>
            </w:r>
            <w:r w:rsidRPr="00185AE7">
              <w:rPr>
                <w:szCs w:val="18"/>
              </w:rPr>
              <w:t xml:space="preserve"> – </w:t>
            </w:r>
            <w:r w:rsidR="00533AF5">
              <w:rPr>
                <w:szCs w:val="18"/>
              </w:rPr>
              <w:t>e</w:t>
            </w:r>
            <w:r w:rsidR="00AD2E5A">
              <w:rPr>
                <w:szCs w:val="18"/>
              </w:rPr>
              <w:t xml:space="preserve">stimated </w:t>
            </w:r>
            <w:r w:rsidRPr="00185AE7">
              <w:rPr>
                <w:szCs w:val="18"/>
              </w:rPr>
              <w:t>number of children enrolled in a preschool program in the year before full time schooling.</w:t>
            </w:r>
          </w:p>
          <w:p w14:paraId="731896EC" w14:textId="77777777" w:rsidR="00185AE7" w:rsidRPr="00185AE7" w:rsidRDefault="00185AE7" w:rsidP="00185AE7">
            <w:pPr>
              <w:pStyle w:val="TableBullet"/>
              <w:spacing w:line="220" w:lineRule="atLeast"/>
              <w:rPr>
                <w:szCs w:val="18"/>
              </w:rPr>
            </w:pPr>
            <w:r w:rsidRPr="00185AE7">
              <w:rPr>
                <w:i/>
                <w:szCs w:val="18"/>
              </w:rPr>
              <w:t>Denominator</w:t>
            </w:r>
            <w:r w:rsidRPr="00185AE7">
              <w:rPr>
                <w:szCs w:val="18"/>
              </w:rPr>
              <w:t xml:space="preserve"> – Estimated number of children in the year before full time school (based on adjusted potential population* age in months relating to school starting provisions in each state/territory).</w:t>
            </w:r>
          </w:p>
          <w:p w14:paraId="1162DC17" w14:textId="77777777" w:rsidR="00185AE7" w:rsidRPr="00185AE7" w:rsidRDefault="00185AE7" w:rsidP="00523EC2">
            <w:pPr>
              <w:pStyle w:val="TableBodyNA"/>
            </w:pPr>
            <w:r w:rsidRPr="00185AE7">
              <w:t>presented as a percentage.</w:t>
            </w:r>
          </w:p>
          <w:p w14:paraId="1D731FF7" w14:textId="77777777" w:rsidR="00185AE7" w:rsidRPr="00523EC2" w:rsidRDefault="00185AE7" w:rsidP="00523EC2">
            <w:pPr>
              <w:pStyle w:val="TableBodyNA"/>
              <w:rPr>
                <w:u w:val="single"/>
              </w:rPr>
            </w:pPr>
            <w:r w:rsidRPr="00523EC2">
              <w:rPr>
                <w:u w:val="single"/>
              </w:rPr>
              <w:t xml:space="preserve">*Potential population: </w:t>
            </w:r>
          </w:p>
          <w:p w14:paraId="649E1195" w14:textId="1E5F6592" w:rsidR="00185AE7" w:rsidRPr="00185AE7" w:rsidRDefault="00185AE7" w:rsidP="00185AE7">
            <w:pPr>
              <w:pStyle w:val="TableBullet"/>
              <w:spacing w:line="220" w:lineRule="atLeast"/>
              <w:rPr>
                <w:szCs w:val="18"/>
              </w:rPr>
            </w:pPr>
            <w:r w:rsidRPr="00185AE7">
              <w:rPr>
                <w:i/>
                <w:szCs w:val="18"/>
              </w:rPr>
              <w:t>Jurisdictions with wider age cohorts of children in the ‘year’ before full time school</w:t>
            </w:r>
            <w:r w:rsidRPr="00185AE7">
              <w:rPr>
                <w:szCs w:val="18"/>
              </w:rPr>
              <w:t xml:space="preserve"> —</w:t>
            </w:r>
            <w:r w:rsidR="001A03C8">
              <w:rPr>
                <w:szCs w:val="18"/>
              </w:rPr>
              <w:t xml:space="preserve"> </w:t>
            </w:r>
            <w:r w:rsidRPr="00185AE7">
              <w:rPr>
                <w:szCs w:val="18"/>
              </w:rPr>
              <w:t xml:space="preserve">the number of children already in full time school has been subtracted from the revised population estimates to create a cohort of children who could be in an </w:t>
            </w:r>
            <w:r w:rsidR="00AD3E06">
              <w:rPr>
                <w:szCs w:val="18"/>
              </w:rPr>
              <w:t>Early Childhood Education Program</w:t>
            </w:r>
            <w:r w:rsidR="00AD3E06" w:rsidRPr="00185AE7">
              <w:rPr>
                <w:szCs w:val="18"/>
              </w:rPr>
              <w:t xml:space="preserve"> </w:t>
            </w:r>
            <w:r w:rsidRPr="00185AE7">
              <w:rPr>
                <w:szCs w:val="18"/>
              </w:rPr>
              <w:t xml:space="preserve">prior to attending school the following year. </w:t>
            </w:r>
          </w:p>
          <w:p w14:paraId="1F156C94" w14:textId="35C83D40" w:rsidR="00185AE7" w:rsidRPr="00185AE7" w:rsidRDefault="00185AE7" w:rsidP="00185AE7">
            <w:pPr>
              <w:pStyle w:val="TableBullet"/>
              <w:spacing w:line="220" w:lineRule="atLeast"/>
              <w:rPr>
                <w:szCs w:val="18"/>
              </w:rPr>
            </w:pPr>
            <w:r w:rsidRPr="00185AE7">
              <w:rPr>
                <w:i/>
                <w:szCs w:val="18"/>
              </w:rPr>
              <w:t>Jurisdictions with early school starters</w:t>
            </w:r>
            <w:r w:rsidRPr="00185AE7">
              <w:rPr>
                <w:szCs w:val="18"/>
              </w:rPr>
              <w:t xml:space="preserve"> — counts of children aged 4 years who are enrolled in school (early starters) have been subtracted from the population denominator</w:t>
            </w:r>
          </w:p>
          <w:p w14:paraId="736D45E5" w14:textId="50B7DD4E" w:rsidR="00185AE7" w:rsidRPr="00974FB4" w:rsidRDefault="00185AE7" w:rsidP="008822BF">
            <w:pPr>
              <w:pStyle w:val="TableBullet"/>
            </w:pPr>
            <w:r w:rsidRPr="00F069CB">
              <w:rPr>
                <w:i/>
                <w:szCs w:val="18"/>
              </w:rPr>
              <w:t>Adjusted population</w:t>
            </w:r>
            <w:r w:rsidRPr="00F069CB">
              <w:rPr>
                <w:szCs w:val="18"/>
              </w:rPr>
              <w:t xml:space="preserve"> —</w:t>
            </w:r>
            <w:r w:rsidR="00DC75F1">
              <w:t xml:space="preserve"> </w:t>
            </w:r>
            <w:r w:rsidR="005031F0" w:rsidRPr="00F069CB">
              <w:t xml:space="preserve">population </w:t>
            </w:r>
            <w:r w:rsidR="00DC75F1">
              <w:t>estimates/</w:t>
            </w:r>
            <w:r w:rsidR="005031F0" w:rsidRPr="00F069CB">
              <w:t xml:space="preserve">projections (based on </w:t>
            </w:r>
            <w:r w:rsidR="00DC75F1" w:rsidRPr="00F069CB">
              <w:t>201</w:t>
            </w:r>
            <w:r w:rsidR="00DC75F1">
              <w:t>6</w:t>
            </w:r>
            <w:r w:rsidR="00DC75F1" w:rsidRPr="00F069CB">
              <w:t xml:space="preserve"> </w:t>
            </w:r>
            <w:r w:rsidR="005031F0" w:rsidRPr="00F069CB">
              <w:t>Census)</w:t>
            </w:r>
            <w:r w:rsidR="00DC75F1">
              <w:t>.</w:t>
            </w:r>
            <w:r w:rsidR="005031F0" w:rsidRPr="00F069CB">
              <w:t xml:space="preserve"> </w:t>
            </w:r>
          </w:p>
        </w:tc>
      </w:tr>
      <w:tr w:rsidR="004F04D8" w:rsidRPr="00185AE7" w14:paraId="64D3E69A" w14:textId="77777777" w:rsidTr="00523EC2">
        <w:trPr>
          <w:cantSplit/>
        </w:trPr>
        <w:tc>
          <w:tcPr>
            <w:tcW w:w="2093" w:type="dxa"/>
          </w:tcPr>
          <w:p w14:paraId="4A851411" w14:textId="7061A32B" w:rsidR="004F04D8" w:rsidRPr="00185AE7" w:rsidRDefault="004F04D8" w:rsidP="00523EC2">
            <w:pPr>
              <w:pStyle w:val="TableBodyNA"/>
            </w:pPr>
            <w:r w:rsidRPr="00185AE7">
              <w:t>Measure (10b)</w:t>
            </w:r>
          </w:p>
        </w:tc>
        <w:tc>
          <w:tcPr>
            <w:tcW w:w="6696" w:type="dxa"/>
          </w:tcPr>
          <w:p w14:paraId="010AF296" w14:textId="77777777" w:rsidR="004F04D8" w:rsidRPr="00185AE7" w:rsidRDefault="004F04D8" w:rsidP="00523EC2">
            <w:pPr>
              <w:pStyle w:val="TableBodyNA"/>
            </w:pPr>
            <w:r w:rsidRPr="00185AE7">
              <w:t xml:space="preserve">Measure (b): the proportion of children attending a preschool program in the year before full time schooling. </w:t>
            </w:r>
          </w:p>
          <w:p w14:paraId="004A255D" w14:textId="77777777" w:rsidR="004F04D8" w:rsidRPr="00185AE7" w:rsidRDefault="004F04D8" w:rsidP="00523EC2">
            <w:pPr>
              <w:pStyle w:val="TableBodyNA"/>
            </w:pPr>
            <w:r w:rsidRPr="00185AE7">
              <w:t>The measure is defined as:</w:t>
            </w:r>
          </w:p>
          <w:p w14:paraId="3788105E" w14:textId="77777777" w:rsidR="004F04D8" w:rsidRPr="00185AE7" w:rsidRDefault="004F04D8" w:rsidP="004F04D8">
            <w:pPr>
              <w:pStyle w:val="TableBullet"/>
              <w:spacing w:line="220" w:lineRule="atLeast"/>
              <w:rPr>
                <w:szCs w:val="18"/>
              </w:rPr>
            </w:pPr>
            <w:r w:rsidRPr="00185AE7">
              <w:rPr>
                <w:i/>
                <w:szCs w:val="18"/>
              </w:rPr>
              <w:t>Numerator</w:t>
            </w:r>
            <w:r w:rsidRPr="00185AE7">
              <w:rPr>
                <w:szCs w:val="18"/>
              </w:rPr>
              <w:t xml:space="preserve"> —</w:t>
            </w:r>
            <w:r>
              <w:rPr>
                <w:szCs w:val="18"/>
              </w:rPr>
              <w:t xml:space="preserve"> the</w:t>
            </w:r>
            <w:r w:rsidRPr="00185AE7">
              <w:rPr>
                <w:szCs w:val="18"/>
              </w:rPr>
              <w:t xml:space="preserve"> number of children attending a preschool program (for at least one hour in the reference week) in the year before full time schooling.</w:t>
            </w:r>
          </w:p>
          <w:p w14:paraId="79E8A6BC" w14:textId="77777777" w:rsidR="004F04D8" w:rsidRPr="00185AE7" w:rsidRDefault="004F04D8" w:rsidP="004F04D8">
            <w:pPr>
              <w:pStyle w:val="TableBullet"/>
              <w:spacing w:line="220" w:lineRule="atLeast"/>
              <w:rPr>
                <w:szCs w:val="18"/>
              </w:rPr>
            </w:pPr>
            <w:r w:rsidRPr="00185AE7">
              <w:rPr>
                <w:i/>
                <w:szCs w:val="18"/>
              </w:rPr>
              <w:t>Denominator</w:t>
            </w:r>
            <w:r w:rsidRPr="00185AE7">
              <w:rPr>
                <w:szCs w:val="18"/>
              </w:rPr>
              <w:t xml:space="preserve"> —</w:t>
            </w:r>
            <w:r>
              <w:rPr>
                <w:szCs w:val="18"/>
              </w:rPr>
              <w:t xml:space="preserve"> estimated</w:t>
            </w:r>
            <w:r w:rsidRPr="00185AE7">
              <w:rPr>
                <w:szCs w:val="18"/>
              </w:rPr>
              <w:t xml:space="preserve"> number of children enrolled in a preschool program in the year before full time schooling</w:t>
            </w:r>
          </w:p>
          <w:p w14:paraId="6E5F9B40" w14:textId="6D51788C" w:rsidR="004F04D8" w:rsidRPr="00185AE7" w:rsidRDefault="004F04D8" w:rsidP="00523EC2">
            <w:pPr>
              <w:pStyle w:val="TableBodyNA"/>
            </w:pPr>
            <w:r w:rsidRPr="00185AE7">
              <w:t>presented as a percentage.</w:t>
            </w:r>
          </w:p>
        </w:tc>
      </w:tr>
      <w:tr w:rsidR="00185AE7" w:rsidRPr="00185AE7" w14:paraId="14000515" w14:textId="77777777" w:rsidTr="00523EC2">
        <w:trPr>
          <w:cantSplit/>
        </w:trPr>
        <w:tc>
          <w:tcPr>
            <w:tcW w:w="2093" w:type="dxa"/>
          </w:tcPr>
          <w:p w14:paraId="6BEEEDB6" w14:textId="210C0838" w:rsidR="00185AE7" w:rsidRPr="00185AE7" w:rsidRDefault="00185AE7" w:rsidP="00523EC2">
            <w:pPr>
              <w:pStyle w:val="TableBodyNA"/>
            </w:pPr>
            <w:r w:rsidRPr="00185AE7">
              <w:t>Data source (10a):</w:t>
            </w:r>
          </w:p>
        </w:tc>
        <w:tc>
          <w:tcPr>
            <w:tcW w:w="6696" w:type="dxa"/>
          </w:tcPr>
          <w:p w14:paraId="48224EAF" w14:textId="77777777" w:rsidR="00185AE7" w:rsidRPr="00185AE7" w:rsidRDefault="00185AE7" w:rsidP="00523EC2">
            <w:pPr>
              <w:pStyle w:val="TableBodyNA"/>
            </w:pPr>
            <w:r w:rsidRPr="00185AE7">
              <w:rPr>
                <w:i/>
              </w:rPr>
              <w:t xml:space="preserve">Numerator </w:t>
            </w:r>
            <w:r w:rsidRPr="00185AE7">
              <w:t>— ABS National Early Childhood Education and Care Collection (NECECC)</w:t>
            </w:r>
          </w:p>
          <w:p w14:paraId="7051FA66" w14:textId="2EC1B4DD" w:rsidR="00185AE7" w:rsidRPr="00185AE7" w:rsidRDefault="00185AE7" w:rsidP="00FA5150">
            <w:pPr>
              <w:pStyle w:val="TableBodyNA"/>
            </w:pPr>
            <w:r w:rsidRPr="00185AE7">
              <w:rPr>
                <w:i/>
              </w:rPr>
              <w:t>Denominator</w:t>
            </w:r>
            <w:r w:rsidRPr="00185AE7">
              <w:t xml:space="preserve"> — </w:t>
            </w:r>
            <w:r w:rsidR="00DC75F1" w:rsidRPr="00DC75F1">
              <w:t xml:space="preserve">ABS </w:t>
            </w:r>
            <w:r w:rsidR="00DC75F1" w:rsidRPr="00DC75F1">
              <w:rPr>
                <w:u w:val="single"/>
              </w:rPr>
              <w:t>Estimated Resident Population</w:t>
            </w:r>
            <w:r w:rsidR="00DC75F1" w:rsidRPr="00DC75F1">
              <w:t xml:space="preserve"> (ERP) for total population </w:t>
            </w:r>
            <w:r w:rsidR="00DD57F7">
              <w:t xml:space="preserve">and </w:t>
            </w:r>
            <w:r w:rsidR="00DC75F1" w:rsidRPr="00DC75F1">
              <w:t xml:space="preserve">ABS </w:t>
            </w:r>
            <w:r w:rsidR="00DC75F1" w:rsidRPr="00DC75F1">
              <w:rPr>
                <w:u w:val="single"/>
              </w:rPr>
              <w:t>Estimates and Projections</w:t>
            </w:r>
            <w:r w:rsidR="00DC75F1" w:rsidRPr="00DC75F1">
              <w:t xml:space="preserve"> for Aboriginal and Torres Strait Islander population. Non</w:t>
            </w:r>
            <w:r w:rsidR="00FA5150">
              <w:noBreakHyphen/>
            </w:r>
            <w:r w:rsidR="00DC75F1" w:rsidRPr="00DC75F1">
              <w:t xml:space="preserve">Indigenous population estimates are calculated by subtracting the Aboriginal and Torres Strait Islander population estimates/projections </w:t>
            </w:r>
            <w:r w:rsidR="00DD57F7">
              <w:t xml:space="preserve">based on the 2016 Census </w:t>
            </w:r>
            <w:r w:rsidR="00DC75F1" w:rsidRPr="00DC75F1">
              <w:t xml:space="preserve">from the total population estimates. </w:t>
            </w:r>
            <w:r w:rsidRPr="00185AE7">
              <w:t xml:space="preserve">Denominator includes deductions for children in the target age ranges who are enrolled in school from ABS </w:t>
            </w:r>
            <w:r w:rsidRPr="008822BF">
              <w:rPr>
                <w:u w:val="single"/>
              </w:rPr>
              <w:t>Schools, Au</w:t>
            </w:r>
            <w:r w:rsidR="00356183" w:rsidRPr="008822BF">
              <w:rPr>
                <w:u w:val="single"/>
              </w:rPr>
              <w:t>stralia</w:t>
            </w:r>
            <w:r w:rsidR="004407E5" w:rsidRPr="008822BF">
              <w:rPr>
                <w:u w:val="single"/>
              </w:rPr>
              <w:t>.</w:t>
            </w:r>
          </w:p>
        </w:tc>
      </w:tr>
      <w:tr w:rsidR="00185AE7" w:rsidRPr="00185AE7" w14:paraId="11F56890" w14:textId="77777777" w:rsidTr="00523EC2">
        <w:trPr>
          <w:cantSplit/>
        </w:trPr>
        <w:tc>
          <w:tcPr>
            <w:tcW w:w="2093" w:type="dxa"/>
          </w:tcPr>
          <w:p w14:paraId="5FCFAB01" w14:textId="6097224F" w:rsidR="00185AE7" w:rsidRPr="00185AE7" w:rsidRDefault="00356183" w:rsidP="00523EC2">
            <w:pPr>
              <w:pStyle w:val="TableBodyNA"/>
            </w:pPr>
            <w:r>
              <w:t>Data source (10b)</w:t>
            </w:r>
            <w:r w:rsidR="00185AE7" w:rsidRPr="00185AE7">
              <w:t>:</w:t>
            </w:r>
          </w:p>
        </w:tc>
        <w:tc>
          <w:tcPr>
            <w:tcW w:w="6696" w:type="dxa"/>
          </w:tcPr>
          <w:p w14:paraId="7CE901C2" w14:textId="698A959B" w:rsidR="00185AE7" w:rsidRPr="00185AE7" w:rsidRDefault="00185AE7" w:rsidP="00523EC2">
            <w:pPr>
              <w:pStyle w:val="TableBodyNA"/>
            </w:pPr>
            <w:r w:rsidRPr="00185AE7">
              <w:rPr>
                <w:i/>
              </w:rPr>
              <w:t xml:space="preserve">Numerator and denominator </w:t>
            </w:r>
            <w:r w:rsidRPr="00185AE7">
              <w:t>— ABS NECECC</w:t>
            </w:r>
          </w:p>
        </w:tc>
      </w:tr>
      <w:tr w:rsidR="00185AE7" w:rsidRPr="00185AE7" w14:paraId="30B391C6" w14:textId="77777777" w:rsidTr="00523EC2">
        <w:trPr>
          <w:cantSplit/>
        </w:trPr>
        <w:tc>
          <w:tcPr>
            <w:tcW w:w="2093" w:type="dxa"/>
          </w:tcPr>
          <w:p w14:paraId="0EB9242C" w14:textId="70B75807" w:rsidR="00185AE7" w:rsidRPr="00185AE7" w:rsidRDefault="00185AE7" w:rsidP="00523EC2">
            <w:pPr>
              <w:pStyle w:val="TableBodyNA"/>
            </w:pPr>
            <w:r w:rsidRPr="00185AE7">
              <w:t>Data provider</w:t>
            </w:r>
            <w:r w:rsidR="00C82CBF">
              <w:t>:</w:t>
            </w:r>
            <w:r w:rsidRPr="00185AE7">
              <w:t xml:space="preserve"> </w:t>
            </w:r>
          </w:p>
        </w:tc>
        <w:tc>
          <w:tcPr>
            <w:tcW w:w="6696" w:type="dxa"/>
          </w:tcPr>
          <w:p w14:paraId="6A5096BC" w14:textId="7ABEC2EF" w:rsidR="00185AE7" w:rsidRPr="00185AE7" w:rsidRDefault="00356183" w:rsidP="00523EC2">
            <w:pPr>
              <w:pStyle w:val="TableBodyNA"/>
            </w:pPr>
            <w:r>
              <w:t>ABS</w:t>
            </w:r>
          </w:p>
        </w:tc>
      </w:tr>
      <w:tr w:rsidR="00185AE7" w:rsidRPr="00185AE7" w14:paraId="56F34BFA" w14:textId="77777777" w:rsidTr="00523EC2">
        <w:trPr>
          <w:cantSplit/>
        </w:trPr>
        <w:tc>
          <w:tcPr>
            <w:tcW w:w="2093" w:type="dxa"/>
            <w:shd w:val="clear" w:color="auto" w:fill="auto"/>
          </w:tcPr>
          <w:p w14:paraId="73EC2CD9" w14:textId="44B90532" w:rsidR="00185AE7" w:rsidRPr="00185AE7" w:rsidRDefault="00185AE7" w:rsidP="00523EC2">
            <w:pPr>
              <w:pStyle w:val="TableBodyNA"/>
            </w:pPr>
            <w:r w:rsidRPr="00185AE7">
              <w:lastRenderedPageBreak/>
              <w:t>Data availability</w:t>
            </w:r>
            <w:r w:rsidR="00C82CBF">
              <w:t>:</w:t>
            </w:r>
          </w:p>
        </w:tc>
        <w:tc>
          <w:tcPr>
            <w:tcW w:w="6696" w:type="dxa"/>
            <w:shd w:val="clear" w:color="auto" w:fill="auto"/>
          </w:tcPr>
          <w:p w14:paraId="010B861E" w14:textId="4BEB7377" w:rsidR="0016023F" w:rsidRDefault="001C6327" w:rsidP="00523EC2">
            <w:pPr>
              <w:pStyle w:val="TableBodyNA"/>
            </w:pPr>
            <w:r w:rsidRPr="00185AE7">
              <w:t>201</w:t>
            </w:r>
            <w:r>
              <w:t>8</w:t>
            </w:r>
            <w:r w:rsidRPr="00185AE7">
              <w:t xml:space="preserve"> </w:t>
            </w:r>
            <w:r w:rsidR="00185AE7" w:rsidRPr="00185AE7">
              <w:t>NECECC</w:t>
            </w:r>
          </w:p>
          <w:p w14:paraId="625AF845" w14:textId="12A2E697" w:rsidR="00185AE7" w:rsidRPr="00185AE7" w:rsidRDefault="001C6327" w:rsidP="00214DFB">
            <w:pPr>
              <w:pStyle w:val="TableBodyNA"/>
            </w:pPr>
            <w:r>
              <w:t>30</w:t>
            </w:r>
            <w:r w:rsidR="00F34E12">
              <w:t> </w:t>
            </w:r>
            <w:r>
              <w:t>June 2018 (revised 2015 to 2017) (based on 2016 Census) — Population</w:t>
            </w:r>
          </w:p>
        </w:tc>
      </w:tr>
      <w:tr w:rsidR="00185AE7" w:rsidRPr="00185AE7" w14:paraId="1853C073" w14:textId="77777777" w:rsidTr="00523EC2">
        <w:trPr>
          <w:cantSplit/>
        </w:trPr>
        <w:tc>
          <w:tcPr>
            <w:tcW w:w="2093" w:type="dxa"/>
            <w:shd w:val="clear" w:color="auto" w:fill="auto"/>
          </w:tcPr>
          <w:p w14:paraId="4EB698A6" w14:textId="0909245C" w:rsidR="00185AE7" w:rsidRPr="00185AE7" w:rsidRDefault="00185AE7" w:rsidP="00523EC2">
            <w:pPr>
              <w:pStyle w:val="TableBodyNA"/>
            </w:pPr>
            <w:r w:rsidRPr="00185AE7">
              <w:t>Cross tabulations provided 10a</w:t>
            </w:r>
            <w:r w:rsidR="00C82CBF">
              <w:t>:</w:t>
            </w:r>
          </w:p>
        </w:tc>
        <w:tc>
          <w:tcPr>
            <w:tcW w:w="6696" w:type="dxa"/>
            <w:shd w:val="clear" w:color="auto" w:fill="auto"/>
          </w:tcPr>
          <w:p w14:paraId="4E0B088C" w14:textId="59AF425A" w:rsidR="00185AE7" w:rsidRPr="00185AE7" w:rsidRDefault="00185AE7" w:rsidP="00214DFB">
            <w:pPr>
              <w:pStyle w:val="TableBodyNA"/>
              <w:rPr>
                <w:szCs w:val="18"/>
              </w:rPr>
            </w:pPr>
            <w:r w:rsidRPr="00185AE7">
              <w:rPr>
                <w:szCs w:val="18"/>
              </w:rPr>
              <w:t>State and Territory by Indigenous status</w:t>
            </w:r>
          </w:p>
        </w:tc>
      </w:tr>
      <w:tr w:rsidR="00185AE7" w:rsidRPr="00185AE7" w14:paraId="3A182C0B" w14:textId="77777777" w:rsidTr="00523EC2">
        <w:trPr>
          <w:cantSplit/>
        </w:trPr>
        <w:tc>
          <w:tcPr>
            <w:tcW w:w="2093" w:type="dxa"/>
            <w:shd w:val="clear" w:color="auto" w:fill="auto"/>
          </w:tcPr>
          <w:p w14:paraId="600AAA3B" w14:textId="3EC4A50E" w:rsidR="00185AE7" w:rsidRPr="00185AE7" w:rsidRDefault="00185AE7" w:rsidP="00523EC2">
            <w:pPr>
              <w:pStyle w:val="TableBodyNA"/>
            </w:pPr>
            <w:r w:rsidRPr="00185AE7">
              <w:t>Cross tabulations provided 10b</w:t>
            </w:r>
            <w:r w:rsidR="00C82CBF">
              <w:t>:</w:t>
            </w:r>
            <w:r w:rsidRPr="00185AE7">
              <w:t xml:space="preserve"> </w:t>
            </w:r>
          </w:p>
        </w:tc>
        <w:tc>
          <w:tcPr>
            <w:tcW w:w="6696" w:type="dxa"/>
            <w:shd w:val="clear" w:color="auto" w:fill="auto"/>
          </w:tcPr>
          <w:p w14:paraId="14318AF4" w14:textId="33915987" w:rsidR="00185AE7" w:rsidRPr="00185AE7" w:rsidRDefault="00185AE7" w:rsidP="00523EC2">
            <w:pPr>
              <w:pStyle w:val="TableBodyNA"/>
              <w:rPr>
                <w:szCs w:val="18"/>
              </w:rPr>
            </w:pPr>
            <w:r w:rsidRPr="00185AE7">
              <w:rPr>
                <w:szCs w:val="18"/>
              </w:rPr>
              <w:t>State and Territory by Indigenous status</w:t>
            </w:r>
          </w:p>
          <w:p w14:paraId="30E77249" w14:textId="0F9A9053" w:rsidR="00185AE7" w:rsidRPr="00356183" w:rsidRDefault="00185AE7" w:rsidP="004E7A5A">
            <w:pPr>
              <w:pStyle w:val="TableBodyNA"/>
              <w:rPr>
                <w:i/>
                <w:szCs w:val="18"/>
              </w:rPr>
            </w:pPr>
            <w:r w:rsidRPr="00185AE7">
              <w:rPr>
                <w:szCs w:val="18"/>
              </w:rPr>
              <w:t>Nationally by remoteness</w:t>
            </w:r>
            <w:r w:rsidR="00F26DCF">
              <w:rPr>
                <w:szCs w:val="18"/>
              </w:rPr>
              <w:t xml:space="preserve"> (</w:t>
            </w:r>
            <w:r w:rsidR="004407E5">
              <w:rPr>
                <w:szCs w:val="18"/>
              </w:rPr>
              <w:t xml:space="preserve">2016 </w:t>
            </w:r>
            <w:r w:rsidR="00F26DCF">
              <w:rPr>
                <w:szCs w:val="18"/>
              </w:rPr>
              <w:t>ASGS)</w:t>
            </w:r>
            <w:r w:rsidR="00725461">
              <w:rPr>
                <w:szCs w:val="18"/>
              </w:rPr>
              <w:t>, by Indigenous status</w:t>
            </w:r>
          </w:p>
        </w:tc>
      </w:tr>
    </w:tbl>
    <w:p w14:paraId="7A68FB8F" w14:textId="59DD3FE1" w:rsidR="00185AE7" w:rsidRPr="00523EC2" w:rsidRDefault="00185AE7" w:rsidP="00523EC2">
      <w:pPr>
        <w:pStyle w:val="TableBodyNA"/>
        <w:spacing w:before="200"/>
        <w:rPr>
          <w:sz w:val="20"/>
          <w:u w:val="single"/>
        </w:rPr>
      </w:pPr>
      <w:r w:rsidRPr="00523EC2">
        <w:rPr>
          <w:sz w:val="20"/>
          <w:u w:val="single"/>
        </w:rPr>
        <w:t>Additional note:</w:t>
      </w:r>
    </w:p>
    <w:p w14:paraId="28879416" w14:textId="77777777" w:rsidR="00185AE7" w:rsidRDefault="00185AE7" w:rsidP="00523EC2">
      <w:pPr>
        <w:pStyle w:val="TableBodyNA"/>
      </w:pPr>
      <w:r>
        <w:t>Collection of data involves alignment of the numerator and denominator by:</w:t>
      </w:r>
    </w:p>
    <w:p w14:paraId="7448E27C" w14:textId="17E879D3" w:rsidR="00185AE7" w:rsidRDefault="00185AE7" w:rsidP="007F3549">
      <w:pPr>
        <w:pStyle w:val="TableBullet"/>
        <w:spacing w:line="220" w:lineRule="atLeast"/>
      </w:pPr>
      <w:r>
        <w:t xml:space="preserve">for </w:t>
      </w:r>
      <w:r w:rsidRPr="00221F4B">
        <w:rPr>
          <w:u w:val="single"/>
        </w:rPr>
        <w:t>attendance and enrolment</w:t>
      </w:r>
      <w:r>
        <w:t xml:space="preserve"> place of residence – child is counted where they reside, not by where the provider is located</w:t>
      </w:r>
    </w:p>
    <w:p w14:paraId="2484A1B7" w14:textId="3BDE0158" w:rsidR="00185AE7" w:rsidRPr="00185AE7" w:rsidRDefault="00185AE7" w:rsidP="007F3549">
      <w:pPr>
        <w:pStyle w:val="TableBullet"/>
      </w:pPr>
      <w:r>
        <w:t xml:space="preserve">for </w:t>
      </w:r>
      <w:r w:rsidRPr="002652F4">
        <w:rPr>
          <w:u w:val="single"/>
        </w:rPr>
        <w:t>enrolment only</w:t>
      </w:r>
      <w:r>
        <w:t xml:space="preserve"> treatment of not stated Indigenous status – Indigenous count includes addition of a share of children enrolled with a not stated Indigenous status in proportion to the ratio of children enrolled with known Indigenous status. (For attendance not stated Indigenous status is excluded from the numerator)</w:t>
      </w:r>
      <w:r w:rsidR="001622C8">
        <w:t>.</w:t>
      </w:r>
    </w:p>
    <w:p w14:paraId="100C6D4D" w14:textId="77777777" w:rsidR="003C412A" w:rsidRDefault="003C412A">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C454A6" w14:paraId="790FE238" w14:textId="77777777" w:rsidTr="004F04D8">
        <w:tc>
          <w:tcPr>
            <w:tcW w:w="8789" w:type="dxa"/>
            <w:tcBorders>
              <w:top w:val="single" w:sz="6" w:space="0" w:color="78A22F"/>
              <w:left w:val="nil"/>
              <w:bottom w:val="nil"/>
              <w:right w:val="nil"/>
            </w:tcBorders>
            <w:shd w:val="clear" w:color="auto" w:fill="F2F2F2"/>
          </w:tcPr>
          <w:p w14:paraId="6CA10A2A" w14:textId="379F6E9C" w:rsidR="00C454A6" w:rsidRDefault="00C454A6" w:rsidP="00A2492B">
            <w:pPr>
              <w:pStyle w:val="BoxTitle"/>
            </w:pPr>
            <w:r>
              <w:rPr>
                <w:b w:val="0"/>
              </w:rPr>
              <w:t xml:space="preserve">Box </w:t>
            </w:r>
            <w:r w:rsidR="008E712F">
              <w:rPr>
                <w:b w:val="0"/>
              </w:rPr>
              <w:t>3</w:t>
            </w:r>
            <w:r w:rsidR="00A2492B">
              <w:rPr>
                <w:b w:val="0"/>
              </w:rPr>
              <w:t>2</w:t>
            </w:r>
            <w:r>
              <w:tab/>
              <w:t>Results</w:t>
            </w:r>
          </w:p>
        </w:tc>
      </w:tr>
      <w:tr w:rsidR="00C454A6" w:rsidRPr="003C412A" w14:paraId="0170F0DF" w14:textId="77777777" w:rsidTr="004F04D8">
        <w:trPr>
          <w:cantSplit/>
        </w:trPr>
        <w:tc>
          <w:tcPr>
            <w:tcW w:w="8789" w:type="dxa"/>
            <w:tcBorders>
              <w:top w:val="nil"/>
              <w:left w:val="nil"/>
              <w:bottom w:val="nil"/>
              <w:right w:val="nil"/>
            </w:tcBorders>
            <w:shd w:val="clear" w:color="auto" w:fill="F2F2F2"/>
          </w:tcPr>
          <w:p w14:paraId="57AE9331" w14:textId="7A6321D2" w:rsidR="00C454A6" w:rsidRDefault="00185AE7" w:rsidP="00217FEB">
            <w:pPr>
              <w:pStyle w:val="Box"/>
            </w:pPr>
            <w:r>
              <w:t xml:space="preserve">For this report, new data for this indicator are available for </w:t>
            </w:r>
            <w:r w:rsidR="00DA2AF1">
              <w:t>2018</w:t>
            </w:r>
            <w:r w:rsidR="00214DFB">
              <w:t>,</w:t>
            </w:r>
            <w:r w:rsidR="00DA2AF1">
              <w:t xml:space="preserve"> and revised data are available for 2015 to 2017</w:t>
            </w:r>
            <w:r w:rsidR="00214DFB">
              <w:t xml:space="preserve"> for the measure on enrolment rates</w:t>
            </w:r>
            <w:r>
              <w:t xml:space="preserve">. </w:t>
            </w:r>
          </w:p>
          <w:p w14:paraId="5C504F99" w14:textId="325A77A5" w:rsidR="00185AE7" w:rsidRDefault="00185AE7" w:rsidP="00217FEB">
            <w:pPr>
              <w:pStyle w:val="BoxListBullet"/>
            </w:pPr>
            <w:r>
              <w:t xml:space="preserve">Data for children </w:t>
            </w:r>
            <w:r w:rsidR="003D0190">
              <w:t xml:space="preserve">enrolled </w:t>
            </w:r>
            <w:r>
              <w:t xml:space="preserve">in a preschool program in the year before full time schooling, </w:t>
            </w:r>
            <w:r w:rsidR="00EB514C">
              <w:t xml:space="preserve">by State and Territory, </w:t>
            </w:r>
            <w:r>
              <w:t xml:space="preserve">by Indigenous status </w:t>
            </w:r>
            <w:r w:rsidR="00DA2AF1">
              <w:t xml:space="preserve">for 2018 </w:t>
            </w:r>
            <w:r>
              <w:t>are presented in table NIRA.10.1.</w:t>
            </w:r>
            <w:r w:rsidR="00DA2AF1">
              <w:t xml:space="preserve"> </w:t>
            </w:r>
            <w:r w:rsidR="00A2492B" w:rsidRPr="00971B30">
              <w:t>Revised rates f</w:t>
            </w:r>
            <w:r w:rsidR="00A2492B">
              <w:t xml:space="preserve">rom 2015 to 2017 </w:t>
            </w:r>
            <w:r w:rsidR="00A2492B" w:rsidRPr="00971B30">
              <w:t xml:space="preserve">are provided to maintain a time series, presented in </w:t>
            </w:r>
            <w:r w:rsidR="00423D10">
              <w:br/>
            </w:r>
            <w:r w:rsidR="00A2492B" w:rsidRPr="00971B30">
              <w:t>tables NIRA.</w:t>
            </w:r>
            <w:r w:rsidR="00A2492B">
              <w:t>10.4</w:t>
            </w:r>
            <w:r w:rsidR="00A2492B" w:rsidRPr="00971B30">
              <w:t>–</w:t>
            </w:r>
            <w:r w:rsidR="00A2492B">
              <w:t>10.6</w:t>
            </w:r>
            <w:r w:rsidR="00A2492B" w:rsidRPr="00971B30">
              <w:t xml:space="preserve">. </w:t>
            </w:r>
            <w:r w:rsidR="00383463" w:rsidRPr="00680847">
              <w:t>The attachment table</w:t>
            </w:r>
            <w:r w:rsidR="00383463">
              <w:t>s</w:t>
            </w:r>
            <w:r w:rsidR="00383463" w:rsidRPr="00680847">
              <w:t xml:space="preserve"> provides a complete </w:t>
            </w:r>
            <w:r w:rsidR="00383463">
              <w:t>time series for this measure.</w:t>
            </w:r>
          </w:p>
          <w:p w14:paraId="4B9AD258" w14:textId="491C2AA2" w:rsidR="00185AE7" w:rsidRDefault="00185AE7" w:rsidP="00217FEB">
            <w:pPr>
              <w:pStyle w:val="BoxListBullet"/>
            </w:pPr>
            <w:r>
              <w:t xml:space="preserve">Data for children attending a preschool program in the year before full time schooling, by </w:t>
            </w:r>
            <w:r w:rsidR="00EB514C">
              <w:t xml:space="preserve">State and Territory, by </w:t>
            </w:r>
            <w:r>
              <w:t>Indigenous sta</w:t>
            </w:r>
            <w:r w:rsidR="00EB514C">
              <w:t>tus are presented in table NIRA.</w:t>
            </w:r>
            <w:r>
              <w:t>10.2.</w:t>
            </w:r>
          </w:p>
          <w:p w14:paraId="3149FED4" w14:textId="5007165B" w:rsidR="00185AE7" w:rsidRDefault="00EB514C">
            <w:pPr>
              <w:pStyle w:val="BoxListBullet"/>
            </w:pPr>
            <w:r>
              <w:t>Data for children attending a preschool program in the year before full time schooling, by Indigenous status, by remoteness are presented in table NIRA.10.3.</w:t>
            </w:r>
          </w:p>
          <w:p w14:paraId="71666D03" w14:textId="3A8A9371" w:rsidR="0003738F" w:rsidRPr="003C412A" w:rsidRDefault="00082DB4" w:rsidP="008822BF">
            <w:pPr>
              <w:pStyle w:val="Box"/>
            </w:pPr>
            <w:r>
              <w:t>D</w:t>
            </w:r>
            <w:r w:rsidR="002E75A0" w:rsidRPr="0003738F">
              <w:t xml:space="preserve">ata </w:t>
            </w:r>
            <w:r w:rsidR="00383463">
              <w:t>on</w:t>
            </w:r>
            <w:r w:rsidR="00383463" w:rsidRPr="00185AE7">
              <w:t xml:space="preserve"> the proportion of children attending a preschool program in the year before full time schooling</w:t>
            </w:r>
            <w:r w:rsidR="00383463" w:rsidRPr="0003738F">
              <w:t xml:space="preserve"> </w:t>
            </w:r>
            <w:r w:rsidR="00383463">
              <w:t xml:space="preserve">are available </w:t>
            </w:r>
            <w:r w:rsidR="002E75A0" w:rsidRPr="0003738F">
              <w:t>for</w:t>
            </w:r>
            <w:r w:rsidR="00383463">
              <w:t>: 2017 in the 2017</w:t>
            </w:r>
            <w:r w:rsidR="00FA5150">
              <w:noBreakHyphen/>
            </w:r>
            <w:r w:rsidR="00383463">
              <w:t>18 NIRA performance report;</w:t>
            </w:r>
            <w:r w:rsidR="002E75A0" w:rsidRPr="0003738F">
              <w:t xml:space="preserve"> 201</w:t>
            </w:r>
            <w:r w:rsidR="002E75A0">
              <w:t>6</w:t>
            </w:r>
            <w:r w:rsidR="002E75A0" w:rsidRPr="0003738F">
              <w:t xml:space="preserve"> in the 201</w:t>
            </w:r>
            <w:r w:rsidR="002E75A0">
              <w:t>6</w:t>
            </w:r>
            <w:r w:rsidR="00FA5150">
              <w:noBreakHyphen/>
            </w:r>
            <w:r w:rsidR="002E75A0" w:rsidRPr="0003738F">
              <w:t>1</w:t>
            </w:r>
            <w:r w:rsidR="002E75A0">
              <w:t>7</w:t>
            </w:r>
            <w:r w:rsidR="002E75A0" w:rsidRPr="0003738F">
              <w:t xml:space="preserve"> NIRA performance report</w:t>
            </w:r>
            <w:r w:rsidR="00383463">
              <w:t>;</w:t>
            </w:r>
            <w:r>
              <w:t xml:space="preserve"> </w:t>
            </w:r>
            <w:r w:rsidR="0003738F" w:rsidRPr="0003738F">
              <w:t>2015 in the 2015</w:t>
            </w:r>
            <w:r w:rsidR="00FA5150">
              <w:noBreakHyphen/>
            </w:r>
            <w:r w:rsidR="0003738F" w:rsidRPr="0003738F">
              <w:t>16 NIRA performance report.</w:t>
            </w:r>
          </w:p>
        </w:tc>
      </w:tr>
      <w:tr w:rsidR="00C454A6" w14:paraId="67F70EA6" w14:textId="77777777" w:rsidTr="004F04D8">
        <w:trPr>
          <w:cantSplit/>
        </w:trPr>
        <w:tc>
          <w:tcPr>
            <w:tcW w:w="8789" w:type="dxa"/>
            <w:tcBorders>
              <w:top w:val="nil"/>
              <w:left w:val="nil"/>
              <w:bottom w:val="single" w:sz="6" w:space="0" w:color="78A22F"/>
              <w:right w:val="nil"/>
            </w:tcBorders>
            <w:shd w:val="clear" w:color="auto" w:fill="F2F2F2"/>
          </w:tcPr>
          <w:p w14:paraId="64D55A53" w14:textId="77777777" w:rsidR="00C454A6" w:rsidRDefault="00C454A6" w:rsidP="00C454A6">
            <w:pPr>
              <w:pStyle w:val="Box"/>
              <w:spacing w:before="0" w:line="120" w:lineRule="exact"/>
            </w:pPr>
          </w:p>
        </w:tc>
      </w:tr>
      <w:tr w:rsidR="00C454A6" w:rsidRPr="000863A5" w14:paraId="0B81B84C" w14:textId="77777777" w:rsidTr="004F04D8">
        <w:tc>
          <w:tcPr>
            <w:tcW w:w="8789" w:type="dxa"/>
            <w:tcBorders>
              <w:top w:val="single" w:sz="6" w:space="0" w:color="78A22F"/>
              <w:left w:val="nil"/>
              <w:bottom w:val="nil"/>
              <w:right w:val="nil"/>
            </w:tcBorders>
          </w:tcPr>
          <w:p w14:paraId="0BF9DC36" w14:textId="77777777" w:rsidR="00C454A6" w:rsidRPr="00626D32" w:rsidRDefault="00C454A6" w:rsidP="00C454A6">
            <w:pPr>
              <w:pStyle w:val="BoxSpaceBelow"/>
            </w:pPr>
          </w:p>
        </w:tc>
      </w:tr>
    </w:tbl>
    <w:p w14:paraId="07AD1942" w14:textId="77777777" w:rsidR="003C412A" w:rsidRDefault="003C412A">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3C412A" w14:paraId="44406527" w14:textId="77777777" w:rsidTr="004F04D8">
        <w:tc>
          <w:tcPr>
            <w:tcW w:w="8789" w:type="dxa"/>
            <w:tcBorders>
              <w:top w:val="single" w:sz="6" w:space="0" w:color="78A22F"/>
              <w:left w:val="nil"/>
              <w:bottom w:val="nil"/>
              <w:right w:val="nil"/>
            </w:tcBorders>
            <w:shd w:val="clear" w:color="auto" w:fill="F2F2F2"/>
          </w:tcPr>
          <w:p w14:paraId="16AEA018" w14:textId="7CE79948" w:rsidR="003C412A" w:rsidRDefault="003C412A" w:rsidP="00A4563D">
            <w:pPr>
              <w:pStyle w:val="BoxTitle"/>
            </w:pPr>
            <w:r>
              <w:rPr>
                <w:b w:val="0"/>
              </w:rPr>
              <w:t>Box</w:t>
            </w:r>
            <w:r w:rsidR="00B1719E">
              <w:rPr>
                <w:b w:val="0"/>
              </w:rPr>
              <w:t xml:space="preserve"> </w:t>
            </w:r>
            <w:r w:rsidR="008E712F">
              <w:rPr>
                <w:b w:val="0"/>
              </w:rPr>
              <w:t>3</w:t>
            </w:r>
            <w:r w:rsidR="00A4563D">
              <w:rPr>
                <w:b w:val="0"/>
              </w:rPr>
              <w:t>3</w:t>
            </w:r>
            <w:r>
              <w:tab/>
            </w:r>
            <w:r w:rsidRPr="00CA0D19">
              <w:t>Comment on data quality</w:t>
            </w:r>
            <w:r w:rsidR="00BF443C">
              <w:t xml:space="preserve"> </w:t>
            </w:r>
          </w:p>
        </w:tc>
      </w:tr>
      <w:tr w:rsidR="003C412A" w:rsidRPr="003C412A" w14:paraId="31BD8869" w14:textId="77777777" w:rsidTr="004F04D8">
        <w:trPr>
          <w:cantSplit/>
        </w:trPr>
        <w:tc>
          <w:tcPr>
            <w:tcW w:w="8789" w:type="dxa"/>
            <w:tcBorders>
              <w:top w:val="nil"/>
              <w:left w:val="nil"/>
              <w:bottom w:val="nil"/>
              <w:right w:val="nil"/>
            </w:tcBorders>
            <w:shd w:val="clear" w:color="auto" w:fill="F2F2F2"/>
          </w:tcPr>
          <w:p w14:paraId="6C7587AB" w14:textId="1507B7C2" w:rsidR="00493383" w:rsidRDefault="0003196B" w:rsidP="00AD2E5A">
            <w:pPr>
              <w:pStyle w:val="Box"/>
            </w:pPr>
            <w:r>
              <w:t xml:space="preserve">Key points on data quality for this indicator are summarised below. </w:t>
            </w:r>
          </w:p>
          <w:p w14:paraId="2A669AD8" w14:textId="5FE29D26" w:rsidR="0003196B" w:rsidRDefault="0003196B" w:rsidP="00166AA1">
            <w:pPr>
              <w:pStyle w:val="BoxListBullet"/>
            </w:pPr>
            <w:r>
              <w:t xml:space="preserve">Data provide relevant information on the proportion of </w:t>
            </w:r>
            <w:r w:rsidR="005A3036">
              <w:t>Aboriginal and Torres Strait Islander</w:t>
            </w:r>
            <w:r>
              <w:t xml:space="preserve"> children enrolled in, and attending</w:t>
            </w:r>
            <w:r w:rsidR="00725461">
              <w:t>,</w:t>
            </w:r>
            <w:r>
              <w:t xml:space="preserve"> a preschool program in the year before full time schooling</w:t>
            </w:r>
            <w:r w:rsidR="009168E8">
              <w:t>.</w:t>
            </w:r>
          </w:p>
          <w:p w14:paraId="55AB5570" w14:textId="5BF05671" w:rsidR="00214DFB" w:rsidRDefault="0003196B" w:rsidP="00214DFB">
            <w:pPr>
              <w:pStyle w:val="BoxListBullet"/>
            </w:pPr>
            <w:r>
              <w:t xml:space="preserve">Data are available annually from the ABS National Early Childhood Education and Care Collection, with the most recent data </w:t>
            </w:r>
            <w:r w:rsidR="00EE3FD5">
              <w:t xml:space="preserve">for </w:t>
            </w:r>
            <w:r w:rsidR="004407E5">
              <w:t>2018</w:t>
            </w:r>
            <w:r>
              <w:t xml:space="preserve">. </w:t>
            </w:r>
          </w:p>
          <w:p w14:paraId="28F981E1" w14:textId="77777777" w:rsidR="00214DFB" w:rsidRDefault="00214DFB" w:rsidP="00214DFB">
            <w:pPr>
              <w:pStyle w:val="BoxListBullet"/>
            </w:pPr>
            <w:r>
              <w:t xml:space="preserve">Data are provided for both enrolment and attendance rates, by State and Territory. </w:t>
            </w:r>
          </w:p>
          <w:p w14:paraId="06F86690" w14:textId="77777777" w:rsidR="00214DFB" w:rsidRDefault="00214DFB" w:rsidP="00214DFB">
            <w:pPr>
              <w:pStyle w:val="BoxListBullet"/>
            </w:pPr>
            <w:r>
              <w:t>Enrolment rates (measure 10a) use population data to derive rates.</w:t>
            </w:r>
          </w:p>
          <w:p w14:paraId="45BDC13B" w14:textId="0A351F15" w:rsidR="004407E5" w:rsidRDefault="004407E5" w:rsidP="008822BF">
            <w:pPr>
              <w:pStyle w:val="BoxListBullet2"/>
            </w:pPr>
            <w:r w:rsidRPr="00893C81">
              <w:t>Rates for</w:t>
            </w:r>
            <w:r w:rsidR="00705AA2">
              <w:t xml:space="preserve"> historic data (from 2015 to 2017</w:t>
            </w:r>
            <w:r>
              <w:t xml:space="preserve">) </w:t>
            </w:r>
            <w:r w:rsidRPr="00893C81">
              <w:t xml:space="preserve">have been revised </w:t>
            </w:r>
            <w:r>
              <w:t>to account for new ABS Aboriginal and Torres Strait Islander population estimates and projections (base</w:t>
            </w:r>
            <w:r w:rsidR="00705AA2">
              <w:t>d</w:t>
            </w:r>
            <w:r>
              <w:t xml:space="preserve"> on the 2016 Census) release</w:t>
            </w:r>
            <w:r w:rsidR="00705AA2">
              <w:t xml:space="preserve">d </w:t>
            </w:r>
            <w:r>
              <w:t>in July 2019.</w:t>
            </w:r>
          </w:p>
          <w:p w14:paraId="074AA1F8" w14:textId="406E965A" w:rsidR="00705AA2" w:rsidRPr="00F1640C" w:rsidRDefault="00705AA2" w:rsidP="008822BF">
            <w:pPr>
              <w:pStyle w:val="BoxListBullet2"/>
            </w:pPr>
            <w:r>
              <w:t>N</w:t>
            </w:r>
            <w:r w:rsidRPr="00F1640C">
              <w:t>on</w:t>
            </w:r>
            <w:r w:rsidR="00FA5150">
              <w:noBreakHyphen/>
            </w:r>
            <w:r w:rsidRPr="00F1640C">
              <w:t xml:space="preserve">Indigenous population estimates are available for Census years only. In the intervening years, population estimates are only available for the total population and the </w:t>
            </w:r>
            <w:r>
              <w:t>Aboriginal and Torres Strait Islander</w:t>
            </w:r>
            <w:r w:rsidRPr="00F1640C">
              <w:t xml:space="preserve"> population, with non</w:t>
            </w:r>
            <w:r w:rsidR="00FA5150">
              <w:noBreakHyphen/>
            </w:r>
            <w:r w:rsidRPr="00F1640C">
              <w:t xml:space="preserve">Indigenous population estimates derived by subtracting the projected </w:t>
            </w:r>
            <w:r>
              <w:t xml:space="preserve">Aboriginal and Torres Strait Islander </w:t>
            </w:r>
            <w:r w:rsidRPr="00F1640C">
              <w:t>population from the total population. For this report the non</w:t>
            </w:r>
            <w:r w:rsidR="00FA5150">
              <w:noBreakHyphen/>
            </w:r>
            <w:r w:rsidRPr="00F1640C">
              <w:t>Indigenous population denominator</w:t>
            </w:r>
            <w:r>
              <w:t>s</w:t>
            </w:r>
            <w:r w:rsidRPr="00F1640C">
              <w:t xml:space="preserve"> ha</w:t>
            </w:r>
            <w:r>
              <w:t>ve</w:t>
            </w:r>
            <w:r w:rsidRPr="00F1640C">
              <w:t xml:space="preserve"> been calculated by subtracting the 201</w:t>
            </w:r>
            <w:r>
              <w:t>6</w:t>
            </w:r>
            <w:r w:rsidRPr="00F1640C">
              <w:t xml:space="preserve"> Census</w:t>
            </w:r>
            <w:r w:rsidR="00FA5150">
              <w:noBreakHyphen/>
            </w:r>
            <w:r w:rsidRPr="00F1640C">
              <w:t xml:space="preserve">based </w:t>
            </w:r>
            <w:r>
              <w:t>Aboriginal and Torres Strait Islander estimates and p</w:t>
            </w:r>
            <w:r w:rsidRPr="00F1640C">
              <w:t xml:space="preserve">rojections from the </w:t>
            </w:r>
            <w:r>
              <w:t>total</w:t>
            </w:r>
            <w:r w:rsidRPr="00F1640C">
              <w:t xml:space="preserve"> Estimated Resident Population</w:t>
            </w:r>
            <w:r>
              <w:t>.</w:t>
            </w:r>
            <w:r w:rsidRPr="00F1640C">
              <w:t xml:space="preserve"> Such figures have a degree of uncertainty and should be used with caution, particularly as the time from the base year of the projection series increases.</w:t>
            </w:r>
          </w:p>
          <w:p w14:paraId="0C44F337" w14:textId="174FB8F0" w:rsidR="0003196B" w:rsidRDefault="0003196B" w:rsidP="00166AA1">
            <w:pPr>
              <w:pStyle w:val="BoxListBullet"/>
            </w:pPr>
            <w:r>
              <w:t xml:space="preserve">Attendance rate data </w:t>
            </w:r>
            <w:r w:rsidR="00214DFB">
              <w:t xml:space="preserve">(measure 10b) </w:t>
            </w:r>
            <w:r>
              <w:t xml:space="preserve">are available nationally by remoteness. </w:t>
            </w:r>
            <w:r w:rsidR="00214DFB">
              <w:t>Remoteness data for 2018 are not directly comparable to earlier years due to the application of new ABS remoteness areas based on the 2016 Census</w:t>
            </w:r>
            <w:r w:rsidR="00214DFB" w:rsidRPr="00A675C3">
              <w:t>.</w:t>
            </w:r>
            <w:r w:rsidR="009F5125">
              <w:t xml:space="preserve"> </w:t>
            </w:r>
            <w:r>
              <w:t>Currently data are not available for enrolment rates</w:t>
            </w:r>
            <w:r w:rsidR="00214DFB">
              <w:t xml:space="preserve"> (measure 10b)</w:t>
            </w:r>
            <w:r>
              <w:t xml:space="preserve"> by remoteness, due to the lack of reliable method for calculating the potential population </w:t>
            </w:r>
            <w:r w:rsidR="00D060D1">
              <w:t xml:space="preserve">estimates </w:t>
            </w:r>
            <w:r>
              <w:t xml:space="preserve">by remoteness. </w:t>
            </w:r>
          </w:p>
          <w:p w14:paraId="5F658FD1" w14:textId="7F67BBB3" w:rsidR="0003196B" w:rsidRDefault="0003196B" w:rsidP="00166AA1">
            <w:pPr>
              <w:pStyle w:val="BoxListBullet"/>
            </w:pPr>
            <w:r>
              <w:t>Additional information is available on</w:t>
            </w:r>
            <w:r w:rsidR="00FA5150">
              <w:noBreakHyphen/>
            </w:r>
            <w:r>
              <w:t>line or on request</w:t>
            </w:r>
            <w:r w:rsidR="00EE3FD5">
              <w:t xml:space="preserve"> from the ABS</w:t>
            </w:r>
            <w:r>
              <w:t xml:space="preserve">. </w:t>
            </w:r>
          </w:p>
          <w:p w14:paraId="506FAD0F" w14:textId="346B6F87" w:rsidR="001622C8" w:rsidRDefault="001622C8" w:rsidP="00E047E0">
            <w:pPr>
              <w:pStyle w:val="Box"/>
            </w:pPr>
            <w:r>
              <w:t>The Steering Committee also notes the following:</w:t>
            </w:r>
          </w:p>
          <w:p w14:paraId="1C62CAB8" w14:textId="0AAC0FE6" w:rsidR="006728CD" w:rsidRDefault="001622C8" w:rsidP="00166AA1">
            <w:pPr>
              <w:pStyle w:val="BoxListBullet"/>
            </w:pPr>
            <w:r>
              <w:t xml:space="preserve">Direct comparisons of </w:t>
            </w:r>
            <w:r w:rsidR="00214DFB">
              <w:t xml:space="preserve">data from </w:t>
            </w:r>
            <w:r>
              <w:t>2016</w:t>
            </w:r>
            <w:r w:rsidR="00214DFB">
              <w:t xml:space="preserve"> onwards</w:t>
            </w:r>
            <w:r>
              <w:t xml:space="preserve"> cannot be made with 2015 data.</w:t>
            </w:r>
            <w:r w:rsidR="006728CD">
              <w:t xml:space="preserve"> Whilst the method for deriving data for these measures remai</w:t>
            </w:r>
            <w:r w:rsidR="005D6036">
              <w:t xml:space="preserve">ns unchanged </w:t>
            </w:r>
            <w:r w:rsidR="00082DB4">
              <w:t>from 2015</w:t>
            </w:r>
            <w:r w:rsidR="006728CD">
              <w:t>, for the 2016 NECECC the ABS:</w:t>
            </w:r>
          </w:p>
          <w:p w14:paraId="5EAB66D4" w14:textId="22E780C8" w:rsidR="00366220" w:rsidRDefault="006728CD" w:rsidP="009D6909">
            <w:pPr>
              <w:pStyle w:val="BoxListBullet2"/>
            </w:pPr>
            <w:r>
              <w:t>improved its data linkage approach to enhance the accuracy of child counts, resulting in a lower count of preschool enrolments</w:t>
            </w:r>
          </w:p>
          <w:p w14:paraId="757557FD" w14:textId="24299E28" w:rsidR="009D6909" w:rsidRPr="003C412A" w:rsidRDefault="006728CD" w:rsidP="001174D8">
            <w:pPr>
              <w:pStyle w:val="BoxListBullet2"/>
            </w:pPr>
            <w:r>
              <w:t xml:space="preserve">incorporated data from an expanded child identification strategy in the Child Care Management System (CCMS – an input to the NECECC), resulting in </w:t>
            </w:r>
            <w:r w:rsidR="005D6036">
              <w:t>a higher</w:t>
            </w:r>
            <w:r>
              <w:t xml:space="preserve"> count of preschool enrolments from the CCMS data.</w:t>
            </w:r>
          </w:p>
        </w:tc>
      </w:tr>
      <w:tr w:rsidR="003C412A" w14:paraId="24A88CB5" w14:textId="77777777" w:rsidTr="004F04D8">
        <w:trPr>
          <w:cantSplit/>
        </w:trPr>
        <w:tc>
          <w:tcPr>
            <w:tcW w:w="8789" w:type="dxa"/>
            <w:tcBorders>
              <w:top w:val="nil"/>
              <w:left w:val="nil"/>
              <w:bottom w:val="single" w:sz="6" w:space="0" w:color="78A22F"/>
              <w:right w:val="nil"/>
            </w:tcBorders>
            <w:shd w:val="clear" w:color="auto" w:fill="F2F2F2"/>
          </w:tcPr>
          <w:p w14:paraId="4F26F597" w14:textId="77777777" w:rsidR="003C412A" w:rsidRDefault="003C412A">
            <w:pPr>
              <w:pStyle w:val="Box"/>
              <w:spacing w:before="0" w:line="120" w:lineRule="exact"/>
            </w:pPr>
          </w:p>
        </w:tc>
      </w:tr>
      <w:tr w:rsidR="003C412A" w:rsidRPr="000863A5" w14:paraId="0DADFAD1" w14:textId="77777777" w:rsidTr="004F04D8">
        <w:tc>
          <w:tcPr>
            <w:tcW w:w="8789" w:type="dxa"/>
            <w:tcBorders>
              <w:top w:val="single" w:sz="6" w:space="0" w:color="78A22F"/>
              <w:left w:val="nil"/>
              <w:bottom w:val="nil"/>
              <w:right w:val="nil"/>
            </w:tcBorders>
          </w:tcPr>
          <w:p w14:paraId="712AAFFA" w14:textId="77777777" w:rsidR="003C412A" w:rsidRPr="00626D32" w:rsidRDefault="003C412A" w:rsidP="004C6DAF">
            <w:pPr>
              <w:pStyle w:val="BoxSpaceBelow"/>
            </w:pPr>
          </w:p>
        </w:tc>
      </w:tr>
    </w:tbl>
    <w:p w14:paraId="667BD41A" w14:textId="77777777" w:rsidR="00680847" w:rsidRDefault="00680847" w:rsidP="00680847">
      <w:pPr>
        <w:pStyle w:val="BodyText"/>
        <w:rPr>
          <w:rFonts w:ascii="Arial" w:hAnsi="Arial"/>
          <w:sz w:val="20"/>
        </w:rPr>
      </w:pPr>
      <w:r>
        <w:br w:type="page"/>
      </w:r>
    </w:p>
    <w:p w14:paraId="3784E1C8" w14:textId="77777777" w:rsidR="003C412A" w:rsidRPr="00921D4D" w:rsidRDefault="003C412A" w:rsidP="003C412A">
      <w:pPr>
        <w:pStyle w:val="Heading3"/>
        <w:spacing w:after="360"/>
      </w:pPr>
      <w:bookmarkStart w:id="31" w:name="_Ref341361583"/>
      <w:r w:rsidRPr="00921D4D">
        <w:lastRenderedPageBreak/>
        <w:t xml:space="preserve">Indicator 11: </w:t>
      </w:r>
      <w:r>
        <w:t>Percentage of students at or above the national minimum standard in reading, writing and numeracy for years 3, 5, 7 and 9</w:t>
      </w:r>
      <w:bookmarkEnd w:id="31"/>
    </w:p>
    <w:tbl>
      <w:tblPr>
        <w:tblW w:w="8789" w:type="dxa"/>
        <w:tblCellMar>
          <w:right w:w="0" w:type="dxa"/>
        </w:tblCellMar>
        <w:tblLook w:val="0000" w:firstRow="0" w:lastRow="0" w:firstColumn="0" w:lastColumn="0" w:noHBand="0" w:noVBand="0"/>
      </w:tblPr>
      <w:tblGrid>
        <w:gridCol w:w="2093"/>
        <w:gridCol w:w="6696"/>
      </w:tblGrid>
      <w:tr w:rsidR="003C412A" w:rsidRPr="00D87AA9" w14:paraId="4DA0837A" w14:textId="77777777" w:rsidTr="004F04D8">
        <w:tc>
          <w:tcPr>
            <w:tcW w:w="2093" w:type="dxa"/>
          </w:tcPr>
          <w:p w14:paraId="63A81FB0" w14:textId="0FA16902" w:rsidR="003C412A" w:rsidRPr="00D87AA9" w:rsidRDefault="003C412A" w:rsidP="00523EC2">
            <w:pPr>
              <w:pStyle w:val="TableBodyNA"/>
            </w:pPr>
            <w:r w:rsidRPr="00B82DC5">
              <w:t>Key amendments from previous cycle of reporting:</w:t>
            </w:r>
          </w:p>
        </w:tc>
        <w:tc>
          <w:tcPr>
            <w:tcW w:w="6696" w:type="dxa"/>
          </w:tcPr>
          <w:p w14:paraId="43D4968D" w14:textId="191B1DD2" w:rsidR="00383463" w:rsidRPr="00D87AA9" w:rsidRDefault="00002DF0" w:rsidP="00002DF0">
            <w:pPr>
              <w:pStyle w:val="TableBodyNA"/>
            </w:pPr>
            <w:r>
              <w:t>Data for 2018 are available for this report.</w:t>
            </w:r>
          </w:p>
        </w:tc>
      </w:tr>
      <w:tr w:rsidR="003C412A" w:rsidRPr="00D87AA9" w14:paraId="5461850D" w14:textId="77777777" w:rsidTr="004F04D8">
        <w:tc>
          <w:tcPr>
            <w:tcW w:w="2093" w:type="dxa"/>
          </w:tcPr>
          <w:p w14:paraId="21E0BA83" w14:textId="77777777" w:rsidR="003C412A" w:rsidRPr="00D87AA9" w:rsidRDefault="003C412A" w:rsidP="00523EC2">
            <w:pPr>
              <w:pStyle w:val="TableBodyNA"/>
            </w:pPr>
            <w:r w:rsidRPr="00D87AA9">
              <w:t>Target:</w:t>
            </w:r>
          </w:p>
        </w:tc>
        <w:tc>
          <w:tcPr>
            <w:tcW w:w="6696" w:type="dxa"/>
          </w:tcPr>
          <w:p w14:paraId="0B83A51A" w14:textId="1C053B64" w:rsidR="003C412A" w:rsidRPr="00D87AA9" w:rsidRDefault="003C412A" w:rsidP="00523EC2">
            <w:pPr>
              <w:pStyle w:val="TableBodyNA"/>
            </w:pPr>
            <w:r w:rsidRPr="00C44109">
              <w:t xml:space="preserve">Halving the gap for Indigenous students in reading, writing and numeracy within a decade </w:t>
            </w:r>
            <w:r w:rsidR="00A4563D" w:rsidRPr="00C44109">
              <w:t>(by 2018)</w:t>
            </w:r>
          </w:p>
        </w:tc>
      </w:tr>
      <w:tr w:rsidR="003C412A" w:rsidRPr="00D87AA9" w14:paraId="233748FD" w14:textId="77777777" w:rsidTr="004F04D8">
        <w:tc>
          <w:tcPr>
            <w:tcW w:w="2093" w:type="dxa"/>
          </w:tcPr>
          <w:p w14:paraId="3C3A1CD0" w14:textId="77777777" w:rsidR="003C412A" w:rsidRPr="00D87AA9" w:rsidRDefault="003C412A" w:rsidP="00523EC2">
            <w:pPr>
              <w:pStyle w:val="TableBodyNA"/>
            </w:pPr>
            <w:r w:rsidRPr="00D87AA9">
              <w:t>Measure:</w:t>
            </w:r>
          </w:p>
        </w:tc>
        <w:tc>
          <w:tcPr>
            <w:tcW w:w="6696" w:type="dxa"/>
          </w:tcPr>
          <w:p w14:paraId="1C703048" w14:textId="77777777" w:rsidR="003C412A" w:rsidRDefault="003C412A" w:rsidP="00523EC2">
            <w:pPr>
              <w:pStyle w:val="TableBodyNA"/>
            </w:pPr>
            <w:r>
              <w:t>There are two measures for this indicator:</w:t>
            </w:r>
          </w:p>
          <w:p w14:paraId="671D2D62" w14:textId="77777777" w:rsidR="003C412A" w:rsidRDefault="003C412A" w:rsidP="00523EC2">
            <w:pPr>
              <w:pStyle w:val="TableBodyNA"/>
            </w:pPr>
            <w:r>
              <w:t>Measure (11a): the proportion of students at or above the national minimum standard for reading, writing and numeracy, in years 3, 5, 7 and 9, by Indigenous status</w:t>
            </w:r>
          </w:p>
          <w:p w14:paraId="128569C4" w14:textId="11FF830A" w:rsidR="003C412A" w:rsidRPr="00D87AA9" w:rsidRDefault="003C412A" w:rsidP="00523EC2">
            <w:pPr>
              <w:pStyle w:val="TableBodyNA"/>
            </w:pPr>
            <w:r>
              <w:t>Measure (11b): the rates of participation in NAPLAN reading, writing and numeracy tests — years 3, 5, 7 and 9 , by Indigenous status</w:t>
            </w:r>
          </w:p>
        </w:tc>
      </w:tr>
      <w:tr w:rsidR="003C412A" w:rsidRPr="00D87AA9" w14:paraId="1E943BEB" w14:textId="77777777" w:rsidTr="004F04D8">
        <w:tc>
          <w:tcPr>
            <w:tcW w:w="2093" w:type="dxa"/>
          </w:tcPr>
          <w:p w14:paraId="1AF7E203" w14:textId="77777777" w:rsidR="003C412A" w:rsidRPr="00D87AA9" w:rsidRDefault="003C412A" w:rsidP="00523EC2">
            <w:pPr>
              <w:pStyle w:val="TableBodyNA"/>
            </w:pPr>
            <w:r>
              <w:t>Measure (11a):</w:t>
            </w:r>
          </w:p>
        </w:tc>
        <w:tc>
          <w:tcPr>
            <w:tcW w:w="6696" w:type="dxa"/>
          </w:tcPr>
          <w:p w14:paraId="32A6473C" w14:textId="77777777" w:rsidR="003C412A" w:rsidRDefault="003C412A" w:rsidP="00523EC2">
            <w:pPr>
              <w:pStyle w:val="TableBodyNA"/>
            </w:pPr>
            <w:r>
              <w:t>Percentage of students at or above the national minimum standard for reading, writing and numeracy, in years 3, 5, 7 and 9, by Indigenous status</w:t>
            </w:r>
          </w:p>
          <w:p w14:paraId="5EE8A87A" w14:textId="57A28CC7" w:rsidR="003C412A" w:rsidRPr="00D87AA9" w:rsidRDefault="003C412A" w:rsidP="00523EC2">
            <w:pPr>
              <w:pStyle w:val="TableBodyNA"/>
            </w:pPr>
            <w:r w:rsidRPr="00D651EC">
              <w:t>[Note: NAPLAN reports the percentage of students who achieved at or above the national minimum standard. The complex process by which student scores are arrived at and distributed across the national achievement bands (using the Rasch model, a recognised analysis model for educational measurement) are agreed by states, territories and the Australian Government and endorsed by the then NAPLAN Expert Advisory Group. Due to the complexities of the methodology, it is not possible (with the data currently provided) to give a simple computation of the precise number of students at or above the national minimum standard, which is best reported in the bands designed for that purpose]</w:t>
            </w:r>
          </w:p>
        </w:tc>
      </w:tr>
      <w:tr w:rsidR="003C412A" w:rsidRPr="00D87AA9" w14:paraId="577E8F5E" w14:textId="77777777" w:rsidTr="004F04D8">
        <w:tc>
          <w:tcPr>
            <w:tcW w:w="2093" w:type="dxa"/>
          </w:tcPr>
          <w:p w14:paraId="37CB79EB" w14:textId="77777777" w:rsidR="003C412A" w:rsidRPr="00D87AA9" w:rsidRDefault="003C412A" w:rsidP="00523EC2">
            <w:pPr>
              <w:pStyle w:val="TableBodyNA"/>
            </w:pPr>
            <w:r>
              <w:t>Measure (11b):</w:t>
            </w:r>
          </w:p>
        </w:tc>
        <w:tc>
          <w:tcPr>
            <w:tcW w:w="6696" w:type="dxa"/>
          </w:tcPr>
          <w:p w14:paraId="1410F428" w14:textId="77777777" w:rsidR="003C412A" w:rsidRDefault="003C412A" w:rsidP="00523EC2">
            <w:pPr>
              <w:pStyle w:val="TableBodyNA"/>
            </w:pPr>
            <w:r>
              <w:t>Rates of participation in NAPLAN reading writing and numeracy tests — years 3, 5, 7 and 9, by Indigenous status</w:t>
            </w:r>
          </w:p>
          <w:p w14:paraId="08C89BA0" w14:textId="77777777" w:rsidR="003C412A" w:rsidRDefault="003C412A" w:rsidP="00523EC2">
            <w:pPr>
              <w:pStyle w:val="TableBodyNA"/>
            </w:pPr>
            <w:r>
              <w:t>The measure is defined as:</w:t>
            </w:r>
          </w:p>
          <w:p w14:paraId="130709CB" w14:textId="77777777" w:rsidR="003C412A" w:rsidRDefault="003C412A" w:rsidP="004C6DAF">
            <w:pPr>
              <w:pStyle w:val="TableBullet"/>
              <w:rPr>
                <w:szCs w:val="24"/>
              </w:rPr>
            </w:pPr>
            <w:r w:rsidRPr="00EA1E9C">
              <w:rPr>
                <w:i/>
              </w:rPr>
              <w:t>Numerator</w:t>
            </w:r>
            <w:r>
              <w:t xml:space="preserve"> — number of assessed and exempt students in years 3, 5, 7 and 9, by Indigenous status</w:t>
            </w:r>
          </w:p>
          <w:p w14:paraId="100F5ADC" w14:textId="77777777" w:rsidR="003C412A" w:rsidRDefault="003C412A" w:rsidP="004C6DAF">
            <w:pPr>
              <w:pStyle w:val="TableBullet"/>
              <w:rPr>
                <w:szCs w:val="24"/>
              </w:rPr>
            </w:pPr>
            <w:r w:rsidRPr="00EA1E9C">
              <w:rPr>
                <w:i/>
              </w:rPr>
              <w:t>Denominator</w:t>
            </w:r>
            <w:r>
              <w:t xml:space="preserve"> — total number of students (including those absent and withdrawn) in years 3, 5, 7 and 9, by Indigenous status</w:t>
            </w:r>
          </w:p>
          <w:p w14:paraId="5A0D9E4B" w14:textId="6D6505F5" w:rsidR="003C412A" w:rsidRPr="00D87AA9" w:rsidRDefault="003C412A" w:rsidP="00523EC2">
            <w:pPr>
              <w:pStyle w:val="TableBodyNA"/>
            </w:pPr>
            <w:r>
              <w:t xml:space="preserve">and is presented as a </w:t>
            </w:r>
            <w:r w:rsidR="00F8458B">
              <w:rPr>
                <w:i/>
              </w:rPr>
              <w:t>percentage</w:t>
            </w:r>
          </w:p>
        </w:tc>
      </w:tr>
      <w:tr w:rsidR="003C412A" w:rsidRPr="00D87AA9" w14:paraId="01F98DB3" w14:textId="77777777" w:rsidTr="004F04D8">
        <w:tc>
          <w:tcPr>
            <w:tcW w:w="2093" w:type="dxa"/>
          </w:tcPr>
          <w:p w14:paraId="2D4EE71C" w14:textId="77777777" w:rsidR="003C412A" w:rsidRPr="00D87AA9" w:rsidRDefault="003C412A" w:rsidP="00523EC2">
            <w:pPr>
              <w:pStyle w:val="TableBodyNA"/>
            </w:pPr>
            <w:r w:rsidRPr="00D87AA9">
              <w:t>Data source</w:t>
            </w:r>
            <w:r>
              <w:t xml:space="preserve"> (11a and 11b)</w:t>
            </w:r>
          </w:p>
        </w:tc>
        <w:tc>
          <w:tcPr>
            <w:tcW w:w="6696" w:type="dxa"/>
          </w:tcPr>
          <w:p w14:paraId="233D4E82" w14:textId="1A91FB5E" w:rsidR="003C412A" w:rsidRPr="00D87AA9" w:rsidRDefault="00C71A0E" w:rsidP="00523EC2">
            <w:pPr>
              <w:pStyle w:val="TableBodyNA"/>
            </w:pPr>
            <w:r w:rsidRPr="006A6DE7">
              <w:t xml:space="preserve">ACARA </w:t>
            </w:r>
            <w:r w:rsidR="003C412A" w:rsidRPr="00EA1E9C">
              <w:rPr>
                <w:u w:val="single"/>
              </w:rPr>
              <w:t>National Assessment Program — Literacy and Numeracy</w:t>
            </w:r>
            <w:r w:rsidR="003C412A" w:rsidRPr="00C44109">
              <w:t xml:space="preserve"> (NAPLAN). Data are collected annually</w:t>
            </w:r>
          </w:p>
        </w:tc>
      </w:tr>
      <w:tr w:rsidR="003C412A" w:rsidRPr="00D87AA9" w14:paraId="10C57E3B" w14:textId="77777777" w:rsidTr="004F04D8">
        <w:tc>
          <w:tcPr>
            <w:tcW w:w="2093" w:type="dxa"/>
          </w:tcPr>
          <w:p w14:paraId="51044515" w14:textId="4D24DF29" w:rsidR="003C412A" w:rsidRPr="00D87AA9" w:rsidRDefault="003C412A" w:rsidP="00523EC2">
            <w:pPr>
              <w:pStyle w:val="TableBodyNA"/>
            </w:pPr>
            <w:r w:rsidRPr="00D87AA9">
              <w:t>Data provider</w:t>
            </w:r>
            <w:r>
              <w:t xml:space="preserve"> (11a and 11b)</w:t>
            </w:r>
            <w:r w:rsidRPr="00D87AA9">
              <w:t>:</w:t>
            </w:r>
          </w:p>
        </w:tc>
        <w:tc>
          <w:tcPr>
            <w:tcW w:w="6696" w:type="dxa"/>
          </w:tcPr>
          <w:p w14:paraId="2BDB2274" w14:textId="77777777" w:rsidR="003C412A" w:rsidRPr="00D87AA9" w:rsidRDefault="003C412A" w:rsidP="00523EC2">
            <w:pPr>
              <w:pStyle w:val="TableBodyNA"/>
            </w:pPr>
            <w:r w:rsidRPr="00C44109">
              <w:t>ACARA</w:t>
            </w:r>
          </w:p>
        </w:tc>
      </w:tr>
      <w:tr w:rsidR="004F04D8" w:rsidRPr="00D87AA9" w14:paraId="41BEE76D" w14:textId="77777777" w:rsidTr="004F04D8">
        <w:tc>
          <w:tcPr>
            <w:tcW w:w="2093" w:type="dxa"/>
          </w:tcPr>
          <w:p w14:paraId="1CD82ED8" w14:textId="20CB4CB1" w:rsidR="004F04D8" w:rsidRPr="00D87AA9" w:rsidRDefault="004F04D8" w:rsidP="00523EC2">
            <w:pPr>
              <w:pStyle w:val="TableBodyNA"/>
            </w:pPr>
            <w:r w:rsidRPr="00D87AA9">
              <w:t>Data availability</w:t>
            </w:r>
            <w:r>
              <w:t xml:space="preserve"> (11a and 11b)</w:t>
            </w:r>
            <w:r w:rsidRPr="00D87AA9">
              <w:t>:</w:t>
            </w:r>
          </w:p>
        </w:tc>
        <w:tc>
          <w:tcPr>
            <w:tcW w:w="6696" w:type="dxa"/>
          </w:tcPr>
          <w:p w14:paraId="2C89E910" w14:textId="12483F2D" w:rsidR="004F04D8" w:rsidRPr="00C44109" w:rsidRDefault="00002DF0" w:rsidP="00002DF0">
            <w:pPr>
              <w:pStyle w:val="TableBodyNA"/>
            </w:pPr>
            <w:r>
              <w:t>2018</w:t>
            </w:r>
            <w:r w:rsidR="004E7A5A">
              <w:t xml:space="preserve"> </w:t>
            </w:r>
          </w:p>
        </w:tc>
      </w:tr>
      <w:tr w:rsidR="004F04D8" w:rsidRPr="00D87AA9" w14:paraId="2EE3D53A" w14:textId="77777777" w:rsidTr="004F04D8">
        <w:tc>
          <w:tcPr>
            <w:tcW w:w="2093" w:type="dxa"/>
          </w:tcPr>
          <w:p w14:paraId="4E48AFCF" w14:textId="7577E995" w:rsidR="004F04D8" w:rsidRPr="00D87AA9" w:rsidRDefault="004F04D8" w:rsidP="00523EC2">
            <w:pPr>
              <w:pStyle w:val="TableBodyNA"/>
            </w:pPr>
            <w:r>
              <w:t>Cross tabulations provided:</w:t>
            </w:r>
          </w:p>
        </w:tc>
        <w:tc>
          <w:tcPr>
            <w:tcW w:w="6696" w:type="dxa"/>
          </w:tcPr>
          <w:p w14:paraId="0751294E" w14:textId="77777777" w:rsidR="006E3BB2" w:rsidRDefault="006E3BB2" w:rsidP="00523EC2">
            <w:pPr>
              <w:pStyle w:val="TableBodyNA"/>
            </w:pPr>
            <w:r>
              <w:t>Measure (11a): For each year level (3, 5, 7 and 9 — reported individually), by learning domain (reading, writing and numeracy — reported individually), by</w:t>
            </w:r>
          </w:p>
          <w:p w14:paraId="4FAA4597" w14:textId="77777777" w:rsidR="006E3BB2" w:rsidRDefault="006E3BB2" w:rsidP="008822BF">
            <w:pPr>
              <w:pStyle w:val="TableBullet"/>
            </w:pPr>
            <w:r>
              <w:t>State and Territory, by</w:t>
            </w:r>
          </w:p>
          <w:p w14:paraId="523C8ACB" w14:textId="77777777" w:rsidR="006E3BB2" w:rsidRDefault="006E3BB2" w:rsidP="008822BF">
            <w:pPr>
              <w:pStyle w:val="TableBullet"/>
            </w:pPr>
            <w:r>
              <w:t>Indigenous status, by</w:t>
            </w:r>
          </w:p>
          <w:p w14:paraId="77A57EE2" w14:textId="7D8D6509" w:rsidR="006E3BB2" w:rsidRDefault="006E3BB2" w:rsidP="008822BF">
            <w:pPr>
              <w:pStyle w:val="TableBullet"/>
            </w:pPr>
            <w:r>
              <w:t>Remoteness (based on the 2016 ASGS since 2018).</w:t>
            </w:r>
          </w:p>
          <w:p w14:paraId="2301AEF2" w14:textId="77777777" w:rsidR="006E3BB2" w:rsidRDefault="006E3BB2" w:rsidP="00523EC2">
            <w:pPr>
              <w:pStyle w:val="TableBodyNA"/>
            </w:pPr>
            <w:r>
              <w:t>Measure (11b): For each year level (3, 5, 7 and 9 — reported individually), by learning domain (reading, writing and numeracy — reported individually), by</w:t>
            </w:r>
          </w:p>
          <w:p w14:paraId="12A143B9" w14:textId="77777777" w:rsidR="006E3BB2" w:rsidRDefault="006E3BB2" w:rsidP="008822BF">
            <w:pPr>
              <w:pStyle w:val="TableBullet"/>
            </w:pPr>
            <w:r>
              <w:t>State and Territory, by</w:t>
            </w:r>
          </w:p>
          <w:p w14:paraId="4FAFC076" w14:textId="77777777" w:rsidR="006E3BB2" w:rsidRDefault="006E3BB2" w:rsidP="008822BF">
            <w:pPr>
              <w:pStyle w:val="TableBullet"/>
            </w:pPr>
            <w:r>
              <w:t>Indigenous status, by</w:t>
            </w:r>
          </w:p>
          <w:p w14:paraId="558D758F" w14:textId="17EDC5DA" w:rsidR="004F04D8" w:rsidRPr="00C44109" w:rsidRDefault="006E3BB2" w:rsidP="008822BF">
            <w:pPr>
              <w:pStyle w:val="TableBullet"/>
            </w:pPr>
            <w:r>
              <w:t>Remoteness (based on 2016 ASGS since 2018).</w:t>
            </w:r>
          </w:p>
        </w:tc>
      </w:tr>
    </w:tbl>
    <w:p w14:paraId="3C9577E2" w14:textId="77777777" w:rsidR="004F04D8" w:rsidRDefault="004F04D8">
      <w:r>
        <w:br w:type="page"/>
      </w:r>
    </w:p>
    <w:p w14:paraId="788CB7F4" w14:textId="77777777" w:rsidR="003C412A" w:rsidRDefault="003C412A">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3C412A" w14:paraId="69283A98" w14:textId="77777777" w:rsidTr="004F04D8">
        <w:tc>
          <w:tcPr>
            <w:tcW w:w="8789" w:type="dxa"/>
            <w:tcBorders>
              <w:top w:val="single" w:sz="6" w:space="0" w:color="78A22F"/>
              <w:left w:val="nil"/>
              <w:bottom w:val="nil"/>
              <w:right w:val="nil"/>
            </w:tcBorders>
            <w:shd w:val="clear" w:color="auto" w:fill="F2F2F2"/>
          </w:tcPr>
          <w:p w14:paraId="497A0540" w14:textId="08798B59" w:rsidR="003C412A" w:rsidRDefault="003C412A" w:rsidP="00A4563D">
            <w:pPr>
              <w:pStyle w:val="BoxTitle"/>
            </w:pPr>
            <w:r>
              <w:rPr>
                <w:b w:val="0"/>
              </w:rPr>
              <w:t xml:space="preserve">Box </w:t>
            </w:r>
            <w:r w:rsidR="008E712F">
              <w:rPr>
                <w:b w:val="0"/>
              </w:rPr>
              <w:t>3</w:t>
            </w:r>
            <w:r w:rsidR="00A4563D">
              <w:rPr>
                <w:b w:val="0"/>
              </w:rPr>
              <w:t>4</w:t>
            </w:r>
            <w:r>
              <w:tab/>
            </w:r>
            <w:r w:rsidR="00DD4235">
              <w:t>Comment on data availability</w:t>
            </w:r>
          </w:p>
        </w:tc>
      </w:tr>
      <w:tr w:rsidR="003C412A" w:rsidRPr="003C412A" w14:paraId="46D4F91B" w14:textId="77777777" w:rsidTr="004F04D8">
        <w:trPr>
          <w:cantSplit/>
        </w:trPr>
        <w:tc>
          <w:tcPr>
            <w:tcW w:w="8789" w:type="dxa"/>
            <w:tcBorders>
              <w:top w:val="nil"/>
              <w:left w:val="nil"/>
              <w:bottom w:val="nil"/>
              <w:right w:val="nil"/>
            </w:tcBorders>
            <w:shd w:val="clear" w:color="auto" w:fill="F2F2F2"/>
          </w:tcPr>
          <w:p w14:paraId="38B269D3" w14:textId="39AE3AAA" w:rsidR="00F049D5" w:rsidRDefault="006E3BB2" w:rsidP="006E3BB2">
            <w:pPr>
              <w:pStyle w:val="Box"/>
            </w:pPr>
            <w:r w:rsidRPr="003C412A">
              <w:t xml:space="preserve">For this report, new data for this indicator are available for </w:t>
            </w:r>
            <w:r w:rsidR="00F049D5">
              <w:t>2018</w:t>
            </w:r>
            <w:r w:rsidRPr="003C412A">
              <w:t>.</w:t>
            </w:r>
            <w:r w:rsidR="00F049D5">
              <w:t xml:space="preserve"> The 2019 NAPLAN data were not available in time for inclusion</w:t>
            </w:r>
            <w:r w:rsidR="0048054E">
              <w:t xml:space="preserve"> in this Report</w:t>
            </w:r>
            <w:r w:rsidR="00F049D5">
              <w:t>.</w:t>
            </w:r>
          </w:p>
          <w:p w14:paraId="5E8DED16" w14:textId="04F0CCE8" w:rsidR="00A4563D" w:rsidRDefault="006E3BB2" w:rsidP="006E3BB2">
            <w:pPr>
              <w:pStyle w:val="BoxListBullet"/>
            </w:pPr>
            <w:r w:rsidRPr="003C412A">
              <w:t>Data for students at or above the national minimum standard by State and Territory, by Indigenous status</w:t>
            </w:r>
            <w:r w:rsidR="00A4563D" w:rsidRPr="003C412A">
              <w:t>, are presented in tables NIRA.11.1–</w:t>
            </w:r>
            <w:r w:rsidR="00A4563D">
              <w:t>4 (for 2018).</w:t>
            </w:r>
          </w:p>
          <w:p w14:paraId="5D23D294" w14:textId="24F19243" w:rsidR="006E3BB2" w:rsidRPr="003C412A" w:rsidRDefault="00A4563D" w:rsidP="006E3BB2">
            <w:pPr>
              <w:pStyle w:val="BoxListBullet"/>
            </w:pPr>
            <w:r w:rsidRPr="003C412A">
              <w:t>Data for students at or above the national minimum standard by State and Territory, by Indigenous status,</w:t>
            </w:r>
            <w:r w:rsidR="006E3BB2" w:rsidRPr="003C412A">
              <w:t xml:space="preserve"> by </w:t>
            </w:r>
            <w:r w:rsidR="006E3BB2">
              <w:t>remoteness</w:t>
            </w:r>
            <w:r w:rsidR="006E3BB2" w:rsidRPr="003C412A">
              <w:t>, are presented in tables NIRA.11.</w:t>
            </w:r>
            <w:r>
              <w:t>5</w:t>
            </w:r>
            <w:r w:rsidR="006E3BB2" w:rsidRPr="003C412A">
              <w:t>–16</w:t>
            </w:r>
            <w:r w:rsidR="006E3BB2">
              <w:t xml:space="preserve"> (for 2018).</w:t>
            </w:r>
          </w:p>
          <w:p w14:paraId="42525A4C" w14:textId="6284CDBC" w:rsidR="006E3BB2" w:rsidRPr="003C412A" w:rsidRDefault="006E3BB2" w:rsidP="006E3BB2">
            <w:pPr>
              <w:pStyle w:val="BoxListBullet"/>
            </w:pPr>
            <w:r w:rsidRPr="003C412A">
              <w:t xml:space="preserve">Data for rates of participation by State and Territory, by Indigenous status, by </w:t>
            </w:r>
            <w:r>
              <w:t>remoteness</w:t>
            </w:r>
            <w:r w:rsidRPr="003C412A">
              <w:t>, are presented in tables NIRA.11.17–20</w:t>
            </w:r>
            <w:r>
              <w:t xml:space="preserve"> (for 2018)</w:t>
            </w:r>
          </w:p>
          <w:p w14:paraId="26F92E32" w14:textId="1BD58462" w:rsidR="00DD4235" w:rsidRPr="004F00F4" w:rsidRDefault="006E3BB2" w:rsidP="008822BF">
            <w:pPr>
              <w:pStyle w:val="BoxListBullet"/>
            </w:pPr>
            <w:r w:rsidRPr="003C412A">
              <w:t>Data for student exemptions, absences and withdrawals by State and Territory, by Indigenous status, are presented in tables NIRA.11.21–23</w:t>
            </w:r>
            <w:r>
              <w:t xml:space="preserve"> </w:t>
            </w:r>
            <w:r w:rsidR="001174D8">
              <w:t>(for 2018)</w:t>
            </w:r>
            <w:r w:rsidRPr="003C412A">
              <w:t>.</w:t>
            </w:r>
          </w:p>
          <w:p w14:paraId="4F0325FB" w14:textId="4ADC3E2F" w:rsidR="003C412A" w:rsidRPr="003C412A" w:rsidRDefault="00283339">
            <w:pPr>
              <w:pStyle w:val="Box"/>
            </w:pPr>
            <w:r>
              <w:t xml:space="preserve">Data </w:t>
            </w:r>
            <w:r w:rsidR="006E3BB2">
              <w:t xml:space="preserve">are available </w:t>
            </w:r>
            <w:r>
              <w:t>for</w:t>
            </w:r>
            <w:r w:rsidR="006E3BB2">
              <w:t>:</w:t>
            </w:r>
            <w:r>
              <w:t xml:space="preserve"> </w:t>
            </w:r>
            <w:r w:rsidR="002E75A0">
              <w:t xml:space="preserve">2017 </w:t>
            </w:r>
            <w:r>
              <w:t xml:space="preserve">in the </w:t>
            </w:r>
            <w:r w:rsidR="002E75A0">
              <w:t>2016</w:t>
            </w:r>
            <w:r w:rsidR="00FA5150">
              <w:noBreakHyphen/>
            </w:r>
            <w:r w:rsidR="002E75A0">
              <w:t xml:space="preserve">17 </w:t>
            </w:r>
            <w:r w:rsidR="00F555B6">
              <w:t>NIRA performance report</w:t>
            </w:r>
            <w:r w:rsidR="006E3BB2">
              <w:t xml:space="preserve">; </w:t>
            </w:r>
            <w:r w:rsidR="002E75A0">
              <w:t>2016 in the 2015</w:t>
            </w:r>
            <w:r w:rsidR="00FA5150">
              <w:noBreakHyphen/>
            </w:r>
            <w:r w:rsidR="002E75A0">
              <w:t xml:space="preserve">16 </w:t>
            </w:r>
            <w:r w:rsidR="006E3BB2">
              <w:t xml:space="preserve">NIRA performance </w:t>
            </w:r>
            <w:r w:rsidR="002E75A0">
              <w:t>report</w:t>
            </w:r>
            <w:r w:rsidR="006E3BB2">
              <w:t xml:space="preserve">; </w:t>
            </w:r>
            <w:r w:rsidR="008B42A7">
              <w:t>2015 in the 2014</w:t>
            </w:r>
            <w:r w:rsidR="00FA5150">
              <w:noBreakHyphen/>
            </w:r>
            <w:r w:rsidR="008B42A7">
              <w:t xml:space="preserve">15 </w:t>
            </w:r>
            <w:r w:rsidR="006E3BB2">
              <w:t xml:space="preserve">NIRA performance </w:t>
            </w:r>
            <w:r w:rsidR="008B42A7">
              <w:t>report</w:t>
            </w:r>
            <w:r w:rsidR="006E3BB2">
              <w:t xml:space="preserve">; </w:t>
            </w:r>
            <w:r w:rsidR="00441699">
              <w:t>2014 in the 2013</w:t>
            </w:r>
            <w:r w:rsidR="00FA5150">
              <w:noBreakHyphen/>
            </w:r>
            <w:r w:rsidR="00441699">
              <w:t xml:space="preserve">14 </w:t>
            </w:r>
            <w:r w:rsidR="00F555B6">
              <w:t>NIRA performance report</w:t>
            </w:r>
            <w:r w:rsidR="006E3BB2">
              <w:t>;</w:t>
            </w:r>
            <w:r w:rsidR="00441699">
              <w:t xml:space="preserve"> </w:t>
            </w:r>
            <w:r w:rsidR="003C412A" w:rsidRPr="003C412A">
              <w:t>2013 in the 2012</w:t>
            </w:r>
            <w:r w:rsidR="00FA5150">
              <w:noBreakHyphen/>
            </w:r>
            <w:r w:rsidR="003C412A" w:rsidRPr="003C412A">
              <w:t xml:space="preserve">13 </w:t>
            </w:r>
            <w:r w:rsidR="00F555B6">
              <w:t>NIRA performance report</w:t>
            </w:r>
            <w:r w:rsidR="006E3BB2">
              <w:t>;</w:t>
            </w:r>
            <w:r w:rsidR="003C412A" w:rsidRPr="003C412A">
              <w:t xml:space="preserve"> 2012 in the 2011</w:t>
            </w:r>
            <w:r w:rsidR="00FA5150">
              <w:noBreakHyphen/>
            </w:r>
            <w:r w:rsidR="003C412A" w:rsidRPr="003C412A">
              <w:t xml:space="preserve">12 </w:t>
            </w:r>
            <w:r w:rsidR="00F555B6">
              <w:t>NIRA performance report</w:t>
            </w:r>
            <w:r w:rsidR="006E3BB2">
              <w:t xml:space="preserve">; </w:t>
            </w:r>
            <w:r w:rsidR="003C412A" w:rsidRPr="003C412A">
              <w:t>2011 and 2010 in the 2010</w:t>
            </w:r>
            <w:r w:rsidR="00FA5150">
              <w:noBreakHyphen/>
            </w:r>
            <w:r w:rsidR="003C412A" w:rsidRPr="003C412A">
              <w:t xml:space="preserve">11 </w:t>
            </w:r>
            <w:r w:rsidR="00F555B6">
              <w:t>NIRA performance report</w:t>
            </w:r>
            <w:r w:rsidR="006E3BB2">
              <w:t>;</w:t>
            </w:r>
            <w:r w:rsidR="003C412A" w:rsidRPr="003C412A">
              <w:t xml:space="preserve"> and</w:t>
            </w:r>
            <w:r w:rsidR="006E3BB2">
              <w:t>,</w:t>
            </w:r>
            <w:r w:rsidR="003C412A" w:rsidRPr="003C412A">
              <w:t xml:space="preserve"> 2009 and 2008 in the 2009</w:t>
            </w:r>
            <w:r w:rsidR="00FA5150">
              <w:noBreakHyphen/>
            </w:r>
            <w:r w:rsidR="003C412A" w:rsidRPr="003C412A">
              <w:t xml:space="preserve">10 </w:t>
            </w:r>
            <w:r w:rsidR="00F555B6">
              <w:t>NIRA performance report</w:t>
            </w:r>
            <w:r w:rsidR="003C412A" w:rsidRPr="003C412A">
              <w:t>.</w:t>
            </w:r>
          </w:p>
        </w:tc>
      </w:tr>
      <w:tr w:rsidR="003C412A" w14:paraId="137B76A9" w14:textId="77777777" w:rsidTr="004F04D8">
        <w:trPr>
          <w:cantSplit/>
        </w:trPr>
        <w:tc>
          <w:tcPr>
            <w:tcW w:w="8789" w:type="dxa"/>
            <w:tcBorders>
              <w:top w:val="nil"/>
              <w:left w:val="nil"/>
              <w:bottom w:val="single" w:sz="6" w:space="0" w:color="78A22F"/>
              <w:right w:val="nil"/>
            </w:tcBorders>
            <w:shd w:val="clear" w:color="auto" w:fill="F2F2F2"/>
          </w:tcPr>
          <w:p w14:paraId="7365625D" w14:textId="77777777" w:rsidR="003C412A" w:rsidRDefault="003C412A" w:rsidP="002E28E5">
            <w:pPr>
              <w:pStyle w:val="Box"/>
              <w:spacing w:before="0" w:line="60" w:lineRule="exact"/>
            </w:pPr>
          </w:p>
        </w:tc>
      </w:tr>
      <w:tr w:rsidR="003C412A" w:rsidRPr="000863A5" w14:paraId="1882D59A" w14:textId="77777777" w:rsidTr="004F04D8">
        <w:tc>
          <w:tcPr>
            <w:tcW w:w="8789" w:type="dxa"/>
            <w:tcBorders>
              <w:top w:val="single" w:sz="6" w:space="0" w:color="78A22F"/>
              <w:left w:val="nil"/>
              <w:bottom w:val="nil"/>
              <w:right w:val="nil"/>
            </w:tcBorders>
          </w:tcPr>
          <w:p w14:paraId="0283E207" w14:textId="77777777" w:rsidR="003C412A" w:rsidRPr="006E3BB2" w:rsidRDefault="003C412A" w:rsidP="008822BF">
            <w:pPr>
              <w:pStyle w:val="BoxSpaceBelow"/>
            </w:pPr>
          </w:p>
        </w:tc>
      </w:tr>
    </w:tbl>
    <w:p w14:paraId="2D0D59D6" w14:textId="77777777" w:rsidR="006E3BB2" w:rsidRDefault="006E3BB2" w:rsidP="006E3BB2">
      <w:pPr>
        <w:pStyle w:val="BoxSpaceAbove"/>
        <w:spacing w:before="240"/>
      </w:pPr>
      <w:bookmarkStart w:id="32" w:name="_Ref277842862"/>
      <w:bookmarkStart w:id="33" w:name="_Ref341361590"/>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6E3BB2" w14:paraId="4594F0AA" w14:textId="77777777" w:rsidTr="000D6945">
        <w:tc>
          <w:tcPr>
            <w:tcW w:w="8789" w:type="dxa"/>
            <w:tcBorders>
              <w:top w:val="single" w:sz="6" w:space="0" w:color="78A22F"/>
              <w:left w:val="nil"/>
              <w:bottom w:val="nil"/>
              <w:right w:val="nil"/>
            </w:tcBorders>
            <w:shd w:val="clear" w:color="auto" w:fill="F2F2F2"/>
          </w:tcPr>
          <w:p w14:paraId="743C3A49" w14:textId="6B9F6FB9" w:rsidR="006E3BB2" w:rsidRDefault="006E3BB2" w:rsidP="00A4563D">
            <w:pPr>
              <w:pStyle w:val="BoxTitle"/>
            </w:pPr>
            <w:r w:rsidRPr="00BC48C3">
              <w:rPr>
                <w:b w:val="0"/>
              </w:rPr>
              <w:t>Box</w:t>
            </w:r>
            <w:r w:rsidRPr="00BE6154">
              <w:rPr>
                <w:b w:val="0"/>
              </w:rPr>
              <w:t xml:space="preserve"> </w:t>
            </w:r>
            <w:r w:rsidRPr="003C599F">
              <w:rPr>
                <w:b w:val="0"/>
              </w:rPr>
              <w:t>3</w:t>
            </w:r>
            <w:r w:rsidR="00A4563D">
              <w:rPr>
                <w:b w:val="0"/>
              </w:rPr>
              <w:t>5</w:t>
            </w:r>
            <w:r w:rsidRPr="00BC48C3">
              <w:tab/>
              <w:t>Comment on data quality</w:t>
            </w:r>
          </w:p>
        </w:tc>
      </w:tr>
      <w:tr w:rsidR="006E3BB2" w:rsidRPr="003C412A" w14:paraId="68EA30D7" w14:textId="77777777" w:rsidTr="000D6945">
        <w:trPr>
          <w:cantSplit/>
        </w:trPr>
        <w:tc>
          <w:tcPr>
            <w:tcW w:w="8789" w:type="dxa"/>
            <w:tcBorders>
              <w:top w:val="nil"/>
              <w:left w:val="nil"/>
              <w:bottom w:val="nil"/>
              <w:right w:val="nil"/>
            </w:tcBorders>
            <w:shd w:val="clear" w:color="auto" w:fill="F2F2F2"/>
          </w:tcPr>
          <w:p w14:paraId="7DE18431" w14:textId="77777777" w:rsidR="006E3BB2" w:rsidRPr="00D651EC" w:rsidRDefault="006E3BB2" w:rsidP="000D6945">
            <w:pPr>
              <w:pStyle w:val="Box"/>
            </w:pPr>
            <w:r w:rsidRPr="00D651EC">
              <w:t>Key points on data quality for this indicator are summarised below.</w:t>
            </w:r>
          </w:p>
          <w:p w14:paraId="4F995538" w14:textId="77777777" w:rsidR="006E3BB2" w:rsidRPr="00D651EC" w:rsidRDefault="006E3BB2" w:rsidP="000D6945">
            <w:pPr>
              <w:pStyle w:val="BoxListBullet"/>
            </w:pPr>
            <w:r w:rsidRPr="00D651EC">
              <w:t>The data provide relevant information on the literacy and numeracy participation and achievement of year 3, 5, 7 and 9 students in national testing for the learning domains of reading, writing and numeracy.</w:t>
            </w:r>
          </w:p>
          <w:p w14:paraId="48672447" w14:textId="4386BBE2" w:rsidR="006E3BB2" w:rsidRPr="00D651EC" w:rsidRDefault="006E3BB2" w:rsidP="000D6945">
            <w:pPr>
              <w:pStyle w:val="BoxListBullet"/>
            </w:pPr>
            <w:r w:rsidRPr="00D651EC">
              <w:t xml:space="preserve">All data are collected annually. The most recent data available are for </w:t>
            </w:r>
            <w:r>
              <w:t>2019</w:t>
            </w:r>
            <w:r w:rsidRPr="00D651EC">
              <w:t>.</w:t>
            </w:r>
          </w:p>
          <w:p w14:paraId="37E796F4" w14:textId="108F89E6" w:rsidR="006E3BB2" w:rsidRDefault="006E3BB2" w:rsidP="000D6945">
            <w:pPr>
              <w:pStyle w:val="BoxListBullet"/>
            </w:pPr>
            <w:r w:rsidRPr="00D651EC">
              <w:t>Data are available by State and Territory by Indigenous status</w:t>
            </w:r>
            <w:r w:rsidR="00A4563D">
              <w:t xml:space="preserve"> and</w:t>
            </w:r>
            <w:r w:rsidRPr="00D651EC">
              <w:t xml:space="preserve"> by </w:t>
            </w:r>
            <w:r>
              <w:t>remoteness</w:t>
            </w:r>
            <w:r w:rsidRPr="00D651EC">
              <w:t>.</w:t>
            </w:r>
          </w:p>
          <w:p w14:paraId="4A96DC57" w14:textId="10D42752" w:rsidR="006E3BB2" w:rsidRPr="00D651EC" w:rsidRDefault="006E3BB2" w:rsidP="000D6945">
            <w:pPr>
              <w:pStyle w:val="BoxListBullet"/>
            </w:pPr>
            <w:r w:rsidRPr="00D651EC">
              <w:t xml:space="preserve">Students are classified in four ways: assessed, exempt, absent and withdrawn. </w:t>
            </w:r>
            <w:r w:rsidR="00A4563D" w:rsidRPr="00D651EC">
              <w:t xml:space="preserve">Exempt students </w:t>
            </w:r>
            <w:r w:rsidR="001174D8">
              <w:t xml:space="preserve">do not sit the test </w:t>
            </w:r>
            <w:r w:rsidR="00A4563D" w:rsidRPr="00D651EC">
              <w:t xml:space="preserve">and </w:t>
            </w:r>
            <w:r w:rsidR="001174D8">
              <w:t xml:space="preserve">for reporting purposes </w:t>
            </w:r>
            <w:r w:rsidR="00A4563D" w:rsidRPr="00D651EC">
              <w:t xml:space="preserve">are deemed not to have met the national minimum standard. </w:t>
            </w:r>
            <w:r w:rsidR="003D1963">
              <w:t xml:space="preserve">The reported statistics include results for absent </w:t>
            </w:r>
            <w:r w:rsidR="00A4563D" w:rsidRPr="00D651EC">
              <w:t xml:space="preserve">and withdrawn students </w:t>
            </w:r>
            <w:r w:rsidR="003D1963">
              <w:t>that have been statistically imputed</w:t>
            </w:r>
            <w:r w:rsidR="00A4563D" w:rsidRPr="00D651EC">
              <w:t xml:space="preserve">. </w:t>
            </w:r>
            <w:r w:rsidRPr="00D651EC">
              <w:t>Data are provided on the proportion of students who were exempt, absent and withdrawn.</w:t>
            </w:r>
          </w:p>
          <w:p w14:paraId="27CEE271" w14:textId="0BFB0A37" w:rsidR="00A4563D" w:rsidRDefault="00A4563D" w:rsidP="00A4563D">
            <w:pPr>
              <w:pStyle w:val="BoxListBullet"/>
            </w:pPr>
            <w:r>
              <w:t>Remoteness data are based on: the 2016 ASGS from 201</w:t>
            </w:r>
            <w:r w:rsidR="009F5125">
              <w:t>9</w:t>
            </w:r>
            <w:r>
              <w:t xml:space="preserve"> onwards; the 2011 ASGS for years 201</w:t>
            </w:r>
            <w:r w:rsidR="009F5125">
              <w:t>6</w:t>
            </w:r>
            <w:r>
              <w:t xml:space="preserve"> to 201</w:t>
            </w:r>
            <w:r w:rsidR="009F5125">
              <w:t>8</w:t>
            </w:r>
            <w:r>
              <w:t xml:space="preserve">; and, </w:t>
            </w:r>
            <w:r w:rsidR="009F5125">
              <w:t>the Ministerial Council for Education, Early Childhood Development and Youth Affairs (MCEECDYA) geographical location classification</w:t>
            </w:r>
            <w:r>
              <w:t xml:space="preserve"> for years prior to 201</w:t>
            </w:r>
            <w:r w:rsidR="009F5125">
              <w:t>6</w:t>
            </w:r>
            <w:r>
              <w:t xml:space="preserve">. Care should be </w:t>
            </w:r>
            <w:r w:rsidR="001A2FAE">
              <w:t xml:space="preserve">taken when </w:t>
            </w:r>
            <w:r w:rsidRPr="00A675C3">
              <w:t xml:space="preserve">comparing </w:t>
            </w:r>
            <w:r>
              <w:t xml:space="preserve">remoteness area </w:t>
            </w:r>
            <w:r w:rsidRPr="00A675C3">
              <w:t xml:space="preserve">data </w:t>
            </w:r>
            <w:r>
              <w:t>over time</w:t>
            </w:r>
            <w:r w:rsidRPr="00A675C3">
              <w:t xml:space="preserve">, as </w:t>
            </w:r>
            <w:r>
              <w:t xml:space="preserve">the </w:t>
            </w:r>
            <w:r w:rsidRPr="00A675C3">
              <w:t>2016 ASGS</w:t>
            </w:r>
            <w:r>
              <w:t xml:space="preserve">, 2011 ASGS and </w:t>
            </w:r>
            <w:r w:rsidR="009F5125">
              <w:t>MCEECDYA geographic location classification</w:t>
            </w:r>
            <w:r w:rsidRPr="00A675C3">
              <w:t xml:space="preserve"> </w:t>
            </w:r>
            <w:r>
              <w:t>do not have the same geographical boundaries</w:t>
            </w:r>
            <w:r w:rsidRPr="00A675C3">
              <w:t>.</w:t>
            </w:r>
            <w:r>
              <w:t xml:space="preserve"> </w:t>
            </w:r>
          </w:p>
          <w:p w14:paraId="188FDD4F" w14:textId="77777777" w:rsidR="006E3BB2" w:rsidRPr="00D651EC" w:rsidRDefault="006E3BB2" w:rsidP="000D6945">
            <w:pPr>
              <w:pStyle w:val="BoxListBullet"/>
            </w:pPr>
            <w:r w:rsidRPr="00D651EC">
              <w:t>Detailed explanatory notes are publicly available to assist in interpretation.</w:t>
            </w:r>
          </w:p>
          <w:p w14:paraId="6229E229" w14:textId="05E37C7B" w:rsidR="006E3BB2" w:rsidRPr="00D651EC" w:rsidRDefault="006E3BB2" w:rsidP="000D6945">
            <w:pPr>
              <w:pStyle w:val="BoxListBullet"/>
            </w:pPr>
            <w:r w:rsidRPr="00D651EC">
              <w:t>Additional data from the data source are available on</w:t>
            </w:r>
            <w:r w:rsidR="00FA5150">
              <w:noBreakHyphen/>
            </w:r>
            <w:r w:rsidRPr="00D651EC">
              <w:t>line.</w:t>
            </w:r>
          </w:p>
          <w:p w14:paraId="7BD61D27" w14:textId="77777777" w:rsidR="006E3BB2" w:rsidRPr="00D651EC" w:rsidRDefault="006E3BB2" w:rsidP="000D6945">
            <w:pPr>
              <w:pStyle w:val="Box"/>
            </w:pPr>
            <w:r w:rsidRPr="00D651EC">
              <w:t>The Steering Committee also notes the following issues.</w:t>
            </w:r>
          </w:p>
          <w:p w14:paraId="60294E56" w14:textId="5B384176" w:rsidR="006E3BB2" w:rsidRDefault="006E3BB2" w:rsidP="000D6945">
            <w:pPr>
              <w:pStyle w:val="BoxListBullet"/>
            </w:pPr>
            <w:r w:rsidRPr="00D651EC">
              <w:t>In 2011 there was a break in the time series for writing achievement results. Data for 2011 to 201</w:t>
            </w:r>
            <w:r w:rsidR="008E712F">
              <w:t>9</w:t>
            </w:r>
            <w:r w:rsidRPr="00D651EC">
              <w:t xml:space="preserve"> inclusive are comparable</w:t>
            </w:r>
            <w:r w:rsidR="00A4563D">
              <w:t>,</w:t>
            </w:r>
            <w:r w:rsidRPr="00D651EC">
              <w:t xml:space="preserve"> but </w:t>
            </w:r>
            <w:r w:rsidR="00A4563D">
              <w:t xml:space="preserve">they are </w:t>
            </w:r>
            <w:r w:rsidRPr="00D651EC">
              <w:t xml:space="preserve">not </w:t>
            </w:r>
            <w:r w:rsidR="00A4563D">
              <w:t xml:space="preserve">comparable </w:t>
            </w:r>
            <w:r w:rsidRPr="00D651EC">
              <w:t>to previous years (2008 to 2010).</w:t>
            </w:r>
          </w:p>
          <w:p w14:paraId="6DD5E1D7" w14:textId="5FF34C51" w:rsidR="00885EA7" w:rsidRDefault="00046720" w:rsidP="00B80C34">
            <w:pPr>
              <w:pStyle w:val="BoxListBullet"/>
            </w:pPr>
            <w:r>
              <w:t>Commencing in 2018, NAPLAN is transitioning</w:t>
            </w:r>
            <w:r w:rsidR="00885EA7" w:rsidRPr="00885EA7">
              <w:t xml:space="preserve"> from a</w:t>
            </w:r>
            <w:r w:rsidR="00A50CC1">
              <w:t xml:space="preserve"> </w:t>
            </w:r>
            <w:r w:rsidR="00885EA7" w:rsidRPr="00885EA7">
              <w:t>paper test to an online test</w:t>
            </w:r>
            <w:r w:rsidR="00885EA7">
              <w:t xml:space="preserve">. For the 2018 and 2019 transition years, the online test results </w:t>
            </w:r>
            <w:r w:rsidR="000D0707">
              <w:t>have been</w:t>
            </w:r>
            <w:r w:rsidR="00885EA7">
              <w:t xml:space="preserve"> equated with the paper tests</w:t>
            </w:r>
            <w:r w:rsidR="00B80C34">
              <w:t xml:space="preserve"> so that the results can be compared and reported on the same NAPLAN achievement scale</w:t>
            </w:r>
            <w:r w:rsidR="00885EA7">
              <w:t xml:space="preserve">. </w:t>
            </w:r>
          </w:p>
          <w:p w14:paraId="7A3BF31A" w14:textId="77777777" w:rsidR="006E3BB2" w:rsidRPr="00D651EC" w:rsidRDefault="006E3BB2" w:rsidP="000D6945">
            <w:pPr>
              <w:pStyle w:val="BoxListBullet"/>
            </w:pPr>
            <w:r w:rsidRPr="00D651EC">
              <w:t>Relevant confidence intervals should be considered when interpreting the data in this report. Confidence intervals have not been provided with this report, as different confidence intervals are relevant to different analyses.</w:t>
            </w:r>
          </w:p>
        </w:tc>
      </w:tr>
      <w:tr w:rsidR="006E3BB2" w14:paraId="45EC32F5" w14:textId="77777777" w:rsidTr="000D6945">
        <w:trPr>
          <w:cantSplit/>
        </w:trPr>
        <w:tc>
          <w:tcPr>
            <w:tcW w:w="8789" w:type="dxa"/>
            <w:tcBorders>
              <w:top w:val="nil"/>
              <w:left w:val="nil"/>
              <w:bottom w:val="single" w:sz="6" w:space="0" w:color="78A22F"/>
              <w:right w:val="nil"/>
            </w:tcBorders>
            <w:shd w:val="clear" w:color="auto" w:fill="F2F2F2"/>
          </w:tcPr>
          <w:p w14:paraId="7B60A6CE" w14:textId="77777777" w:rsidR="006E3BB2" w:rsidRDefault="006E3BB2" w:rsidP="000D6945">
            <w:pPr>
              <w:pStyle w:val="Box"/>
              <w:spacing w:before="0" w:line="60" w:lineRule="exact"/>
            </w:pPr>
          </w:p>
        </w:tc>
      </w:tr>
      <w:tr w:rsidR="006E3BB2" w:rsidRPr="000863A5" w14:paraId="6DBAB8D4" w14:textId="77777777" w:rsidTr="000D6945">
        <w:tc>
          <w:tcPr>
            <w:tcW w:w="8789" w:type="dxa"/>
            <w:tcBorders>
              <w:top w:val="single" w:sz="6" w:space="0" w:color="78A22F"/>
              <w:left w:val="nil"/>
              <w:bottom w:val="nil"/>
              <w:right w:val="nil"/>
            </w:tcBorders>
          </w:tcPr>
          <w:p w14:paraId="116BC03E" w14:textId="77777777" w:rsidR="006E3BB2" w:rsidRPr="008327DB" w:rsidRDefault="006E3BB2" w:rsidP="008327DB">
            <w:pPr>
              <w:pStyle w:val="BoxSpaceBelow"/>
            </w:pPr>
          </w:p>
        </w:tc>
      </w:tr>
    </w:tbl>
    <w:p w14:paraId="11ED0BE6" w14:textId="77777777" w:rsidR="00D87227" w:rsidRDefault="00D87227" w:rsidP="008327DB">
      <w:pPr>
        <w:pStyle w:val="BodyText"/>
      </w:pPr>
      <w:r>
        <w:br w:type="page"/>
      </w:r>
    </w:p>
    <w:p w14:paraId="4AAF675C" w14:textId="2DDCFD45" w:rsidR="003C412A" w:rsidRPr="00921D4D" w:rsidRDefault="003C412A" w:rsidP="003C412A">
      <w:pPr>
        <w:pStyle w:val="Heading3"/>
      </w:pPr>
      <w:r w:rsidRPr="00921D4D">
        <w:lastRenderedPageBreak/>
        <w:t xml:space="preserve">Indicator 12: </w:t>
      </w:r>
      <w:bookmarkEnd w:id="32"/>
      <w:r>
        <w:t>Attainment of Year 12 or equivalent</w:t>
      </w:r>
      <w:bookmarkEnd w:id="33"/>
    </w:p>
    <w:p w14:paraId="461D1275" w14:textId="77777777" w:rsidR="003C412A" w:rsidRPr="00263492" w:rsidRDefault="003C412A" w:rsidP="003C412A">
      <w:pPr>
        <w:keepNext/>
      </w:pPr>
    </w:p>
    <w:tbl>
      <w:tblPr>
        <w:tblW w:w="0" w:type="auto"/>
        <w:tblCellMar>
          <w:right w:w="0" w:type="dxa"/>
        </w:tblCellMar>
        <w:tblLook w:val="0000" w:firstRow="0" w:lastRow="0" w:firstColumn="0" w:lastColumn="0" w:noHBand="0" w:noVBand="0"/>
      </w:tblPr>
      <w:tblGrid>
        <w:gridCol w:w="2080"/>
        <w:gridCol w:w="6709"/>
      </w:tblGrid>
      <w:tr w:rsidR="003C412A" w:rsidRPr="00D87AA9" w14:paraId="33D90510" w14:textId="77777777" w:rsidTr="004F04D8">
        <w:tc>
          <w:tcPr>
            <w:tcW w:w="2080" w:type="dxa"/>
          </w:tcPr>
          <w:p w14:paraId="6890605B" w14:textId="66E3A0A4" w:rsidR="003C412A" w:rsidRPr="00D87AA9" w:rsidRDefault="003C412A" w:rsidP="00523EC2">
            <w:pPr>
              <w:pStyle w:val="TableBodyNA"/>
            </w:pPr>
            <w:r w:rsidRPr="00B82DC5">
              <w:t>Key amendments fr</w:t>
            </w:r>
            <w:r w:rsidR="004F04D8">
              <w:t>om previous cycle of reporting:</w:t>
            </w:r>
          </w:p>
        </w:tc>
        <w:tc>
          <w:tcPr>
            <w:tcW w:w="6709" w:type="dxa"/>
          </w:tcPr>
          <w:p w14:paraId="05CD6644" w14:textId="621F1F82" w:rsidR="003C412A" w:rsidRPr="00D87AA9" w:rsidRDefault="00365846" w:rsidP="00523EC2">
            <w:pPr>
              <w:pStyle w:val="TableBodyNA"/>
            </w:pPr>
            <w:r w:rsidRPr="00365846">
              <w:t>This indicator is unchanged from the previous NIRA performance report</w:t>
            </w:r>
            <w:r>
              <w:t>.</w:t>
            </w:r>
          </w:p>
        </w:tc>
      </w:tr>
      <w:tr w:rsidR="003C412A" w:rsidRPr="00D87AA9" w14:paraId="70F6893D" w14:textId="77777777" w:rsidTr="004F04D8">
        <w:tc>
          <w:tcPr>
            <w:tcW w:w="2080" w:type="dxa"/>
          </w:tcPr>
          <w:p w14:paraId="27A3FFCB" w14:textId="77777777" w:rsidR="003C412A" w:rsidRPr="00D87AA9" w:rsidRDefault="003C412A" w:rsidP="00523EC2">
            <w:pPr>
              <w:pStyle w:val="TableBodyNA"/>
            </w:pPr>
            <w:r w:rsidRPr="00D87AA9">
              <w:t>Target:</w:t>
            </w:r>
          </w:p>
        </w:tc>
        <w:tc>
          <w:tcPr>
            <w:tcW w:w="6709" w:type="dxa"/>
          </w:tcPr>
          <w:p w14:paraId="59A6D998" w14:textId="4596AADD" w:rsidR="003C412A" w:rsidRPr="00D87AA9" w:rsidRDefault="003C412A" w:rsidP="00523EC2">
            <w:pPr>
              <w:pStyle w:val="TableBodyNA"/>
            </w:pPr>
            <w:r w:rsidRPr="00C44109">
              <w:t>Halving the gap for Indigenous people aged 20</w:t>
            </w:r>
            <w:r w:rsidR="00F8458B">
              <w:t>–</w:t>
            </w:r>
            <w:r w:rsidRPr="00C44109">
              <w:t>24 in Year 12 attainment or equivalent attainment rates (by 2020)</w:t>
            </w:r>
          </w:p>
        </w:tc>
      </w:tr>
      <w:tr w:rsidR="003C412A" w:rsidRPr="00D87AA9" w14:paraId="1BEDF86A" w14:textId="77777777" w:rsidTr="004F04D8">
        <w:tc>
          <w:tcPr>
            <w:tcW w:w="2080" w:type="dxa"/>
          </w:tcPr>
          <w:p w14:paraId="3CFBCE04" w14:textId="77777777" w:rsidR="003C412A" w:rsidRPr="00D87AA9" w:rsidRDefault="003C412A" w:rsidP="00523EC2">
            <w:pPr>
              <w:pStyle w:val="TableBodyNA"/>
            </w:pPr>
            <w:r w:rsidRPr="00D87AA9">
              <w:t>Measure:</w:t>
            </w:r>
          </w:p>
        </w:tc>
        <w:tc>
          <w:tcPr>
            <w:tcW w:w="6709" w:type="dxa"/>
          </w:tcPr>
          <w:p w14:paraId="231B35D0" w14:textId="77777777" w:rsidR="003C412A" w:rsidRDefault="003C412A" w:rsidP="00523EC2">
            <w:pPr>
              <w:pStyle w:val="TableBodyNA"/>
            </w:pPr>
            <w:r>
              <w:t>There are two measures for this indicator:</w:t>
            </w:r>
          </w:p>
          <w:p w14:paraId="31CEEC30" w14:textId="77777777" w:rsidR="003C412A" w:rsidRDefault="003C412A" w:rsidP="00523EC2">
            <w:pPr>
              <w:pStyle w:val="TableBodyNA"/>
            </w:pPr>
            <w:r>
              <w:t>Measure 12(a): Proportion of the 20−24 year old population having attained at least a Year 12 or equivalent or Australian Qualifications Framework (AQF) Certificate level II or above, by Indigenous status</w:t>
            </w:r>
          </w:p>
          <w:p w14:paraId="3B8FEFC4" w14:textId="035F23EC" w:rsidR="003C412A" w:rsidRPr="00D87AA9" w:rsidRDefault="003C412A" w:rsidP="00523EC2">
            <w:pPr>
              <w:pStyle w:val="TableBodyNA"/>
            </w:pPr>
            <w:r>
              <w:t>Measure 12(b): Year 12 certification, by Indigenous st</w:t>
            </w:r>
            <w:r w:rsidR="004F04D8">
              <w:t>atus</w:t>
            </w:r>
          </w:p>
        </w:tc>
      </w:tr>
      <w:tr w:rsidR="003C412A" w:rsidRPr="00D87AA9" w14:paraId="7BD2531D" w14:textId="77777777" w:rsidTr="004F04D8">
        <w:tc>
          <w:tcPr>
            <w:tcW w:w="2080" w:type="dxa"/>
          </w:tcPr>
          <w:p w14:paraId="135FB58E" w14:textId="77777777" w:rsidR="003C412A" w:rsidRPr="00D87AA9" w:rsidRDefault="003C412A" w:rsidP="00523EC2">
            <w:pPr>
              <w:pStyle w:val="TableBodyNA"/>
            </w:pPr>
            <w:r w:rsidRPr="006B76DE">
              <w:t>Measure 12(a)</w:t>
            </w:r>
          </w:p>
        </w:tc>
        <w:tc>
          <w:tcPr>
            <w:tcW w:w="6709" w:type="dxa"/>
          </w:tcPr>
          <w:p w14:paraId="59C4C128" w14:textId="77777777" w:rsidR="003C412A" w:rsidRDefault="003C412A" w:rsidP="00523EC2">
            <w:pPr>
              <w:pStyle w:val="TableBodyNA"/>
            </w:pPr>
            <w:r>
              <w:t>Proportion of the 20–24 year old population having attained at least a Year 12 or equivalent or AQF Certificate II or above, by Indigenous status</w:t>
            </w:r>
          </w:p>
          <w:p w14:paraId="7AC82600" w14:textId="77777777" w:rsidR="003C412A" w:rsidRDefault="003C412A" w:rsidP="00523EC2">
            <w:pPr>
              <w:pStyle w:val="TableBodyNA"/>
            </w:pPr>
            <w:r>
              <w:t>The measure is defined as:</w:t>
            </w:r>
          </w:p>
          <w:p w14:paraId="6B66B5C6" w14:textId="29323C9B" w:rsidR="003C412A" w:rsidRDefault="003C412A" w:rsidP="004C6DAF">
            <w:pPr>
              <w:pStyle w:val="TableBullet"/>
              <w:rPr>
                <w:szCs w:val="24"/>
              </w:rPr>
            </w:pPr>
            <w:r w:rsidRPr="00FF30DB">
              <w:rPr>
                <w:i/>
              </w:rPr>
              <w:t>Numerator</w:t>
            </w:r>
            <w:r>
              <w:t xml:space="preserve"> — people aged 20–24 years who have completed year 12 or equivalent or whose level of highest non</w:t>
            </w:r>
            <w:r w:rsidR="00FA5150">
              <w:noBreakHyphen/>
            </w:r>
            <w:r>
              <w:t>school qualification is at AQF Certificate II or equivalent or above</w:t>
            </w:r>
          </w:p>
          <w:p w14:paraId="5E585CCC" w14:textId="77777777" w:rsidR="003C412A" w:rsidRDefault="003C412A" w:rsidP="004C6DAF">
            <w:pPr>
              <w:pStyle w:val="TableBullet"/>
              <w:rPr>
                <w:szCs w:val="24"/>
              </w:rPr>
            </w:pPr>
            <w:r w:rsidRPr="00FF30DB">
              <w:rPr>
                <w:i/>
              </w:rPr>
              <w:t>Denominator</w:t>
            </w:r>
            <w:r>
              <w:t xml:space="preserve"> — total population of people aged 20–24 years </w:t>
            </w:r>
          </w:p>
          <w:p w14:paraId="7EECDF4A" w14:textId="77777777" w:rsidR="003C412A" w:rsidRDefault="003C412A" w:rsidP="00523EC2">
            <w:pPr>
              <w:pStyle w:val="TableBodyNA"/>
            </w:pPr>
            <w:r>
              <w:t xml:space="preserve">and is presented as a </w:t>
            </w:r>
            <w:r w:rsidR="00F8458B">
              <w:rPr>
                <w:i/>
              </w:rPr>
              <w:t>percentage</w:t>
            </w:r>
          </w:p>
          <w:p w14:paraId="6D7A0AF3" w14:textId="77777777" w:rsidR="003C412A" w:rsidRDefault="003C412A" w:rsidP="00523EC2">
            <w:pPr>
              <w:pStyle w:val="TableBodyNA"/>
            </w:pPr>
            <w:r w:rsidRPr="00AE6ED6">
              <w:rPr>
                <w:u w:val="single"/>
              </w:rPr>
              <w:t>Census and SEW data:</w:t>
            </w:r>
            <w:r>
              <w:t xml:space="preserve"> People whose level of attainment is determined to be certificate level but is not able to be further defined (ie, Certificate nfd) are assumed to have attained below Certificate level II and are therefore excluded from the numerator</w:t>
            </w:r>
          </w:p>
          <w:p w14:paraId="5405D365" w14:textId="77777777" w:rsidR="003C412A" w:rsidRDefault="003C412A" w:rsidP="00523EC2">
            <w:pPr>
              <w:pStyle w:val="TableBodyNA"/>
            </w:pPr>
            <w:r w:rsidRPr="00AE6ED6">
              <w:rPr>
                <w:u w:val="single"/>
              </w:rPr>
              <w:t>SEW data:</w:t>
            </w:r>
            <w:r>
              <w:t xml:space="preserve"> people whose highest level of attainment cannot be determined are assumed to have attained below Certificate II and are therefore not included in the numerator</w:t>
            </w:r>
          </w:p>
          <w:p w14:paraId="6F611E3F" w14:textId="00E96844" w:rsidR="003C412A" w:rsidRPr="00D87AA9" w:rsidRDefault="003C412A" w:rsidP="00523EC2">
            <w:pPr>
              <w:pStyle w:val="TableBodyNA"/>
            </w:pPr>
            <w:r w:rsidRPr="00AE6ED6">
              <w:rPr>
                <w:u w:val="single"/>
              </w:rPr>
              <w:t>Census data:</w:t>
            </w:r>
            <w:r>
              <w:t xml:space="preserve"> People who did not state if they had a non</w:t>
            </w:r>
            <w:r w:rsidR="00FA5150">
              <w:noBreakHyphen/>
            </w:r>
            <w:r>
              <w:t>school qualification (or whose level of education was inadequately described) and did not have Year 12, are excluded from the calculation (numerator and denominator). People who did not state their highest year of school and did not have a qualification at certificate II leve</w:t>
            </w:r>
            <w:r w:rsidR="004F04D8">
              <w:t xml:space="preserve">l or above, are also excluded. </w:t>
            </w:r>
          </w:p>
        </w:tc>
      </w:tr>
      <w:tr w:rsidR="003C412A" w:rsidRPr="00D87AA9" w14:paraId="040A1D5E" w14:textId="77777777" w:rsidTr="004F04D8">
        <w:tc>
          <w:tcPr>
            <w:tcW w:w="2080" w:type="dxa"/>
          </w:tcPr>
          <w:p w14:paraId="4ECB8608" w14:textId="77777777" w:rsidR="003C412A" w:rsidRPr="00D87AA9" w:rsidRDefault="003C412A" w:rsidP="00523EC2">
            <w:pPr>
              <w:pStyle w:val="TableBodyNA"/>
            </w:pPr>
            <w:r w:rsidRPr="006B76DE">
              <w:t>Measure 12(b)</w:t>
            </w:r>
          </w:p>
        </w:tc>
        <w:tc>
          <w:tcPr>
            <w:tcW w:w="6709" w:type="dxa"/>
          </w:tcPr>
          <w:p w14:paraId="1F0AFFF5" w14:textId="484E2B4B" w:rsidR="003C412A" w:rsidRPr="00523EC2" w:rsidRDefault="003C412A" w:rsidP="00523EC2">
            <w:pPr>
              <w:pStyle w:val="TableBodyNA"/>
              <w:rPr>
                <w:u w:val="single"/>
              </w:rPr>
            </w:pPr>
            <w:r w:rsidRPr="00523EC2">
              <w:rPr>
                <w:u w:val="single"/>
              </w:rPr>
              <w:t>Measure yet to be developed</w:t>
            </w:r>
          </w:p>
        </w:tc>
      </w:tr>
      <w:tr w:rsidR="003C412A" w:rsidRPr="00D87AA9" w14:paraId="741C4896" w14:textId="77777777" w:rsidTr="004F04D8">
        <w:tc>
          <w:tcPr>
            <w:tcW w:w="2080" w:type="dxa"/>
          </w:tcPr>
          <w:p w14:paraId="13155DF1" w14:textId="77777777" w:rsidR="003C412A" w:rsidRPr="00D87AA9" w:rsidRDefault="003C412A" w:rsidP="00523EC2">
            <w:pPr>
              <w:pStyle w:val="TableBodyNA"/>
            </w:pPr>
            <w:r w:rsidRPr="00D87AA9">
              <w:t>Data source</w:t>
            </w:r>
            <w:r>
              <w:t xml:space="preserve"> </w:t>
            </w:r>
            <w:r>
              <w:br/>
              <w:t>(Measure 12(a)):</w:t>
            </w:r>
          </w:p>
        </w:tc>
        <w:tc>
          <w:tcPr>
            <w:tcW w:w="6709" w:type="dxa"/>
          </w:tcPr>
          <w:p w14:paraId="35C1A245" w14:textId="77777777" w:rsidR="003C412A" w:rsidRPr="00523EC2" w:rsidRDefault="003C412A" w:rsidP="00523EC2">
            <w:pPr>
              <w:pStyle w:val="TableBodyNA"/>
              <w:rPr>
                <w:u w:val="single"/>
              </w:rPr>
            </w:pPr>
            <w:r w:rsidRPr="00523EC2">
              <w:rPr>
                <w:u w:val="single"/>
              </w:rPr>
              <w:t>Main data collection</w:t>
            </w:r>
          </w:p>
          <w:p w14:paraId="607B01FD" w14:textId="77777777" w:rsidR="003C412A" w:rsidRDefault="003C412A" w:rsidP="00523EC2">
            <w:pPr>
              <w:pStyle w:val="TableBodyNA"/>
            </w:pPr>
            <w:r w:rsidRPr="00FF30DB">
              <w:rPr>
                <w:i/>
              </w:rPr>
              <w:t>Numerator and denominator</w:t>
            </w:r>
            <w:r>
              <w:t xml:space="preserve"> — (Indigenous status</w:t>
            </w:r>
            <w:r w:rsidR="00454758">
              <w:t>) ABS</w:t>
            </w:r>
            <w:r>
              <w:t xml:space="preserve"> </w:t>
            </w:r>
            <w:r w:rsidRPr="00FF30DB">
              <w:rPr>
                <w:u w:val="single"/>
              </w:rPr>
              <w:t>Census of Population and Housing</w:t>
            </w:r>
            <w:r>
              <w:t xml:space="preserve"> (Census count of population). Data are available every 5 years.</w:t>
            </w:r>
          </w:p>
          <w:p w14:paraId="55DA2C0A" w14:textId="77777777" w:rsidR="003C412A" w:rsidRPr="00523EC2" w:rsidRDefault="003C412A" w:rsidP="00523EC2">
            <w:pPr>
              <w:pStyle w:val="TableBodyNA"/>
              <w:rPr>
                <w:u w:val="single"/>
              </w:rPr>
            </w:pPr>
            <w:r w:rsidRPr="00523EC2">
              <w:rPr>
                <w:u w:val="single"/>
              </w:rPr>
              <w:t>Supplementary data collection</w:t>
            </w:r>
          </w:p>
          <w:p w14:paraId="2DD86A01" w14:textId="77777777" w:rsidR="003C412A" w:rsidRDefault="003C412A" w:rsidP="00523EC2">
            <w:pPr>
              <w:pStyle w:val="TableBodyNA"/>
            </w:pPr>
            <w:r w:rsidRPr="00FF30DB">
              <w:rPr>
                <w:i/>
              </w:rPr>
              <w:t>Numerator and denominator</w:t>
            </w:r>
            <w:r>
              <w:t xml:space="preserve"> — </w:t>
            </w:r>
          </w:p>
          <w:p w14:paraId="62677131" w14:textId="780260FF" w:rsidR="003C412A" w:rsidRDefault="003C412A" w:rsidP="00523EC2">
            <w:pPr>
              <w:pStyle w:val="TableBodyNA"/>
            </w:pPr>
            <w:r>
              <w:t>(</w:t>
            </w:r>
            <w:r w:rsidR="00A51293">
              <w:t>Aboriginal and Torres Strait Islander</w:t>
            </w:r>
            <w:r>
              <w:t xml:space="preserve">) ABS </w:t>
            </w:r>
            <w:r w:rsidRPr="00FF30DB">
              <w:rPr>
                <w:u w:val="single"/>
              </w:rPr>
              <w:t xml:space="preserve">National Aboriginal and Torres Strait Islander </w:t>
            </w:r>
            <w:r w:rsidR="008327DB">
              <w:rPr>
                <w:u w:val="single"/>
              </w:rPr>
              <w:t>Health</w:t>
            </w:r>
            <w:r w:rsidR="008327DB" w:rsidRPr="00FF30DB">
              <w:rPr>
                <w:u w:val="single"/>
              </w:rPr>
              <w:t xml:space="preserve"> </w:t>
            </w:r>
            <w:r w:rsidRPr="00FF30DB">
              <w:rPr>
                <w:u w:val="single"/>
              </w:rPr>
              <w:t>Survey</w:t>
            </w:r>
            <w:r>
              <w:t xml:space="preserve"> (</w:t>
            </w:r>
            <w:r w:rsidR="008327DB">
              <w:t>NATSIHS</w:t>
            </w:r>
            <w:r>
              <w:t>)</w:t>
            </w:r>
            <w:r w:rsidR="00214DFB">
              <w:rPr>
                <w:rStyle w:val="FootnoteReference"/>
              </w:rPr>
              <w:footnoteReference w:id="7"/>
            </w:r>
            <w:r>
              <w:t xml:space="preserve"> and </w:t>
            </w:r>
            <w:r w:rsidR="008327DB">
              <w:t>ABS</w:t>
            </w:r>
            <w:r>
              <w:t xml:space="preserve"> </w:t>
            </w:r>
            <w:r w:rsidR="008327DB">
              <w:rPr>
                <w:u w:val="single"/>
              </w:rPr>
              <w:t>National</w:t>
            </w:r>
            <w:r w:rsidRPr="00FF30DB">
              <w:rPr>
                <w:u w:val="single"/>
              </w:rPr>
              <w:t xml:space="preserve"> Aboriginal and Torres Strait Islander </w:t>
            </w:r>
            <w:r w:rsidR="008327DB">
              <w:rPr>
                <w:u w:val="single"/>
              </w:rPr>
              <w:t xml:space="preserve">Social </w:t>
            </w:r>
            <w:r w:rsidRPr="00FF30DB">
              <w:rPr>
                <w:u w:val="single"/>
              </w:rPr>
              <w:t>Survey</w:t>
            </w:r>
            <w:r>
              <w:t xml:space="preserve"> (</w:t>
            </w:r>
            <w:r w:rsidR="008327DB">
              <w:t>NATSISS</w:t>
            </w:r>
            <w:r>
              <w:t>)</w:t>
            </w:r>
            <w:r w:rsidR="008327DB">
              <w:t xml:space="preserve">. </w:t>
            </w:r>
            <w:r>
              <w:t>Data are available on a</w:t>
            </w:r>
            <w:r w:rsidR="008327DB">
              <w:t>n alternating three</w:t>
            </w:r>
            <w:r w:rsidR="00FA5150">
              <w:noBreakHyphen/>
            </w:r>
            <w:r>
              <w:t xml:space="preserve">yearly cycle. </w:t>
            </w:r>
          </w:p>
          <w:p w14:paraId="64964685" w14:textId="2E3D5DC6" w:rsidR="003C412A" w:rsidRPr="00D87AA9" w:rsidRDefault="003C412A" w:rsidP="00523EC2">
            <w:pPr>
              <w:pStyle w:val="TableBodyNA"/>
            </w:pPr>
            <w:r>
              <w:t>(Non</w:t>
            </w:r>
            <w:r w:rsidR="00FA5150">
              <w:noBreakHyphen/>
            </w:r>
            <w:r>
              <w:t xml:space="preserve">Indigenous) ABS </w:t>
            </w:r>
            <w:r w:rsidRPr="00FF30DB">
              <w:rPr>
                <w:u w:val="single"/>
              </w:rPr>
              <w:t>Survey of Education and Work</w:t>
            </w:r>
            <w:r>
              <w:t xml:space="preserve"> (SEW) — Data are available annually.</w:t>
            </w:r>
          </w:p>
        </w:tc>
      </w:tr>
      <w:tr w:rsidR="003C412A" w:rsidRPr="00D87AA9" w14:paraId="3CB87213" w14:textId="77777777" w:rsidTr="004F04D8">
        <w:tc>
          <w:tcPr>
            <w:tcW w:w="2080" w:type="dxa"/>
          </w:tcPr>
          <w:p w14:paraId="7B785B61" w14:textId="6041EA07" w:rsidR="003C412A" w:rsidRPr="00D87AA9" w:rsidRDefault="003C412A" w:rsidP="00523EC2">
            <w:pPr>
              <w:pStyle w:val="TableBodyNA"/>
            </w:pPr>
            <w:r w:rsidRPr="00D87AA9">
              <w:t>Data provider</w:t>
            </w:r>
            <w:r>
              <w:t xml:space="preserve"> (measure 12(a))</w:t>
            </w:r>
            <w:r w:rsidRPr="00D87AA9">
              <w:t>:</w:t>
            </w:r>
          </w:p>
        </w:tc>
        <w:tc>
          <w:tcPr>
            <w:tcW w:w="6709" w:type="dxa"/>
          </w:tcPr>
          <w:p w14:paraId="53569C56" w14:textId="77777777" w:rsidR="003C412A" w:rsidRPr="00D87AA9" w:rsidRDefault="003C412A" w:rsidP="00523EC2">
            <w:pPr>
              <w:pStyle w:val="TableBodyNA"/>
            </w:pPr>
            <w:r w:rsidRPr="006F41BD">
              <w:t>ABS</w:t>
            </w:r>
          </w:p>
        </w:tc>
      </w:tr>
      <w:tr w:rsidR="003C412A" w:rsidRPr="00D87AA9" w14:paraId="223CF4FB" w14:textId="77777777" w:rsidTr="004F04D8">
        <w:trPr>
          <w:trHeight w:val="635"/>
        </w:trPr>
        <w:tc>
          <w:tcPr>
            <w:tcW w:w="2080" w:type="dxa"/>
            <w:shd w:val="clear" w:color="auto" w:fill="auto"/>
          </w:tcPr>
          <w:p w14:paraId="0AFD0CC9" w14:textId="77777777" w:rsidR="003C412A" w:rsidRPr="00D87AA9" w:rsidRDefault="003C412A" w:rsidP="00523EC2">
            <w:pPr>
              <w:pStyle w:val="TableBodyNA"/>
            </w:pPr>
            <w:r w:rsidRPr="00D87AA9">
              <w:t>Data availability</w:t>
            </w:r>
            <w:r>
              <w:br/>
              <w:t>(measure 12(a))</w:t>
            </w:r>
            <w:r w:rsidRPr="00D87AA9">
              <w:t>:</w:t>
            </w:r>
          </w:p>
        </w:tc>
        <w:tc>
          <w:tcPr>
            <w:tcW w:w="6709" w:type="dxa"/>
            <w:shd w:val="clear" w:color="auto" w:fill="auto"/>
          </w:tcPr>
          <w:p w14:paraId="28E0323E" w14:textId="77777777" w:rsidR="00F5111A" w:rsidRPr="00FF30DB" w:rsidRDefault="00F5111A" w:rsidP="00523EC2">
            <w:pPr>
              <w:pStyle w:val="TableBodyNA"/>
              <w:rPr>
                <w:u w:val="single"/>
              </w:rPr>
            </w:pPr>
            <w:r w:rsidRPr="00FF30DB">
              <w:rPr>
                <w:u w:val="single"/>
              </w:rPr>
              <w:t>Main data collection</w:t>
            </w:r>
          </w:p>
          <w:p w14:paraId="3BF44958" w14:textId="10D4A4FA" w:rsidR="00F5111A" w:rsidRDefault="00FC61A8" w:rsidP="00523EC2">
            <w:pPr>
              <w:pStyle w:val="TableBodyNA"/>
            </w:pPr>
            <w:r>
              <w:t>No new data available for this report.</w:t>
            </w:r>
            <w:r w:rsidR="00197A39">
              <w:t xml:space="preserve"> </w:t>
            </w:r>
          </w:p>
          <w:p w14:paraId="32760638" w14:textId="77777777" w:rsidR="00F5111A" w:rsidRDefault="00F5111A" w:rsidP="00523EC2">
            <w:pPr>
              <w:pStyle w:val="TableBodyNA"/>
              <w:rPr>
                <w:u w:val="single"/>
              </w:rPr>
            </w:pPr>
            <w:r w:rsidRPr="00FF30DB">
              <w:rPr>
                <w:u w:val="single"/>
              </w:rPr>
              <w:t>Supplementary data collection</w:t>
            </w:r>
          </w:p>
          <w:p w14:paraId="3FDDDDB1" w14:textId="45EFE73C" w:rsidR="00A05877" w:rsidRDefault="00A05877" w:rsidP="00A05877">
            <w:pPr>
              <w:pStyle w:val="TableBodyNA"/>
            </w:pPr>
            <w:r>
              <w:lastRenderedPageBreak/>
              <w:t>2018</w:t>
            </w:r>
            <w:r w:rsidR="00FA5150">
              <w:noBreakHyphen/>
            </w:r>
            <w:r>
              <w:t>19 (Aboriginal and Torres Strait Islander data) — NATSIHS</w:t>
            </w:r>
          </w:p>
          <w:p w14:paraId="35874A5F" w14:textId="0D7BCBB3" w:rsidR="003C412A" w:rsidRPr="00D87AA9" w:rsidRDefault="00A05877" w:rsidP="00A05877">
            <w:pPr>
              <w:pStyle w:val="TableBodyNA"/>
            </w:pPr>
            <w:r>
              <w:t>2018 (non</w:t>
            </w:r>
            <w:r w:rsidR="00FA5150">
              <w:noBreakHyphen/>
            </w:r>
            <w:r>
              <w:t xml:space="preserve">Indigenous data) — </w:t>
            </w:r>
            <w:r>
              <w:rPr>
                <w:rFonts w:cs="Arial"/>
                <w:color w:val="333333"/>
                <w:shd w:val="clear" w:color="auto" w:fill="FFFFFF"/>
              </w:rPr>
              <w:t>SEW</w:t>
            </w:r>
          </w:p>
        </w:tc>
      </w:tr>
      <w:tr w:rsidR="003C412A" w:rsidRPr="00D87AA9" w14:paraId="637D2087" w14:textId="77777777" w:rsidTr="004F04D8">
        <w:tc>
          <w:tcPr>
            <w:tcW w:w="2080" w:type="dxa"/>
            <w:shd w:val="clear" w:color="auto" w:fill="auto"/>
          </w:tcPr>
          <w:p w14:paraId="178F0C31" w14:textId="77777777" w:rsidR="003C412A" w:rsidRPr="00D87AA9" w:rsidRDefault="003C412A" w:rsidP="00523EC2">
            <w:pPr>
              <w:pStyle w:val="TableBodyNA"/>
            </w:pPr>
            <w:r w:rsidRPr="00D87AA9">
              <w:lastRenderedPageBreak/>
              <w:t>Cross tabulations provided</w:t>
            </w:r>
            <w:r>
              <w:br/>
              <w:t>(measure 12(a))</w:t>
            </w:r>
            <w:r w:rsidRPr="00D87AA9">
              <w:t>:</w:t>
            </w:r>
          </w:p>
        </w:tc>
        <w:tc>
          <w:tcPr>
            <w:tcW w:w="6709" w:type="dxa"/>
            <w:shd w:val="clear" w:color="auto" w:fill="auto"/>
          </w:tcPr>
          <w:p w14:paraId="3F314B83" w14:textId="77777777" w:rsidR="00A05877" w:rsidRDefault="00A05877" w:rsidP="00A05877">
            <w:pPr>
              <w:pStyle w:val="TableBodyNA"/>
            </w:pPr>
            <w:r>
              <w:t>State and Territory, by:</w:t>
            </w:r>
          </w:p>
          <w:p w14:paraId="40613292" w14:textId="7266A38E" w:rsidR="00A05877" w:rsidRDefault="00A05877" w:rsidP="00A05877">
            <w:pPr>
              <w:pStyle w:val="TableBullet"/>
            </w:pPr>
            <w:r>
              <w:t>Indigenous status</w:t>
            </w:r>
          </w:p>
          <w:p w14:paraId="3B6E743B" w14:textId="77777777" w:rsidR="00A05877" w:rsidRDefault="00A05877" w:rsidP="00A05877">
            <w:pPr>
              <w:pStyle w:val="TableBodyNA"/>
            </w:pPr>
            <w:r>
              <w:t>National, by:</w:t>
            </w:r>
          </w:p>
          <w:p w14:paraId="3B5FC108" w14:textId="4591019F" w:rsidR="003C412A" w:rsidRPr="00D87AA9" w:rsidRDefault="00A05877" w:rsidP="008822BF">
            <w:pPr>
              <w:pStyle w:val="TableBullet"/>
              <w:rPr>
                <w:i/>
                <w:szCs w:val="24"/>
              </w:rPr>
            </w:pPr>
            <w:r>
              <w:t>Indigenous status by remoteness (based on 2016 ASGS for Aboriginal and Torres Strait Islander</w:t>
            </w:r>
            <w:r w:rsidR="008B787D">
              <w:t xml:space="preserve"> people</w:t>
            </w:r>
            <w:r>
              <w:t xml:space="preserve"> and 2011 ASGS for non</w:t>
            </w:r>
            <w:r w:rsidR="00FA5150">
              <w:noBreakHyphen/>
            </w:r>
            <w:r>
              <w:t>Indigenous</w:t>
            </w:r>
            <w:r w:rsidR="008B787D">
              <w:t xml:space="preserve"> people</w:t>
            </w:r>
            <w:r>
              <w:t>)</w:t>
            </w:r>
          </w:p>
        </w:tc>
      </w:tr>
    </w:tbl>
    <w:p w14:paraId="5255C5F7" w14:textId="77777777" w:rsidR="003C412A" w:rsidRDefault="003C412A">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3C412A" w14:paraId="56FEBB64" w14:textId="77777777" w:rsidTr="004F04D8">
        <w:tc>
          <w:tcPr>
            <w:tcW w:w="8789" w:type="dxa"/>
            <w:tcBorders>
              <w:top w:val="single" w:sz="6" w:space="0" w:color="78A22F"/>
              <w:left w:val="nil"/>
              <w:bottom w:val="nil"/>
              <w:right w:val="nil"/>
            </w:tcBorders>
            <w:shd w:val="clear" w:color="auto" w:fill="F2F2F2"/>
          </w:tcPr>
          <w:p w14:paraId="3F98764A" w14:textId="46B408CF" w:rsidR="003C412A" w:rsidRDefault="003C412A" w:rsidP="00CD100F">
            <w:pPr>
              <w:pStyle w:val="BoxTitle"/>
            </w:pPr>
            <w:r w:rsidRPr="00BC48C3">
              <w:rPr>
                <w:b w:val="0"/>
              </w:rPr>
              <w:t>Box</w:t>
            </w:r>
            <w:r w:rsidR="00B1719E" w:rsidRPr="00BE6154">
              <w:rPr>
                <w:b w:val="0"/>
              </w:rPr>
              <w:t xml:space="preserve"> </w:t>
            </w:r>
            <w:r w:rsidR="00B5333E" w:rsidRPr="00BE6154">
              <w:rPr>
                <w:b w:val="0"/>
              </w:rPr>
              <w:t>3</w:t>
            </w:r>
            <w:r w:rsidR="00CD100F">
              <w:rPr>
                <w:b w:val="0"/>
              </w:rPr>
              <w:t>7</w:t>
            </w:r>
            <w:r w:rsidRPr="00BC48C3">
              <w:tab/>
            </w:r>
            <w:r w:rsidR="00135E93">
              <w:t>Results</w:t>
            </w:r>
          </w:p>
        </w:tc>
      </w:tr>
      <w:tr w:rsidR="003C412A" w:rsidRPr="003C412A" w14:paraId="566BB43E" w14:textId="77777777" w:rsidTr="004F04D8">
        <w:trPr>
          <w:cantSplit/>
        </w:trPr>
        <w:tc>
          <w:tcPr>
            <w:tcW w:w="8789" w:type="dxa"/>
            <w:tcBorders>
              <w:top w:val="nil"/>
              <w:left w:val="nil"/>
              <w:bottom w:val="nil"/>
              <w:right w:val="nil"/>
            </w:tcBorders>
            <w:shd w:val="clear" w:color="auto" w:fill="F2F2F2"/>
          </w:tcPr>
          <w:p w14:paraId="788C7935" w14:textId="6449060F" w:rsidR="00F770E1" w:rsidRDefault="00135E93" w:rsidP="00F770E1">
            <w:pPr>
              <w:pStyle w:val="Box"/>
            </w:pPr>
            <w:r w:rsidRPr="00135E93">
              <w:t xml:space="preserve">For this report, new data are available </w:t>
            </w:r>
            <w:r w:rsidR="004B3D0D">
              <w:t xml:space="preserve">from the </w:t>
            </w:r>
            <w:r w:rsidR="00A05877">
              <w:t xml:space="preserve">supplementary </w:t>
            </w:r>
            <w:r w:rsidR="004B3D0D">
              <w:t>data source (</w:t>
            </w:r>
            <w:r w:rsidR="00A05877">
              <w:t>survey</w:t>
            </w:r>
            <w:r w:rsidR="004B3D0D">
              <w:t xml:space="preserve">) </w:t>
            </w:r>
            <w:r w:rsidRPr="00135E93">
              <w:t>for measure (a</w:t>
            </w:r>
            <w:r>
              <w:t>)</w:t>
            </w:r>
            <w:r w:rsidRPr="00135E93">
              <w:t>.</w:t>
            </w:r>
            <w:r w:rsidR="00F770E1">
              <w:t xml:space="preserve"> </w:t>
            </w:r>
          </w:p>
          <w:p w14:paraId="7521652D" w14:textId="31D5350C" w:rsidR="00A05877" w:rsidRPr="00135E93" w:rsidRDefault="00A05877" w:rsidP="00A05877">
            <w:pPr>
              <w:pStyle w:val="BoxListBullet"/>
            </w:pPr>
            <w:r w:rsidRPr="00135E93">
              <w:t>Data by State and Territory, by Indigenous status are presented in table NIRA.12.1</w:t>
            </w:r>
            <w:r>
              <w:t>.</w:t>
            </w:r>
          </w:p>
          <w:p w14:paraId="7893B955" w14:textId="5DB3B2CA" w:rsidR="00135E93" w:rsidRPr="00135E93" w:rsidRDefault="00A05877" w:rsidP="000E2BA9">
            <w:pPr>
              <w:pStyle w:val="BoxListBullet"/>
            </w:pPr>
            <w:r w:rsidRPr="00135E93">
              <w:t>Data by Indigenous status, by remoteness are presented in table NIRA.12.2</w:t>
            </w:r>
            <w:r>
              <w:t>.</w:t>
            </w:r>
          </w:p>
          <w:p w14:paraId="51D5804A" w14:textId="408DCA54" w:rsidR="003C412A" w:rsidRDefault="0093133F" w:rsidP="00454758">
            <w:pPr>
              <w:pStyle w:val="Box"/>
            </w:pPr>
            <w:r>
              <w:t xml:space="preserve">Historical supplementary data </w:t>
            </w:r>
            <w:r w:rsidR="004B3D0D">
              <w:t>from the 2014</w:t>
            </w:r>
            <w:r w:rsidR="00FA5150">
              <w:noBreakHyphen/>
            </w:r>
            <w:r w:rsidR="004B3D0D">
              <w:t xml:space="preserve">15 NATSISS and </w:t>
            </w:r>
            <w:r w:rsidR="00A93B96">
              <w:t>2014 SEW</w:t>
            </w:r>
            <w:r w:rsidR="00197A39">
              <w:t xml:space="preserve"> were reported in the 2015</w:t>
            </w:r>
            <w:r w:rsidR="00FA5150">
              <w:noBreakHyphen/>
            </w:r>
            <w:r w:rsidR="00197A39">
              <w:t>16 NIRA performance report</w:t>
            </w:r>
            <w:r w:rsidR="00605004">
              <w:t>, and</w:t>
            </w:r>
            <w:r w:rsidR="00197A39">
              <w:t xml:space="preserve"> data </w:t>
            </w:r>
            <w:r w:rsidR="004B3D0D">
              <w:t>from the 2012</w:t>
            </w:r>
            <w:r w:rsidR="00FA5150">
              <w:noBreakHyphen/>
            </w:r>
            <w:r w:rsidR="004B3D0D">
              <w:t xml:space="preserve">13 AATSIHS and </w:t>
            </w:r>
            <w:r w:rsidR="00A93B96">
              <w:t>2012 SEW</w:t>
            </w:r>
            <w:r>
              <w:t xml:space="preserve"> </w:t>
            </w:r>
            <w:r w:rsidR="00454758">
              <w:t>were reported</w:t>
            </w:r>
            <w:r>
              <w:t xml:space="preserve"> in the 2013</w:t>
            </w:r>
            <w:r w:rsidR="00FA5150">
              <w:noBreakHyphen/>
            </w:r>
            <w:r>
              <w:t>14 NIRA performance report. Supplementary data for 2008 were reported in the 2008</w:t>
            </w:r>
            <w:r w:rsidR="00FA5150">
              <w:noBreakHyphen/>
            </w:r>
            <w:r>
              <w:t xml:space="preserve">09 baseline </w:t>
            </w:r>
            <w:r w:rsidR="00F555B6">
              <w:t>NIRA performance report</w:t>
            </w:r>
            <w:r>
              <w:t>, with disaggregation by remoteness reported in the 2012</w:t>
            </w:r>
            <w:r w:rsidR="00FA5150">
              <w:noBreakHyphen/>
            </w:r>
            <w:r>
              <w:t xml:space="preserve">13 </w:t>
            </w:r>
            <w:r w:rsidR="00F555B6">
              <w:t>NIRA performance report</w:t>
            </w:r>
            <w:r>
              <w:t xml:space="preserve"> (</w:t>
            </w:r>
            <w:r w:rsidR="00A51293">
              <w:t>Aboriginal and Torres Strait Islander</w:t>
            </w:r>
            <w:r w:rsidR="004B3D0D">
              <w:t xml:space="preserve"> people</w:t>
            </w:r>
            <w:r w:rsidR="00A51293">
              <w:t xml:space="preserve"> </w:t>
            </w:r>
            <w:r>
              <w:t>only).</w:t>
            </w:r>
          </w:p>
          <w:p w14:paraId="0AC58428" w14:textId="6D8AABA6" w:rsidR="008B787D" w:rsidRPr="003C412A" w:rsidRDefault="008B787D" w:rsidP="00454758">
            <w:pPr>
              <w:pStyle w:val="Box"/>
            </w:pPr>
            <w:r w:rsidRPr="003C412A">
              <w:t xml:space="preserve">Data </w:t>
            </w:r>
            <w:r>
              <w:t xml:space="preserve">from the main data source </w:t>
            </w:r>
            <w:r>
              <w:rPr>
                <w:rFonts w:cs="Arial"/>
                <w:szCs w:val="22"/>
              </w:rPr>
              <w:t>(Census)</w:t>
            </w:r>
            <w:r w:rsidRPr="003C412A">
              <w:t xml:space="preserve"> </w:t>
            </w:r>
            <w:r>
              <w:t>are available in the 2016</w:t>
            </w:r>
            <w:r w:rsidR="00FA5150">
              <w:noBreakHyphen/>
            </w:r>
            <w:r>
              <w:t xml:space="preserve">17 NIRA performance report (2016 Census), </w:t>
            </w:r>
            <w:r w:rsidRPr="003C412A">
              <w:t>the 2011</w:t>
            </w:r>
            <w:r w:rsidR="00FA5150">
              <w:noBreakHyphen/>
            </w:r>
            <w:r w:rsidRPr="003C412A">
              <w:t>12 NIRA performance report</w:t>
            </w:r>
            <w:r>
              <w:t xml:space="preserve"> (2011 Census) and baseline 2008</w:t>
            </w:r>
            <w:r w:rsidR="00FA5150">
              <w:noBreakHyphen/>
            </w:r>
            <w:r>
              <w:t>09 NIRA performance report (2006 Census). Disaggregations by remoteness are available in the 2017</w:t>
            </w:r>
            <w:r w:rsidR="00FA5150">
              <w:noBreakHyphen/>
            </w:r>
            <w:r>
              <w:t>18 NIRA performance report (2016 Census) and the 2012</w:t>
            </w:r>
            <w:r w:rsidR="00FA5150">
              <w:noBreakHyphen/>
            </w:r>
            <w:r>
              <w:t>13 NIRA performance report (2011 and 2006 Census).</w:t>
            </w:r>
            <w:r w:rsidR="004E7A5A">
              <w:t xml:space="preserve"> </w:t>
            </w:r>
          </w:p>
        </w:tc>
      </w:tr>
      <w:tr w:rsidR="003C412A" w14:paraId="67A9F5AB" w14:textId="77777777" w:rsidTr="004F04D8">
        <w:trPr>
          <w:cantSplit/>
        </w:trPr>
        <w:tc>
          <w:tcPr>
            <w:tcW w:w="8789" w:type="dxa"/>
            <w:tcBorders>
              <w:top w:val="nil"/>
              <w:left w:val="nil"/>
              <w:bottom w:val="single" w:sz="6" w:space="0" w:color="78A22F"/>
              <w:right w:val="nil"/>
            </w:tcBorders>
            <w:shd w:val="clear" w:color="auto" w:fill="F2F2F2"/>
          </w:tcPr>
          <w:p w14:paraId="7CEE93D3" w14:textId="77777777" w:rsidR="003C412A" w:rsidRDefault="003C412A">
            <w:pPr>
              <w:pStyle w:val="Box"/>
              <w:spacing w:before="0" w:line="120" w:lineRule="exact"/>
            </w:pPr>
          </w:p>
        </w:tc>
      </w:tr>
      <w:tr w:rsidR="003C412A" w:rsidRPr="000863A5" w14:paraId="5AA45C4F" w14:textId="77777777" w:rsidTr="004F04D8">
        <w:tc>
          <w:tcPr>
            <w:tcW w:w="8789" w:type="dxa"/>
            <w:tcBorders>
              <w:top w:val="single" w:sz="6" w:space="0" w:color="78A22F"/>
              <w:left w:val="nil"/>
              <w:bottom w:val="nil"/>
              <w:right w:val="nil"/>
            </w:tcBorders>
          </w:tcPr>
          <w:p w14:paraId="7E42903C" w14:textId="77777777" w:rsidR="003C412A" w:rsidRPr="00626D32" w:rsidRDefault="003C412A" w:rsidP="004C6DAF">
            <w:pPr>
              <w:pStyle w:val="BoxSpaceBelow"/>
            </w:pPr>
          </w:p>
        </w:tc>
      </w:tr>
      <w:tr w:rsidR="003E3EED" w14:paraId="46FA8BBB" w14:textId="77777777" w:rsidTr="004F04D8">
        <w:tc>
          <w:tcPr>
            <w:tcW w:w="8789" w:type="dxa"/>
            <w:tcBorders>
              <w:top w:val="single" w:sz="6" w:space="0" w:color="78A22F"/>
              <w:left w:val="nil"/>
              <w:bottom w:val="nil"/>
              <w:right w:val="nil"/>
            </w:tcBorders>
            <w:shd w:val="clear" w:color="auto" w:fill="F2F2F2"/>
          </w:tcPr>
          <w:p w14:paraId="6E762F1E" w14:textId="79DB0D1F" w:rsidR="003E3EED" w:rsidRDefault="00026629" w:rsidP="00CD100F">
            <w:pPr>
              <w:pStyle w:val="BoxTitle"/>
            </w:pPr>
            <w:r>
              <w:rPr>
                <w:b w:val="0"/>
              </w:rPr>
              <w:lastRenderedPageBreak/>
              <w:t xml:space="preserve">Box </w:t>
            </w:r>
            <w:r w:rsidR="00B5333E">
              <w:rPr>
                <w:b w:val="0"/>
              </w:rPr>
              <w:t>3</w:t>
            </w:r>
            <w:r w:rsidR="00CD100F">
              <w:rPr>
                <w:b w:val="0"/>
              </w:rPr>
              <w:t>8</w:t>
            </w:r>
            <w:r w:rsidR="003E3EED">
              <w:tab/>
              <w:t>Comment on data quality</w:t>
            </w:r>
          </w:p>
        </w:tc>
      </w:tr>
      <w:tr w:rsidR="003E3EED" w:rsidRPr="003C412A" w14:paraId="76B14D7A" w14:textId="77777777" w:rsidTr="004F04D8">
        <w:trPr>
          <w:cantSplit/>
        </w:trPr>
        <w:tc>
          <w:tcPr>
            <w:tcW w:w="8789" w:type="dxa"/>
            <w:tcBorders>
              <w:top w:val="nil"/>
              <w:left w:val="nil"/>
              <w:bottom w:val="nil"/>
              <w:right w:val="nil"/>
            </w:tcBorders>
            <w:shd w:val="clear" w:color="auto" w:fill="F2F2F2"/>
          </w:tcPr>
          <w:p w14:paraId="14CF6C43" w14:textId="77777777" w:rsidR="00E64616" w:rsidRPr="003C412A" w:rsidRDefault="00E64616" w:rsidP="00E64616">
            <w:pPr>
              <w:pStyle w:val="Box"/>
              <w:keepLines/>
            </w:pPr>
            <w:r w:rsidRPr="003C412A">
              <w:t>Key points on data quality for this indicator are summarised below.</w:t>
            </w:r>
          </w:p>
          <w:p w14:paraId="74790C52" w14:textId="77777777" w:rsidR="00E64616" w:rsidRPr="003C412A" w:rsidRDefault="00E64616" w:rsidP="00E64616">
            <w:pPr>
              <w:pStyle w:val="BoxListBullet"/>
              <w:keepLines/>
            </w:pPr>
            <w:r w:rsidRPr="003C412A">
              <w:t>Data provide relevant information on the proportion of 20–24 year olds who have completed year 12 or equivalent or AQF Certificate II or above (measure (a)). Data are available by State and Territory.</w:t>
            </w:r>
          </w:p>
          <w:p w14:paraId="557489EB" w14:textId="65FFBB1D" w:rsidR="004F1B9E" w:rsidRDefault="00074D31" w:rsidP="00976731">
            <w:pPr>
              <w:pStyle w:val="BoxListBullet"/>
              <w:keepLines/>
            </w:pPr>
            <w:r>
              <w:t xml:space="preserve">The most recent </w:t>
            </w:r>
            <w:r w:rsidR="00B5333E">
              <w:t xml:space="preserve">data </w:t>
            </w:r>
            <w:r>
              <w:t xml:space="preserve">available </w:t>
            </w:r>
            <w:r w:rsidR="00B5333E">
              <w:t>for Aboriginal and Torres Strait Islander people (from the supplementary data source) are for 2018</w:t>
            </w:r>
            <w:r w:rsidR="00FA5150">
              <w:noBreakHyphen/>
            </w:r>
            <w:r w:rsidR="00B5333E">
              <w:t>19 from the NATSIHS (data alternating with the NATSISS on a 3</w:t>
            </w:r>
            <w:r w:rsidR="00FA5150">
              <w:noBreakHyphen/>
            </w:r>
            <w:r w:rsidR="00B5333E">
              <w:t>yearly rotating cycle)</w:t>
            </w:r>
            <w:r w:rsidR="00197A39">
              <w:t>.</w:t>
            </w:r>
            <w:r w:rsidR="00E64616" w:rsidRPr="003C412A">
              <w:t xml:space="preserve"> </w:t>
            </w:r>
          </w:p>
          <w:p w14:paraId="5E168CD8" w14:textId="65D2EF38" w:rsidR="00B5333E" w:rsidRDefault="00B5333E" w:rsidP="00976731">
            <w:pPr>
              <w:pStyle w:val="BoxListBullet"/>
              <w:keepLines/>
            </w:pPr>
            <w:r>
              <w:t>The most recent data available for non</w:t>
            </w:r>
            <w:r w:rsidR="00FA5150">
              <w:noBreakHyphen/>
            </w:r>
            <w:r>
              <w:t>Indigenous people (from the supplementary data source) are for 2018 from the SEW (available annually).</w:t>
            </w:r>
          </w:p>
          <w:p w14:paraId="4446B1E5" w14:textId="77777777" w:rsidR="008B1A0F" w:rsidRPr="00CE5702" w:rsidRDefault="008B1A0F" w:rsidP="008B1A0F">
            <w:pPr>
              <w:pStyle w:val="BoxListBullet"/>
            </w:pPr>
            <w:r w:rsidRPr="00E516C4">
              <w:t xml:space="preserve">Data are of acceptable accuracy. Some </w:t>
            </w:r>
            <w:r w:rsidRPr="005A6EB0">
              <w:t xml:space="preserve">proportions </w:t>
            </w:r>
            <w:r>
              <w:t xml:space="preserve">have </w:t>
            </w:r>
            <w:r w:rsidRPr="005A6EB0">
              <w:t xml:space="preserve">a </w:t>
            </w:r>
            <w:r>
              <w:t xml:space="preserve">large </w:t>
            </w:r>
            <w:r w:rsidRPr="005A6EB0">
              <w:t xml:space="preserve">confidence interval </w:t>
            </w:r>
            <w:r>
              <w:t xml:space="preserve">and </w:t>
            </w:r>
            <w:r w:rsidRPr="005A6EB0">
              <w:t>should be used with caution</w:t>
            </w:r>
            <w:r w:rsidRPr="00E516C4">
              <w:t>.</w:t>
            </w:r>
          </w:p>
          <w:p w14:paraId="71B18F5B" w14:textId="17608621" w:rsidR="00E64616" w:rsidRPr="003C412A" w:rsidRDefault="006E2D55">
            <w:pPr>
              <w:pStyle w:val="BoxListBullet"/>
              <w:keepLines/>
            </w:pPr>
            <w:r w:rsidRPr="003C412A">
              <w:t>Detailed explanatory notes are publicly available to assist in the interpretation of results.</w:t>
            </w:r>
            <w:r>
              <w:t xml:space="preserve"> Additional data from</w:t>
            </w:r>
            <w:r w:rsidR="00E64616" w:rsidRPr="003C412A">
              <w:t xml:space="preserve"> the data source are available on</w:t>
            </w:r>
            <w:r w:rsidR="00FA5150">
              <w:noBreakHyphen/>
            </w:r>
            <w:r w:rsidR="00E64616" w:rsidRPr="003C412A">
              <w:t>line, and on request.</w:t>
            </w:r>
          </w:p>
          <w:p w14:paraId="43D59596" w14:textId="77777777" w:rsidR="00E64616" w:rsidRPr="003C412A" w:rsidRDefault="00E64616" w:rsidP="00E64616">
            <w:pPr>
              <w:pStyle w:val="Box"/>
              <w:keepLines/>
            </w:pPr>
            <w:r w:rsidRPr="003C412A">
              <w:t>The Steering Committee also notes the following issues:</w:t>
            </w:r>
          </w:p>
          <w:p w14:paraId="7F2701ED" w14:textId="26A00F33" w:rsidR="008B787D" w:rsidRDefault="008B787D" w:rsidP="008B787D">
            <w:pPr>
              <w:pStyle w:val="BoxListBullet"/>
              <w:keepLines/>
            </w:pPr>
            <w:r>
              <w:t>For the remoteness data provided in this report, data for Aboriginal and Torres Strait Islander people are not directly comparable to data for non</w:t>
            </w:r>
            <w:r w:rsidR="00FA5150">
              <w:noBreakHyphen/>
            </w:r>
            <w:r>
              <w:t>Indigenous people due to the use of different versions of the ASGS.</w:t>
            </w:r>
          </w:p>
          <w:p w14:paraId="73D886B6" w14:textId="77777777" w:rsidR="00E64616" w:rsidRPr="003C412A" w:rsidRDefault="00E64616" w:rsidP="00E64616">
            <w:pPr>
              <w:pStyle w:val="BoxListBullet"/>
              <w:keepLines/>
            </w:pPr>
            <w:r w:rsidRPr="003C412A">
              <w:t xml:space="preserve">The wording of the indicator in the NIRA lists the qualifications to be considered as year 12 or equivalent or AQF Certificate II. The Steering Committee received advice from the </w:t>
            </w:r>
            <w:r w:rsidR="004345ED">
              <w:t>relevant education committees</w:t>
            </w:r>
            <w:r w:rsidRPr="003C412A">
              <w:t xml:space="preserve"> that the intention of the indicator was to consider the proportion of people with year 12 or equivalent or AQF Certificate II </w:t>
            </w:r>
            <w:r w:rsidRPr="004A075D">
              <w:rPr>
                <w:u w:val="single"/>
              </w:rPr>
              <w:t>or above</w:t>
            </w:r>
            <w:r w:rsidRPr="003C412A">
              <w:t xml:space="preserve"> (the intention being to determine the proportion of the population with at least (but not limited to) year 12 or equivalent). The reported data support this interpretation of the measure.</w:t>
            </w:r>
          </w:p>
          <w:p w14:paraId="6A1347AD" w14:textId="77777777" w:rsidR="00E64616" w:rsidRDefault="006A68DE">
            <w:pPr>
              <w:pStyle w:val="BoxListBullet"/>
              <w:keepLines/>
            </w:pPr>
            <w:r>
              <w:t>Census</w:t>
            </w:r>
            <w:r w:rsidRPr="003C412A">
              <w:t xml:space="preserve"> </w:t>
            </w:r>
            <w:r w:rsidR="00E64616" w:rsidRPr="003C412A">
              <w:t xml:space="preserve">data are generally not directly comparable to </w:t>
            </w:r>
            <w:r>
              <w:t>survey</w:t>
            </w:r>
            <w:r w:rsidRPr="003C412A">
              <w:t xml:space="preserve"> </w:t>
            </w:r>
            <w:r w:rsidR="00E64616" w:rsidRPr="003C412A">
              <w:t xml:space="preserve">data when measuring change over time. </w:t>
            </w:r>
          </w:p>
          <w:p w14:paraId="634F5D0B" w14:textId="6D6DBFB5" w:rsidR="00B5333E" w:rsidRPr="003C412A" w:rsidRDefault="008B1A0F" w:rsidP="00B5333E">
            <w:pPr>
              <w:pStyle w:val="BoxListBullet"/>
              <w:keepLines/>
            </w:pPr>
            <w:r w:rsidRPr="00506C4C">
              <w:rPr>
                <w:iCs/>
              </w:rPr>
              <w:t>The size of some standard errors means that the survey data may not be adequate for measuring difference. Comparisons over time or across jurisdictions may be difficult to assess if the size of the standard errors is large compared to the difference between the estimates.</w:t>
            </w:r>
          </w:p>
        </w:tc>
      </w:tr>
      <w:tr w:rsidR="003E3EED" w14:paraId="2484601F" w14:textId="77777777" w:rsidTr="004F04D8">
        <w:trPr>
          <w:cantSplit/>
        </w:trPr>
        <w:tc>
          <w:tcPr>
            <w:tcW w:w="8789" w:type="dxa"/>
            <w:tcBorders>
              <w:top w:val="nil"/>
              <w:left w:val="nil"/>
              <w:bottom w:val="single" w:sz="6" w:space="0" w:color="78A22F"/>
              <w:right w:val="nil"/>
            </w:tcBorders>
            <w:shd w:val="clear" w:color="auto" w:fill="F2F2F2"/>
          </w:tcPr>
          <w:p w14:paraId="0AF64366" w14:textId="77777777" w:rsidR="003E3EED" w:rsidRDefault="003E3EED" w:rsidP="003E3EED">
            <w:pPr>
              <w:pStyle w:val="Box"/>
              <w:spacing w:before="0" w:line="120" w:lineRule="exact"/>
            </w:pPr>
          </w:p>
        </w:tc>
      </w:tr>
      <w:tr w:rsidR="003E3EED" w:rsidRPr="000863A5" w14:paraId="0C13084A" w14:textId="77777777" w:rsidTr="004F04D8">
        <w:tc>
          <w:tcPr>
            <w:tcW w:w="8789" w:type="dxa"/>
            <w:tcBorders>
              <w:top w:val="single" w:sz="6" w:space="0" w:color="78A22F"/>
              <w:left w:val="nil"/>
              <w:bottom w:val="nil"/>
              <w:right w:val="nil"/>
            </w:tcBorders>
          </w:tcPr>
          <w:p w14:paraId="0568445B" w14:textId="77777777" w:rsidR="003E3EED" w:rsidRPr="00626D32" w:rsidRDefault="003E3EED" w:rsidP="003E3EED">
            <w:pPr>
              <w:pStyle w:val="BoxSpaceBelow"/>
            </w:pPr>
          </w:p>
        </w:tc>
      </w:tr>
    </w:tbl>
    <w:p w14:paraId="1F5185DB" w14:textId="77777777" w:rsidR="00523EC2" w:rsidRDefault="00523EC2" w:rsidP="00523EC2">
      <w:pPr>
        <w:pStyle w:val="BodyText"/>
      </w:pPr>
      <w:bookmarkStart w:id="34" w:name="_Ref277842876"/>
      <w:bookmarkStart w:id="35" w:name="_Ref341361602"/>
      <w:r>
        <w:br w:type="page"/>
      </w:r>
    </w:p>
    <w:p w14:paraId="241DE933" w14:textId="35948F7D" w:rsidR="00365748" w:rsidRPr="00921D4D" w:rsidRDefault="003C412A" w:rsidP="00365748">
      <w:pPr>
        <w:pStyle w:val="Heading3"/>
        <w:spacing w:after="360"/>
      </w:pPr>
      <w:r w:rsidRPr="00921D4D">
        <w:lastRenderedPageBreak/>
        <w:t xml:space="preserve">Indicator 13: </w:t>
      </w:r>
      <w:bookmarkEnd w:id="34"/>
      <w:r>
        <w:t xml:space="preserve">Attendance rates year 1 to year </w:t>
      </w:r>
      <w:bookmarkEnd w:id="35"/>
      <w:r w:rsidR="00365748">
        <w:t>10</w:t>
      </w:r>
    </w:p>
    <w:tbl>
      <w:tblPr>
        <w:tblW w:w="8789" w:type="dxa"/>
        <w:tblCellMar>
          <w:right w:w="0" w:type="dxa"/>
        </w:tblCellMar>
        <w:tblLook w:val="0000" w:firstRow="0" w:lastRow="0" w:firstColumn="0" w:lastColumn="0" w:noHBand="0" w:noVBand="0"/>
      </w:tblPr>
      <w:tblGrid>
        <w:gridCol w:w="2093"/>
        <w:gridCol w:w="6696"/>
      </w:tblGrid>
      <w:tr w:rsidR="005D75B8" w:rsidRPr="00D87AA9" w14:paraId="6789AEC5" w14:textId="77777777" w:rsidTr="004F04D8">
        <w:trPr>
          <w:trHeight w:val="745"/>
        </w:trPr>
        <w:tc>
          <w:tcPr>
            <w:tcW w:w="2093" w:type="dxa"/>
          </w:tcPr>
          <w:p w14:paraId="4BE3CAA0" w14:textId="0DD8CA74" w:rsidR="005D75B8" w:rsidRPr="00D87AA9" w:rsidRDefault="005D75B8" w:rsidP="00523EC2">
            <w:pPr>
              <w:pStyle w:val="TableBodyNA"/>
            </w:pPr>
            <w:r w:rsidRPr="00B82DC5">
              <w:t>Key amendments f</w:t>
            </w:r>
            <w:r w:rsidR="00356183">
              <w:t>rom previous cycle of reporting:</w:t>
            </w:r>
          </w:p>
        </w:tc>
        <w:tc>
          <w:tcPr>
            <w:tcW w:w="6696" w:type="dxa"/>
          </w:tcPr>
          <w:p w14:paraId="7CE13A62" w14:textId="695F3EFA" w:rsidR="005D75B8" w:rsidRPr="00D87AA9" w:rsidRDefault="006A68DE" w:rsidP="00523EC2">
            <w:pPr>
              <w:pStyle w:val="TableBodyNA"/>
            </w:pPr>
            <w:r w:rsidRPr="00C44109">
              <w:t xml:space="preserve">This indicator is unchanged from the previous </w:t>
            </w:r>
            <w:r>
              <w:t>NIRA performance report</w:t>
            </w:r>
          </w:p>
        </w:tc>
      </w:tr>
      <w:tr w:rsidR="005D75B8" w:rsidRPr="00D87AA9" w14:paraId="753C0A5A" w14:textId="77777777" w:rsidTr="004F04D8">
        <w:tc>
          <w:tcPr>
            <w:tcW w:w="2093" w:type="dxa"/>
          </w:tcPr>
          <w:p w14:paraId="2802AE6F" w14:textId="77777777" w:rsidR="005D75B8" w:rsidRPr="00D87AA9" w:rsidRDefault="005D75B8" w:rsidP="00523EC2">
            <w:pPr>
              <w:pStyle w:val="TableBodyNA"/>
            </w:pPr>
            <w:r w:rsidRPr="00D87AA9">
              <w:t>Target:</w:t>
            </w:r>
          </w:p>
        </w:tc>
        <w:tc>
          <w:tcPr>
            <w:tcW w:w="6696" w:type="dxa"/>
          </w:tcPr>
          <w:p w14:paraId="089FCB04" w14:textId="269BB2E6" w:rsidR="005D75B8" w:rsidRPr="00D87AA9" w:rsidRDefault="005D75B8" w:rsidP="00523EC2">
            <w:pPr>
              <w:pStyle w:val="TableBodyNA"/>
            </w:pPr>
            <w:r>
              <w:t>C</w:t>
            </w:r>
            <w:r w:rsidRPr="00C21B9A">
              <w:t xml:space="preserve">lose the gap between </w:t>
            </w:r>
            <w:r w:rsidR="00A51293">
              <w:t>Aboriginal and Torres Strait Islander</w:t>
            </w:r>
            <w:r w:rsidR="00A51293" w:rsidRPr="00C21B9A">
              <w:t xml:space="preserve"> </w:t>
            </w:r>
            <w:r w:rsidRPr="00C21B9A">
              <w:t>and non</w:t>
            </w:r>
            <w:r w:rsidR="00FA5150">
              <w:noBreakHyphen/>
            </w:r>
            <w:r w:rsidRPr="00C21B9A">
              <w:t xml:space="preserve">Indigenous school attendance within five years (by </w:t>
            </w:r>
            <w:r>
              <w:t xml:space="preserve">the end of </w:t>
            </w:r>
            <w:r w:rsidRPr="00C21B9A">
              <w:t>2018)</w:t>
            </w:r>
            <w:r w:rsidR="004F04D8">
              <w:t>.</w:t>
            </w:r>
          </w:p>
        </w:tc>
      </w:tr>
      <w:tr w:rsidR="005D75B8" w:rsidRPr="00D87AA9" w14:paraId="0A0DB220" w14:textId="77777777" w:rsidTr="004F04D8">
        <w:tc>
          <w:tcPr>
            <w:tcW w:w="2093" w:type="dxa"/>
          </w:tcPr>
          <w:p w14:paraId="1B661DDA" w14:textId="77777777" w:rsidR="005D75B8" w:rsidRPr="00D87AA9" w:rsidRDefault="005D75B8" w:rsidP="00523EC2">
            <w:pPr>
              <w:pStyle w:val="TableBodyNA"/>
            </w:pPr>
            <w:r w:rsidRPr="00D87AA9">
              <w:t>Measure:</w:t>
            </w:r>
          </w:p>
        </w:tc>
        <w:tc>
          <w:tcPr>
            <w:tcW w:w="6696" w:type="dxa"/>
          </w:tcPr>
          <w:p w14:paraId="4195B2DD" w14:textId="163A8526" w:rsidR="005D75B8" w:rsidRDefault="005D75B8" w:rsidP="00523EC2">
            <w:pPr>
              <w:pStyle w:val="TableBodyNA"/>
            </w:pPr>
            <w:r>
              <w:t>There are three measures for</w:t>
            </w:r>
            <w:r w:rsidR="004F04D8">
              <w:t xml:space="preserve"> this indicator:</w:t>
            </w:r>
          </w:p>
          <w:p w14:paraId="26FB8D25" w14:textId="77777777" w:rsidR="005D75B8" w:rsidRDefault="005D75B8" w:rsidP="00523EC2">
            <w:pPr>
              <w:pStyle w:val="TableBodyNA"/>
            </w:pPr>
            <w:r>
              <w:t>Measure 13(a) (main measure): Overall attendance rates for students in years 1 to 10, by Indigenous status</w:t>
            </w:r>
            <w:r w:rsidR="000E5284">
              <w:t xml:space="preserve"> [</w:t>
            </w:r>
            <w:r w:rsidR="000E5284" w:rsidRPr="000E5284">
              <w:rPr>
                <w:i/>
              </w:rPr>
              <w:t>student attendance rate</w:t>
            </w:r>
            <w:r w:rsidR="000E5284">
              <w:t>]</w:t>
            </w:r>
          </w:p>
          <w:p w14:paraId="34A8AD74" w14:textId="73B53683" w:rsidR="005D75B8" w:rsidRDefault="005D75B8" w:rsidP="00523EC2">
            <w:pPr>
              <w:pStyle w:val="TableBodyNA"/>
            </w:pPr>
            <w:r>
              <w:t>Measure 13(b) (supplementary measure): Proportion of students who attend school 90 per cent or more of the time, by Indigenous status</w:t>
            </w:r>
            <w:r w:rsidR="000E5284">
              <w:t xml:space="preserve"> [</w:t>
            </w:r>
            <w:r w:rsidR="000E5284" w:rsidRPr="000E5284">
              <w:rPr>
                <w:i/>
              </w:rPr>
              <w:t>student attendance level</w:t>
            </w:r>
            <w:r w:rsidR="000E5284">
              <w:t>]</w:t>
            </w:r>
          </w:p>
          <w:p w14:paraId="61475ED3" w14:textId="3B6C0DE4" w:rsidR="005D75B8" w:rsidRPr="00D87AA9" w:rsidRDefault="005D75B8" w:rsidP="00523EC2">
            <w:pPr>
              <w:pStyle w:val="TableBodyNA"/>
            </w:pPr>
            <w:r>
              <w:t>Measure 13(c) (supplementary measure): Number and proportion of schools achieving 90 per cent or greater average school attendance</w:t>
            </w:r>
            <w:r w:rsidR="00F8458B">
              <w:t>,</w:t>
            </w:r>
            <w:r w:rsidR="000E5284">
              <w:t xml:space="preserve"> by Indigenous status </w:t>
            </w:r>
          </w:p>
        </w:tc>
      </w:tr>
      <w:tr w:rsidR="005D75B8" w:rsidRPr="00D87AA9" w14:paraId="0A061686" w14:textId="77777777" w:rsidTr="004F04D8">
        <w:tc>
          <w:tcPr>
            <w:tcW w:w="2093" w:type="dxa"/>
          </w:tcPr>
          <w:p w14:paraId="4A773790" w14:textId="77777777" w:rsidR="005D75B8" w:rsidRPr="00D87AA9" w:rsidRDefault="005D75B8" w:rsidP="00523EC2">
            <w:pPr>
              <w:pStyle w:val="TableBodyNA"/>
            </w:pPr>
            <w:r>
              <w:t>Measure (13a)</w:t>
            </w:r>
          </w:p>
        </w:tc>
        <w:tc>
          <w:tcPr>
            <w:tcW w:w="6696" w:type="dxa"/>
          </w:tcPr>
          <w:p w14:paraId="5A9B6328" w14:textId="77777777" w:rsidR="005D75B8" w:rsidRDefault="005D75B8" w:rsidP="00523EC2">
            <w:pPr>
              <w:pStyle w:val="TableBodyNA"/>
            </w:pPr>
            <w:r w:rsidRPr="0033163A">
              <w:t xml:space="preserve">The </w:t>
            </w:r>
            <w:r>
              <w:t>rate of attendance for students in years 1 to 10, by Indigenous status</w:t>
            </w:r>
          </w:p>
          <w:p w14:paraId="7793D03D" w14:textId="77777777" w:rsidR="005D75B8" w:rsidRDefault="005D75B8" w:rsidP="00523EC2">
            <w:pPr>
              <w:pStyle w:val="TableBodyNA"/>
            </w:pPr>
            <w:r>
              <w:t>The measure is defined as:</w:t>
            </w:r>
          </w:p>
          <w:p w14:paraId="7CA8B123" w14:textId="77777777" w:rsidR="005D75B8" w:rsidRDefault="005D75B8" w:rsidP="00F57F7B">
            <w:pPr>
              <w:pStyle w:val="TableBullet"/>
            </w:pPr>
            <w:r w:rsidRPr="0069483D">
              <w:rPr>
                <w:i/>
              </w:rPr>
              <w:t>Numerator</w:t>
            </w:r>
            <w:r>
              <w:t xml:space="preserve"> — aggregate number of actual days in attendance in the collection period, for children in years 1–10 (children enrolled full time only</w:t>
            </w:r>
            <w:bookmarkStart w:id="36" w:name="OLE_LINK1"/>
            <w:r w:rsidRPr="0056628E">
              <w:rPr>
                <w:rStyle w:val="NoteLabel"/>
                <w:b w:val="0"/>
              </w:rPr>
              <w:footnoteReference w:id="8"/>
            </w:r>
            <w:bookmarkEnd w:id="36"/>
            <w:r>
              <w:t>)</w:t>
            </w:r>
          </w:p>
          <w:p w14:paraId="6EA08B04" w14:textId="2E753626" w:rsidR="005D75B8" w:rsidRDefault="005D75B8" w:rsidP="00F57F7B">
            <w:pPr>
              <w:pStyle w:val="TableBullet"/>
            </w:pPr>
            <w:r w:rsidRPr="0069483D">
              <w:rPr>
                <w:i/>
              </w:rPr>
              <w:t>Denominator</w:t>
            </w:r>
            <w:r>
              <w:t xml:space="preserve"> — aggregate number of possible days for attendance in the collection period, for children in years 1–10 (children enrolled full time only</w:t>
            </w:r>
            <w:r w:rsidR="003302DC" w:rsidRPr="00182D1A">
              <w:rPr>
                <w:rStyle w:val="NoteLabel"/>
                <w:b w:val="0"/>
              </w:rPr>
              <w:t>7</w:t>
            </w:r>
            <w:r w:rsidR="00143713">
              <w:t>)</w:t>
            </w:r>
          </w:p>
          <w:p w14:paraId="0939D0A6" w14:textId="413495D7" w:rsidR="005D75B8" w:rsidRPr="0033163A" w:rsidRDefault="005D75B8" w:rsidP="00523EC2">
            <w:pPr>
              <w:pStyle w:val="TableBodyNA"/>
            </w:pPr>
            <w:r>
              <w:t>presented as</w:t>
            </w:r>
            <w:r w:rsidR="00454758">
              <w:t xml:space="preserve"> a</w:t>
            </w:r>
            <w:r>
              <w:t xml:space="preserve"> </w:t>
            </w:r>
            <w:r w:rsidRPr="0033163A">
              <w:rPr>
                <w:i/>
              </w:rPr>
              <w:t>percent</w:t>
            </w:r>
            <w:r w:rsidR="00F8458B">
              <w:rPr>
                <w:i/>
              </w:rPr>
              <w:t>age</w:t>
            </w:r>
            <w:r w:rsidRPr="0033163A">
              <w:rPr>
                <w:i/>
              </w:rPr>
              <w:t xml:space="preserve"> of</w:t>
            </w:r>
            <w:r w:rsidRPr="0012388B">
              <w:rPr>
                <w:i/>
              </w:rPr>
              <w:t xml:space="preserve"> possible days of attendance</w:t>
            </w:r>
          </w:p>
        </w:tc>
      </w:tr>
      <w:tr w:rsidR="005D75B8" w:rsidRPr="00D87AA9" w14:paraId="7FE1CC40" w14:textId="77777777" w:rsidTr="004F04D8">
        <w:tc>
          <w:tcPr>
            <w:tcW w:w="2093" w:type="dxa"/>
          </w:tcPr>
          <w:p w14:paraId="269AB838" w14:textId="77777777" w:rsidR="005D75B8" w:rsidRPr="00D87AA9" w:rsidRDefault="005D75B8" w:rsidP="00523EC2">
            <w:pPr>
              <w:pStyle w:val="TableBodyNA"/>
            </w:pPr>
            <w:r>
              <w:t>Measure (13b)</w:t>
            </w:r>
          </w:p>
        </w:tc>
        <w:tc>
          <w:tcPr>
            <w:tcW w:w="6696" w:type="dxa"/>
          </w:tcPr>
          <w:p w14:paraId="189A1643" w14:textId="77777777" w:rsidR="005D75B8" w:rsidRDefault="005D75B8" w:rsidP="00523EC2">
            <w:pPr>
              <w:pStyle w:val="TableBodyNA"/>
            </w:pPr>
            <w:r w:rsidRPr="004A5D98">
              <w:t xml:space="preserve">The </w:t>
            </w:r>
            <w:r>
              <w:t>proportion of students who attend school 90 per cent or more of possible attendance for students in years 1 to 10, by Indigenous status</w:t>
            </w:r>
          </w:p>
          <w:p w14:paraId="4F8814AB" w14:textId="77777777" w:rsidR="005D75B8" w:rsidRDefault="005D75B8" w:rsidP="00523EC2">
            <w:pPr>
              <w:pStyle w:val="TableBodyNA"/>
            </w:pPr>
            <w:r>
              <w:t>The measure is defined as:</w:t>
            </w:r>
          </w:p>
          <w:p w14:paraId="328DB2B9" w14:textId="61AB2539" w:rsidR="005D75B8" w:rsidRDefault="005D75B8" w:rsidP="00F57F7B">
            <w:pPr>
              <w:pStyle w:val="TableBullet"/>
            </w:pPr>
            <w:r w:rsidRPr="0069483D">
              <w:rPr>
                <w:i/>
              </w:rPr>
              <w:t>Numerator</w:t>
            </w:r>
            <w:r w:rsidR="00610154">
              <w:t xml:space="preserve"> — sum of possible school days for students attending more than or equal to 90 per cent of possible days in the collection period</w:t>
            </w:r>
            <w:r>
              <w:t>, for children in years 1–10 (children enrolled full time only)</w:t>
            </w:r>
            <w:r w:rsidR="003302DC" w:rsidRPr="00182D1A">
              <w:rPr>
                <w:rStyle w:val="NoteLabel"/>
                <w:b w:val="0"/>
              </w:rPr>
              <w:t>7</w:t>
            </w:r>
          </w:p>
          <w:p w14:paraId="010E2B71" w14:textId="43D7A8E0" w:rsidR="005D75B8" w:rsidRDefault="005D75B8" w:rsidP="00F57F7B">
            <w:pPr>
              <w:pStyle w:val="TableBullet"/>
            </w:pPr>
            <w:r w:rsidRPr="0069483D">
              <w:rPr>
                <w:i/>
              </w:rPr>
              <w:t>Denominator</w:t>
            </w:r>
            <w:r>
              <w:t xml:space="preserve"> — </w:t>
            </w:r>
            <w:r w:rsidR="00610154">
              <w:t xml:space="preserve">sum of possible school days (the days each student is expected to attend) for all students </w:t>
            </w:r>
            <w:r>
              <w:t>in the collection period, for children in years 1–10 (children enrolled full time only</w:t>
            </w:r>
            <w:r w:rsidR="003302DC" w:rsidRPr="00182D1A">
              <w:rPr>
                <w:rStyle w:val="NoteLabel"/>
                <w:b w:val="0"/>
              </w:rPr>
              <w:t>7</w:t>
            </w:r>
            <w:r>
              <w:t>)</w:t>
            </w:r>
          </w:p>
          <w:p w14:paraId="17A5456D" w14:textId="77777777" w:rsidR="005D75B8" w:rsidRDefault="005D75B8" w:rsidP="00523EC2">
            <w:pPr>
              <w:pStyle w:val="TableBodyNA"/>
              <w:rPr>
                <w:i/>
              </w:rPr>
            </w:pPr>
            <w:r>
              <w:t xml:space="preserve">presented as a </w:t>
            </w:r>
            <w:r w:rsidR="00F8458B">
              <w:rPr>
                <w:i/>
              </w:rPr>
              <w:t xml:space="preserve">percentage </w:t>
            </w:r>
          </w:p>
          <w:p w14:paraId="6B1781F7" w14:textId="7DD82427" w:rsidR="005D75B8" w:rsidRPr="004A5D98" w:rsidRDefault="00610154" w:rsidP="00523EC2">
            <w:pPr>
              <w:pStyle w:val="TableBodyNA"/>
            </w:pPr>
            <w:r>
              <w:t>Data are comp</w:t>
            </w:r>
            <w:r w:rsidR="00A51293">
              <w:t>i</w:t>
            </w:r>
            <w:r>
              <w:t>led using this formula based on the National Standard for S</w:t>
            </w:r>
            <w:r w:rsidR="0067541F">
              <w:t>tudent Attendance Reporting</w:t>
            </w:r>
            <w:r>
              <w:t xml:space="preserve">. </w:t>
            </w:r>
          </w:p>
        </w:tc>
      </w:tr>
      <w:tr w:rsidR="005D75B8" w:rsidRPr="00D87AA9" w14:paraId="6D1F9CCF" w14:textId="77777777" w:rsidTr="004F04D8">
        <w:tc>
          <w:tcPr>
            <w:tcW w:w="2093" w:type="dxa"/>
          </w:tcPr>
          <w:p w14:paraId="1465A645" w14:textId="77777777" w:rsidR="005D75B8" w:rsidRPr="00D87AA9" w:rsidRDefault="005D75B8" w:rsidP="00523EC2">
            <w:pPr>
              <w:pStyle w:val="TableBodyNA"/>
            </w:pPr>
            <w:r>
              <w:t>Measure (13c)</w:t>
            </w:r>
          </w:p>
        </w:tc>
        <w:tc>
          <w:tcPr>
            <w:tcW w:w="6696" w:type="dxa"/>
          </w:tcPr>
          <w:p w14:paraId="1AA851A7" w14:textId="77777777" w:rsidR="005D75B8" w:rsidRDefault="005D75B8" w:rsidP="00523EC2">
            <w:pPr>
              <w:pStyle w:val="TableBodyNA"/>
            </w:pPr>
            <w:r w:rsidRPr="004A5D98">
              <w:t xml:space="preserve">The </w:t>
            </w:r>
            <w:r>
              <w:t xml:space="preserve">number and proportion of schools achieving 90 per cent attendance on average by Indigenous status. </w:t>
            </w:r>
          </w:p>
          <w:p w14:paraId="32C7A312" w14:textId="77777777" w:rsidR="005D75B8" w:rsidRDefault="005D75B8" w:rsidP="00523EC2">
            <w:pPr>
              <w:pStyle w:val="TableBodyNA"/>
            </w:pPr>
            <w:r>
              <w:t>The measure is defined as:</w:t>
            </w:r>
          </w:p>
          <w:p w14:paraId="2FC7BBA9" w14:textId="0F66011D" w:rsidR="005D75B8" w:rsidRPr="0033163A" w:rsidRDefault="005D75B8" w:rsidP="00F57F7B">
            <w:pPr>
              <w:pStyle w:val="TableBullet"/>
            </w:pPr>
            <w:r w:rsidRPr="0069483D">
              <w:rPr>
                <w:i/>
              </w:rPr>
              <w:t>Numerator</w:t>
            </w:r>
            <w:r>
              <w:t xml:space="preserve"> 1 — aggregate number of schools for which the average attendance rate (measure 13</w:t>
            </w:r>
            <w:r w:rsidR="00D96608">
              <w:t>a</w:t>
            </w:r>
            <w:r>
              <w:t xml:space="preserve">) for </w:t>
            </w:r>
            <w:r w:rsidR="00A51293">
              <w:t xml:space="preserve">Aboriginal and Torres Strait Islander </w:t>
            </w:r>
            <w:r>
              <w:t>students in years 1</w:t>
            </w:r>
            <w:r w:rsidR="00FA5150">
              <w:t>–</w:t>
            </w:r>
            <w:r>
              <w:t>10 is 90 per cent or more.</w:t>
            </w:r>
          </w:p>
          <w:p w14:paraId="1C771F3C" w14:textId="77777777" w:rsidR="005D75B8" w:rsidRDefault="005D75B8" w:rsidP="00F57F7B">
            <w:pPr>
              <w:pStyle w:val="TableBullet"/>
            </w:pPr>
            <w:r w:rsidRPr="0069483D">
              <w:rPr>
                <w:i/>
              </w:rPr>
              <w:t>Denominator</w:t>
            </w:r>
            <w:r>
              <w:t xml:space="preserve"> 1 — aggregate number of schools reporting </w:t>
            </w:r>
            <w:r w:rsidR="00A51293">
              <w:t xml:space="preserve">Aboriginal and Torres Strait Islander </w:t>
            </w:r>
            <w:r>
              <w:t xml:space="preserve">student attendance rates for years 1–10 </w:t>
            </w:r>
          </w:p>
          <w:p w14:paraId="20F5F64C" w14:textId="26759B74" w:rsidR="005D75B8" w:rsidRPr="00E32F44" w:rsidRDefault="005D75B8" w:rsidP="00F57F7B">
            <w:pPr>
              <w:pStyle w:val="TableBullet"/>
            </w:pPr>
            <w:r w:rsidRPr="0069483D">
              <w:rPr>
                <w:i/>
              </w:rPr>
              <w:t>Numerator</w:t>
            </w:r>
            <w:r>
              <w:t xml:space="preserve"> 2 — aggregate number of schools for which the average attendance rate (measure 13</w:t>
            </w:r>
            <w:r w:rsidR="00D96608">
              <w:t>a</w:t>
            </w:r>
            <w:r>
              <w:t>) for non</w:t>
            </w:r>
            <w:r w:rsidR="00FA5150">
              <w:noBreakHyphen/>
            </w:r>
            <w:r>
              <w:t>Indigenous students in years 1</w:t>
            </w:r>
            <w:r w:rsidR="00FA5150">
              <w:t>–</w:t>
            </w:r>
            <w:r>
              <w:t>10 is 90</w:t>
            </w:r>
            <w:r w:rsidR="00FA5150">
              <w:t> </w:t>
            </w:r>
            <w:r>
              <w:t>per cent or more.</w:t>
            </w:r>
          </w:p>
          <w:p w14:paraId="16F68F9D" w14:textId="1B42C18B" w:rsidR="005D75B8" w:rsidRDefault="005D75B8" w:rsidP="00F57F7B">
            <w:pPr>
              <w:pStyle w:val="TableBullet"/>
            </w:pPr>
            <w:r w:rsidRPr="0069483D">
              <w:rPr>
                <w:i/>
              </w:rPr>
              <w:t>Denominator</w:t>
            </w:r>
            <w:r>
              <w:t xml:space="preserve"> 2 — aggregate number of schools reporting non</w:t>
            </w:r>
            <w:r w:rsidR="00FA5150">
              <w:noBreakHyphen/>
            </w:r>
            <w:r>
              <w:t xml:space="preserve">Indigenous student attendance rates for years 1–10 </w:t>
            </w:r>
          </w:p>
          <w:p w14:paraId="18902672" w14:textId="221B36A8" w:rsidR="005D75B8" w:rsidRPr="004A5D98" w:rsidRDefault="005D75B8" w:rsidP="00523EC2">
            <w:pPr>
              <w:pStyle w:val="TableBodyNA"/>
            </w:pPr>
            <w:r>
              <w:t xml:space="preserve">presented as </w:t>
            </w:r>
            <w:r w:rsidRPr="0033163A">
              <w:rPr>
                <w:i/>
              </w:rPr>
              <w:t>number and</w:t>
            </w:r>
            <w:r>
              <w:t xml:space="preserve"> </w:t>
            </w:r>
            <w:r>
              <w:rPr>
                <w:i/>
              </w:rPr>
              <w:t>proportion of schools</w:t>
            </w:r>
          </w:p>
        </w:tc>
      </w:tr>
      <w:tr w:rsidR="005D75B8" w:rsidRPr="00D87AA9" w14:paraId="153FFAC1" w14:textId="77777777" w:rsidTr="004F04D8">
        <w:tc>
          <w:tcPr>
            <w:tcW w:w="2093" w:type="dxa"/>
          </w:tcPr>
          <w:p w14:paraId="70CF9048" w14:textId="77777777" w:rsidR="005D75B8" w:rsidRPr="00D87AA9" w:rsidRDefault="005D75B8" w:rsidP="00523EC2">
            <w:pPr>
              <w:pStyle w:val="TableBodyNA"/>
            </w:pPr>
            <w:r w:rsidRPr="00D87AA9">
              <w:lastRenderedPageBreak/>
              <w:t>Data source</w:t>
            </w:r>
            <w:r>
              <w:t xml:space="preserve"> (13a, 13b, 13c)</w:t>
            </w:r>
            <w:r w:rsidRPr="00D87AA9">
              <w:t>:</w:t>
            </w:r>
          </w:p>
        </w:tc>
        <w:tc>
          <w:tcPr>
            <w:tcW w:w="6696" w:type="dxa"/>
          </w:tcPr>
          <w:p w14:paraId="3828EE05" w14:textId="286A78AC" w:rsidR="005D75B8" w:rsidRPr="00D87AA9" w:rsidRDefault="005D75B8" w:rsidP="00F6022F">
            <w:pPr>
              <w:pStyle w:val="TableBodyNA"/>
            </w:pPr>
            <w:r w:rsidRPr="0012388B">
              <w:rPr>
                <w:i/>
              </w:rPr>
              <w:t xml:space="preserve">Numerator and denominator </w:t>
            </w:r>
            <w:r w:rsidRPr="006F41BD">
              <w:t xml:space="preserve">— National </w:t>
            </w:r>
            <w:r>
              <w:t>Student</w:t>
            </w:r>
            <w:r w:rsidRPr="006F41BD">
              <w:t xml:space="preserve"> Attendance Collection. Data are collected annually</w:t>
            </w:r>
          </w:p>
        </w:tc>
      </w:tr>
      <w:tr w:rsidR="00365748" w:rsidRPr="00D87AA9" w14:paraId="7F5271D3" w14:textId="77777777" w:rsidTr="00C640A5">
        <w:tc>
          <w:tcPr>
            <w:tcW w:w="2093" w:type="dxa"/>
          </w:tcPr>
          <w:p w14:paraId="7DE95E95" w14:textId="0FF4377D" w:rsidR="00365748" w:rsidRPr="00D87AA9" w:rsidRDefault="00365748" w:rsidP="00523EC2">
            <w:pPr>
              <w:pStyle w:val="TableBodyNA"/>
            </w:pPr>
            <w:r w:rsidRPr="00D87AA9">
              <w:t>Data provider</w:t>
            </w:r>
            <w:r>
              <w:t xml:space="preserve"> (13a, 13b, 13c)</w:t>
            </w:r>
            <w:r w:rsidRPr="00D87AA9">
              <w:t>:</w:t>
            </w:r>
          </w:p>
        </w:tc>
        <w:tc>
          <w:tcPr>
            <w:tcW w:w="6696" w:type="dxa"/>
          </w:tcPr>
          <w:p w14:paraId="27016A0A" w14:textId="77777777" w:rsidR="00365748" w:rsidRDefault="00365748" w:rsidP="00523EC2">
            <w:pPr>
              <w:pStyle w:val="TableBodyNA"/>
            </w:pPr>
            <w:r w:rsidRPr="006F41BD">
              <w:t>ACARA</w:t>
            </w:r>
          </w:p>
          <w:p w14:paraId="7CDE82F2" w14:textId="77777777" w:rsidR="00365748" w:rsidRPr="006F41BD" w:rsidRDefault="00365748" w:rsidP="00523EC2">
            <w:pPr>
              <w:pStyle w:val="TableBodyNA"/>
            </w:pPr>
          </w:p>
        </w:tc>
      </w:tr>
      <w:tr w:rsidR="005D75B8" w:rsidRPr="00D87AA9" w14:paraId="14B9AB3B" w14:textId="77777777" w:rsidTr="004F04D8">
        <w:tc>
          <w:tcPr>
            <w:tcW w:w="2093" w:type="dxa"/>
            <w:shd w:val="clear" w:color="auto" w:fill="auto"/>
          </w:tcPr>
          <w:p w14:paraId="79E6E8A3" w14:textId="7A4F4584" w:rsidR="005D75B8" w:rsidRPr="00D87AA9" w:rsidRDefault="005D75B8" w:rsidP="00523EC2">
            <w:pPr>
              <w:pStyle w:val="TableBodyNA"/>
            </w:pPr>
            <w:r w:rsidRPr="00D87AA9">
              <w:t>Data availability</w:t>
            </w:r>
            <w:r>
              <w:t xml:space="preserve"> (13a</w:t>
            </w:r>
            <w:r w:rsidR="00607F03">
              <w:t>, 13b, 13c</w:t>
            </w:r>
            <w:r>
              <w:t>)</w:t>
            </w:r>
            <w:r w:rsidRPr="00D87AA9">
              <w:t>:</w:t>
            </w:r>
          </w:p>
        </w:tc>
        <w:tc>
          <w:tcPr>
            <w:tcW w:w="6696" w:type="dxa"/>
            <w:shd w:val="clear" w:color="auto" w:fill="auto"/>
          </w:tcPr>
          <w:p w14:paraId="2A77A48F" w14:textId="7BC8F294" w:rsidR="005D75B8" w:rsidRDefault="00F6022F" w:rsidP="00523EC2">
            <w:pPr>
              <w:pStyle w:val="TableBodyNA"/>
            </w:pPr>
            <w:r w:rsidRPr="006F41BD">
              <w:t>201</w:t>
            </w:r>
            <w:r>
              <w:t xml:space="preserve">9 </w:t>
            </w:r>
            <w:r w:rsidR="005D75B8">
              <w:t>(Semester 1)</w:t>
            </w:r>
          </w:p>
          <w:p w14:paraId="4AF0D8CA" w14:textId="77777777" w:rsidR="005D75B8" w:rsidRPr="00D87AA9" w:rsidRDefault="005D75B8" w:rsidP="00523EC2">
            <w:pPr>
              <w:pStyle w:val="TableBodyNA"/>
            </w:pPr>
          </w:p>
        </w:tc>
      </w:tr>
      <w:tr w:rsidR="005D75B8" w:rsidRPr="00D87AA9" w14:paraId="581845DE" w14:textId="77777777" w:rsidTr="004F04D8">
        <w:tc>
          <w:tcPr>
            <w:tcW w:w="2093" w:type="dxa"/>
            <w:shd w:val="clear" w:color="auto" w:fill="auto"/>
          </w:tcPr>
          <w:p w14:paraId="31EAB4DA" w14:textId="77777777" w:rsidR="005D75B8" w:rsidRPr="00D87AA9" w:rsidRDefault="005D75B8" w:rsidP="00523EC2">
            <w:pPr>
              <w:pStyle w:val="TableBodyNA"/>
            </w:pPr>
            <w:r w:rsidRPr="00D87AA9">
              <w:t>Cross tabulations provided</w:t>
            </w:r>
            <w:r>
              <w:t xml:space="preserve"> 13a</w:t>
            </w:r>
          </w:p>
        </w:tc>
        <w:tc>
          <w:tcPr>
            <w:tcW w:w="6696" w:type="dxa"/>
            <w:shd w:val="clear" w:color="auto" w:fill="auto"/>
          </w:tcPr>
          <w:p w14:paraId="1428CE70" w14:textId="77777777" w:rsidR="005D75B8" w:rsidRDefault="005D75B8" w:rsidP="00523EC2">
            <w:pPr>
              <w:pStyle w:val="TableBodyNA"/>
            </w:pPr>
            <w:r>
              <w:t>State and Territory and nationally, by Indigenous status, by</w:t>
            </w:r>
          </w:p>
          <w:p w14:paraId="7C845DD9" w14:textId="77777777" w:rsidR="005D75B8" w:rsidRDefault="005D75B8" w:rsidP="005D75B8">
            <w:pPr>
              <w:pStyle w:val="TableBullet"/>
              <w:spacing w:line="220" w:lineRule="atLeast"/>
              <w:rPr>
                <w:i/>
              </w:rPr>
            </w:pPr>
            <w:r>
              <w:t>Combined year levels and sectors, by remoteness</w:t>
            </w:r>
          </w:p>
          <w:p w14:paraId="1CA098F2" w14:textId="1E6DA059" w:rsidR="005D75B8" w:rsidRPr="004F04D8" w:rsidRDefault="005D75B8" w:rsidP="00F57F7B">
            <w:pPr>
              <w:pStyle w:val="TableBullet"/>
              <w:spacing w:line="220" w:lineRule="atLeast"/>
              <w:rPr>
                <w:i/>
              </w:rPr>
            </w:pPr>
            <w:r>
              <w:t xml:space="preserve">Year level (1–10 individually), by </w:t>
            </w:r>
            <w:r w:rsidR="00F8458B">
              <w:t>s</w:t>
            </w:r>
            <w:r>
              <w:t>chool sector (government, Catholic, independent</w:t>
            </w:r>
            <w:r w:rsidR="00C3645B">
              <w:t xml:space="preserve"> and non</w:t>
            </w:r>
            <w:r w:rsidR="00FA5150">
              <w:noBreakHyphen/>
            </w:r>
            <w:r w:rsidR="00C3645B">
              <w:t>government</w:t>
            </w:r>
            <w:r>
              <w:t>)</w:t>
            </w:r>
          </w:p>
        </w:tc>
      </w:tr>
      <w:tr w:rsidR="005D75B8" w:rsidRPr="00D87AA9" w14:paraId="36EA918A" w14:textId="77777777" w:rsidTr="004F04D8">
        <w:tc>
          <w:tcPr>
            <w:tcW w:w="2093" w:type="dxa"/>
            <w:shd w:val="clear" w:color="auto" w:fill="auto"/>
          </w:tcPr>
          <w:p w14:paraId="363D3A34" w14:textId="77777777" w:rsidR="005D75B8" w:rsidRPr="00D87AA9" w:rsidRDefault="005D75B8" w:rsidP="00523EC2">
            <w:pPr>
              <w:pStyle w:val="TableBodyNA"/>
            </w:pPr>
            <w:r>
              <w:t>Cross tabulations provided 13b</w:t>
            </w:r>
          </w:p>
        </w:tc>
        <w:tc>
          <w:tcPr>
            <w:tcW w:w="6696" w:type="dxa"/>
            <w:shd w:val="clear" w:color="auto" w:fill="auto"/>
          </w:tcPr>
          <w:p w14:paraId="65EEAD96" w14:textId="77777777" w:rsidR="005D75B8" w:rsidRDefault="005D75B8" w:rsidP="00523EC2">
            <w:pPr>
              <w:pStyle w:val="TableBodyNA"/>
            </w:pPr>
            <w:r>
              <w:t>State and Territory and nationally, by Indigenous status, by</w:t>
            </w:r>
          </w:p>
          <w:p w14:paraId="10864563" w14:textId="77777777" w:rsidR="005D75B8" w:rsidRPr="000E5284" w:rsidRDefault="00B21127" w:rsidP="005D75B8">
            <w:pPr>
              <w:pStyle w:val="TableBullet"/>
              <w:spacing w:line="220" w:lineRule="atLeast"/>
              <w:rPr>
                <w:i/>
              </w:rPr>
            </w:pPr>
            <w:r>
              <w:t xml:space="preserve">Combined year levels </w:t>
            </w:r>
            <w:r w:rsidR="00DE73C9">
              <w:t xml:space="preserve">for government </w:t>
            </w:r>
            <w:r>
              <w:t xml:space="preserve">sector, by </w:t>
            </w:r>
            <w:r w:rsidR="005D75B8">
              <w:t>remoteness</w:t>
            </w:r>
          </w:p>
          <w:p w14:paraId="0A209E0A" w14:textId="06E71C52" w:rsidR="00DE73C9" w:rsidRDefault="00DE73C9" w:rsidP="005D75B8">
            <w:pPr>
              <w:pStyle w:val="TableBullet"/>
              <w:spacing w:line="220" w:lineRule="atLeast"/>
              <w:rPr>
                <w:i/>
              </w:rPr>
            </w:pPr>
            <w:r>
              <w:t>Combined year levels for non</w:t>
            </w:r>
            <w:r w:rsidR="00FA5150">
              <w:noBreakHyphen/>
            </w:r>
            <w:r>
              <w:t>government sector, by remoteness</w:t>
            </w:r>
            <w:r w:rsidR="00935DAF">
              <w:t xml:space="preserve"> </w:t>
            </w:r>
          </w:p>
          <w:p w14:paraId="77F61758" w14:textId="102D7463" w:rsidR="00935DAF" w:rsidRDefault="00935DAF" w:rsidP="00523EC2">
            <w:pPr>
              <w:pStyle w:val="TableBodyNA"/>
            </w:pPr>
            <w:r>
              <w:t>Data are reported for ABS remoteness categories from 201</w:t>
            </w:r>
            <w:r w:rsidR="002703C5">
              <w:t>6</w:t>
            </w:r>
            <w:r>
              <w:t>, previously by geolocation.</w:t>
            </w:r>
          </w:p>
        </w:tc>
      </w:tr>
      <w:tr w:rsidR="005D75B8" w:rsidRPr="00D87AA9" w14:paraId="43D4AD91" w14:textId="77777777" w:rsidTr="004F04D8">
        <w:tc>
          <w:tcPr>
            <w:tcW w:w="2093" w:type="dxa"/>
            <w:shd w:val="clear" w:color="auto" w:fill="auto"/>
          </w:tcPr>
          <w:p w14:paraId="5FDE3DA9" w14:textId="77777777" w:rsidR="005D75B8" w:rsidRDefault="005D75B8" w:rsidP="00523EC2">
            <w:pPr>
              <w:pStyle w:val="TableBodyNA"/>
            </w:pPr>
            <w:r>
              <w:t>Cross tabulations provided 13c</w:t>
            </w:r>
          </w:p>
        </w:tc>
        <w:tc>
          <w:tcPr>
            <w:tcW w:w="6696" w:type="dxa"/>
            <w:shd w:val="clear" w:color="auto" w:fill="auto"/>
          </w:tcPr>
          <w:p w14:paraId="6BF07720" w14:textId="77777777" w:rsidR="005D75B8" w:rsidRDefault="005D75B8" w:rsidP="00523EC2">
            <w:pPr>
              <w:pStyle w:val="TableBodyNA"/>
            </w:pPr>
            <w:r>
              <w:t>State and Territory and nationally, by</w:t>
            </w:r>
            <w:r w:rsidR="00B21127">
              <w:t xml:space="preserve"> Indigenous status, by </w:t>
            </w:r>
          </w:p>
          <w:p w14:paraId="409233A9" w14:textId="494DDD84" w:rsidR="00935DAF" w:rsidRPr="00935DAF" w:rsidRDefault="00B21127" w:rsidP="00F6022F">
            <w:pPr>
              <w:pStyle w:val="TableBullet"/>
              <w:spacing w:line="220" w:lineRule="atLeast"/>
            </w:pPr>
            <w:r>
              <w:t xml:space="preserve">Combined year levels and sectors, by </w:t>
            </w:r>
            <w:r w:rsidR="005D75B8">
              <w:t>remoteness</w:t>
            </w:r>
            <w:r w:rsidR="00BE01E0">
              <w:t xml:space="preserve"> </w:t>
            </w:r>
            <w:r w:rsidR="00325B5A">
              <w:t>(based on</w:t>
            </w:r>
            <w:r w:rsidR="006A68DE">
              <w:t xml:space="preserve"> </w:t>
            </w:r>
            <w:r w:rsidR="00325B5A">
              <w:t xml:space="preserve">ASGS </w:t>
            </w:r>
            <w:r w:rsidR="00F6022F">
              <w:t>2016 from 2019</w:t>
            </w:r>
            <w:r w:rsidR="00325B5A">
              <w:t>)</w:t>
            </w:r>
            <w:r w:rsidR="00935DAF">
              <w:t xml:space="preserve"> </w:t>
            </w:r>
          </w:p>
        </w:tc>
      </w:tr>
    </w:tbl>
    <w:p w14:paraId="171C6F62" w14:textId="77777777" w:rsidR="00E50EF9" w:rsidRDefault="00E50EF9" w:rsidP="00620F1F">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620F1F" w14:paraId="0E0FBEBB" w14:textId="77777777" w:rsidTr="00944F80">
        <w:tc>
          <w:tcPr>
            <w:tcW w:w="8789" w:type="dxa"/>
            <w:tcBorders>
              <w:top w:val="single" w:sz="6" w:space="0" w:color="78A22F"/>
              <w:left w:val="nil"/>
              <w:bottom w:val="nil"/>
              <w:right w:val="nil"/>
            </w:tcBorders>
            <w:shd w:val="clear" w:color="auto" w:fill="F2F2F2"/>
          </w:tcPr>
          <w:p w14:paraId="6F2F8BB6" w14:textId="3A290B93" w:rsidR="00620F1F" w:rsidRDefault="00620F1F" w:rsidP="00793FFB">
            <w:pPr>
              <w:pStyle w:val="BoxTitle"/>
            </w:pPr>
            <w:r>
              <w:rPr>
                <w:b w:val="0"/>
              </w:rPr>
              <w:t xml:space="preserve">Box </w:t>
            </w:r>
            <w:r w:rsidR="00F6022F">
              <w:rPr>
                <w:b w:val="0"/>
              </w:rPr>
              <w:t>3</w:t>
            </w:r>
            <w:r w:rsidR="00793FFB">
              <w:rPr>
                <w:b w:val="0"/>
              </w:rPr>
              <w:t>8</w:t>
            </w:r>
            <w:r>
              <w:tab/>
              <w:t>Results</w:t>
            </w:r>
            <w:r w:rsidR="00B6173B">
              <w:t xml:space="preserve"> </w:t>
            </w:r>
          </w:p>
        </w:tc>
      </w:tr>
      <w:tr w:rsidR="00620F1F" w:rsidRPr="003C412A" w14:paraId="6EE07DBF" w14:textId="77777777" w:rsidTr="00944F80">
        <w:trPr>
          <w:cantSplit/>
        </w:trPr>
        <w:tc>
          <w:tcPr>
            <w:tcW w:w="8789" w:type="dxa"/>
            <w:tcBorders>
              <w:top w:val="nil"/>
              <w:left w:val="nil"/>
              <w:bottom w:val="nil"/>
              <w:right w:val="nil"/>
            </w:tcBorders>
            <w:shd w:val="clear" w:color="auto" w:fill="F2F2F2"/>
          </w:tcPr>
          <w:p w14:paraId="7CA4AFA0" w14:textId="7FBE9C6D" w:rsidR="005106A6" w:rsidRPr="002E7DE7" w:rsidRDefault="008D7EDA" w:rsidP="00217FEB">
            <w:pPr>
              <w:pStyle w:val="Box"/>
            </w:pPr>
            <w:r w:rsidRPr="002E7DE7">
              <w:t>For this report, new data for this indic</w:t>
            </w:r>
            <w:r w:rsidR="005106A6" w:rsidRPr="002E7DE7">
              <w:t xml:space="preserve">ator are </w:t>
            </w:r>
            <w:r w:rsidR="008B787D" w:rsidRPr="002E7DE7">
              <w:t xml:space="preserve">available </w:t>
            </w:r>
            <w:r w:rsidR="005106A6" w:rsidRPr="002E7DE7">
              <w:t xml:space="preserve">for </w:t>
            </w:r>
            <w:r w:rsidR="00F6022F" w:rsidRPr="002E7DE7">
              <w:t>2019</w:t>
            </w:r>
            <w:r w:rsidR="005106A6" w:rsidRPr="002E7DE7">
              <w:t xml:space="preserve">. </w:t>
            </w:r>
          </w:p>
          <w:p w14:paraId="076975CB" w14:textId="66C7F9C1" w:rsidR="005106A6" w:rsidRPr="00CE5702" w:rsidRDefault="005106A6" w:rsidP="00217FEB">
            <w:pPr>
              <w:pStyle w:val="BoxListBullet"/>
            </w:pPr>
            <w:r w:rsidRPr="00CE5702">
              <w:t xml:space="preserve">Data on student attendance </w:t>
            </w:r>
            <w:r w:rsidR="005E1EA3" w:rsidRPr="00CE5702">
              <w:t xml:space="preserve">rates </w:t>
            </w:r>
            <w:r w:rsidR="00481920" w:rsidRPr="00CE5702">
              <w:t xml:space="preserve">(combined year level and combined sectors) </w:t>
            </w:r>
            <w:r w:rsidRPr="00CE5702">
              <w:t xml:space="preserve">by State and Territory, by Indigenous status are presented in table NIRA.13.1 and </w:t>
            </w:r>
            <w:r w:rsidR="00481920" w:rsidRPr="00CE5702">
              <w:t xml:space="preserve">by remoteness in </w:t>
            </w:r>
            <w:r w:rsidRPr="00CE5702">
              <w:t>table NIRA.13.</w:t>
            </w:r>
            <w:r w:rsidR="00481920" w:rsidRPr="00CE5702">
              <w:t>2</w:t>
            </w:r>
            <w:r w:rsidR="00E50EF9" w:rsidRPr="00CE5702">
              <w:t>.</w:t>
            </w:r>
          </w:p>
          <w:p w14:paraId="3DF902CB" w14:textId="48AE5BC2" w:rsidR="00481920" w:rsidRPr="00CE5702" w:rsidRDefault="00481920" w:rsidP="00217FEB">
            <w:pPr>
              <w:pStyle w:val="BoxListBullet"/>
            </w:pPr>
            <w:r w:rsidRPr="00CE5702">
              <w:t>Data on student attendance rates (individual year levels; combined and individual sectors) by State and Territory, by Indigenous status are presented in tables NIRA.13.</w:t>
            </w:r>
            <w:r w:rsidR="00E14798" w:rsidRPr="00CE5702">
              <w:t>3</w:t>
            </w:r>
            <w:r w:rsidR="00183022" w:rsidRPr="00CE5702">
              <w:t>–</w:t>
            </w:r>
            <w:r w:rsidRPr="00CE5702">
              <w:t>13.7.</w:t>
            </w:r>
          </w:p>
          <w:p w14:paraId="2125DF80" w14:textId="0027D2F7" w:rsidR="005E1EA3" w:rsidRPr="00CE5702" w:rsidRDefault="005E1EA3" w:rsidP="00217FEB">
            <w:pPr>
              <w:pStyle w:val="BoxListBullet"/>
            </w:pPr>
            <w:r w:rsidRPr="00CE5702">
              <w:t xml:space="preserve">Data on student attendance level </w:t>
            </w:r>
            <w:r w:rsidR="00481920" w:rsidRPr="00CE5702">
              <w:t xml:space="preserve">(combined year levels) </w:t>
            </w:r>
            <w:r w:rsidRPr="00CE5702">
              <w:t>by State and Territory, by Indigenous status are presented in tables NIRA.13.8</w:t>
            </w:r>
            <w:r w:rsidR="00621869" w:rsidRPr="00CE5702">
              <w:t xml:space="preserve"> </w:t>
            </w:r>
            <w:r w:rsidRPr="00CE5702">
              <w:t>(government schools) and NIRA.13.9 (non</w:t>
            </w:r>
            <w:r w:rsidR="00FA5150">
              <w:noBreakHyphen/>
            </w:r>
            <w:r w:rsidRPr="00CE5702">
              <w:t>government schools)</w:t>
            </w:r>
            <w:r w:rsidR="00E50EF9" w:rsidRPr="00CE5702">
              <w:t>,</w:t>
            </w:r>
            <w:r w:rsidRPr="00CE5702">
              <w:t xml:space="preserve"> and by remoteness in table</w:t>
            </w:r>
            <w:r w:rsidR="00481920" w:rsidRPr="00CE5702">
              <w:t>s</w:t>
            </w:r>
            <w:r w:rsidRPr="00CE5702">
              <w:t xml:space="preserve"> NIRA.13.10 (government schools) and NIRA.13.11 (non</w:t>
            </w:r>
            <w:r w:rsidR="00FA5150">
              <w:noBreakHyphen/>
            </w:r>
            <w:r w:rsidRPr="00CE5702">
              <w:t xml:space="preserve">government schools). </w:t>
            </w:r>
          </w:p>
          <w:p w14:paraId="0C4C5B39" w14:textId="3DBDD550" w:rsidR="005E1EA3" w:rsidRPr="00CE5702" w:rsidRDefault="005E1EA3" w:rsidP="00217FEB">
            <w:pPr>
              <w:pStyle w:val="BoxListBullet"/>
            </w:pPr>
            <w:r w:rsidRPr="00CE5702">
              <w:t xml:space="preserve">Data on school attendance level </w:t>
            </w:r>
            <w:r w:rsidR="00481920" w:rsidRPr="00CE5702">
              <w:t xml:space="preserve">(combined year levels and combined sectors) </w:t>
            </w:r>
            <w:r w:rsidRPr="00CE5702">
              <w:t xml:space="preserve">by State and Territory, by Indigenous status are presented in table NIRA.13.12 and by </w:t>
            </w:r>
            <w:r w:rsidR="00107185" w:rsidRPr="00CE5702">
              <w:t>remoteness in table NIRA.13.13</w:t>
            </w:r>
            <w:r w:rsidR="00BB6791" w:rsidRPr="00CE5702">
              <w:t>.</w:t>
            </w:r>
          </w:p>
          <w:p w14:paraId="0D14B7EC" w14:textId="2C464CF5" w:rsidR="00481920" w:rsidRPr="00107185" w:rsidRDefault="00C2757E" w:rsidP="00F6022F">
            <w:pPr>
              <w:pStyle w:val="Box"/>
              <w:rPr>
                <w:rStyle w:val="DraftingNote"/>
                <w:b w:val="0"/>
                <w:color w:val="auto"/>
                <w:sz w:val="20"/>
                <w:u w:val="none"/>
              </w:rPr>
            </w:pPr>
            <w:r w:rsidRPr="00CE5702">
              <w:t xml:space="preserve">Historical data </w:t>
            </w:r>
            <w:r w:rsidR="00F6022F" w:rsidRPr="00CE5702">
              <w:t>are available for: 2018 in the 2017</w:t>
            </w:r>
            <w:r w:rsidR="00FA5150">
              <w:noBreakHyphen/>
            </w:r>
            <w:r w:rsidR="00F6022F" w:rsidRPr="00CE5702">
              <w:t xml:space="preserve">18 NIRA performance report; </w:t>
            </w:r>
            <w:r w:rsidR="00605004" w:rsidRPr="00CE5702">
              <w:t>2017 in the 2016</w:t>
            </w:r>
            <w:r w:rsidR="00FA5150">
              <w:noBreakHyphen/>
            </w:r>
            <w:r w:rsidR="00605004" w:rsidRPr="00CE5702">
              <w:t>17 NIRA performance report</w:t>
            </w:r>
            <w:r w:rsidR="00F6022F" w:rsidRPr="00CE5702">
              <w:t>;</w:t>
            </w:r>
            <w:r w:rsidR="00605004" w:rsidRPr="00CE5702">
              <w:t xml:space="preserve"> and</w:t>
            </w:r>
            <w:r w:rsidR="00F6022F" w:rsidRPr="00CE5702">
              <w:t>,</w:t>
            </w:r>
            <w:r w:rsidR="00605004" w:rsidRPr="00CE5702">
              <w:t xml:space="preserve"> </w:t>
            </w:r>
            <w:r w:rsidRPr="00CE5702">
              <w:t>2016 in the 2015</w:t>
            </w:r>
            <w:r w:rsidR="00FA5150">
              <w:noBreakHyphen/>
            </w:r>
            <w:r w:rsidRPr="00CE5702">
              <w:t xml:space="preserve">16 NIRA performance report. </w:t>
            </w:r>
            <w:r w:rsidR="00481920" w:rsidRPr="00CE5702">
              <w:t xml:space="preserve">Historical data </w:t>
            </w:r>
            <w:r w:rsidR="00F6022F" w:rsidRPr="00CE5702">
              <w:t xml:space="preserve">are available </w:t>
            </w:r>
            <w:r w:rsidR="00481920" w:rsidRPr="00CE5702">
              <w:t xml:space="preserve">for </w:t>
            </w:r>
            <w:r w:rsidR="00E50EF9" w:rsidRPr="00CE5702">
              <w:t>2014 and 2015 attendance rates and 2015 attendance levels in the 2014</w:t>
            </w:r>
            <w:r w:rsidR="00FA5150">
              <w:noBreakHyphen/>
            </w:r>
            <w:r w:rsidR="00E50EF9" w:rsidRPr="00CE5702">
              <w:t xml:space="preserve">15 NIRA </w:t>
            </w:r>
            <w:r w:rsidRPr="00CE5702">
              <w:t xml:space="preserve">performance </w:t>
            </w:r>
            <w:r w:rsidR="00E50EF9" w:rsidRPr="00CE5702">
              <w:t xml:space="preserve">report. </w:t>
            </w:r>
          </w:p>
        </w:tc>
      </w:tr>
      <w:tr w:rsidR="00620F1F" w14:paraId="32DAAC73" w14:textId="77777777" w:rsidTr="00944F80">
        <w:trPr>
          <w:cantSplit/>
        </w:trPr>
        <w:tc>
          <w:tcPr>
            <w:tcW w:w="8789" w:type="dxa"/>
            <w:tcBorders>
              <w:top w:val="nil"/>
              <w:left w:val="nil"/>
              <w:bottom w:val="single" w:sz="6" w:space="0" w:color="78A22F"/>
              <w:right w:val="nil"/>
            </w:tcBorders>
            <w:shd w:val="clear" w:color="auto" w:fill="F2F2F2"/>
          </w:tcPr>
          <w:p w14:paraId="3544FE40" w14:textId="77777777" w:rsidR="00620F1F" w:rsidRDefault="00620F1F" w:rsidP="00631821">
            <w:pPr>
              <w:pStyle w:val="Box"/>
              <w:spacing w:before="0" w:line="120" w:lineRule="exact"/>
            </w:pPr>
          </w:p>
        </w:tc>
      </w:tr>
      <w:tr w:rsidR="00620F1F" w:rsidRPr="000863A5" w14:paraId="1ED48C76" w14:textId="77777777" w:rsidTr="00944F80">
        <w:tc>
          <w:tcPr>
            <w:tcW w:w="8789" w:type="dxa"/>
            <w:tcBorders>
              <w:top w:val="single" w:sz="6" w:space="0" w:color="78A22F"/>
              <w:left w:val="nil"/>
              <w:bottom w:val="nil"/>
              <w:right w:val="nil"/>
            </w:tcBorders>
          </w:tcPr>
          <w:p w14:paraId="0A169165" w14:textId="77777777" w:rsidR="00620F1F" w:rsidRPr="00626D32" w:rsidRDefault="00620F1F" w:rsidP="00631821">
            <w:pPr>
              <w:pStyle w:val="BoxSpaceBelow"/>
            </w:pPr>
          </w:p>
        </w:tc>
      </w:tr>
    </w:tbl>
    <w:p w14:paraId="5B1D4A41" w14:textId="77777777" w:rsidR="00357780" w:rsidRDefault="00357780" w:rsidP="003C412A">
      <w:pPr>
        <w:pStyle w:val="BodyText"/>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357780" w14:paraId="30353C96" w14:textId="77777777" w:rsidTr="00944F80">
        <w:tc>
          <w:tcPr>
            <w:tcW w:w="8789" w:type="dxa"/>
            <w:tcBorders>
              <w:top w:val="single" w:sz="6" w:space="0" w:color="78A22F"/>
              <w:left w:val="nil"/>
              <w:bottom w:val="nil"/>
              <w:right w:val="nil"/>
            </w:tcBorders>
            <w:shd w:val="clear" w:color="auto" w:fill="F2F2F2"/>
          </w:tcPr>
          <w:p w14:paraId="0DB69315" w14:textId="359B590E" w:rsidR="00357780" w:rsidRDefault="00357780" w:rsidP="00166AA1">
            <w:pPr>
              <w:pStyle w:val="BoxTitle"/>
            </w:pPr>
            <w:r>
              <w:rPr>
                <w:b w:val="0"/>
              </w:rPr>
              <w:lastRenderedPageBreak/>
              <w:t xml:space="preserve">Box </w:t>
            </w:r>
            <w:r w:rsidR="00166AA1">
              <w:rPr>
                <w:b w:val="0"/>
              </w:rPr>
              <w:t>39</w:t>
            </w:r>
            <w:r>
              <w:tab/>
              <w:t>Comment on data quality</w:t>
            </w:r>
          </w:p>
        </w:tc>
      </w:tr>
      <w:tr w:rsidR="00357780" w:rsidRPr="003C412A" w14:paraId="1C2F6037" w14:textId="77777777" w:rsidTr="00944F80">
        <w:trPr>
          <w:cantSplit/>
        </w:trPr>
        <w:tc>
          <w:tcPr>
            <w:tcW w:w="8789" w:type="dxa"/>
            <w:tcBorders>
              <w:top w:val="nil"/>
              <w:left w:val="nil"/>
              <w:bottom w:val="nil"/>
              <w:right w:val="nil"/>
            </w:tcBorders>
            <w:shd w:val="clear" w:color="auto" w:fill="F2F2F2"/>
          </w:tcPr>
          <w:p w14:paraId="2232A79E" w14:textId="1A805B28" w:rsidR="005E1EA3" w:rsidRPr="00CE5702" w:rsidRDefault="005E1EA3" w:rsidP="00217FEB">
            <w:pPr>
              <w:pStyle w:val="Box"/>
            </w:pPr>
            <w:r w:rsidRPr="00CE5702">
              <w:t xml:space="preserve">Key points on data quality for this indicator are summarised below. </w:t>
            </w:r>
          </w:p>
          <w:p w14:paraId="4020E9AF" w14:textId="77777777" w:rsidR="005E1EA3" w:rsidRPr="00CE5702" w:rsidRDefault="005E1EA3" w:rsidP="00217FEB">
            <w:pPr>
              <w:pStyle w:val="BoxListBullet"/>
            </w:pPr>
            <w:r w:rsidRPr="00CE5702">
              <w:t>The data provide relevant information on school attendance across year 1 to year 10.</w:t>
            </w:r>
          </w:p>
          <w:p w14:paraId="5E67AA04" w14:textId="7F8F7524" w:rsidR="00C739A9" w:rsidRPr="00CE5702" w:rsidRDefault="00C739A9" w:rsidP="00217FEB">
            <w:pPr>
              <w:pStyle w:val="BoxListBullet"/>
            </w:pPr>
            <w:r w:rsidRPr="00CE5702">
              <w:t xml:space="preserve">Annual data are available from 2014 onwards for attendance rates (2015 onwards for attendance level measures). The most recent </w:t>
            </w:r>
            <w:r w:rsidR="009426DA" w:rsidRPr="00CE5702">
              <w:t xml:space="preserve">available </w:t>
            </w:r>
            <w:r w:rsidRPr="00CE5702">
              <w:t xml:space="preserve">data </w:t>
            </w:r>
            <w:r w:rsidR="009426DA" w:rsidRPr="00CE5702">
              <w:t xml:space="preserve">are </w:t>
            </w:r>
            <w:r w:rsidRPr="00CE5702">
              <w:t xml:space="preserve">for </w:t>
            </w:r>
            <w:r w:rsidR="00F6022F" w:rsidRPr="00CE5702">
              <w:t xml:space="preserve">2019 </w:t>
            </w:r>
            <w:r w:rsidR="008B787D" w:rsidRPr="00CE5702">
              <w:t xml:space="preserve">and </w:t>
            </w:r>
            <w:r w:rsidRPr="00CE5702">
              <w:t xml:space="preserve">included in this report. Data relate to Semester 1 only. </w:t>
            </w:r>
          </w:p>
          <w:p w14:paraId="0E3A514F" w14:textId="5DA3AAE4" w:rsidR="00C739A9" w:rsidRPr="00CE5702" w:rsidRDefault="00C739A9" w:rsidP="0044328E">
            <w:pPr>
              <w:pStyle w:val="BoxListBullet"/>
            </w:pPr>
            <w:r w:rsidRPr="00CE5702">
              <w:t xml:space="preserve">Data are available by State and Territory, and by Indigenous status by remoteness. </w:t>
            </w:r>
            <w:r w:rsidR="0044328E" w:rsidRPr="00CE5702">
              <w:t xml:space="preserve">Remoteness data are based on: the 2016 ASGS from 2019 onwards; the 2011 ASGS for years 2016 to 2018; and, the MCEECDYA geographical location classification for years prior to 2016. Care should be </w:t>
            </w:r>
            <w:r w:rsidR="001A2FAE" w:rsidRPr="00CE5702">
              <w:t xml:space="preserve">taken when </w:t>
            </w:r>
            <w:r w:rsidR="0044328E" w:rsidRPr="00CE5702">
              <w:t xml:space="preserve">comparing remoteness area data over time, as the 2016 ASGS, 2011 ASGS and MCEECDYA geographic location classification do not have the same geographical boundaries. </w:t>
            </w:r>
          </w:p>
          <w:p w14:paraId="033193E9" w14:textId="6018F654" w:rsidR="00C739A9" w:rsidRPr="00CE5702" w:rsidRDefault="00C739A9" w:rsidP="00217FEB">
            <w:pPr>
              <w:pStyle w:val="BoxListBullet"/>
            </w:pPr>
            <w:r w:rsidRPr="00CE5702">
              <w:t>Measure (b) refers to the proportion of students attending 90 per cent or more days of possible attendance for students in years 1</w:t>
            </w:r>
            <w:r w:rsidR="00183022" w:rsidRPr="00CE5702">
              <w:t>–</w:t>
            </w:r>
            <w:r w:rsidRPr="00CE5702">
              <w:t>10. For this measure estimates are based on the nationally agreed measure of full</w:t>
            </w:r>
            <w:r w:rsidR="00FA5150">
              <w:noBreakHyphen/>
            </w:r>
            <w:r w:rsidRPr="00CE5702">
              <w:t xml:space="preserve">time equivalent students, dependent on the sum of ‘possible school days’ for students. </w:t>
            </w:r>
            <w:r w:rsidR="00D249CA" w:rsidRPr="00CE5702">
              <w:t>From 2016</w:t>
            </w:r>
            <w:r w:rsidR="008B787D" w:rsidRPr="00CE5702">
              <w:t xml:space="preserve"> onwards</w:t>
            </w:r>
            <w:r w:rsidR="006047BE" w:rsidRPr="00CE5702">
              <w:t>,</w:t>
            </w:r>
            <w:r w:rsidR="00D249CA" w:rsidRPr="00CE5702">
              <w:t xml:space="preserve"> data across the non</w:t>
            </w:r>
            <w:r w:rsidR="00FA5150">
              <w:noBreakHyphen/>
            </w:r>
            <w:r w:rsidR="00D249CA" w:rsidRPr="00CE5702">
              <w:t>government sector are calculated on a comparable basis with government schools data (prior to 2016 n</w:t>
            </w:r>
            <w:r w:rsidRPr="00CE5702">
              <w:t>on</w:t>
            </w:r>
            <w:r w:rsidR="00FA5150">
              <w:noBreakHyphen/>
            </w:r>
            <w:r w:rsidRPr="00CE5702">
              <w:t xml:space="preserve">government estimates </w:t>
            </w:r>
            <w:r w:rsidR="006047BE" w:rsidRPr="00CE5702">
              <w:t xml:space="preserve">were </w:t>
            </w:r>
            <w:r w:rsidRPr="00CE5702">
              <w:t>based on a different measure of headcounts of students attending more than 90 per cent of the time, and not directly comparable with the government schools data</w:t>
            </w:r>
            <w:r w:rsidR="00D249CA" w:rsidRPr="00CE5702">
              <w:t>)</w:t>
            </w:r>
            <w:r w:rsidRPr="00CE5702">
              <w:t xml:space="preserve">. </w:t>
            </w:r>
          </w:p>
          <w:p w14:paraId="119BD00C" w14:textId="11B91B39" w:rsidR="00C739A9" w:rsidRPr="00CE5702" w:rsidRDefault="00C739A9" w:rsidP="00217FEB">
            <w:pPr>
              <w:pStyle w:val="BoxListBullet"/>
            </w:pPr>
            <w:r w:rsidRPr="00CE5702">
              <w:t>Measure (c) refers to the proportion of schools achieving 90 per cent or more attendance on average in years 1</w:t>
            </w:r>
            <w:r w:rsidR="00183022" w:rsidRPr="00CE5702">
              <w:t>–</w:t>
            </w:r>
            <w:r w:rsidRPr="00CE5702">
              <w:t>10.</w:t>
            </w:r>
            <w:r w:rsidR="00D249CA" w:rsidRPr="00CE5702">
              <w:t xml:space="preserve"> </w:t>
            </w:r>
            <w:r w:rsidRPr="00CE5702">
              <w:t>The exclusion of certain schools for attendance data includes:</w:t>
            </w:r>
          </w:p>
          <w:p w14:paraId="757C5A9F" w14:textId="77777777" w:rsidR="00C739A9" w:rsidRPr="00CE5702" w:rsidRDefault="00C739A9" w:rsidP="00217FEB">
            <w:pPr>
              <w:pStyle w:val="BoxListBullet2"/>
            </w:pPr>
            <w:r w:rsidRPr="00CE5702">
              <w:t xml:space="preserve">where a school has multiple campuses the student attendance </w:t>
            </w:r>
            <w:r w:rsidR="00D71B5B" w:rsidRPr="00CE5702">
              <w:t xml:space="preserve">is reported by rolling all campuses together counting the school once in the numerator and denominator </w:t>
            </w:r>
          </w:p>
          <w:p w14:paraId="6D6638BD" w14:textId="77777777" w:rsidR="00D71B5B" w:rsidRPr="00CE5702" w:rsidRDefault="00D71B5B" w:rsidP="00217FEB">
            <w:pPr>
              <w:pStyle w:val="BoxListBullet2"/>
            </w:pPr>
            <w:r w:rsidRPr="00CE5702">
              <w:t xml:space="preserve">where student attendance rates have not been provided by the jurisdiction or where rates have been suppressed due to small numbers, schools are excluded from the numerator and denominator. </w:t>
            </w:r>
          </w:p>
          <w:p w14:paraId="3F827673" w14:textId="77777777" w:rsidR="00D71B5B" w:rsidRPr="00CE5702" w:rsidRDefault="00D71B5B" w:rsidP="00217FEB">
            <w:pPr>
              <w:pStyle w:val="BoxListBullet"/>
            </w:pPr>
            <w:r w:rsidRPr="00CE5702">
              <w:t xml:space="preserve">Detailed explanatory notes are publicly available to assist interpretation of results. </w:t>
            </w:r>
          </w:p>
          <w:p w14:paraId="77853546" w14:textId="26E9F6D1" w:rsidR="00D71B5B" w:rsidRPr="00CE5702" w:rsidRDefault="00D71B5B" w:rsidP="00217FEB">
            <w:pPr>
              <w:pStyle w:val="BoxListBullet"/>
            </w:pPr>
            <w:r w:rsidRPr="00CE5702">
              <w:t>Additional data from the data source are available on</w:t>
            </w:r>
            <w:r w:rsidR="00FA5150">
              <w:noBreakHyphen/>
            </w:r>
            <w:r w:rsidRPr="00CE5702">
              <w:t xml:space="preserve">line or on request. </w:t>
            </w:r>
          </w:p>
          <w:p w14:paraId="4EA31564" w14:textId="4935D829" w:rsidR="00D249CA" w:rsidRPr="00CE5702" w:rsidRDefault="00D71B5B" w:rsidP="00217FEB">
            <w:pPr>
              <w:pStyle w:val="Box"/>
            </w:pPr>
            <w:r w:rsidRPr="00CE5702">
              <w:t>The Steering Committee a</w:t>
            </w:r>
            <w:r w:rsidR="004C17CA" w:rsidRPr="00CE5702">
              <w:t>lso notes the following issues:</w:t>
            </w:r>
          </w:p>
          <w:p w14:paraId="05620390" w14:textId="57B79A9A" w:rsidR="00A52631" w:rsidRPr="000F33B4" w:rsidRDefault="004C17CA" w:rsidP="0044328E">
            <w:pPr>
              <w:pStyle w:val="BoxListBullet"/>
              <w:rPr>
                <w:rStyle w:val="DraftingNote"/>
                <w:rFonts w:asciiTheme="minorHAnsi" w:hAnsiTheme="minorHAnsi" w:cstheme="minorHAnsi"/>
                <w:b w:val="0"/>
                <w:color w:val="auto"/>
                <w:sz w:val="20"/>
                <w:u w:val="none"/>
              </w:rPr>
            </w:pPr>
            <w:r w:rsidRPr="00CE5702">
              <w:t xml:space="preserve">Student attendance data for NSW </w:t>
            </w:r>
            <w:r w:rsidR="00A52631" w:rsidRPr="00CE5702">
              <w:t xml:space="preserve">government schools were collected according to national standards for the first time in 2018. </w:t>
            </w:r>
            <w:r w:rsidR="00B254D7" w:rsidRPr="00CE5702">
              <w:t xml:space="preserve">Data for NSW government schools </w:t>
            </w:r>
            <w:r w:rsidR="0044328E" w:rsidRPr="00CE5702">
              <w:t xml:space="preserve">from </w:t>
            </w:r>
            <w:r w:rsidR="00B254D7" w:rsidRPr="00CE5702">
              <w:t xml:space="preserve">2018 </w:t>
            </w:r>
            <w:r w:rsidR="0044328E" w:rsidRPr="00CE5702">
              <w:t xml:space="preserve">are </w:t>
            </w:r>
            <w:r w:rsidR="00B254D7" w:rsidRPr="00CE5702">
              <w:t>not directly comparable to previous years, and pre</w:t>
            </w:r>
            <w:r w:rsidR="00FA5150">
              <w:noBreakHyphen/>
            </w:r>
            <w:r w:rsidR="00B254D7" w:rsidRPr="00CE5702">
              <w:t xml:space="preserve">2018 </w:t>
            </w:r>
            <w:r w:rsidR="0044328E" w:rsidRPr="00CE5702">
              <w:t xml:space="preserve">are </w:t>
            </w:r>
            <w:r w:rsidR="00B254D7" w:rsidRPr="00CE5702">
              <w:t>not directly comparable across jurisdictions.</w:t>
            </w:r>
            <w:r w:rsidR="00107185" w:rsidRPr="00CE5702">
              <w:t xml:space="preserve"> </w:t>
            </w:r>
          </w:p>
        </w:tc>
      </w:tr>
      <w:tr w:rsidR="00357780" w14:paraId="49F0F766" w14:textId="77777777" w:rsidTr="00944F80">
        <w:trPr>
          <w:cantSplit/>
        </w:trPr>
        <w:tc>
          <w:tcPr>
            <w:tcW w:w="8789" w:type="dxa"/>
            <w:tcBorders>
              <w:top w:val="nil"/>
              <w:left w:val="nil"/>
              <w:bottom w:val="single" w:sz="6" w:space="0" w:color="78A22F"/>
              <w:right w:val="nil"/>
            </w:tcBorders>
            <w:shd w:val="clear" w:color="auto" w:fill="F2F2F2"/>
          </w:tcPr>
          <w:p w14:paraId="608ADA99" w14:textId="15C5C90E" w:rsidR="00357780" w:rsidRDefault="00C739A9" w:rsidP="00631821">
            <w:pPr>
              <w:pStyle w:val="Box"/>
              <w:spacing w:before="0" w:line="120" w:lineRule="exact"/>
            </w:pPr>
            <w:r>
              <w:t xml:space="preserve"> </w:t>
            </w:r>
          </w:p>
        </w:tc>
      </w:tr>
      <w:tr w:rsidR="00357780" w:rsidRPr="000863A5" w14:paraId="5E53F39F" w14:textId="77777777" w:rsidTr="00944F80">
        <w:tc>
          <w:tcPr>
            <w:tcW w:w="8789" w:type="dxa"/>
            <w:tcBorders>
              <w:top w:val="single" w:sz="6" w:space="0" w:color="78A22F"/>
              <w:left w:val="nil"/>
              <w:bottom w:val="nil"/>
              <w:right w:val="nil"/>
            </w:tcBorders>
          </w:tcPr>
          <w:p w14:paraId="3C4FD966" w14:textId="77777777" w:rsidR="00357780" w:rsidRPr="00626D32" w:rsidRDefault="00357780" w:rsidP="00631821">
            <w:pPr>
              <w:pStyle w:val="BoxSpaceBelow"/>
            </w:pPr>
          </w:p>
        </w:tc>
      </w:tr>
    </w:tbl>
    <w:p w14:paraId="55B6053C" w14:textId="7A9B4090" w:rsidR="003C412A" w:rsidRDefault="003C412A" w:rsidP="003C412A">
      <w:pPr>
        <w:pStyle w:val="BodyText"/>
        <w:rPr>
          <w:rFonts w:ascii="Arial" w:hAnsi="Arial"/>
          <w:sz w:val="20"/>
        </w:rPr>
      </w:pPr>
      <w:r>
        <w:br w:type="page"/>
      </w:r>
    </w:p>
    <w:p w14:paraId="42F3ACE8" w14:textId="22C006E2" w:rsidR="003C412A" w:rsidRPr="00921D4D" w:rsidRDefault="003C412A" w:rsidP="003C412A">
      <w:pPr>
        <w:pStyle w:val="Heading3"/>
        <w:spacing w:after="360"/>
      </w:pPr>
      <w:bookmarkStart w:id="37" w:name="_Ref277842897"/>
      <w:bookmarkStart w:id="38" w:name="_Ref341361621"/>
      <w:r>
        <w:lastRenderedPageBreak/>
        <w:t>Indicator 14</w:t>
      </w:r>
      <w:r w:rsidRPr="00921D4D">
        <w:t xml:space="preserve">: </w:t>
      </w:r>
      <w:bookmarkEnd w:id="37"/>
      <w:r>
        <w:t>Level of workforce participation</w:t>
      </w:r>
      <w:bookmarkEnd w:id="38"/>
    </w:p>
    <w:tbl>
      <w:tblPr>
        <w:tblW w:w="8789" w:type="dxa"/>
        <w:tblCellMar>
          <w:right w:w="0" w:type="dxa"/>
        </w:tblCellMar>
        <w:tblLook w:val="0000" w:firstRow="0" w:lastRow="0" w:firstColumn="0" w:lastColumn="0" w:noHBand="0" w:noVBand="0"/>
      </w:tblPr>
      <w:tblGrid>
        <w:gridCol w:w="2093"/>
        <w:gridCol w:w="6696"/>
      </w:tblGrid>
      <w:tr w:rsidR="00F6022F" w:rsidRPr="00D87AA9" w14:paraId="5F05BA57" w14:textId="77777777" w:rsidTr="00944F80">
        <w:trPr>
          <w:trHeight w:val="805"/>
        </w:trPr>
        <w:tc>
          <w:tcPr>
            <w:tcW w:w="2093" w:type="dxa"/>
          </w:tcPr>
          <w:p w14:paraId="193D1F85" w14:textId="77777777" w:rsidR="00F6022F" w:rsidRPr="00D87AA9" w:rsidRDefault="00F6022F" w:rsidP="00F6022F">
            <w:pPr>
              <w:pStyle w:val="TableBodyNA"/>
            </w:pPr>
            <w:r w:rsidRPr="00B82DC5">
              <w:t>Key amendments from previous cycle of reporting:</w:t>
            </w:r>
          </w:p>
        </w:tc>
        <w:tc>
          <w:tcPr>
            <w:tcW w:w="6696" w:type="dxa"/>
          </w:tcPr>
          <w:p w14:paraId="58EEDF9F" w14:textId="5C4F1138" w:rsidR="00F6022F" w:rsidRPr="00D87AA9" w:rsidRDefault="00F6022F" w:rsidP="00F6022F">
            <w:pPr>
              <w:pStyle w:val="TableBodyNA"/>
            </w:pPr>
            <w:r w:rsidRPr="005332B8">
              <w:t xml:space="preserve">This </w:t>
            </w:r>
            <w:r>
              <w:t xml:space="preserve">indicator is </w:t>
            </w:r>
            <w:r w:rsidRPr="005332B8">
              <w:t>unchanged from</w:t>
            </w:r>
            <w:r>
              <w:t xml:space="preserve"> the</w:t>
            </w:r>
            <w:r w:rsidRPr="005332B8">
              <w:t xml:space="preserve"> previous </w:t>
            </w:r>
            <w:r>
              <w:t>NIRA performance report</w:t>
            </w:r>
          </w:p>
        </w:tc>
      </w:tr>
      <w:tr w:rsidR="00F6022F" w:rsidRPr="00D87AA9" w14:paraId="2BF7B044" w14:textId="77777777" w:rsidTr="00944F80">
        <w:tc>
          <w:tcPr>
            <w:tcW w:w="2093" w:type="dxa"/>
          </w:tcPr>
          <w:p w14:paraId="79CA84CD" w14:textId="77777777" w:rsidR="00F6022F" w:rsidRPr="00D87AA9" w:rsidRDefault="00F6022F" w:rsidP="00F6022F">
            <w:pPr>
              <w:pStyle w:val="TableBodyNA"/>
            </w:pPr>
            <w:r w:rsidRPr="00D87AA9">
              <w:t>Target:</w:t>
            </w:r>
          </w:p>
        </w:tc>
        <w:tc>
          <w:tcPr>
            <w:tcW w:w="6696" w:type="dxa"/>
          </w:tcPr>
          <w:p w14:paraId="16F0B90C" w14:textId="2F5BB3E4" w:rsidR="00F6022F" w:rsidRPr="00D87AA9" w:rsidRDefault="00F6022F" w:rsidP="00F6022F">
            <w:pPr>
              <w:pStyle w:val="TableBodyNA"/>
            </w:pPr>
            <w:r w:rsidRPr="006F41BD">
              <w:t>Halving the gap in employment outcomes between Indigenous and non−Indigenous Australians within a decade (by 2018)</w:t>
            </w:r>
          </w:p>
        </w:tc>
      </w:tr>
      <w:tr w:rsidR="00F6022F" w:rsidRPr="00D87AA9" w14:paraId="60F80F3D" w14:textId="77777777" w:rsidTr="00944F80">
        <w:tc>
          <w:tcPr>
            <w:tcW w:w="2093" w:type="dxa"/>
          </w:tcPr>
          <w:p w14:paraId="5831EF4D" w14:textId="77777777" w:rsidR="00F6022F" w:rsidRPr="00D87AA9" w:rsidRDefault="00F6022F" w:rsidP="00F6022F">
            <w:pPr>
              <w:pStyle w:val="TableBodyNA"/>
            </w:pPr>
            <w:r w:rsidRPr="00D87AA9">
              <w:t>Measure:</w:t>
            </w:r>
          </w:p>
        </w:tc>
        <w:tc>
          <w:tcPr>
            <w:tcW w:w="6696" w:type="dxa"/>
          </w:tcPr>
          <w:p w14:paraId="0EB64B92" w14:textId="77777777" w:rsidR="00F6022F" w:rsidRDefault="00F6022F" w:rsidP="00F6022F">
            <w:pPr>
              <w:pStyle w:val="TableBodyNA"/>
            </w:pPr>
            <w:r>
              <w:t>There are three measures for this indicator:</w:t>
            </w:r>
          </w:p>
          <w:p w14:paraId="30BDB9E7" w14:textId="77777777" w:rsidR="00F6022F" w:rsidRDefault="00F6022F" w:rsidP="00F6022F">
            <w:pPr>
              <w:pStyle w:val="TableBodyNA"/>
            </w:pPr>
            <w:r>
              <w:t>Measure 14(a) (direct measure): Employment to population ratio for the working age population, by Indigenous status</w:t>
            </w:r>
          </w:p>
          <w:p w14:paraId="612DDEB9" w14:textId="77777777" w:rsidR="00F6022F" w:rsidRDefault="00F6022F" w:rsidP="00F6022F">
            <w:pPr>
              <w:pStyle w:val="TableBodyNA"/>
            </w:pPr>
            <w:r>
              <w:t>Measure 14(b) (supporting measure): Unemployment rate, by Indigenous status</w:t>
            </w:r>
          </w:p>
          <w:p w14:paraId="4E1F29A5" w14:textId="77777777" w:rsidR="00F6022F" w:rsidRDefault="00F6022F" w:rsidP="00F6022F">
            <w:pPr>
              <w:pStyle w:val="TableBodyNA"/>
            </w:pPr>
            <w:r>
              <w:t>Measure 14(c) (supporting measure): Labour force participation rate, by Indigenous status</w:t>
            </w:r>
          </w:p>
          <w:p w14:paraId="7DE5F9B7" w14:textId="77777777" w:rsidR="00F6022F" w:rsidRDefault="00F6022F" w:rsidP="00F6022F">
            <w:pPr>
              <w:pStyle w:val="TableBodyNA"/>
            </w:pPr>
            <w:r>
              <w:t xml:space="preserve">As this indicator is used for reporting against the employment outcomes target, for all three measures Census data are reported in </w:t>
            </w:r>
            <w:r w:rsidRPr="001A660A">
              <w:rPr>
                <w:u w:val="single"/>
              </w:rPr>
              <w:t>two</w:t>
            </w:r>
            <w:r>
              <w:t xml:space="preserve"> ways: </w:t>
            </w:r>
          </w:p>
          <w:p w14:paraId="7AA9EB92" w14:textId="77777777" w:rsidR="00F6022F" w:rsidRDefault="00F6022F" w:rsidP="00F6022F">
            <w:pPr>
              <w:pStyle w:val="TableBullet"/>
              <w:rPr>
                <w:szCs w:val="24"/>
              </w:rPr>
            </w:pPr>
            <w:r>
              <w:t>as per the measures below</w:t>
            </w:r>
          </w:p>
          <w:p w14:paraId="63BF3740" w14:textId="211FD296" w:rsidR="00F6022F" w:rsidRDefault="00F6022F" w:rsidP="00F6022F">
            <w:pPr>
              <w:pStyle w:val="TableBullet"/>
              <w:rPr>
                <w:szCs w:val="24"/>
              </w:rPr>
            </w:pPr>
            <w:r>
              <w:t>as per the measures below but excluding people living in non</w:t>
            </w:r>
            <w:r w:rsidR="00FA5150">
              <w:noBreakHyphen/>
            </w:r>
            <w:r>
              <w:t>private dwellings, members of the permanent defence forces and members of foreign representation (this second presentation is to align with the survey data used for this indicator)</w:t>
            </w:r>
          </w:p>
          <w:p w14:paraId="70B4BE5E" w14:textId="10F6B111" w:rsidR="00F6022F" w:rsidRPr="00263492" w:rsidRDefault="00F6022F" w:rsidP="00F6022F">
            <w:pPr>
              <w:pStyle w:val="TableBodyNA"/>
            </w:pPr>
            <w:r>
              <w:t>For all three measures, the SEW data for the baseline are averaged over the 2008 and 2009 collections to align with the 2008 NATSISS collection period.</w:t>
            </w:r>
          </w:p>
        </w:tc>
      </w:tr>
      <w:tr w:rsidR="00F6022F" w:rsidRPr="00D87AA9" w14:paraId="36C3A935" w14:textId="77777777" w:rsidTr="00944F80">
        <w:tc>
          <w:tcPr>
            <w:tcW w:w="2093" w:type="dxa"/>
          </w:tcPr>
          <w:p w14:paraId="276D7100" w14:textId="77777777" w:rsidR="00F6022F" w:rsidRPr="00D87AA9" w:rsidRDefault="00F6022F" w:rsidP="00F6022F">
            <w:pPr>
              <w:pStyle w:val="TableBodyNA"/>
            </w:pPr>
            <w:r>
              <w:t>Measure (14a):</w:t>
            </w:r>
          </w:p>
        </w:tc>
        <w:tc>
          <w:tcPr>
            <w:tcW w:w="6696" w:type="dxa"/>
          </w:tcPr>
          <w:p w14:paraId="2C94DEAC" w14:textId="77777777" w:rsidR="00F6022F" w:rsidRDefault="00F6022F" w:rsidP="00F6022F">
            <w:pPr>
              <w:pStyle w:val="TableBodyNA"/>
            </w:pPr>
            <w:r>
              <w:t>Proportion of the working age population who are employed, by Indigenous status</w:t>
            </w:r>
          </w:p>
          <w:p w14:paraId="3E98709A" w14:textId="77777777" w:rsidR="00F6022F" w:rsidRDefault="00F6022F" w:rsidP="00F6022F">
            <w:pPr>
              <w:pStyle w:val="TableBodyNA"/>
            </w:pPr>
            <w:r>
              <w:t>The measure is defined as:</w:t>
            </w:r>
          </w:p>
          <w:p w14:paraId="79248FB2" w14:textId="77777777" w:rsidR="00F6022F" w:rsidRDefault="00F6022F" w:rsidP="00F6022F">
            <w:pPr>
              <w:pStyle w:val="TableBullet"/>
              <w:rPr>
                <w:szCs w:val="24"/>
              </w:rPr>
            </w:pPr>
            <w:r w:rsidRPr="0012388B">
              <w:rPr>
                <w:i/>
              </w:rPr>
              <w:t>Numerator</w:t>
            </w:r>
            <w:r>
              <w:t xml:space="preserve"> — number of people aged 15–64 years employed excluding those whose Indigenous status and labour force status were not stated and overseas and temporary visitors </w:t>
            </w:r>
          </w:p>
          <w:p w14:paraId="0AA99202" w14:textId="77777777" w:rsidR="00F6022F" w:rsidRDefault="00F6022F" w:rsidP="00F6022F">
            <w:pPr>
              <w:pStyle w:val="TableBullet"/>
              <w:rPr>
                <w:szCs w:val="24"/>
              </w:rPr>
            </w:pPr>
            <w:r w:rsidRPr="0012388B">
              <w:rPr>
                <w:i/>
              </w:rPr>
              <w:t>Denominator</w:t>
            </w:r>
            <w:r>
              <w:t xml:space="preserve"> — total population of people aged 15–64 years excluding those whose Indigenous status and labour force status were not stated and overseas and temporary visitors</w:t>
            </w:r>
          </w:p>
          <w:p w14:paraId="5BCF3225" w14:textId="1E28BE78" w:rsidR="00F6022F" w:rsidRPr="00D87AA9" w:rsidRDefault="00F6022F" w:rsidP="00F6022F">
            <w:pPr>
              <w:pStyle w:val="TableBodyNA"/>
            </w:pPr>
            <w:r>
              <w:t xml:space="preserve">presented as a </w:t>
            </w:r>
            <w:r>
              <w:rPr>
                <w:i/>
              </w:rPr>
              <w:t>percentage.</w:t>
            </w:r>
          </w:p>
        </w:tc>
      </w:tr>
      <w:tr w:rsidR="00F6022F" w:rsidRPr="00D87AA9" w14:paraId="558336C1" w14:textId="77777777" w:rsidTr="00944F80">
        <w:tc>
          <w:tcPr>
            <w:tcW w:w="2093" w:type="dxa"/>
          </w:tcPr>
          <w:p w14:paraId="0B3F2216" w14:textId="77777777" w:rsidR="00F6022F" w:rsidRPr="00D87AA9" w:rsidRDefault="00F6022F" w:rsidP="00F6022F">
            <w:pPr>
              <w:pStyle w:val="TableBodyNA"/>
            </w:pPr>
            <w:r>
              <w:t>Measure (14b):</w:t>
            </w:r>
          </w:p>
        </w:tc>
        <w:tc>
          <w:tcPr>
            <w:tcW w:w="6696" w:type="dxa"/>
          </w:tcPr>
          <w:p w14:paraId="100B5294" w14:textId="77777777" w:rsidR="00F6022F" w:rsidRDefault="00F6022F" w:rsidP="00F6022F">
            <w:pPr>
              <w:pStyle w:val="TableBodyNA"/>
            </w:pPr>
            <w:r>
              <w:t>Proportion of the labour force aged 15–64 years who are unemployed, by Indigenous status</w:t>
            </w:r>
          </w:p>
          <w:p w14:paraId="1D6BAE2A" w14:textId="77777777" w:rsidR="00F6022F" w:rsidRDefault="00F6022F" w:rsidP="00F6022F">
            <w:pPr>
              <w:pStyle w:val="TableBodyNA"/>
            </w:pPr>
            <w:r>
              <w:t>The measure is defined as:</w:t>
            </w:r>
          </w:p>
          <w:p w14:paraId="47055627" w14:textId="77777777" w:rsidR="00F6022F" w:rsidRDefault="00F6022F" w:rsidP="00F6022F">
            <w:pPr>
              <w:pStyle w:val="TableBullet"/>
              <w:rPr>
                <w:szCs w:val="24"/>
              </w:rPr>
            </w:pPr>
            <w:r w:rsidRPr="0012388B">
              <w:rPr>
                <w:i/>
              </w:rPr>
              <w:t>Numerator</w:t>
            </w:r>
            <w:r>
              <w:t xml:space="preserve"> — number of people unemployed aged 15–64 years excluding those whose Indigenous status and labour force status were not stated and overseas and temporary visitors</w:t>
            </w:r>
          </w:p>
          <w:p w14:paraId="32C6E84A" w14:textId="77777777" w:rsidR="00F6022F" w:rsidRDefault="00F6022F" w:rsidP="00F6022F">
            <w:pPr>
              <w:pStyle w:val="TableBullet"/>
              <w:rPr>
                <w:szCs w:val="24"/>
              </w:rPr>
            </w:pPr>
            <w:r w:rsidRPr="0012388B">
              <w:rPr>
                <w:i/>
              </w:rPr>
              <w:t>Denominator</w:t>
            </w:r>
            <w:r>
              <w:t xml:space="preserve"> — total number of people in the labour force aged 15–64 years excluding those whose Indigenous status and labour force status were not stated and overseas and temporary visitors</w:t>
            </w:r>
          </w:p>
          <w:p w14:paraId="5061DDB5" w14:textId="1C1FD1FF" w:rsidR="00F6022F" w:rsidRPr="00D87AA9" w:rsidRDefault="00F6022F" w:rsidP="00F6022F">
            <w:pPr>
              <w:pStyle w:val="TableBodyNA"/>
            </w:pPr>
            <w:r>
              <w:t xml:space="preserve">presented as a </w:t>
            </w:r>
            <w:r>
              <w:rPr>
                <w:i/>
              </w:rPr>
              <w:t>percentage.</w:t>
            </w:r>
          </w:p>
        </w:tc>
      </w:tr>
      <w:tr w:rsidR="00F6022F" w:rsidRPr="00D87AA9" w14:paraId="4B15CC2F" w14:textId="77777777" w:rsidTr="00944F80">
        <w:tc>
          <w:tcPr>
            <w:tcW w:w="2093" w:type="dxa"/>
          </w:tcPr>
          <w:p w14:paraId="77D68A85" w14:textId="1E46FEF8" w:rsidR="00F6022F" w:rsidRDefault="00F6022F" w:rsidP="00F6022F">
            <w:pPr>
              <w:pStyle w:val="TableBodyNA"/>
            </w:pPr>
            <w:r>
              <w:t>Measure (14c):</w:t>
            </w:r>
          </w:p>
        </w:tc>
        <w:tc>
          <w:tcPr>
            <w:tcW w:w="6696" w:type="dxa"/>
          </w:tcPr>
          <w:p w14:paraId="3F945425" w14:textId="77777777" w:rsidR="00F6022F" w:rsidRDefault="00F6022F" w:rsidP="00F6022F">
            <w:pPr>
              <w:pStyle w:val="TableBodyNA"/>
            </w:pPr>
            <w:r>
              <w:t>Proportion of the working age population who are in the labour force, by Indigenous status</w:t>
            </w:r>
          </w:p>
          <w:p w14:paraId="0F6270D9" w14:textId="77777777" w:rsidR="00F6022F" w:rsidRDefault="00F6022F" w:rsidP="00F6022F">
            <w:pPr>
              <w:pStyle w:val="TableBodyNA"/>
            </w:pPr>
            <w:r>
              <w:t>The measure is defined as:</w:t>
            </w:r>
          </w:p>
          <w:p w14:paraId="3D6E68EC" w14:textId="77777777" w:rsidR="00F6022F" w:rsidRDefault="00F6022F" w:rsidP="00F6022F">
            <w:pPr>
              <w:pStyle w:val="TableBullet"/>
              <w:spacing w:after="0"/>
            </w:pPr>
            <w:r w:rsidRPr="0012388B">
              <w:rPr>
                <w:i/>
              </w:rPr>
              <w:t>Numerator</w:t>
            </w:r>
            <w:r>
              <w:t xml:space="preserve"> — number of people aged 15–64 years in the labour force excluding those whose Indigenous status and labour force status were not stated and overseas and temporary visitors</w:t>
            </w:r>
          </w:p>
          <w:p w14:paraId="2E522781" w14:textId="77777777" w:rsidR="00F6022F" w:rsidRDefault="00F6022F" w:rsidP="00F6022F">
            <w:pPr>
              <w:pStyle w:val="TableBullet"/>
              <w:spacing w:after="0"/>
            </w:pPr>
            <w:r w:rsidRPr="0012388B">
              <w:rPr>
                <w:i/>
              </w:rPr>
              <w:t>Denominator</w:t>
            </w:r>
            <w:r>
              <w:t xml:space="preserve"> — total number of people aged 15–64 years excluding those whose Indigenous status and labour force status were not stated and overseas and temporary visitors</w:t>
            </w:r>
          </w:p>
          <w:p w14:paraId="7C8D12C3" w14:textId="0BCAF592" w:rsidR="00F6022F" w:rsidRPr="00356183" w:rsidRDefault="00F6022F" w:rsidP="00F6022F">
            <w:pPr>
              <w:pStyle w:val="TableBodyNA"/>
              <w:rPr>
                <w:i/>
              </w:rPr>
            </w:pPr>
            <w:r>
              <w:t xml:space="preserve">Presented as a </w:t>
            </w:r>
            <w:r>
              <w:rPr>
                <w:i/>
              </w:rPr>
              <w:t>percentage.</w:t>
            </w:r>
          </w:p>
        </w:tc>
      </w:tr>
      <w:tr w:rsidR="00F6022F" w:rsidRPr="00D87AA9" w14:paraId="0E4C05F2" w14:textId="77777777" w:rsidTr="00944F80">
        <w:tc>
          <w:tcPr>
            <w:tcW w:w="2093" w:type="dxa"/>
          </w:tcPr>
          <w:p w14:paraId="7E687484" w14:textId="4452504F" w:rsidR="00F6022F" w:rsidRPr="00D87AA9" w:rsidRDefault="00F6022F" w:rsidP="00F6022F">
            <w:pPr>
              <w:pStyle w:val="TableBodyNA"/>
            </w:pPr>
            <w:r w:rsidRPr="00D87AA9">
              <w:lastRenderedPageBreak/>
              <w:t>Data source</w:t>
            </w:r>
            <w:r>
              <w:t xml:space="preserve">s </w:t>
            </w:r>
            <w:r>
              <w:br/>
              <w:t>(14a, 14b, 14c)</w:t>
            </w:r>
            <w:r w:rsidRPr="00D87AA9">
              <w:t>:</w:t>
            </w:r>
          </w:p>
        </w:tc>
        <w:tc>
          <w:tcPr>
            <w:tcW w:w="6696" w:type="dxa"/>
          </w:tcPr>
          <w:p w14:paraId="084AE51E" w14:textId="77777777" w:rsidR="00F6022F" w:rsidRPr="00523EC2" w:rsidRDefault="00F6022F" w:rsidP="00F6022F">
            <w:pPr>
              <w:pStyle w:val="TableBodyNA"/>
              <w:rPr>
                <w:u w:val="single"/>
              </w:rPr>
            </w:pPr>
            <w:r w:rsidRPr="00523EC2">
              <w:rPr>
                <w:u w:val="single"/>
              </w:rPr>
              <w:t>Main data collection</w:t>
            </w:r>
          </w:p>
          <w:p w14:paraId="3C44586F" w14:textId="607BD66F" w:rsidR="00F6022F" w:rsidRDefault="00F6022F" w:rsidP="00F6022F">
            <w:pPr>
              <w:pStyle w:val="TableBodyNA"/>
            </w:pPr>
            <w:r>
              <w:t xml:space="preserve">(Aboriginal and Torres Strait Islander) </w:t>
            </w:r>
            <w:r w:rsidR="00021BE7">
              <w:t>ABS National Aboriginal and Torres Strait Islander Health Survey (NATSIHS)</w:t>
            </w:r>
            <w:r w:rsidR="008B787D">
              <w:rPr>
                <w:rStyle w:val="FootnoteReference"/>
              </w:rPr>
              <w:footnoteReference w:id="9"/>
            </w:r>
            <w:r w:rsidR="00021BE7">
              <w:t xml:space="preserve"> and ABS </w:t>
            </w:r>
            <w:r w:rsidRPr="0012388B">
              <w:rPr>
                <w:u w:val="single"/>
              </w:rPr>
              <w:t>National Aboriginal and Torres Strait Islander Social Survey</w:t>
            </w:r>
            <w:r>
              <w:t xml:space="preserve"> (NATSISS). Data are collected on an alternating </w:t>
            </w:r>
            <w:r w:rsidR="008B787D">
              <w:t>three</w:t>
            </w:r>
            <w:r w:rsidR="00FA5150">
              <w:noBreakHyphen/>
            </w:r>
            <w:r>
              <w:t xml:space="preserve">yearly cycle </w:t>
            </w:r>
          </w:p>
          <w:p w14:paraId="25017E6E" w14:textId="2E2DA623" w:rsidR="00F6022F" w:rsidRDefault="00F6022F" w:rsidP="00021BE7">
            <w:pPr>
              <w:pStyle w:val="TableBodyNA"/>
            </w:pPr>
            <w:r>
              <w:t>(Non</w:t>
            </w:r>
            <w:r w:rsidR="00FA5150">
              <w:noBreakHyphen/>
            </w:r>
            <w:r>
              <w:t xml:space="preserve">Indigenous) ABS </w:t>
            </w:r>
            <w:r w:rsidRPr="0012388B">
              <w:rPr>
                <w:u w:val="single"/>
              </w:rPr>
              <w:t>Survey of Education and Work</w:t>
            </w:r>
            <w:r>
              <w:t xml:space="preserve"> (SEW). Data are available annually</w:t>
            </w:r>
          </w:p>
          <w:p w14:paraId="77C06EDE" w14:textId="77777777" w:rsidR="00F6022F" w:rsidRPr="00523EC2" w:rsidRDefault="00F6022F" w:rsidP="00F6022F">
            <w:pPr>
              <w:pStyle w:val="TableBodyNA"/>
              <w:rPr>
                <w:u w:val="single"/>
              </w:rPr>
            </w:pPr>
            <w:r w:rsidRPr="00523EC2">
              <w:rPr>
                <w:u w:val="single"/>
              </w:rPr>
              <w:t xml:space="preserve">Supplementary data collection </w:t>
            </w:r>
          </w:p>
          <w:p w14:paraId="02944C9E" w14:textId="6DD87C35" w:rsidR="00F6022F" w:rsidRPr="00D87AA9" w:rsidRDefault="00F6022F" w:rsidP="00021BE7">
            <w:pPr>
              <w:pStyle w:val="TableBodyNA"/>
            </w:pPr>
            <w:r>
              <w:t>Numerator and denominat</w:t>
            </w:r>
            <w:r w:rsidRPr="00523EC2">
              <w:t>or (Aboriginal and Torres Strait Islander and non</w:t>
            </w:r>
            <w:r w:rsidR="00FA5150">
              <w:noBreakHyphen/>
            </w:r>
            <w:r>
              <w:t xml:space="preserve">Indigenous) — ABS </w:t>
            </w:r>
            <w:r w:rsidRPr="0012388B">
              <w:rPr>
                <w:u w:val="single"/>
              </w:rPr>
              <w:t>Census of Population and Housing</w:t>
            </w:r>
            <w:r>
              <w:t xml:space="preserve"> (Census). Data are collected every five years</w:t>
            </w:r>
          </w:p>
        </w:tc>
      </w:tr>
      <w:tr w:rsidR="00F6022F" w:rsidRPr="00D87AA9" w14:paraId="7A5C8CCE" w14:textId="77777777" w:rsidTr="00944F80">
        <w:trPr>
          <w:trHeight w:val="449"/>
        </w:trPr>
        <w:tc>
          <w:tcPr>
            <w:tcW w:w="2093" w:type="dxa"/>
          </w:tcPr>
          <w:p w14:paraId="158CBF67" w14:textId="24DFBD9E" w:rsidR="00F6022F" w:rsidRPr="00D87AA9" w:rsidRDefault="00F6022F" w:rsidP="00F6022F">
            <w:pPr>
              <w:pStyle w:val="TableBodyNA"/>
            </w:pPr>
            <w:r w:rsidRPr="00D87AA9">
              <w:t>Data provider</w:t>
            </w:r>
            <w:r>
              <w:t xml:space="preserve"> </w:t>
            </w:r>
            <w:r>
              <w:br/>
              <w:t>(14a, 14b, 14c)</w:t>
            </w:r>
            <w:r w:rsidRPr="00D87AA9">
              <w:t>:</w:t>
            </w:r>
          </w:p>
        </w:tc>
        <w:tc>
          <w:tcPr>
            <w:tcW w:w="6696" w:type="dxa"/>
          </w:tcPr>
          <w:p w14:paraId="53979C85" w14:textId="77777777" w:rsidR="00F6022F" w:rsidRPr="00D87AA9" w:rsidRDefault="00F6022F" w:rsidP="00F6022F">
            <w:pPr>
              <w:pStyle w:val="TableBodyNA"/>
            </w:pPr>
            <w:r w:rsidRPr="006F41BD">
              <w:t>ABS</w:t>
            </w:r>
          </w:p>
        </w:tc>
      </w:tr>
      <w:tr w:rsidR="00F6022F" w:rsidRPr="00D87AA9" w14:paraId="2A4EAA57" w14:textId="77777777" w:rsidTr="00944F80">
        <w:trPr>
          <w:trHeight w:val="1009"/>
        </w:trPr>
        <w:tc>
          <w:tcPr>
            <w:tcW w:w="2093" w:type="dxa"/>
            <w:shd w:val="clear" w:color="auto" w:fill="auto"/>
          </w:tcPr>
          <w:p w14:paraId="4B92A9A8" w14:textId="367A24D9" w:rsidR="00F6022F" w:rsidRPr="00D87AA9" w:rsidRDefault="00F6022F" w:rsidP="00F6022F">
            <w:pPr>
              <w:pStyle w:val="TableBodyNA"/>
            </w:pPr>
            <w:r w:rsidRPr="00D87AA9">
              <w:t>Data availability</w:t>
            </w:r>
            <w:r>
              <w:t xml:space="preserve"> </w:t>
            </w:r>
            <w:r>
              <w:br/>
              <w:t>(14a, 14b, 14c)</w:t>
            </w:r>
            <w:r w:rsidRPr="00D87AA9">
              <w:t>:</w:t>
            </w:r>
          </w:p>
        </w:tc>
        <w:tc>
          <w:tcPr>
            <w:tcW w:w="6696" w:type="dxa"/>
            <w:shd w:val="clear" w:color="auto" w:fill="auto"/>
          </w:tcPr>
          <w:p w14:paraId="69A39E1A" w14:textId="723427E1" w:rsidR="00F6022F" w:rsidRDefault="00F6022F" w:rsidP="00F6022F">
            <w:pPr>
              <w:pStyle w:val="TableBodyNA"/>
            </w:pPr>
            <w:r w:rsidRPr="00436A2C">
              <w:rPr>
                <w:u w:val="single"/>
              </w:rPr>
              <w:t>Main data collection</w:t>
            </w:r>
          </w:p>
          <w:p w14:paraId="72043A8E" w14:textId="20846B9A" w:rsidR="00FC61A8" w:rsidRDefault="00FC61A8" w:rsidP="00FC61A8">
            <w:pPr>
              <w:pStyle w:val="TableBodyNA"/>
            </w:pPr>
            <w:r>
              <w:t>2018</w:t>
            </w:r>
            <w:r w:rsidR="00FA5150">
              <w:noBreakHyphen/>
            </w:r>
            <w:r>
              <w:t>19 (Aboriginal and Torres Strait Islander data) — NATSIHS</w:t>
            </w:r>
          </w:p>
          <w:p w14:paraId="596EA64E" w14:textId="787AD2E1" w:rsidR="00FC61A8" w:rsidRDefault="00FC61A8" w:rsidP="00F6022F">
            <w:pPr>
              <w:pStyle w:val="TableBodyNA"/>
              <w:rPr>
                <w:u w:val="single"/>
              </w:rPr>
            </w:pPr>
            <w:r>
              <w:t>2017</w:t>
            </w:r>
            <w:r w:rsidR="00FA5150">
              <w:noBreakHyphen/>
            </w:r>
            <w:r>
              <w:t>18 (non</w:t>
            </w:r>
            <w:r w:rsidR="00FA5150">
              <w:noBreakHyphen/>
            </w:r>
            <w:r>
              <w:t xml:space="preserve">Indigenous data) — </w:t>
            </w:r>
            <w:r>
              <w:rPr>
                <w:rFonts w:cs="Arial"/>
                <w:color w:val="333333"/>
                <w:shd w:val="clear" w:color="auto" w:fill="FFFFFF"/>
              </w:rPr>
              <w:t>SEW</w:t>
            </w:r>
            <w:r w:rsidRPr="00422666" w:rsidDel="00FC61A8">
              <w:t xml:space="preserve"> </w:t>
            </w:r>
          </w:p>
          <w:p w14:paraId="04866DA6" w14:textId="72182324" w:rsidR="00F6022F" w:rsidRDefault="00F6022F" w:rsidP="00F6022F">
            <w:pPr>
              <w:pStyle w:val="TableBodyNA"/>
            </w:pPr>
            <w:r w:rsidRPr="00436A2C">
              <w:rPr>
                <w:u w:val="single"/>
              </w:rPr>
              <w:t>Supplementary data collection</w:t>
            </w:r>
            <w:r w:rsidDel="00A93B96">
              <w:t xml:space="preserve"> </w:t>
            </w:r>
          </w:p>
          <w:p w14:paraId="34292A75" w14:textId="0B4A42B4" w:rsidR="00F6022F" w:rsidRPr="00D87AA9" w:rsidRDefault="00FC61A8" w:rsidP="00F6022F">
            <w:pPr>
              <w:pStyle w:val="TableBodyNA"/>
            </w:pPr>
            <w:r>
              <w:t>No new data available for this report.</w:t>
            </w:r>
            <w:r w:rsidR="00F6022F">
              <w:t xml:space="preserve"> </w:t>
            </w:r>
          </w:p>
        </w:tc>
      </w:tr>
      <w:tr w:rsidR="00FC61A8" w:rsidRPr="00D87AA9" w14:paraId="367C418B" w14:textId="77777777" w:rsidTr="00944F80">
        <w:tc>
          <w:tcPr>
            <w:tcW w:w="2093" w:type="dxa"/>
            <w:shd w:val="clear" w:color="auto" w:fill="auto"/>
          </w:tcPr>
          <w:p w14:paraId="26E98B4C" w14:textId="5450AC1E" w:rsidR="00FC61A8" w:rsidRPr="00D87AA9" w:rsidRDefault="00FC61A8" w:rsidP="00FC61A8">
            <w:pPr>
              <w:pStyle w:val="TableBodyNA"/>
            </w:pPr>
            <w:r w:rsidRPr="00D87AA9">
              <w:t>Cross tabulations provided</w:t>
            </w:r>
            <w:r>
              <w:t xml:space="preserve"> </w:t>
            </w:r>
            <w:r w:rsidR="003A15AB">
              <w:br/>
            </w:r>
            <w:r>
              <w:t>(14a, 14b, 14c)</w:t>
            </w:r>
            <w:r w:rsidRPr="00D87AA9">
              <w:t>:</w:t>
            </w:r>
          </w:p>
        </w:tc>
        <w:tc>
          <w:tcPr>
            <w:tcW w:w="6696" w:type="dxa"/>
            <w:shd w:val="clear" w:color="auto" w:fill="auto"/>
          </w:tcPr>
          <w:p w14:paraId="6CEEB4CB" w14:textId="77777777" w:rsidR="00FC61A8" w:rsidRDefault="00FC61A8" w:rsidP="00FC61A8">
            <w:pPr>
              <w:pStyle w:val="TableBodyNA"/>
            </w:pPr>
            <w:r>
              <w:t>State and Territory, by:</w:t>
            </w:r>
          </w:p>
          <w:p w14:paraId="1C9AB919" w14:textId="77777777" w:rsidR="00FC61A8" w:rsidRDefault="00FC61A8" w:rsidP="00FC61A8">
            <w:pPr>
              <w:pStyle w:val="TableBullet"/>
            </w:pPr>
            <w:r>
              <w:t>Indigenous status</w:t>
            </w:r>
          </w:p>
          <w:p w14:paraId="0F936970" w14:textId="5A6DF318" w:rsidR="00FC61A8" w:rsidRDefault="00FC61A8" w:rsidP="00FC61A8">
            <w:pPr>
              <w:pStyle w:val="TableBullet"/>
            </w:pPr>
            <w:r>
              <w:t>remoteness (measures 14(a) and 14(</w:t>
            </w:r>
            <w:r w:rsidR="003A15AB">
              <w:t>c</w:t>
            </w:r>
            <w:r>
              <w:t>)) (based on 2016 ASGS for Aboriginal and Torres Strait Islander and 2011 ASGS for non</w:t>
            </w:r>
            <w:r w:rsidR="00FA5150">
              <w:noBreakHyphen/>
            </w:r>
            <w:r>
              <w:t>Indigenous)</w:t>
            </w:r>
          </w:p>
          <w:p w14:paraId="76BBB68A" w14:textId="77777777" w:rsidR="00FC61A8" w:rsidRDefault="00FC61A8" w:rsidP="00FC61A8">
            <w:pPr>
              <w:pStyle w:val="TableBodyNA"/>
            </w:pPr>
            <w:r>
              <w:t>National, by:</w:t>
            </w:r>
          </w:p>
          <w:p w14:paraId="6891A538" w14:textId="5D09FA5E" w:rsidR="00FC61A8" w:rsidRPr="00D87AA9" w:rsidRDefault="00FC61A8" w:rsidP="00FC61A8">
            <w:pPr>
              <w:pStyle w:val="TableBullet"/>
            </w:pPr>
            <w:r>
              <w:t>Indigenous status by remoteness (measure 14(</w:t>
            </w:r>
            <w:r w:rsidR="003A15AB">
              <w:t>b</w:t>
            </w:r>
            <w:r>
              <w:t>) (based on 2016 ASGS for Aboriginal and Torres Strait Islander and 2011 ASGS for non</w:t>
            </w:r>
            <w:r w:rsidR="00FA5150">
              <w:noBreakHyphen/>
            </w:r>
            <w:r>
              <w:t>Indigenous)</w:t>
            </w:r>
          </w:p>
        </w:tc>
      </w:tr>
      <w:tr w:rsidR="00FC61A8" w14:paraId="2B3CA133" w14:textId="77777777" w:rsidTr="00944F80">
        <w:tblPrEx>
          <w:tblBorders>
            <w:top w:val="single" w:sz="6" w:space="0" w:color="78A22F"/>
            <w:left w:val="single" w:sz="6" w:space="0" w:color="78A22F"/>
            <w:bottom w:val="single" w:sz="6" w:space="0" w:color="78A22F"/>
            <w:right w:val="single" w:sz="6" w:space="0" w:color="78A22F"/>
          </w:tblBorders>
          <w:tblCellMar>
            <w:left w:w="142" w:type="dxa"/>
            <w:right w:w="142" w:type="dxa"/>
          </w:tblCellMar>
        </w:tblPrEx>
        <w:tc>
          <w:tcPr>
            <w:tcW w:w="8789" w:type="dxa"/>
            <w:gridSpan w:val="2"/>
            <w:tcBorders>
              <w:top w:val="single" w:sz="6" w:space="0" w:color="78A22F"/>
              <w:left w:val="nil"/>
              <w:bottom w:val="nil"/>
              <w:right w:val="nil"/>
            </w:tcBorders>
            <w:shd w:val="clear" w:color="auto" w:fill="F2F2F2"/>
          </w:tcPr>
          <w:p w14:paraId="749FA2FC" w14:textId="521AE91B" w:rsidR="00FC61A8" w:rsidRDefault="00FC61A8" w:rsidP="00185D28">
            <w:pPr>
              <w:pStyle w:val="BoxTitle"/>
              <w:pageBreakBefore/>
            </w:pPr>
            <w:r>
              <w:rPr>
                <w:b w:val="0"/>
              </w:rPr>
              <w:lastRenderedPageBreak/>
              <w:t xml:space="preserve">Box </w:t>
            </w:r>
            <w:r w:rsidR="00CD100F">
              <w:rPr>
                <w:b w:val="0"/>
              </w:rPr>
              <w:t>4</w:t>
            </w:r>
            <w:r w:rsidR="00185D28">
              <w:rPr>
                <w:b w:val="0"/>
              </w:rPr>
              <w:t>0</w:t>
            </w:r>
            <w:r>
              <w:tab/>
              <w:t>Results</w:t>
            </w:r>
          </w:p>
        </w:tc>
      </w:tr>
      <w:tr w:rsidR="00FC61A8" w:rsidRPr="003C412A" w14:paraId="07C4F1E0" w14:textId="77777777" w:rsidTr="00944F80">
        <w:tblPrEx>
          <w:tblBorders>
            <w:top w:val="single" w:sz="6" w:space="0" w:color="78A22F"/>
            <w:left w:val="single" w:sz="6" w:space="0" w:color="78A22F"/>
            <w:bottom w:val="single" w:sz="6" w:space="0" w:color="78A22F"/>
            <w:right w:val="single" w:sz="6" w:space="0" w:color="78A22F"/>
          </w:tblBorders>
          <w:tblCellMar>
            <w:left w:w="142" w:type="dxa"/>
            <w:right w:w="142" w:type="dxa"/>
          </w:tblCellMar>
        </w:tblPrEx>
        <w:trPr>
          <w:cantSplit/>
        </w:trPr>
        <w:tc>
          <w:tcPr>
            <w:tcW w:w="8789" w:type="dxa"/>
            <w:gridSpan w:val="2"/>
            <w:tcBorders>
              <w:top w:val="nil"/>
              <w:left w:val="nil"/>
              <w:bottom w:val="nil"/>
              <w:right w:val="nil"/>
            </w:tcBorders>
            <w:shd w:val="clear" w:color="auto" w:fill="F2F2F2"/>
          </w:tcPr>
          <w:p w14:paraId="5000DA8C" w14:textId="64E82C8E" w:rsidR="00FC61A8" w:rsidRPr="00CE5702" w:rsidRDefault="00FC61A8" w:rsidP="00FC61A8">
            <w:pPr>
              <w:pStyle w:val="Box"/>
              <w:keepNext w:val="0"/>
            </w:pPr>
            <w:r w:rsidRPr="00CE5702">
              <w:t>For this report, new data are available from the main data source (survey) for 2018</w:t>
            </w:r>
            <w:r w:rsidR="00FA5150">
              <w:noBreakHyphen/>
            </w:r>
            <w:r w:rsidRPr="00CE5702">
              <w:t>19.</w:t>
            </w:r>
          </w:p>
          <w:p w14:paraId="4BCD0F77" w14:textId="773D9DDD" w:rsidR="00FC61A8" w:rsidRPr="00CE5702" w:rsidRDefault="00FC61A8" w:rsidP="00FC61A8">
            <w:pPr>
              <w:pStyle w:val="BoxListBullet"/>
            </w:pPr>
            <w:r w:rsidRPr="00CE5702">
              <w:t xml:space="preserve">Data on the proportion of the working age population employed, by State and Territory are presented in table NIRA.14.1 </w:t>
            </w:r>
            <w:r w:rsidR="003A15AB" w:rsidRPr="00CE5702">
              <w:t>and by remoteness in table NIRA 14.4</w:t>
            </w:r>
          </w:p>
          <w:p w14:paraId="14D72392" w14:textId="2CC15A4A" w:rsidR="00FC61A8" w:rsidRPr="00CE5702" w:rsidRDefault="00FC61A8" w:rsidP="00FC61A8">
            <w:pPr>
              <w:pStyle w:val="BoxListBullet"/>
            </w:pPr>
            <w:r w:rsidRPr="00CE5702">
              <w:t>Data on the proportion of the labour force who are unemployed, by State and Territory are presented in table NIRA.14.2</w:t>
            </w:r>
            <w:r w:rsidR="003A15AB" w:rsidRPr="00CE5702">
              <w:t>. National data by remoteness are in table NIRA 14.6</w:t>
            </w:r>
          </w:p>
          <w:p w14:paraId="1C7C5BA0" w14:textId="03DFE6ED" w:rsidR="00FC61A8" w:rsidRPr="00CE5702" w:rsidRDefault="00FC61A8" w:rsidP="00FC61A8">
            <w:pPr>
              <w:pStyle w:val="BoxListBullet"/>
            </w:pPr>
            <w:r w:rsidRPr="00CE5702">
              <w:t>Data on the proportion of the working age population who are in the labour force are presented in table NIRA.14.3</w:t>
            </w:r>
            <w:r w:rsidR="003A15AB" w:rsidRPr="00CE5702">
              <w:t xml:space="preserve"> and by remoteness in table NIRA 14.5</w:t>
            </w:r>
            <w:r w:rsidRPr="00CE5702">
              <w:t>.</w:t>
            </w:r>
          </w:p>
          <w:p w14:paraId="30F45403" w14:textId="2FC5742C" w:rsidR="003A15AB" w:rsidRPr="00CE5702" w:rsidRDefault="008B787D" w:rsidP="00FC61A8">
            <w:pPr>
              <w:pStyle w:val="Box"/>
            </w:pPr>
            <w:r w:rsidRPr="00CE5702">
              <w:t>Historical d</w:t>
            </w:r>
            <w:r w:rsidR="003A15AB" w:rsidRPr="00CE5702">
              <w:t>ata for the 2014</w:t>
            </w:r>
            <w:r w:rsidR="00FA5150">
              <w:noBreakHyphen/>
            </w:r>
            <w:r w:rsidR="003A15AB" w:rsidRPr="00CE5702">
              <w:t>15 NATSISS and 2014 SEW are available in the 2015</w:t>
            </w:r>
            <w:r w:rsidR="00FA5150">
              <w:noBreakHyphen/>
            </w:r>
            <w:r w:rsidR="003A15AB" w:rsidRPr="00CE5702">
              <w:t>16 NIRA performance report. Historical data from the 2012</w:t>
            </w:r>
            <w:r w:rsidR="00FA5150">
              <w:noBreakHyphen/>
            </w:r>
            <w:r w:rsidR="003A15AB" w:rsidRPr="00CE5702">
              <w:t>13 AATSIHS and 2012 SEW are available in the 2013</w:t>
            </w:r>
            <w:r w:rsidR="00FA5150">
              <w:noBreakHyphen/>
            </w:r>
            <w:r w:rsidR="003A15AB" w:rsidRPr="00CE5702">
              <w:t>14 NIRA performance report. Historical data for 2008 are in the baseline 2008</w:t>
            </w:r>
            <w:r w:rsidR="00FA5150">
              <w:noBreakHyphen/>
            </w:r>
            <w:r w:rsidR="003A15AB" w:rsidRPr="00CE5702">
              <w:t>09 NIRA performance report, with disaggregations by remoteness in the 2012</w:t>
            </w:r>
            <w:r w:rsidR="00FA5150">
              <w:noBreakHyphen/>
            </w:r>
            <w:r w:rsidR="003A15AB" w:rsidRPr="00CE5702">
              <w:t>13 NIRA performance report.</w:t>
            </w:r>
          </w:p>
          <w:p w14:paraId="327D30C6" w14:textId="101553EB" w:rsidR="00FC61A8" w:rsidRPr="003C412A" w:rsidRDefault="00BA2BB9" w:rsidP="00FC61A8">
            <w:pPr>
              <w:pStyle w:val="Box"/>
            </w:pPr>
            <w:r w:rsidRPr="00CE5702">
              <w:t xml:space="preserve">Data from the supplementary data source (Census data) </w:t>
            </w:r>
            <w:r w:rsidR="003A15AB" w:rsidRPr="00CE5702">
              <w:t>are available in</w:t>
            </w:r>
            <w:r w:rsidRPr="00CE5702">
              <w:t>: the 2017</w:t>
            </w:r>
            <w:r w:rsidR="00FA5150">
              <w:noBreakHyphen/>
            </w:r>
            <w:r w:rsidRPr="00CE5702">
              <w:t xml:space="preserve">18 NIRA performance report for 2016 Census </w:t>
            </w:r>
            <w:r w:rsidR="00EE4F17" w:rsidRPr="00CE5702">
              <w:t>(</w:t>
            </w:r>
            <w:r w:rsidRPr="00CE5702">
              <w:t>by remoteness</w:t>
            </w:r>
            <w:r w:rsidR="00EE4F17" w:rsidRPr="00CE5702">
              <w:t>)</w:t>
            </w:r>
            <w:r w:rsidRPr="00CE5702">
              <w:t xml:space="preserve"> and 2011 Census (survey comparison scope);</w:t>
            </w:r>
            <w:r w:rsidR="003A15AB" w:rsidRPr="00CE5702">
              <w:t xml:space="preserve"> the 2016</w:t>
            </w:r>
            <w:r w:rsidR="00FA5150">
              <w:noBreakHyphen/>
            </w:r>
            <w:r w:rsidR="003A15AB" w:rsidRPr="00CE5702">
              <w:t xml:space="preserve">17 NIRA performance report </w:t>
            </w:r>
            <w:r w:rsidRPr="00CE5702">
              <w:t xml:space="preserve">for </w:t>
            </w:r>
            <w:r w:rsidR="003A15AB" w:rsidRPr="00CE5702">
              <w:t xml:space="preserve">2016 Census </w:t>
            </w:r>
            <w:r w:rsidRPr="00CE5702">
              <w:t>(</w:t>
            </w:r>
            <w:r w:rsidR="003A15AB" w:rsidRPr="00CE5702">
              <w:t>except by remoteness)</w:t>
            </w:r>
            <w:r w:rsidRPr="00CE5702">
              <w:t>;</w:t>
            </w:r>
            <w:r w:rsidR="003A15AB" w:rsidRPr="00CE5702">
              <w:t xml:space="preserve"> </w:t>
            </w:r>
            <w:r w:rsidRPr="00CE5702">
              <w:t xml:space="preserve">the </w:t>
            </w:r>
            <w:r w:rsidR="00EE4F17" w:rsidRPr="00CE5702">
              <w:t>2012</w:t>
            </w:r>
            <w:r w:rsidR="00FA5150">
              <w:noBreakHyphen/>
            </w:r>
            <w:r w:rsidR="00EE4F17" w:rsidRPr="00CE5702">
              <w:t xml:space="preserve">13 NIRA performance report for 2011 Census (by remoteness) and 2006 Census (by remoteness); </w:t>
            </w:r>
            <w:r w:rsidR="003A15AB" w:rsidRPr="00CE5702">
              <w:t>the 2011</w:t>
            </w:r>
            <w:r w:rsidR="00FA5150">
              <w:noBreakHyphen/>
            </w:r>
            <w:r w:rsidR="003A15AB" w:rsidRPr="00CE5702">
              <w:t xml:space="preserve">12 NIRA performance report </w:t>
            </w:r>
            <w:r w:rsidRPr="00CE5702">
              <w:t xml:space="preserve">for </w:t>
            </w:r>
            <w:r w:rsidR="003A15AB" w:rsidRPr="00CE5702">
              <w:t>2011 Census</w:t>
            </w:r>
            <w:r w:rsidR="00EE4F17" w:rsidRPr="00CE5702">
              <w:t xml:space="preserve"> (except by remoteness)</w:t>
            </w:r>
            <w:r w:rsidRPr="00CE5702">
              <w:t>;</w:t>
            </w:r>
            <w:r w:rsidR="003A15AB" w:rsidRPr="00CE5702">
              <w:t xml:space="preserve"> and</w:t>
            </w:r>
            <w:r w:rsidRPr="00CE5702">
              <w:t>,</w:t>
            </w:r>
            <w:r w:rsidR="003A15AB" w:rsidRPr="00CE5702">
              <w:t xml:space="preserve"> the baseline 2008</w:t>
            </w:r>
            <w:r w:rsidR="00FA5150">
              <w:noBreakHyphen/>
            </w:r>
            <w:r w:rsidR="003A15AB" w:rsidRPr="00CE5702">
              <w:t>09 NIRA performance report 2006 Census</w:t>
            </w:r>
            <w:r w:rsidR="00EE4F17" w:rsidRPr="00CE5702">
              <w:t xml:space="preserve"> (except by remoteness</w:t>
            </w:r>
            <w:r w:rsidR="003A15AB" w:rsidRPr="00CE5702">
              <w:t>).</w:t>
            </w:r>
          </w:p>
        </w:tc>
      </w:tr>
      <w:tr w:rsidR="00FC61A8" w14:paraId="2999733D" w14:textId="77777777" w:rsidTr="00944F80">
        <w:tblPrEx>
          <w:tblBorders>
            <w:top w:val="single" w:sz="6" w:space="0" w:color="78A22F"/>
            <w:left w:val="single" w:sz="6" w:space="0" w:color="78A22F"/>
            <w:bottom w:val="single" w:sz="6" w:space="0" w:color="78A22F"/>
            <w:right w:val="single" w:sz="6" w:space="0" w:color="78A22F"/>
          </w:tblBorders>
          <w:tblCellMar>
            <w:left w:w="142" w:type="dxa"/>
            <w:right w:w="142" w:type="dxa"/>
          </w:tblCellMar>
        </w:tblPrEx>
        <w:trPr>
          <w:cantSplit/>
        </w:trPr>
        <w:tc>
          <w:tcPr>
            <w:tcW w:w="8789" w:type="dxa"/>
            <w:gridSpan w:val="2"/>
            <w:tcBorders>
              <w:top w:val="nil"/>
              <w:left w:val="nil"/>
              <w:bottom w:val="single" w:sz="6" w:space="0" w:color="78A22F"/>
              <w:right w:val="nil"/>
            </w:tcBorders>
            <w:shd w:val="clear" w:color="auto" w:fill="F2F2F2"/>
          </w:tcPr>
          <w:p w14:paraId="297FDEF7" w14:textId="77777777" w:rsidR="00FC61A8" w:rsidRDefault="00FC61A8" w:rsidP="00FC61A8">
            <w:pPr>
              <w:pStyle w:val="Box"/>
              <w:spacing w:before="0" w:line="120" w:lineRule="exact"/>
            </w:pPr>
          </w:p>
        </w:tc>
      </w:tr>
      <w:tr w:rsidR="00FC61A8" w:rsidRPr="000863A5" w14:paraId="71777857" w14:textId="77777777" w:rsidTr="00944F80">
        <w:tblPrEx>
          <w:tblBorders>
            <w:top w:val="single" w:sz="6" w:space="0" w:color="78A22F"/>
            <w:left w:val="single" w:sz="6" w:space="0" w:color="78A22F"/>
            <w:bottom w:val="single" w:sz="6" w:space="0" w:color="78A22F"/>
            <w:right w:val="single" w:sz="6" w:space="0" w:color="78A22F"/>
          </w:tblBorders>
          <w:tblCellMar>
            <w:left w:w="142" w:type="dxa"/>
            <w:right w:w="142" w:type="dxa"/>
          </w:tblCellMar>
        </w:tblPrEx>
        <w:tc>
          <w:tcPr>
            <w:tcW w:w="8789" w:type="dxa"/>
            <w:gridSpan w:val="2"/>
            <w:tcBorders>
              <w:top w:val="single" w:sz="6" w:space="0" w:color="78A22F"/>
              <w:left w:val="nil"/>
              <w:bottom w:val="nil"/>
              <w:right w:val="nil"/>
            </w:tcBorders>
          </w:tcPr>
          <w:p w14:paraId="7EE6A5E7" w14:textId="77777777" w:rsidR="00FC61A8" w:rsidRPr="00626D32" w:rsidRDefault="00FC61A8" w:rsidP="00FC61A8">
            <w:pPr>
              <w:pStyle w:val="BoxSpaceBelow"/>
            </w:pPr>
          </w:p>
        </w:tc>
      </w:tr>
    </w:tbl>
    <w:p w14:paraId="3100F41F" w14:textId="77777777" w:rsidR="00E32E3F" w:rsidRDefault="00E32E3F">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3C412A" w14:paraId="4B7899ED" w14:textId="77777777" w:rsidTr="00944F80">
        <w:tc>
          <w:tcPr>
            <w:tcW w:w="8789" w:type="dxa"/>
            <w:tcBorders>
              <w:top w:val="single" w:sz="6" w:space="0" w:color="78A22F"/>
              <w:left w:val="nil"/>
              <w:bottom w:val="nil"/>
              <w:right w:val="nil"/>
            </w:tcBorders>
            <w:shd w:val="clear" w:color="auto" w:fill="F2F2F2"/>
          </w:tcPr>
          <w:p w14:paraId="638A4B53" w14:textId="545EAB73" w:rsidR="003C412A" w:rsidRDefault="003C412A" w:rsidP="00185D28">
            <w:pPr>
              <w:pStyle w:val="BoxTitle"/>
            </w:pPr>
            <w:r>
              <w:rPr>
                <w:b w:val="0"/>
              </w:rPr>
              <w:t>Box</w:t>
            </w:r>
            <w:r w:rsidR="00B1719E">
              <w:rPr>
                <w:b w:val="0"/>
              </w:rPr>
              <w:t xml:space="preserve"> </w:t>
            </w:r>
            <w:r w:rsidR="00CD100F">
              <w:rPr>
                <w:b w:val="0"/>
              </w:rPr>
              <w:t>4</w:t>
            </w:r>
            <w:r w:rsidR="00185D28">
              <w:rPr>
                <w:b w:val="0"/>
              </w:rPr>
              <w:t>1</w:t>
            </w:r>
            <w:r>
              <w:tab/>
              <w:t xml:space="preserve">Comment on data </w:t>
            </w:r>
            <w:r w:rsidR="00A35375">
              <w:t>quality</w:t>
            </w:r>
          </w:p>
        </w:tc>
      </w:tr>
      <w:tr w:rsidR="003C412A" w:rsidRPr="003C412A" w14:paraId="5A14C990" w14:textId="77777777" w:rsidTr="00944F80">
        <w:trPr>
          <w:cantSplit/>
        </w:trPr>
        <w:tc>
          <w:tcPr>
            <w:tcW w:w="8789" w:type="dxa"/>
            <w:tcBorders>
              <w:top w:val="nil"/>
              <w:left w:val="nil"/>
              <w:bottom w:val="nil"/>
              <w:right w:val="nil"/>
            </w:tcBorders>
            <w:shd w:val="clear" w:color="auto" w:fill="F2F2F2"/>
          </w:tcPr>
          <w:p w14:paraId="6CB5ECB7" w14:textId="3D556A70" w:rsidR="00A35375" w:rsidRPr="00DB41BA" w:rsidRDefault="00A35375" w:rsidP="00A35375">
            <w:pPr>
              <w:pStyle w:val="Box"/>
            </w:pPr>
            <w:r w:rsidRPr="00DB41BA">
              <w:t xml:space="preserve">Key points </w:t>
            </w:r>
            <w:r w:rsidR="001F1E78">
              <w:t>on data quality for this indicator</w:t>
            </w:r>
            <w:r w:rsidRPr="00DB41BA">
              <w:t xml:space="preserve"> are summarised below.</w:t>
            </w:r>
          </w:p>
          <w:p w14:paraId="1A471D99" w14:textId="77777777" w:rsidR="00A35375" w:rsidRPr="00CE5702" w:rsidRDefault="00A35375" w:rsidP="00A35375">
            <w:pPr>
              <w:pStyle w:val="BoxListBullet"/>
            </w:pPr>
            <w:r w:rsidRPr="00CE5702">
              <w:t>Data provide relevant information on the level of workforce participation for 15–64 year olds (employment, labour force participation and unemployment). Data are available by State and Territory.</w:t>
            </w:r>
          </w:p>
          <w:p w14:paraId="0BBF3E08" w14:textId="5CB1F7A4" w:rsidR="008B787D" w:rsidRPr="00CE5702" w:rsidRDefault="008B787D" w:rsidP="008B787D">
            <w:pPr>
              <w:pStyle w:val="BoxListBullet"/>
            </w:pPr>
            <w:r w:rsidRPr="00CE5702">
              <w:t>The most recent available data are from the main data source (surveys), with the data in respect of 2018</w:t>
            </w:r>
            <w:r w:rsidR="00FA5150">
              <w:noBreakHyphen/>
            </w:r>
            <w:r w:rsidRPr="00CE5702">
              <w:t>19 for Aboriginal and Torres Strait Islander people (from the NATSIHS) and 2018 for non</w:t>
            </w:r>
            <w:r w:rsidR="00FA5150">
              <w:noBreakHyphen/>
            </w:r>
            <w:r w:rsidRPr="00CE5702">
              <w:t>Indigenous people (from the SEW).</w:t>
            </w:r>
          </w:p>
          <w:p w14:paraId="5F2B03B0" w14:textId="77777777" w:rsidR="00EE4F17" w:rsidRPr="00CE5702" w:rsidRDefault="00EE4F17" w:rsidP="00EE4F17">
            <w:pPr>
              <w:pStyle w:val="BoxListBullet"/>
            </w:pPr>
            <w:r w:rsidRPr="00CE5702">
              <w:t xml:space="preserve">Supplementary data are available every five years from the Census. </w:t>
            </w:r>
          </w:p>
          <w:p w14:paraId="10397186" w14:textId="7B11ECA1" w:rsidR="00EE4F17" w:rsidRDefault="00EE4F17" w:rsidP="00EE4F17">
            <w:pPr>
              <w:pStyle w:val="BoxListBullet"/>
            </w:pPr>
            <w:r w:rsidRPr="00CE5702">
              <w:t>While there are differences in methodologies between the NATSI</w:t>
            </w:r>
            <w:r w:rsidR="007F062F" w:rsidRPr="00CE5702">
              <w:t>H</w:t>
            </w:r>
            <w:r w:rsidRPr="00CE5702">
              <w:t>S/SEW and Census data, these differences do not affect their broad consistency for th</w:t>
            </w:r>
            <w:r w:rsidR="008B787D" w:rsidRPr="00CE5702">
              <w:t>e</w:t>
            </w:r>
            <w:r w:rsidRPr="00CE5702">
              <w:t xml:space="preserve"> measure</w:t>
            </w:r>
            <w:r w:rsidR="008B787D" w:rsidRPr="00CE5702">
              <w:t>s</w:t>
            </w:r>
            <w:r w:rsidRPr="00CE5702">
              <w:t>.</w:t>
            </w:r>
          </w:p>
          <w:p w14:paraId="71A77448" w14:textId="77777777" w:rsidR="008B1A0F" w:rsidRPr="00CE5702" w:rsidRDefault="008B1A0F" w:rsidP="008B1A0F">
            <w:pPr>
              <w:pStyle w:val="BoxListBullet"/>
            </w:pPr>
            <w:r w:rsidRPr="00CE5702">
              <w:t>Data are of acceptable accuracy. Some proportions have a large confidence interval and should be used with caution.</w:t>
            </w:r>
          </w:p>
          <w:p w14:paraId="397ABC29" w14:textId="77777777" w:rsidR="00A35375" w:rsidRPr="00CE5702" w:rsidRDefault="00A35375" w:rsidP="00A35375">
            <w:pPr>
              <w:pStyle w:val="BoxListBullet"/>
            </w:pPr>
            <w:r w:rsidRPr="00CE5702">
              <w:t>Detailed explanatory notes are publicly available to assist in the interpretation of results.</w:t>
            </w:r>
          </w:p>
          <w:p w14:paraId="34914C3C" w14:textId="7A0AA1C4" w:rsidR="00A35375" w:rsidRPr="00CE5702" w:rsidRDefault="00A35375" w:rsidP="00A35375">
            <w:pPr>
              <w:pStyle w:val="BoxListBullet"/>
            </w:pPr>
            <w:r w:rsidRPr="00CE5702">
              <w:t>Additional data from the data source are available on</w:t>
            </w:r>
            <w:r w:rsidR="00FA5150">
              <w:noBreakHyphen/>
            </w:r>
            <w:r w:rsidRPr="00CE5702">
              <w:t>line, and on request.</w:t>
            </w:r>
          </w:p>
          <w:p w14:paraId="45265D62" w14:textId="77777777" w:rsidR="00A35375" w:rsidRPr="00CE5702" w:rsidRDefault="00A35375" w:rsidP="00A35375">
            <w:pPr>
              <w:pStyle w:val="Box"/>
            </w:pPr>
            <w:r w:rsidRPr="00CE5702">
              <w:t>The Steering Committee also notes the following issues:</w:t>
            </w:r>
          </w:p>
          <w:p w14:paraId="0A50D555" w14:textId="63F1FA23" w:rsidR="00074D31" w:rsidRPr="003C412A" w:rsidRDefault="008B1A0F" w:rsidP="008822BF">
            <w:pPr>
              <w:pStyle w:val="BoxListBullet"/>
            </w:pPr>
            <w:r w:rsidRPr="00CE5702">
              <w:t>The size of some standard errors means that the survey data may not be adequate for measuring difference. Comparisons over time or across jurisdictions may be difficult to assess if the size of the standard errors is large compared to the difference between the estimates.</w:t>
            </w:r>
          </w:p>
        </w:tc>
      </w:tr>
      <w:tr w:rsidR="003C412A" w14:paraId="1C0717B2" w14:textId="77777777" w:rsidTr="00944F80">
        <w:trPr>
          <w:cantSplit/>
        </w:trPr>
        <w:tc>
          <w:tcPr>
            <w:tcW w:w="8789" w:type="dxa"/>
            <w:tcBorders>
              <w:top w:val="nil"/>
              <w:left w:val="nil"/>
              <w:bottom w:val="single" w:sz="6" w:space="0" w:color="78A22F"/>
              <w:right w:val="nil"/>
            </w:tcBorders>
            <w:shd w:val="clear" w:color="auto" w:fill="F2F2F2"/>
          </w:tcPr>
          <w:p w14:paraId="6A856F2E" w14:textId="77777777" w:rsidR="003C412A" w:rsidRDefault="003C412A">
            <w:pPr>
              <w:pStyle w:val="Box"/>
              <w:spacing w:before="0" w:line="120" w:lineRule="exact"/>
            </w:pPr>
          </w:p>
        </w:tc>
      </w:tr>
      <w:tr w:rsidR="003C412A" w:rsidRPr="000863A5" w14:paraId="3B17589E" w14:textId="77777777" w:rsidTr="00944F80">
        <w:tc>
          <w:tcPr>
            <w:tcW w:w="8789" w:type="dxa"/>
            <w:tcBorders>
              <w:top w:val="single" w:sz="6" w:space="0" w:color="78A22F"/>
              <w:left w:val="nil"/>
              <w:bottom w:val="nil"/>
              <w:right w:val="nil"/>
            </w:tcBorders>
          </w:tcPr>
          <w:p w14:paraId="5724D54A" w14:textId="77777777" w:rsidR="003C412A" w:rsidRPr="00626D32" w:rsidRDefault="003C412A" w:rsidP="004C6DAF">
            <w:pPr>
              <w:pStyle w:val="BoxSpaceBelow"/>
            </w:pPr>
          </w:p>
        </w:tc>
      </w:tr>
    </w:tbl>
    <w:p w14:paraId="09AF6BFC" w14:textId="77777777" w:rsidR="003C412A" w:rsidRDefault="003C412A" w:rsidP="003C412A">
      <w:pPr>
        <w:pStyle w:val="BodyText"/>
        <w:rPr>
          <w:rFonts w:ascii="Arial" w:hAnsi="Arial"/>
          <w:sz w:val="20"/>
        </w:rPr>
      </w:pPr>
      <w:r>
        <w:br w:type="page"/>
      </w:r>
    </w:p>
    <w:p w14:paraId="29CE5A12" w14:textId="77777777" w:rsidR="003C412A" w:rsidRDefault="003C412A" w:rsidP="008A0474">
      <w:pPr>
        <w:pStyle w:val="Heading3"/>
        <w:spacing w:after="80"/>
      </w:pPr>
      <w:bookmarkStart w:id="39" w:name="_Ref375126474"/>
      <w:r w:rsidRPr="00921D4D">
        <w:lastRenderedPageBreak/>
        <w:t>Indicator 1</w:t>
      </w:r>
      <w:r>
        <w:t>5</w:t>
      </w:r>
      <w:r w:rsidRPr="00921D4D">
        <w:t xml:space="preserve">: </w:t>
      </w:r>
      <w:r>
        <w:t>Proportion of Indigenous 20 to 64 year olds with or working towards post school qualification in AQF Certificate III or above</w:t>
      </w:r>
      <w:bookmarkEnd w:id="39"/>
    </w:p>
    <w:tbl>
      <w:tblPr>
        <w:tblW w:w="8789" w:type="dxa"/>
        <w:tblCellMar>
          <w:right w:w="0" w:type="dxa"/>
        </w:tblCellMar>
        <w:tblLook w:val="0000" w:firstRow="0" w:lastRow="0" w:firstColumn="0" w:lastColumn="0" w:noHBand="0" w:noVBand="0"/>
      </w:tblPr>
      <w:tblGrid>
        <w:gridCol w:w="2093"/>
        <w:gridCol w:w="6696"/>
      </w:tblGrid>
      <w:tr w:rsidR="008A0474" w:rsidRPr="00D87AA9" w14:paraId="29DB4F22" w14:textId="77777777" w:rsidTr="00516C24">
        <w:tc>
          <w:tcPr>
            <w:tcW w:w="2093" w:type="dxa"/>
            <w:shd w:val="clear" w:color="auto" w:fill="auto"/>
          </w:tcPr>
          <w:p w14:paraId="4250ABE4" w14:textId="77777777" w:rsidR="008A0474" w:rsidRPr="00D87AA9" w:rsidRDefault="008A0474" w:rsidP="00FD1BAF">
            <w:pPr>
              <w:pStyle w:val="TableBodyNA"/>
            </w:pPr>
            <w:r w:rsidRPr="00B82DC5">
              <w:t>Key amendments from previous cycle of reporting:</w:t>
            </w:r>
          </w:p>
        </w:tc>
        <w:tc>
          <w:tcPr>
            <w:tcW w:w="6696" w:type="dxa"/>
            <w:shd w:val="clear" w:color="auto" w:fill="auto"/>
          </w:tcPr>
          <w:p w14:paraId="2BDF1FFF" w14:textId="7EC6D2B6" w:rsidR="008A0474" w:rsidRDefault="00372E06" w:rsidP="00FD1BAF">
            <w:pPr>
              <w:pStyle w:val="TableBodyNA"/>
            </w:pPr>
            <w:r w:rsidRPr="00365846">
              <w:t>This indicator is unchanged from the previous NIRA performance report</w:t>
            </w:r>
            <w:r>
              <w:t>.</w:t>
            </w:r>
          </w:p>
        </w:tc>
      </w:tr>
      <w:tr w:rsidR="003C412A" w:rsidRPr="00D87AA9" w14:paraId="495874C0" w14:textId="77777777" w:rsidTr="00516C24">
        <w:tc>
          <w:tcPr>
            <w:tcW w:w="2093" w:type="dxa"/>
          </w:tcPr>
          <w:p w14:paraId="00154166" w14:textId="77777777" w:rsidR="003C412A" w:rsidRPr="00D87AA9" w:rsidRDefault="003C412A" w:rsidP="00FD1BAF">
            <w:pPr>
              <w:pStyle w:val="TableBodyNA"/>
            </w:pPr>
            <w:r w:rsidRPr="00D87AA9">
              <w:t>Target:</w:t>
            </w:r>
          </w:p>
        </w:tc>
        <w:tc>
          <w:tcPr>
            <w:tcW w:w="6696" w:type="dxa"/>
          </w:tcPr>
          <w:p w14:paraId="59A92760" w14:textId="0A0A7EFC" w:rsidR="003C412A" w:rsidRPr="00D87AA9" w:rsidRDefault="003C412A" w:rsidP="00FD1BAF">
            <w:pPr>
              <w:pStyle w:val="TableBodyNA"/>
            </w:pPr>
            <w:r w:rsidRPr="00B244AA">
              <w:t>Halving the gap in employment outc</w:t>
            </w:r>
            <w:r>
              <w:t>omes between Indigenous and non</w:t>
            </w:r>
            <w:r w:rsidR="00FA5150">
              <w:noBreakHyphen/>
            </w:r>
            <w:r w:rsidRPr="00B244AA">
              <w:t>Indigenous Australians within a decade (by 2018)</w:t>
            </w:r>
          </w:p>
        </w:tc>
      </w:tr>
      <w:tr w:rsidR="003C412A" w:rsidRPr="00D87AA9" w14:paraId="3DF78E07" w14:textId="77777777" w:rsidTr="00516C24">
        <w:tc>
          <w:tcPr>
            <w:tcW w:w="2093" w:type="dxa"/>
          </w:tcPr>
          <w:p w14:paraId="6183D2A6" w14:textId="77777777" w:rsidR="003C412A" w:rsidRPr="00D87AA9" w:rsidRDefault="003C412A" w:rsidP="00FD1BAF">
            <w:pPr>
              <w:pStyle w:val="TableBodyNA"/>
            </w:pPr>
            <w:r w:rsidRPr="00002972">
              <w:rPr>
                <w:u w:val="single"/>
              </w:rPr>
              <w:t>Interim</w:t>
            </w:r>
            <w:r>
              <w:t xml:space="preserve"> </w:t>
            </w:r>
            <w:r w:rsidRPr="00D87AA9">
              <w:t>Measure:</w:t>
            </w:r>
          </w:p>
        </w:tc>
        <w:tc>
          <w:tcPr>
            <w:tcW w:w="6696" w:type="dxa"/>
          </w:tcPr>
          <w:p w14:paraId="19350F89" w14:textId="77777777" w:rsidR="003C412A" w:rsidRDefault="003C412A" w:rsidP="00FD1BAF">
            <w:pPr>
              <w:pStyle w:val="TableBodyNA"/>
            </w:pPr>
            <w:r>
              <w:t>Proportion of people aged 20–64 years with, or working towards, post school qualifications in Australian Qualifications Framework (AQF) Certificate level III or above</w:t>
            </w:r>
            <w:r w:rsidR="00D62D4D">
              <w:t>,</w:t>
            </w:r>
            <w:r>
              <w:t xml:space="preserve"> by Indigenous status.</w:t>
            </w:r>
          </w:p>
          <w:p w14:paraId="0EEDFE4F" w14:textId="77777777" w:rsidR="003C412A" w:rsidRDefault="003C412A" w:rsidP="00FD1BAF">
            <w:pPr>
              <w:pStyle w:val="TableBodyNA"/>
            </w:pPr>
            <w:r>
              <w:t>The measure is defined as:</w:t>
            </w:r>
          </w:p>
          <w:p w14:paraId="5B41D724" w14:textId="1ED3EF65" w:rsidR="003C412A" w:rsidRDefault="003C412A" w:rsidP="004C6DAF">
            <w:pPr>
              <w:pStyle w:val="TableBullet"/>
            </w:pPr>
            <w:r w:rsidRPr="00436A2C">
              <w:rPr>
                <w:i/>
              </w:rPr>
              <w:t>Numerator</w:t>
            </w:r>
            <w:r>
              <w:t xml:space="preserve"> — People aged 20–64 years who have attained post school qualifications in AQF Certificate level III or above, or are currently studying a non</w:t>
            </w:r>
            <w:r w:rsidR="00FA5150">
              <w:noBreakHyphen/>
            </w:r>
            <w:r>
              <w:t xml:space="preserve">school qualification </w:t>
            </w:r>
          </w:p>
          <w:p w14:paraId="07E773FF" w14:textId="77777777" w:rsidR="003C412A" w:rsidRDefault="003C412A" w:rsidP="004C6DAF">
            <w:pPr>
              <w:pStyle w:val="TableBullet"/>
            </w:pPr>
            <w:r w:rsidRPr="00436A2C">
              <w:rPr>
                <w:i/>
              </w:rPr>
              <w:t>Denominator</w:t>
            </w:r>
            <w:r>
              <w:t xml:space="preserve"> — total population of people aged 20−64 years</w:t>
            </w:r>
          </w:p>
          <w:p w14:paraId="5559B109" w14:textId="77777777" w:rsidR="003C412A" w:rsidRDefault="003C412A" w:rsidP="00FD1BAF">
            <w:pPr>
              <w:pStyle w:val="TableBodyNA"/>
            </w:pPr>
            <w:r>
              <w:t xml:space="preserve">presented as a </w:t>
            </w:r>
            <w:r w:rsidR="003A00CE">
              <w:rPr>
                <w:i/>
              </w:rPr>
              <w:t>percentage .</w:t>
            </w:r>
          </w:p>
          <w:p w14:paraId="585F9BC0" w14:textId="77777777" w:rsidR="00966495" w:rsidRPr="00FD1BAF" w:rsidRDefault="00966495" w:rsidP="00FD1BAF">
            <w:pPr>
              <w:pStyle w:val="TableBodyNA"/>
              <w:rPr>
                <w:u w:val="single"/>
              </w:rPr>
            </w:pPr>
            <w:r w:rsidRPr="00FD1BAF">
              <w:rPr>
                <w:u w:val="single"/>
              </w:rPr>
              <w:t>Census and SEW:</w:t>
            </w:r>
          </w:p>
          <w:p w14:paraId="66E708F6" w14:textId="36CF0F08" w:rsidR="00966495" w:rsidRDefault="00966495" w:rsidP="00FD1BAF">
            <w:pPr>
              <w:pStyle w:val="TableBodyNA"/>
            </w:pPr>
            <w:r>
              <w:t xml:space="preserve">For persons </w:t>
            </w:r>
            <w:r w:rsidR="00C7031E">
              <w:t>‘</w:t>
            </w:r>
            <w:r>
              <w:t>with</w:t>
            </w:r>
            <w:r w:rsidR="00C7031E">
              <w:t>’</w:t>
            </w:r>
            <w:r>
              <w:t xml:space="preserve"> a non</w:t>
            </w:r>
            <w:r w:rsidR="00FA5150">
              <w:noBreakHyphen/>
            </w:r>
            <w:r>
              <w:t>school qualification:</w:t>
            </w:r>
          </w:p>
          <w:p w14:paraId="484FBB01" w14:textId="2BE423EE" w:rsidR="00966495" w:rsidRDefault="00966495" w:rsidP="00095168">
            <w:pPr>
              <w:pStyle w:val="TableBullet"/>
              <w:rPr>
                <w:szCs w:val="24"/>
              </w:rPr>
            </w:pPr>
            <w:r>
              <w:t>Persons whose level of highest non</w:t>
            </w:r>
            <w:r w:rsidR="00FA5150">
              <w:noBreakHyphen/>
            </w:r>
            <w:r>
              <w:t>school qualification cannot be determined are assumed to have attained a qualification below Certificate level III and are therefore excluded from the numerator for this indicator.</w:t>
            </w:r>
          </w:p>
          <w:p w14:paraId="35C5F5F2" w14:textId="2EFC3985" w:rsidR="00966495" w:rsidRPr="00E93D84" w:rsidRDefault="00966495" w:rsidP="00095168">
            <w:pPr>
              <w:pStyle w:val="TableBullet"/>
              <w:rPr>
                <w:szCs w:val="24"/>
              </w:rPr>
            </w:pPr>
            <w:r>
              <w:t>Measure excludes people whose level of highest non</w:t>
            </w:r>
            <w:r w:rsidR="00FA5150">
              <w:noBreakHyphen/>
            </w:r>
            <w:r>
              <w:t>school qualification is determined to be Certificate level but is not able to be further defined (ie Certificate nfd), as they are assumed to have attained a qualification below Certificate level III.</w:t>
            </w:r>
          </w:p>
          <w:p w14:paraId="067923ED" w14:textId="710084C9" w:rsidR="00966495" w:rsidRDefault="00966495" w:rsidP="00FD1BAF">
            <w:pPr>
              <w:pStyle w:val="TableBodyNA"/>
            </w:pPr>
            <w:r>
              <w:t>For persons ‘working towards’ a non</w:t>
            </w:r>
            <w:r w:rsidR="00FA5150">
              <w:noBreakHyphen/>
            </w:r>
            <w:r>
              <w:t>school qualification:</w:t>
            </w:r>
          </w:p>
          <w:p w14:paraId="7063FADC" w14:textId="14361FB8" w:rsidR="00966495" w:rsidRDefault="00966495" w:rsidP="00095168">
            <w:pPr>
              <w:pStyle w:val="TableBullet"/>
              <w:rPr>
                <w:szCs w:val="24"/>
              </w:rPr>
            </w:pPr>
            <w:r>
              <w:t>Level of qualification is not available from the Census for people working towards a non</w:t>
            </w:r>
            <w:r w:rsidR="00FA5150">
              <w:noBreakHyphen/>
            </w:r>
            <w:r>
              <w:t>school qualification. To maintain consistency between the Census and SEW data, people working towards any non</w:t>
            </w:r>
            <w:r w:rsidR="00FA5150">
              <w:noBreakHyphen/>
            </w:r>
            <w:r>
              <w:t>school qualification are included in the SEW data for this indicator.</w:t>
            </w:r>
          </w:p>
          <w:p w14:paraId="469BB9DD" w14:textId="77777777" w:rsidR="00A4052F" w:rsidRPr="00FE1538" w:rsidRDefault="00A4052F" w:rsidP="00FD1BAF">
            <w:pPr>
              <w:pStyle w:val="TableBodyNA"/>
            </w:pPr>
            <w:r w:rsidRPr="00FE1538">
              <w:t>For total population denominator:</w:t>
            </w:r>
          </w:p>
          <w:p w14:paraId="5F363B82" w14:textId="6806FA61" w:rsidR="00A4052F" w:rsidRPr="00FE1538" w:rsidRDefault="00A4052F" w:rsidP="00FE1538">
            <w:pPr>
              <w:pStyle w:val="TableBullet"/>
            </w:pPr>
            <w:r w:rsidRPr="00FE1538">
              <w:t>Total population excludes people who were not studying and whose level of non</w:t>
            </w:r>
            <w:r w:rsidR="00FA5150">
              <w:noBreakHyphen/>
            </w:r>
            <w:r w:rsidRPr="00FE1538">
              <w:t xml:space="preserve">school qualification or attendance status was not stated. </w:t>
            </w:r>
          </w:p>
          <w:p w14:paraId="165E0602" w14:textId="77777777" w:rsidR="00966495" w:rsidRPr="00FD1BAF" w:rsidRDefault="00966495" w:rsidP="00FD1BAF">
            <w:pPr>
              <w:pStyle w:val="TableBodyNA"/>
              <w:rPr>
                <w:u w:val="single"/>
              </w:rPr>
            </w:pPr>
            <w:r w:rsidRPr="00FD1BAF">
              <w:rPr>
                <w:u w:val="single"/>
              </w:rPr>
              <w:t>Census:</w:t>
            </w:r>
          </w:p>
          <w:p w14:paraId="30194428" w14:textId="52F6CCFC" w:rsidR="0000380A" w:rsidRDefault="0000380A" w:rsidP="00FD1BAF">
            <w:pPr>
              <w:pStyle w:val="TableBodyNA"/>
            </w:pPr>
            <w:r>
              <w:t xml:space="preserve">For persons </w:t>
            </w:r>
            <w:r w:rsidR="00C7031E">
              <w:t>‘</w:t>
            </w:r>
            <w:r>
              <w:t>with</w:t>
            </w:r>
            <w:r w:rsidR="00C7031E">
              <w:t>’</w:t>
            </w:r>
            <w:r>
              <w:t xml:space="preserve"> a non</w:t>
            </w:r>
            <w:r w:rsidR="00FA5150">
              <w:noBreakHyphen/>
            </w:r>
            <w:r>
              <w:t>school qualification:</w:t>
            </w:r>
          </w:p>
          <w:p w14:paraId="641969AA" w14:textId="0E90E6BA" w:rsidR="00C54BD4" w:rsidRPr="00944F80" w:rsidRDefault="00C54BD4" w:rsidP="00944F80">
            <w:pPr>
              <w:pStyle w:val="TableBullet"/>
              <w:rPr>
                <w:szCs w:val="24"/>
              </w:rPr>
            </w:pPr>
            <w:r>
              <w:t xml:space="preserve">Measure </w:t>
            </w:r>
            <w:r w:rsidR="00474A5F">
              <w:t>e</w:t>
            </w:r>
            <w:r w:rsidR="003C412A">
              <w:t xml:space="preserve">xcludes people whose </w:t>
            </w:r>
            <w:r w:rsidR="00B33651">
              <w:t xml:space="preserve">highest </w:t>
            </w:r>
            <w:r w:rsidR="003C412A">
              <w:t>non</w:t>
            </w:r>
            <w:r w:rsidR="00FA5150">
              <w:noBreakHyphen/>
            </w:r>
            <w:r w:rsidR="003C412A">
              <w:t xml:space="preserve">school qualification </w:t>
            </w:r>
            <w:r w:rsidR="00B33651">
              <w:t xml:space="preserve">or attendance status </w:t>
            </w:r>
            <w:r w:rsidR="003C412A">
              <w:t xml:space="preserve">is not stated or inadequately described if they </w:t>
            </w:r>
            <w:r w:rsidR="00B33651">
              <w:t>fail to meet the criteria for either variable</w:t>
            </w:r>
          </w:p>
        </w:tc>
      </w:tr>
      <w:tr w:rsidR="003C412A" w:rsidRPr="00D87AA9" w14:paraId="73D54C37" w14:textId="77777777" w:rsidTr="00516C24">
        <w:tc>
          <w:tcPr>
            <w:tcW w:w="2093" w:type="dxa"/>
          </w:tcPr>
          <w:p w14:paraId="5D107244" w14:textId="77777777" w:rsidR="003C412A" w:rsidRPr="00D87AA9" w:rsidRDefault="003C412A" w:rsidP="00FD1BAF">
            <w:pPr>
              <w:pStyle w:val="TableBodyNA"/>
            </w:pPr>
            <w:r w:rsidRPr="00D87AA9">
              <w:t>Data source</w:t>
            </w:r>
            <w:r>
              <w:t xml:space="preserve">s </w:t>
            </w:r>
          </w:p>
        </w:tc>
        <w:tc>
          <w:tcPr>
            <w:tcW w:w="6696" w:type="dxa"/>
          </w:tcPr>
          <w:p w14:paraId="5AFC7EBB" w14:textId="77777777" w:rsidR="003C412A" w:rsidRPr="00FD1BAF" w:rsidRDefault="003C412A" w:rsidP="00FD1BAF">
            <w:pPr>
              <w:pStyle w:val="TableBodyNA"/>
              <w:rPr>
                <w:u w:val="single"/>
              </w:rPr>
            </w:pPr>
            <w:r w:rsidRPr="00FD1BAF">
              <w:rPr>
                <w:u w:val="single"/>
              </w:rPr>
              <w:t>Main data source</w:t>
            </w:r>
          </w:p>
          <w:p w14:paraId="2396B895" w14:textId="77777777" w:rsidR="003C412A" w:rsidRDefault="003C412A" w:rsidP="00FD1BAF">
            <w:pPr>
              <w:pStyle w:val="TableBodyNA"/>
            </w:pPr>
            <w:r w:rsidRPr="0012388B">
              <w:rPr>
                <w:i/>
              </w:rPr>
              <w:t>Numerator and denominator</w:t>
            </w:r>
            <w:r>
              <w:t xml:space="preserve"> —</w:t>
            </w:r>
            <w:r w:rsidR="00D62D4D">
              <w:t xml:space="preserve"> ABS</w:t>
            </w:r>
            <w:r>
              <w:t xml:space="preserve"> </w:t>
            </w:r>
            <w:r w:rsidRPr="0012388B">
              <w:rPr>
                <w:u w:val="single"/>
              </w:rPr>
              <w:t>Census of Population and Housing</w:t>
            </w:r>
            <w:r>
              <w:t xml:space="preserve"> (Census) —</w:t>
            </w:r>
            <w:r w:rsidR="00D62D4D">
              <w:t xml:space="preserve"> </w:t>
            </w:r>
            <w:r>
              <w:t>Data are collected every five years</w:t>
            </w:r>
          </w:p>
          <w:p w14:paraId="2B43B5E5" w14:textId="77777777" w:rsidR="003C412A" w:rsidRPr="00FD1BAF" w:rsidRDefault="003C412A" w:rsidP="00FD1BAF">
            <w:pPr>
              <w:pStyle w:val="TableBodyNA"/>
              <w:rPr>
                <w:u w:val="single"/>
              </w:rPr>
            </w:pPr>
            <w:r w:rsidRPr="00FD1BAF">
              <w:rPr>
                <w:u w:val="single"/>
              </w:rPr>
              <w:t>Supplementary data source</w:t>
            </w:r>
          </w:p>
          <w:p w14:paraId="5FA5CB5C" w14:textId="4CC85241" w:rsidR="003C412A" w:rsidRDefault="003C412A" w:rsidP="00FD1BAF">
            <w:pPr>
              <w:pStyle w:val="TableBodyNA"/>
            </w:pPr>
            <w:r w:rsidRPr="0012388B">
              <w:rPr>
                <w:i/>
              </w:rPr>
              <w:t>Numerator and denominator</w:t>
            </w:r>
            <w:r>
              <w:t xml:space="preserve"> —</w:t>
            </w:r>
            <w:r w:rsidR="001A03C8">
              <w:t xml:space="preserve"> </w:t>
            </w:r>
          </w:p>
          <w:p w14:paraId="767778F6" w14:textId="0469C16E" w:rsidR="003C412A" w:rsidRDefault="003C412A" w:rsidP="00FD1BAF">
            <w:pPr>
              <w:pStyle w:val="TableBodyNA"/>
            </w:pPr>
            <w:r w:rsidRPr="00436A2C">
              <w:t>(</w:t>
            </w:r>
            <w:r w:rsidR="00A51293">
              <w:t>Aboriginal and Torres Strait Islander</w:t>
            </w:r>
            <w:r w:rsidRPr="00436A2C">
              <w:t>)</w:t>
            </w:r>
            <w:r w:rsidR="000E2BA9">
              <w:t xml:space="preserve"> ABS National Aboriginal and Torres Strait Islander Health Survey (NATSIHS)</w:t>
            </w:r>
            <w:r w:rsidR="008B787D">
              <w:rPr>
                <w:rStyle w:val="FootnoteReference"/>
              </w:rPr>
              <w:footnoteReference w:id="10"/>
            </w:r>
            <w:r w:rsidR="000E2BA9">
              <w:t xml:space="preserve"> and ABS</w:t>
            </w:r>
            <w:r>
              <w:t xml:space="preserve"> </w:t>
            </w:r>
            <w:r w:rsidRPr="0012388B">
              <w:rPr>
                <w:u w:val="single"/>
              </w:rPr>
              <w:t>National Aboriginal and Torres Strait Islander Social Survey</w:t>
            </w:r>
            <w:r>
              <w:t xml:space="preserve"> (NATSISS)</w:t>
            </w:r>
            <w:r w:rsidR="0044328E">
              <w:t>.</w:t>
            </w:r>
            <w:r>
              <w:t xml:space="preserve"> Data are collected on an alternating </w:t>
            </w:r>
            <w:r w:rsidR="008B787D">
              <w:t>three</w:t>
            </w:r>
            <w:r w:rsidR="00FA5150">
              <w:noBreakHyphen/>
            </w:r>
            <w:r>
              <w:t>yearly cycle.</w:t>
            </w:r>
          </w:p>
          <w:p w14:paraId="21707F6D" w14:textId="702F1C96" w:rsidR="001A69CC" w:rsidRPr="00D87AA9" w:rsidRDefault="003C412A" w:rsidP="000E2BA9">
            <w:pPr>
              <w:pStyle w:val="TableBodyNA"/>
            </w:pPr>
            <w:r w:rsidRPr="00436A2C">
              <w:lastRenderedPageBreak/>
              <w:t>(non</w:t>
            </w:r>
            <w:r w:rsidR="00FA5150">
              <w:noBreakHyphen/>
            </w:r>
            <w:r w:rsidRPr="00436A2C">
              <w:t>Indigenous)</w:t>
            </w:r>
            <w:r>
              <w:t xml:space="preserve"> </w:t>
            </w:r>
            <w:r w:rsidR="00D62D4D">
              <w:t>ABS</w:t>
            </w:r>
            <w:r>
              <w:t xml:space="preserve"> </w:t>
            </w:r>
            <w:r w:rsidRPr="0012388B">
              <w:rPr>
                <w:u w:val="single"/>
              </w:rPr>
              <w:t>Survey of Education and Work</w:t>
            </w:r>
            <w:r>
              <w:t xml:space="preserve"> (SEW) for the non</w:t>
            </w:r>
            <w:r w:rsidR="00FA5150">
              <w:noBreakHyphen/>
            </w:r>
            <w:r>
              <w:t>Indigenous population comparat</w:t>
            </w:r>
            <w:r w:rsidR="008A0474">
              <w:t>or. Data are available annually</w:t>
            </w:r>
          </w:p>
        </w:tc>
      </w:tr>
      <w:tr w:rsidR="003C412A" w:rsidRPr="00D87AA9" w14:paraId="625436D4" w14:textId="77777777" w:rsidTr="00516C24">
        <w:trPr>
          <w:trHeight w:val="393"/>
        </w:trPr>
        <w:tc>
          <w:tcPr>
            <w:tcW w:w="2093" w:type="dxa"/>
          </w:tcPr>
          <w:p w14:paraId="58D9CF18" w14:textId="77777777" w:rsidR="003C412A" w:rsidRPr="00D87AA9" w:rsidRDefault="003C412A" w:rsidP="00FD1BAF">
            <w:pPr>
              <w:pStyle w:val="TableBodyNA"/>
            </w:pPr>
            <w:r w:rsidRPr="00D87AA9">
              <w:lastRenderedPageBreak/>
              <w:t>Data provider</w:t>
            </w:r>
            <w:r>
              <w:t xml:space="preserve"> </w:t>
            </w:r>
          </w:p>
        </w:tc>
        <w:tc>
          <w:tcPr>
            <w:tcW w:w="6696" w:type="dxa"/>
          </w:tcPr>
          <w:p w14:paraId="36EAA1F6" w14:textId="77777777" w:rsidR="003C412A" w:rsidRPr="00D87AA9" w:rsidRDefault="003C412A" w:rsidP="00FD1BAF">
            <w:pPr>
              <w:pStyle w:val="TableBodyNA"/>
            </w:pPr>
            <w:r>
              <w:t xml:space="preserve">ABS </w:t>
            </w:r>
          </w:p>
        </w:tc>
      </w:tr>
      <w:tr w:rsidR="000E2BA9" w:rsidRPr="00D87AA9" w14:paraId="12A85BCD" w14:textId="77777777" w:rsidTr="00516C24">
        <w:trPr>
          <w:trHeight w:val="214"/>
        </w:trPr>
        <w:tc>
          <w:tcPr>
            <w:tcW w:w="2093" w:type="dxa"/>
            <w:shd w:val="clear" w:color="auto" w:fill="auto"/>
          </w:tcPr>
          <w:p w14:paraId="53C84266" w14:textId="77777777" w:rsidR="000E2BA9" w:rsidRPr="00D87AA9" w:rsidRDefault="000E2BA9" w:rsidP="000E2BA9">
            <w:pPr>
              <w:pStyle w:val="TableBodyNA"/>
            </w:pPr>
            <w:r w:rsidRPr="00D87AA9">
              <w:t>Data availability:</w:t>
            </w:r>
          </w:p>
        </w:tc>
        <w:tc>
          <w:tcPr>
            <w:tcW w:w="6696" w:type="dxa"/>
            <w:shd w:val="clear" w:color="auto" w:fill="auto"/>
          </w:tcPr>
          <w:p w14:paraId="61389688" w14:textId="77777777" w:rsidR="000E2BA9" w:rsidRPr="00FF30DB" w:rsidRDefault="000E2BA9" w:rsidP="000E2BA9">
            <w:pPr>
              <w:pStyle w:val="TableBodyNA"/>
              <w:rPr>
                <w:u w:val="single"/>
              </w:rPr>
            </w:pPr>
            <w:r w:rsidRPr="00FF30DB">
              <w:rPr>
                <w:u w:val="single"/>
              </w:rPr>
              <w:t>Main data collection</w:t>
            </w:r>
          </w:p>
          <w:p w14:paraId="52F3B905" w14:textId="77777777" w:rsidR="000E2BA9" w:rsidRDefault="000E2BA9" w:rsidP="000E2BA9">
            <w:pPr>
              <w:pStyle w:val="TableBodyNA"/>
            </w:pPr>
            <w:r>
              <w:t xml:space="preserve">No new data available for this report. </w:t>
            </w:r>
          </w:p>
          <w:p w14:paraId="6B0DD7F2" w14:textId="77777777" w:rsidR="000E2BA9" w:rsidRDefault="000E2BA9" w:rsidP="000E2BA9">
            <w:pPr>
              <w:pStyle w:val="TableBodyNA"/>
              <w:rPr>
                <w:u w:val="single"/>
              </w:rPr>
            </w:pPr>
            <w:r w:rsidRPr="00FF30DB">
              <w:rPr>
                <w:u w:val="single"/>
              </w:rPr>
              <w:t>Supplementary data collection</w:t>
            </w:r>
          </w:p>
          <w:p w14:paraId="0D2244AC" w14:textId="7AF561C6" w:rsidR="000E2BA9" w:rsidRDefault="000E2BA9" w:rsidP="000E2BA9">
            <w:pPr>
              <w:pStyle w:val="TableBodyNA"/>
            </w:pPr>
            <w:r>
              <w:t>2018</w:t>
            </w:r>
            <w:r w:rsidR="00FA5150">
              <w:noBreakHyphen/>
            </w:r>
            <w:r>
              <w:t>19 (Aboriginal and Torres Strait Islander data) — NATSIHS</w:t>
            </w:r>
          </w:p>
          <w:p w14:paraId="4931B2E2" w14:textId="6323DAB8" w:rsidR="000E2BA9" w:rsidRPr="00131CF9" w:rsidRDefault="000E2BA9" w:rsidP="000E2BA9">
            <w:pPr>
              <w:pStyle w:val="TableBodyNA"/>
              <w:rPr>
                <w:b/>
              </w:rPr>
            </w:pPr>
            <w:r>
              <w:t>2018 (non</w:t>
            </w:r>
            <w:r w:rsidR="00FA5150">
              <w:noBreakHyphen/>
            </w:r>
            <w:r>
              <w:t xml:space="preserve">Indigenous data) — </w:t>
            </w:r>
            <w:r>
              <w:rPr>
                <w:rFonts w:cs="Arial"/>
                <w:color w:val="333333"/>
                <w:shd w:val="clear" w:color="auto" w:fill="FFFFFF"/>
              </w:rPr>
              <w:t>SEW</w:t>
            </w:r>
          </w:p>
        </w:tc>
      </w:tr>
      <w:tr w:rsidR="000E2BA9" w:rsidRPr="00D87AA9" w14:paraId="5298544D" w14:textId="77777777" w:rsidTr="00516C24">
        <w:tc>
          <w:tcPr>
            <w:tcW w:w="2093" w:type="dxa"/>
            <w:shd w:val="clear" w:color="auto" w:fill="auto"/>
          </w:tcPr>
          <w:p w14:paraId="5FD68DD4" w14:textId="4697F5D8" w:rsidR="000E2BA9" w:rsidRPr="00D87AA9" w:rsidRDefault="000E2BA9" w:rsidP="000E2BA9">
            <w:pPr>
              <w:pStyle w:val="TableBodyNA"/>
            </w:pPr>
            <w:r w:rsidRPr="00D87AA9">
              <w:t>Cross tabulations provided:</w:t>
            </w:r>
          </w:p>
        </w:tc>
        <w:tc>
          <w:tcPr>
            <w:tcW w:w="6696" w:type="dxa"/>
            <w:shd w:val="clear" w:color="auto" w:fill="auto"/>
          </w:tcPr>
          <w:p w14:paraId="450BED5C" w14:textId="0BD8575B" w:rsidR="000E2BA9" w:rsidRDefault="000E2BA9" w:rsidP="000E2BA9">
            <w:pPr>
              <w:pStyle w:val="TableBodyNA"/>
            </w:pPr>
            <w:r>
              <w:t>State/territory by Indigenous status, by remoteness:</w:t>
            </w:r>
          </w:p>
          <w:p w14:paraId="2E6778F6" w14:textId="2DC25530" w:rsidR="000E2BA9" w:rsidRPr="00AA699C" w:rsidRDefault="000E2BA9" w:rsidP="000E2BA9">
            <w:pPr>
              <w:pStyle w:val="TableBullet"/>
              <w:spacing w:after="0"/>
              <w:rPr>
                <w:i/>
              </w:rPr>
            </w:pPr>
            <w:r>
              <w:t>completed study/currently studying</w:t>
            </w:r>
          </w:p>
        </w:tc>
      </w:tr>
    </w:tbl>
    <w:p w14:paraId="38E6ED22" w14:textId="77777777" w:rsidR="003C412A" w:rsidRDefault="003C412A">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3C412A" w14:paraId="15FC7D6D" w14:textId="77777777" w:rsidTr="00944F80">
        <w:tc>
          <w:tcPr>
            <w:tcW w:w="8789" w:type="dxa"/>
            <w:tcBorders>
              <w:top w:val="single" w:sz="6" w:space="0" w:color="78A22F"/>
              <w:left w:val="nil"/>
              <w:bottom w:val="nil"/>
              <w:right w:val="nil"/>
            </w:tcBorders>
            <w:shd w:val="clear" w:color="auto" w:fill="F2F2F2"/>
          </w:tcPr>
          <w:p w14:paraId="0E23FF0E" w14:textId="5D74B34C" w:rsidR="003C412A" w:rsidRDefault="003C412A" w:rsidP="00185D28">
            <w:pPr>
              <w:pStyle w:val="BoxTitle"/>
            </w:pPr>
            <w:r w:rsidRPr="00725A18">
              <w:rPr>
                <w:b w:val="0"/>
              </w:rPr>
              <w:t>Box</w:t>
            </w:r>
            <w:r w:rsidR="00B1719E" w:rsidRPr="00725A18">
              <w:rPr>
                <w:b w:val="0"/>
              </w:rPr>
              <w:t xml:space="preserve"> </w:t>
            </w:r>
            <w:r w:rsidR="00CD100F">
              <w:rPr>
                <w:b w:val="0"/>
              </w:rPr>
              <w:t>4</w:t>
            </w:r>
            <w:r w:rsidR="00185D28">
              <w:rPr>
                <w:b w:val="0"/>
              </w:rPr>
              <w:t>2</w:t>
            </w:r>
            <w:r w:rsidRPr="00725A18">
              <w:tab/>
            </w:r>
            <w:r w:rsidR="00A35375">
              <w:t>Results</w:t>
            </w:r>
          </w:p>
        </w:tc>
      </w:tr>
      <w:tr w:rsidR="003C412A" w:rsidRPr="003C412A" w14:paraId="2466BAFF" w14:textId="77777777" w:rsidTr="00944F80">
        <w:trPr>
          <w:cantSplit/>
        </w:trPr>
        <w:tc>
          <w:tcPr>
            <w:tcW w:w="8789" w:type="dxa"/>
            <w:tcBorders>
              <w:top w:val="nil"/>
              <w:left w:val="nil"/>
              <w:bottom w:val="nil"/>
              <w:right w:val="nil"/>
            </w:tcBorders>
            <w:shd w:val="clear" w:color="auto" w:fill="F2F2F2"/>
          </w:tcPr>
          <w:p w14:paraId="32E6ABFB" w14:textId="6EAB8919" w:rsidR="00074D31" w:rsidRPr="00135E93" w:rsidRDefault="000E2BA9" w:rsidP="00074D31">
            <w:pPr>
              <w:pStyle w:val="Box"/>
            </w:pPr>
            <w:r w:rsidRPr="00135E93">
              <w:t xml:space="preserve">For this report, new data are available </w:t>
            </w:r>
            <w:r>
              <w:t>from the supplementary data source (</w:t>
            </w:r>
            <w:r w:rsidR="0033198B">
              <w:t xml:space="preserve">sample </w:t>
            </w:r>
            <w:r>
              <w:t>survey</w:t>
            </w:r>
            <w:r w:rsidR="0033198B">
              <w:t>s</w:t>
            </w:r>
            <w:r>
              <w:t xml:space="preserve">) </w:t>
            </w:r>
            <w:r w:rsidRPr="00135E93">
              <w:t xml:space="preserve">for </w:t>
            </w:r>
            <w:r>
              <w:t>2018</w:t>
            </w:r>
            <w:r w:rsidR="00FA5150">
              <w:noBreakHyphen/>
            </w:r>
            <w:r>
              <w:t>19</w:t>
            </w:r>
            <w:r w:rsidRPr="00135E93">
              <w:t>.</w:t>
            </w:r>
          </w:p>
          <w:p w14:paraId="34D0C8E1" w14:textId="51EC5BD4" w:rsidR="000E2BA9" w:rsidRPr="00CE5702" w:rsidRDefault="000E2BA9" w:rsidP="000E2BA9">
            <w:pPr>
              <w:pStyle w:val="BoxListBullet"/>
            </w:pPr>
            <w:r w:rsidRPr="00CE5702">
              <w:t>Data on the population with or working towards post school qualification by State and Territory are presented in table NIRA</w:t>
            </w:r>
            <w:r w:rsidR="00662E2F">
              <w:t>.</w:t>
            </w:r>
            <w:r w:rsidRPr="00CE5702">
              <w:t>15.1</w:t>
            </w:r>
          </w:p>
          <w:p w14:paraId="48B73BFA" w14:textId="77777777" w:rsidR="000E2BA9" w:rsidRPr="00CE5702" w:rsidRDefault="000E2BA9" w:rsidP="000E2BA9">
            <w:pPr>
              <w:pStyle w:val="BoxListBullet"/>
            </w:pPr>
            <w:r w:rsidRPr="00CE5702">
              <w:t>Data on the population with or working towards post school qualification by remoteness areas are presented in table NIRA.15.2.</w:t>
            </w:r>
          </w:p>
          <w:p w14:paraId="7188DAB7" w14:textId="110B39A3" w:rsidR="0033198B" w:rsidRPr="00CE5702" w:rsidRDefault="008B787D" w:rsidP="0093133F">
            <w:pPr>
              <w:pStyle w:val="Box"/>
            </w:pPr>
            <w:r w:rsidRPr="00CE5702">
              <w:t>Historical d</w:t>
            </w:r>
            <w:r w:rsidR="0033198B" w:rsidRPr="00CE5702">
              <w:t>ata for the supplementary source (sample surveys) are available for: the 2014</w:t>
            </w:r>
            <w:r w:rsidR="00FA5150">
              <w:noBreakHyphen/>
            </w:r>
            <w:r w:rsidR="0033198B" w:rsidRPr="00CE5702">
              <w:t>15 NATSISS and 2014 SEW in the 2015</w:t>
            </w:r>
            <w:r w:rsidR="00FA5150">
              <w:noBreakHyphen/>
            </w:r>
            <w:r w:rsidR="0033198B" w:rsidRPr="00CE5702">
              <w:t>16 NIRA performance report; the 2012</w:t>
            </w:r>
            <w:r w:rsidR="00FA5150">
              <w:noBreakHyphen/>
            </w:r>
            <w:r w:rsidR="0033198B" w:rsidRPr="00CE5702">
              <w:t>13 AATSIHS and 2012 SEW in the 2013</w:t>
            </w:r>
            <w:r w:rsidR="00FA5150">
              <w:noBreakHyphen/>
            </w:r>
            <w:r w:rsidR="0033198B" w:rsidRPr="00CE5702">
              <w:t>14 NIRA performance report; and, the 2008 NATSISS and 2008 SEW from the baseline 2008</w:t>
            </w:r>
            <w:r w:rsidR="00FA5150">
              <w:noBreakHyphen/>
            </w:r>
            <w:r w:rsidR="0033198B" w:rsidRPr="00CE5702">
              <w:t>09 NIRA performance report, with these data disaggregated by remoteness in the 2012</w:t>
            </w:r>
            <w:r w:rsidR="00FA5150">
              <w:noBreakHyphen/>
            </w:r>
            <w:r w:rsidR="0033198B" w:rsidRPr="00CE5702">
              <w:t>13 NIRA performance report.</w:t>
            </w:r>
          </w:p>
          <w:p w14:paraId="13EDC9E3" w14:textId="76B4C610" w:rsidR="003C412A" w:rsidRPr="003C412A" w:rsidRDefault="000E2BA9" w:rsidP="00B47DEB">
            <w:pPr>
              <w:pStyle w:val="Box"/>
            </w:pPr>
            <w:r w:rsidRPr="00CE5702">
              <w:t>Data from the main data source (</w:t>
            </w:r>
            <w:r w:rsidR="00AA699C" w:rsidRPr="00CE5702">
              <w:t>Census</w:t>
            </w:r>
            <w:r w:rsidRPr="00CE5702">
              <w:t>)</w:t>
            </w:r>
            <w:r w:rsidR="00AA699C" w:rsidRPr="00CE5702">
              <w:t xml:space="preserve"> are available</w:t>
            </w:r>
            <w:r w:rsidR="008307D4" w:rsidRPr="00CE5702">
              <w:t xml:space="preserve"> in the 2016</w:t>
            </w:r>
            <w:r w:rsidR="00FA5150">
              <w:noBreakHyphen/>
            </w:r>
            <w:r w:rsidR="008307D4" w:rsidRPr="00CE5702">
              <w:t>17 NIRA performance report</w:t>
            </w:r>
            <w:r w:rsidR="00AA699C" w:rsidRPr="00CE5702">
              <w:t xml:space="preserve"> (2016 Census), </w:t>
            </w:r>
            <w:r w:rsidRPr="00CE5702">
              <w:t xml:space="preserve">and </w:t>
            </w:r>
            <w:r w:rsidR="00AA699C" w:rsidRPr="00CE5702">
              <w:t xml:space="preserve">the </w:t>
            </w:r>
            <w:r w:rsidR="00074D31" w:rsidRPr="00CE5702">
              <w:t>2011</w:t>
            </w:r>
            <w:r w:rsidR="00FA5150">
              <w:noBreakHyphen/>
            </w:r>
            <w:r w:rsidR="00074D31" w:rsidRPr="00CE5702">
              <w:t>12 NIRA performance report (2011 and 2006 Census)</w:t>
            </w:r>
            <w:r w:rsidRPr="00CE5702">
              <w:t>. D</w:t>
            </w:r>
            <w:r w:rsidR="00074D31" w:rsidRPr="00CE5702">
              <w:t>isaggregat</w:t>
            </w:r>
            <w:r w:rsidRPr="00CE5702">
              <w:t>ions</w:t>
            </w:r>
            <w:r w:rsidR="00074D31" w:rsidRPr="00CE5702">
              <w:t xml:space="preserve"> by remoteness </w:t>
            </w:r>
            <w:r w:rsidRPr="00CE5702">
              <w:t xml:space="preserve">are available </w:t>
            </w:r>
            <w:r w:rsidR="00074D31" w:rsidRPr="00CE5702">
              <w:t xml:space="preserve">in the </w:t>
            </w:r>
            <w:r w:rsidR="0033198B" w:rsidRPr="00CE5702">
              <w:t>2017</w:t>
            </w:r>
            <w:r w:rsidR="00FA5150">
              <w:noBreakHyphen/>
            </w:r>
            <w:r w:rsidR="0033198B" w:rsidRPr="00CE5702">
              <w:t xml:space="preserve">18 NIRA performance report (2016 Census) and the </w:t>
            </w:r>
            <w:r w:rsidR="00074D31" w:rsidRPr="00CE5702">
              <w:t>2012</w:t>
            </w:r>
            <w:r w:rsidR="00FA5150">
              <w:noBreakHyphen/>
            </w:r>
            <w:r w:rsidR="00074D31" w:rsidRPr="00CE5702">
              <w:t>13 NIRA performance report</w:t>
            </w:r>
            <w:r w:rsidR="0033198B" w:rsidRPr="00CE5702">
              <w:t xml:space="preserve"> (2011 and 2006 Census)</w:t>
            </w:r>
            <w:r w:rsidR="00074D31" w:rsidRPr="00CE5702">
              <w:t>.</w:t>
            </w:r>
          </w:p>
        </w:tc>
      </w:tr>
      <w:tr w:rsidR="003C412A" w14:paraId="3DA511F1" w14:textId="77777777" w:rsidTr="00944F80">
        <w:trPr>
          <w:cantSplit/>
        </w:trPr>
        <w:tc>
          <w:tcPr>
            <w:tcW w:w="8789" w:type="dxa"/>
            <w:tcBorders>
              <w:top w:val="nil"/>
              <w:left w:val="nil"/>
              <w:bottom w:val="single" w:sz="6" w:space="0" w:color="78A22F"/>
              <w:right w:val="nil"/>
            </w:tcBorders>
            <w:shd w:val="clear" w:color="auto" w:fill="F2F2F2"/>
          </w:tcPr>
          <w:p w14:paraId="14207E97" w14:textId="77777777" w:rsidR="003C412A" w:rsidRDefault="003C412A">
            <w:pPr>
              <w:pStyle w:val="Box"/>
              <w:spacing w:before="0" w:line="120" w:lineRule="exact"/>
            </w:pPr>
          </w:p>
        </w:tc>
      </w:tr>
      <w:tr w:rsidR="003C412A" w:rsidRPr="000863A5" w14:paraId="3083A6DC" w14:textId="77777777" w:rsidTr="00944F80">
        <w:tc>
          <w:tcPr>
            <w:tcW w:w="8789" w:type="dxa"/>
            <w:tcBorders>
              <w:top w:val="single" w:sz="6" w:space="0" w:color="78A22F"/>
              <w:left w:val="nil"/>
              <w:bottom w:val="nil"/>
              <w:right w:val="nil"/>
            </w:tcBorders>
          </w:tcPr>
          <w:p w14:paraId="00AE0F0A" w14:textId="77777777" w:rsidR="003C412A" w:rsidRPr="00626D32" w:rsidRDefault="003C412A" w:rsidP="004C6DAF">
            <w:pPr>
              <w:pStyle w:val="BoxSpaceBelow"/>
            </w:pPr>
          </w:p>
        </w:tc>
      </w:tr>
    </w:tbl>
    <w:p w14:paraId="4CF8F1B1" w14:textId="77777777" w:rsidR="00BA4ED8" w:rsidRDefault="00BA4ED8" w:rsidP="00BA4ED8">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4D5060" w14:paraId="6878D344" w14:textId="77777777" w:rsidTr="00944F80">
        <w:tc>
          <w:tcPr>
            <w:tcW w:w="8789" w:type="dxa"/>
            <w:tcBorders>
              <w:top w:val="single" w:sz="6" w:space="0" w:color="78A22F"/>
              <w:left w:val="nil"/>
              <w:bottom w:val="nil"/>
              <w:right w:val="nil"/>
            </w:tcBorders>
            <w:shd w:val="clear" w:color="auto" w:fill="F2F2F2"/>
          </w:tcPr>
          <w:p w14:paraId="45A5108D" w14:textId="00279E4B" w:rsidR="004D5060" w:rsidRDefault="00CA3040" w:rsidP="00CD100F">
            <w:pPr>
              <w:pStyle w:val="BoxTitle"/>
            </w:pPr>
            <w:r>
              <w:rPr>
                <w:b w:val="0"/>
              </w:rPr>
              <w:t xml:space="preserve">Box </w:t>
            </w:r>
            <w:r w:rsidR="00CD100F">
              <w:rPr>
                <w:b w:val="0"/>
              </w:rPr>
              <w:t>44</w:t>
            </w:r>
            <w:r w:rsidR="004D5060" w:rsidRPr="00725A18">
              <w:tab/>
            </w:r>
            <w:r w:rsidR="004D5060">
              <w:t>Comment on data quality</w:t>
            </w:r>
          </w:p>
        </w:tc>
      </w:tr>
      <w:tr w:rsidR="004D5060" w:rsidRPr="003C412A" w14:paraId="1D22249A" w14:textId="77777777" w:rsidTr="00944F80">
        <w:trPr>
          <w:cantSplit/>
        </w:trPr>
        <w:tc>
          <w:tcPr>
            <w:tcW w:w="8789" w:type="dxa"/>
            <w:tcBorders>
              <w:top w:val="nil"/>
              <w:left w:val="nil"/>
              <w:bottom w:val="nil"/>
              <w:right w:val="nil"/>
            </w:tcBorders>
            <w:shd w:val="clear" w:color="auto" w:fill="F2F2F2"/>
          </w:tcPr>
          <w:p w14:paraId="7E4DB85B" w14:textId="77777777" w:rsidR="004D5060" w:rsidRPr="008E3193" w:rsidRDefault="004D5060" w:rsidP="004D5060">
            <w:pPr>
              <w:pStyle w:val="Box"/>
            </w:pPr>
            <w:r w:rsidRPr="008E3193">
              <w:t xml:space="preserve">Key points </w:t>
            </w:r>
            <w:r w:rsidR="001F1E78">
              <w:t>on data quality for this indicator</w:t>
            </w:r>
            <w:r w:rsidRPr="008E3193">
              <w:t xml:space="preserve"> are summarised below.</w:t>
            </w:r>
          </w:p>
          <w:p w14:paraId="7F6380BF" w14:textId="196BD74B" w:rsidR="00546B5B" w:rsidRPr="00CE5702" w:rsidRDefault="004D5060" w:rsidP="00546B5B">
            <w:pPr>
              <w:pStyle w:val="BoxListBullet"/>
            </w:pPr>
            <w:r w:rsidRPr="00CE5702">
              <w:t>Data provide relevant information on the proportion of 20–64 year olds with a post school qualification at AQF III level or above</w:t>
            </w:r>
            <w:r w:rsidR="00074D31" w:rsidRPr="00CE5702">
              <w:t xml:space="preserve"> or working towards a non</w:t>
            </w:r>
            <w:r w:rsidR="00FA5150">
              <w:noBreakHyphen/>
            </w:r>
            <w:r w:rsidR="00074D31" w:rsidRPr="00CE5702">
              <w:t>school qualification</w:t>
            </w:r>
            <w:r w:rsidRPr="00CE5702">
              <w:t xml:space="preserve">. </w:t>
            </w:r>
          </w:p>
          <w:p w14:paraId="485CC578" w14:textId="45937F3B" w:rsidR="00BA4ED8" w:rsidRDefault="00074D31" w:rsidP="000420EF">
            <w:pPr>
              <w:pStyle w:val="BoxListBullet"/>
            </w:pPr>
            <w:r w:rsidRPr="00CE5702">
              <w:t xml:space="preserve">The most recent available data are from the </w:t>
            </w:r>
            <w:r w:rsidR="00BA4ED8" w:rsidRPr="00CE5702">
              <w:t xml:space="preserve">supplementary </w:t>
            </w:r>
            <w:r w:rsidRPr="00CE5702">
              <w:t>data source (</w:t>
            </w:r>
            <w:r w:rsidR="00BA4ED8" w:rsidRPr="00CE5702">
              <w:t>surveys</w:t>
            </w:r>
            <w:r w:rsidRPr="00CE5702">
              <w:t xml:space="preserve">), with the data in respect of </w:t>
            </w:r>
            <w:r w:rsidR="00BA4ED8" w:rsidRPr="00CE5702">
              <w:t>2018</w:t>
            </w:r>
            <w:r w:rsidR="00FA5150">
              <w:noBreakHyphen/>
            </w:r>
            <w:r w:rsidR="00BA4ED8" w:rsidRPr="00CE5702">
              <w:t>19 for Aboriginal and Torres Strait Islander people (from the NATSIHS) and 2018 for non</w:t>
            </w:r>
            <w:r w:rsidR="00FA5150">
              <w:noBreakHyphen/>
            </w:r>
            <w:r w:rsidR="00BA4ED8" w:rsidRPr="00CE5702">
              <w:t>Indigenous people (from the SEW).</w:t>
            </w:r>
          </w:p>
          <w:p w14:paraId="632C124D" w14:textId="77777777" w:rsidR="008B1A0F" w:rsidRPr="00CE5702" w:rsidRDefault="008B1A0F" w:rsidP="008B1A0F">
            <w:pPr>
              <w:pStyle w:val="BoxListBullet"/>
            </w:pPr>
            <w:r w:rsidRPr="00CE5702">
              <w:t>Data are of acceptable accuracy. Some proportions have a large confidence interval and should be used with caution.</w:t>
            </w:r>
          </w:p>
          <w:p w14:paraId="061AADA4" w14:textId="77777777" w:rsidR="004D5060" w:rsidRPr="00CE5702" w:rsidRDefault="004D5060" w:rsidP="004D5060">
            <w:pPr>
              <w:pStyle w:val="BoxListBullet"/>
            </w:pPr>
            <w:r w:rsidRPr="00CE5702">
              <w:t>Detailed explanatory notes are publicly available to assist in the interpretation of results.</w:t>
            </w:r>
          </w:p>
          <w:p w14:paraId="488426A6" w14:textId="70157B81" w:rsidR="004D5060" w:rsidRPr="00CE5702" w:rsidRDefault="004D5060" w:rsidP="004D5060">
            <w:pPr>
              <w:pStyle w:val="BoxListBullet"/>
            </w:pPr>
            <w:r w:rsidRPr="00CE5702">
              <w:t>Additional data from the data source are available on</w:t>
            </w:r>
            <w:r w:rsidR="00FA5150">
              <w:noBreakHyphen/>
            </w:r>
            <w:r w:rsidRPr="00CE5702">
              <w:t>line, and on request.</w:t>
            </w:r>
          </w:p>
          <w:p w14:paraId="10CB7F61" w14:textId="77777777" w:rsidR="004D5060" w:rsidRPr="00CE5702" w:rsidRDefault="004D5060" w:rsidP="004D5060">
            <w:pPr>
              <w:pStyle w:val="Box"/>
            </w:pPr>
            <w:r w:rsidRPr="00CE5702">
              <w:t>The Steering Committee also notes the following issues:</w:t>
            </w:r>
          </w:p>
          <w:p w14:paraId="3EDA04DA" w14:textId="1621E5D2" w:rsidR="00BA4ED8" w:rsidRPr="00CE5702" w:rsidRDefault="008B1A0F" w:rsidP="00BA4ED8">
            <w:pPr>
              <w:pStyle w:val="BoxListBullet"/>
            </w:pPr>
            <w:r w:rsidRPr="00CE5702">
              <w:t>The size of some standard errors means that the survey data may not be adequate for measuring difference. Comparisons over time or across jurisdictions may be difficult to assess if the size of the standard errors is large compared to the difference between the estimates.</w:t>
            </w:r>
          </w:p>
          <w:p w14:paraId="2F925DB8" w14:textId="6A361AFC" w:rsidR="004D5060" w:rsidRPr="003C412A" w:rsidRDefault="00BA4ED8" w:rsidP="00BA4ED8">
            <w:pPr>
              <w:pStyle w:val="BoxListBullet"/>
            </w:pPr>
            <w:r w:rsidRPr="00CE5702">
              <w:t>Survey</w:t>
            </w:r>
            <w:r w:rsidR="00A70D91" w:rsidRPr="00CE5702">
              <w:t xml:space="preserve"> data are generally not directly comparable to </w:t>
            </w:r>
            <w:r w:rsidRPr="00CE5702">
              <w:t xml:space="preserve">Census </w:t>
            </w:r>
            <w:r w:rsidR="00A70D91" w:rsidRPr="00CE5702">
              <w:t>data when measuring change over time.</w:t>
            </w:r>
          </w:p>
        </w:tc>
      </w:tr>
      <w:tr w:rsidR="004D5060" w14:paraId="392D9735" w14:textId="77777777" w:rsidTr="00944F80">
        <w:trPr>
          <w:cantSplit/>
        </w:trPr>
        <w:tc>
          <w:tcPr>
            <w:tcW w:w="8789" w:type="dxa"/>
            <w:tcBorders>
              <w:top w:val="nil"/>
              <w:left w:val="nil"/>
              <w:bottom w:val="single" w:sz="6" w:space="0" w:color="78A22F"/>
              <w:right w:val="nil"/>
            </w:tcBorders>
            <w:shd w:val="clear" w:color="auto" w:fill="F2F2F2"/>
          </w:tcPr>
          <w:p w14:paraId="41E2E9BC" w14:textId="77777777" w:rsidR="004D5060" w:rsidRDefault="004D5060" w:rsidP="006B271E">
            <w:pPr>
              <w:pStyle w:val="Box"/>
              <w:spacing w:before="0" w:line="120" w:lineRule="exact"/>
            </w:pPr>
          </w:p>
        </w:tc>
      </w:tr>
      <w:tr w:rsidR="004D5060" w:rsidRPr="000863A5" w14:paraId="3AFBBB70" w14:textId="77777777" w:rsidTr="00944F80">
        <w:tc>
          <w:tcPr>
            <w:tcW w:w="8789" w:type="dxa"/>
            <w:tcBorders>
              <w:top w:val="single" w:sz="6" w:space="0" w:color="78A22F"/>
              <w:left w:val="nil"/>
              <w:bottom w:val="nil"/>
              <w:right w:val="nil"/>
            </w:tcBorders>
          </w:tcPr>
          <w:p w14:paraId="250E91CA" w14:textId="77777777" w:rsidR="004D5060" w:rsidRPr="00626D32" w:rsidRDefault="004D5060" w:rsidP="006B271E">
            <w:pPr>
              <w:pStyle w:val="BoxSpaceBelow"/>
            </w:pPr>
          </w:p>
        </w:tc>
      </w:tr>
    </w:tbl>
    <w:p w14:paraId="615FFF61" w14:textId="77777777" w:rsidR="00D46D9F" w:rsidRPr="008822BF" w:rsidRDefault="00D46D9F" w:rsidP="008822BF">
      <w:pPr>
        <w:pStyle w:val="BoxSpaceBelow"/>
        <w:rPr>
          <w:rFonts w:ascii="Times New Roman" w:hAnsi="Times New Roman"/>
          <w:sz w:val="24"/>
        </w:rPr>
      </w:pPr>
      <w:r w:rsidRPr="004350B4">
        <w:br w:type="page"/>
      </w:r>
    </w:p>
    <w:p w14:paraId="0938531F" w14:textId="6E5F8436" w:rsidR="003C412A" w:rsidRDefault="003C412A" w:rsidP="003C412A">
      <w:pPr>
        <w:pStyle w:val="Heading2"/>
      </w:pPr>
      <w:r w:rsidRPr="00465C9C">
        <w:lastRenderedPageBreak/>
        <w:t>References</w:t>
      </w:r>
      <w:r w:rsidR="004D5060">
        <w:t xml:space="preserve"> </w:t>
      </w:r>
    </w:p>
    <w:p w14:paraId="50D9934B" w14:textId="17B1F962" w:rsidR="00591511" w:rsidRPr="002A79F2" w:rsidRDefault="00591511" w:rsidP="00591511">
      <w:pPr>
        <w:pStyle w:val="Reference"/>
      </w:pPr>
      <w:r w:rsidRPr="002A79F2">
        <w:t xml:space="preserve">COAG (Council of Australian Governments) 2007, </w:t>
      </w:r>
      <w:r w:rsidRPr="002A79F2">
        <w:rPr>
          <w:i/>
        </w:rPr>
        <w:t>COAG Communiqué 20</w:t>
      </w:r>
      <w:r w:rsidR="00F34E12" w:rsidRPr="002A79F2">
        <w:rPr>
          <w:i/>
        </w:rPr>
        <w:t> </w:t>
      </w:r>
      <w:r w:rsidRPr="002A79F2">
        <w:rPr>
          <w:i/>
        </w:rPr>
        <w:t>December 2007,</w:t>
      </w:r>
      <w:r w:rsidRPr="002A79F2">
        <w:t xml:space="preserve"> http://www.coag.gov.au/node/293 (accessed 21</w:t>
      </w:r>
      <w:r w:rsidR="00F34E12" w:rsidRPr="002A79F2">
        <w:t> </w:t>
      </w:r>
      <w:r w:rsidRPr="002A79F2">
        <w:t>November 2014).</w:t>
      </w:r>
    </w:p>
    <w:p w14:paraId="45F48594" w14:textId="5A9FA737" w:rsidR="00591511" w:rsidRPr="002A79F2" w:rsidRDefault="002B0E0A" w:rsidP="00591511">
      <w:pPr>
        <w:pStyle w:val="Reference"/>
      </w:pPr>
      <w:r w:rsidRPr="002A79F2">
        <w:t>—— </w:t>
      </w:r>
      <w:r w:rsidR="00591511" w:rsidRPr="002A79F2">
        <w:t xml:space="preserve">2008, </w:t>
      </w:r>
      <w:r w:rsidR="00591511" w:rsidRPr="002A79F2">
        <w:rPr>
          <w:i/>
        </w:rPr>
        <w:t>COAG Communiqué 26</w:t>
      </w:r>
      <w:r w:rsidR="00F34E12" w:rsidRPr="002A79F2">
        <w:rPr>
          <w:i/>
        </w:rPr>
        <w:t> </w:t>
      </w:r>
      <w:r w:rsidR="00591511" w:rsidRPr="002A79F2">
        <w:rPr>
          <w:i/>
        </w:rPr>
        <w:t>March 2008,</w:t>
      </w:r>
      <w:r w:rsidR="00591511" w:rsidRPr="002A79F2">
        <w:t xml:space="preserve"> </w:t>
      </w:r>
      <w:r w:rsidRPr="002A79F2">
        <w:rPr>
          <w:rStyle w:val="Hyperlink"/>
          <w:color w:val="auto"/>
        </w:rPr>
        <w:t>https://www.coag.gov.au/meeting-outcomes/coag-meeting-communiqu%C3%A9-26-march-2008</w:t>
      </w:r>
      <w:r w:rsidRPr="002A79F2">
        <w:t xml:space="preserve"> </w:t>
      </w:r>
      <w:r w:rsidR="00A708FF" w:rsidRPr="002A79F2">
        <w:t xml:space="preserve">(accessed </w:t>
      </w:r>
      <w:r w:rsidRPr="002A79F2">
        <w:t>28</w:t>
      </w:r>
      <w:r w:rsidR="0063115F" w:rsidRPr="002A79F2">
        <w:t> </w:t>
      </w:r>
      <w:r w:rsidRPr="002A79F2">
        <w:t>October 2019</w:t>
      </w:r>
      <w:r w:rsidR="00591511" w:rsidRPr="002A79F2">
        <w:t>).</w:t>
      </w:r>
    </w:p>
    <w:p w14:paraId="50B556BB" w14:textId="4AB9159D" w:rsidR="00591511" w:rsidRPr="002A79F2" w:rsidRDefault="002B0E0A" w:rsidP="0063115F">
      <w:pPr>
        <w:pStyle w:val="Reference"/>
      </w:pPr>
      <w:r w:rsidRPr="002A79F2">
        <w:t>—— </w:t>
      </w:r>
      <w:r w:rsidR="00591511" w:rsidRPr="002A79F2">
        <w:t xml:space="preserve">2012 </w:t>
      </w:r>
      <w:r w:rsidR="00591511" w:rsidRPr="002A79F2">
        <w:rPr>
          <w:i/>
        </w:rPr>
        <w:t>National Indigenous Reform Agreement (effective 2</w:t>
      </w:r>
      <w:r w:rsidR="00F34E12" w:rsidRPr="002A79F2">
        <w:rPr>
          <w:i/>
        </w:rPr>
        <w:t> </w:t>
      </w:r>
      <w:r w:rsidR="00591511" w:rsidRPr="002A79F2">
        <w:rPr>
          <w:i/>
        </w:rPr>
        <w:t>November 2012)</w:t>
      </w:r>
      <w:r w:rsidR="00591511" w:rsidRPr="002A79F2">
        <w:t xml:space="preserve">, </w:t>
      </w:r>
      <w:r w:rsidR="0063115F" w:rsidRPr="002A79F2">
        <w:rPr>
          <w:rStyle w:val="Hyperlink"/>
          <w:color w:val="auto"/>
        </w:rPr>
        <w:t>http://federalfinancialrelations.gov.au/content/npa/health/_archive/indigenous-reform/national-agreement_sept_12.pdf</w:t>
      </w:r>
      <w:r w:rsidR="0063115F" w:rsidRPr="002A79F2">
        <w:t xml:space="preserve"> </w:t>
      </w:r>
      <w:r w:rsidR="00591511" w:rsidRPr="002A79F2">
        <w:t xml:space="preserve">(accessed </w:t>
      </w:r>
      <w:r w:rsidR="0063115F" w:rsidRPr="002A79F2">
        <w:t>28 October 2019</w:t>
      </w:r>
      <w:r w:rsidR="00591511" w:rsidRPr="002A79F2">
        <w:t>).</w:t>
      </w:r>
    </w:p>
    <w:p w14:paraId="57CD2736" w14:textId="4B359C99" w:rsidR="001A52CA" w:rsidRPr="002A79F2" w:rsidRDefault="002B0E0A" w:rsidP="001A52CA">
      <w:pPr>
        <w:pStyle w:val="Reference"/>
      </w:pPr>
      <w:r w:rsidRPr="002A79F2">
        <w:t>—— </w:t>
      </w:r>
      <w:r w:rsidR="001A52CA" w:rsidRPr="002A79F2">
        <w:t xml:space="preserve">2014, </w:t>
      </w:r>
      <w:r w:rsidR="001A52CA" w:rsidRPr="002A79F2">
        <w:rPr>
          <w:i/>
        </w:rPr>
        <w:t>COAG Communiqué 2</w:t>
      </w:r>
      <w:r w:rsidR="00F34E12" w:rsidRPr="002A79F2">
        <w:rPr>
          <w:i/>
        </w:rPr>
        <w:t> </w:t>
      </w:r>
      <w:r w:rsidR="001A52CA" w:rsidRPr="002A79F2">
        <w:rPr>
          <w:i/>
        </w:rPr>
        <w:t>May 2014,</w:t>
      </w:r>
      <w:r w:rsidR="001A52CA" w:rsidRPr="002A79F2">
        <w:t xml:space="preserve"> </w:t>
      </w:r>
      <w:r w:rsidR="0063115F" w:rsidRPr="002A79F2">
        <w:rPr>
          <w:rStyle w:val="Hyperlink"/>
          <w:color w:val="auto"/>
        </w:rPr>
        <w:t>https://www.coag.gov.au/meeting-outcomes/coag-meeting-communiqu%C3%A9-2-may-2014</w:t>
      </w:r>
      <w:r w:rsidR="001A52CA" w:rsidRPr="002A79F2">
        <w:t xml:space="preserve"> (accessed </w:t>
      </w:r>
      <w:r w:rsidR="0063115F" w:rsidRPr="002A79F2">
        <w:t>28 October 2019</w:t>
      </w:r>
      <w:r w:rsidR="001A52CA" w:rsidRPr="002A79F2">
        <w:t>).</w:t>
      </w:r>
    </w:p>
    <w:p w14:paraId="7466364E" w14:textId="08370E13" w:rsidR="00A708FF" w:rsidRPr="002A79F2" w:rsidRDefault="002B0E0A" w:rsidP="00A708FF">
      <w:pPr>
        <w:pStyle w:val="Reference"/>
      </w:pPr>
      <w:r w:rsidRPr="002A79F2">
        <w:t>—— </w:t>
      </w:r>
      <w:r w:rsidR="00A708FF" w:rsidRPr="002A79F2">
        <w:t xml:space="preserve">2015, </w:t>
      </w:r>
      <w:r w:rsidR="00A708FF" w:rsidRPr="002A79F2">
        <w:rPr>
          <w:i/>
        </w:rPr>
        <w:t>COAG Communiqué December 2015,</w:t>
      </w:r>
      <w:r w:rsidR="00A708FF" w:rsidRPr="002A79F2">
        <w:t xml:space="preserve"> </w:t>
      </w:r>
      <w:r w:rsidR="0063115F" w:rsidRPr="002A79F2">
        <w:rPr>
          <w:rStyle w:val="Hyperlink"/>
          <w:color w:val="auto"/>
        </w:rPr>
        <w:t>https://www.coag.gov.au/meeting-outcomes/coag-meeting-communiqu%C3%A9-11-december-2015</w:t>
      </w:r>
      <w:r w:rsidR="00A708FF" w:rsidRPr="002A79F2">
        <w:t xml:space="preserve"> (accessed </w:t>
      </w:r>
      <w:r w:rsidR="0063115F" w:rsidRPr="002A79F2">
        <w:t>28 October 2019</w:t>
      </w:r>
      <w:r w:rsidR="00A708FF" w:rsidRPr="002A79F2">
        <w:t>).</w:t>
      </w:r>
    </w:p>
    <w:p w14:paraId="4E126540" w14:textId="19589721" w:rsidR="002B0E0A" w:rsidRPr="002A79F2" w:rsidRDefault="002B0E0A" w:rsidP="002B0E0A">
      <w:pPr>
        <w:pStyle w:val="Reference"/>
      </w:pPr>
      <w:r w:rsidRPr="002A79F2">
        <w:t xml:space="preserve">—— 2018, </w:t>
      </w:r>
      <w:r w:rsidRPr="002A79F2">
        <w:rPr>
          <w:i/>
        </w:rPr>
        <w:t>COAG Statement On The Closing The Gap Refresh, 12</w:t>
      </w:r>
      <w:r w:rsidR="00F34E12" w:rsidRPr="002A79F2">
        <w:rPr>
          <w:i/>
        </w:rPr>
        <w:t> </w:t>
      </w:r>
      <w:r w:rsidRPr="002A79F2">
        <w:rPr>
          <w:i/>
        </w:rPr>
        <w:t>December 2018</w:t>
      </w:r>
      <w:r w:rsidRPr="002A79F2">
        <w:t xml:space="preserve">, </w:t>
      </w:r>
      <w:r w:rsidRPr="002A79F2">
        <w:rPr>
          <w:rStyle w:val="Hyperlink"/>
          <w:color w:val="auto"/>
        </w:rPr>
        <w:t>https://www.coag.gov.au/sites/default/files/communique/coag-statement-closing-the-gap-refresh.pdf</w:t>
      </w:r>
      <w:r w:rsidRPr="002A79F2">
        <w:t xml:space="preserve"> (accessed 28</w:t>
      </w:r>
      <w:r w:rsidR="0063115F" w:rsidRPr="002A79F2">
        <w:t> </w:t>
      </w:r>
      <w:r w:rsidRPr="002A79F2">
        <w:t>October 2019).</w:t>
      </w:r>
    </w:p>
    <w:p w14:paraId="0A516638" w14:textId="63E90A0D" w:rsidR="002B0E0A" w:rsidRPr="002A79F2" w:rsidRDefault="002B0E0A" w:rsidP="002B0E0A">
      <w:pPr>
        <w:pStyle w:val="Reference"/>
      </w:pPr>
      <w:r w:rsidRPr="002A79F2">
        <w:t xml:space="preserve">—— 2019, </w:t>
      </w:r>
      <w:r w:rsidRPr="002A79F2">
        <w:rPr>
          <w:i/>
        </w:rPr>
        <w:t>Partnership Agreement On Closing the Gap 2019-2029</w:t>
      </w:r>
      <w:r w:rsidRPr="002A79F2">
        <w:t xml:space="preserve">, </w:t>
      </w:r>
      <w:r w:rsidRPr="002A79F2">
        <w:rPr>
          <w:rStyle w:val="Hyperlink"/>
          <w:color w:val="auto"/>
        </w:rPr>
        <w:t>https://www.coag.gov.au/sites/default/files/agreements/partnership-agreement-on-closing-the-gap_0.pdf</w:t>
      </w:r>
      <w:r w:rsidRPr="002A79F2">
        <w:t xml:space="preserve"> (accessed 28</w:t>
      </w:r>
      <w:r w:rsidR="0063115F" w:rsidRPr="002A79F2">
        <w:t> </w:t>
      </w:r>
      <w:r w:rsidRPr="002A79F2">
        <w:t>October 2019).</w:t>
      </w:r>
    </w:p>
    <w:p w14:paraId="103E3990" w14:textId="26DDD112" w:rsidR="00591511" w:rsidRPr="002A79F2" w:rsidRDefault="00591511" w:rsidP="00591511">
      <w:pPr>
        <w:pStyle w:val="Reference"/>
      </w:pPr>
      <w:r w:rsidRPr="002A79F2">
        <w:t xml:space="preserve">SCRGSP (Steering Committee for the Review of Government Service Provision) </w:t>
      </w:r>
      <w:r w:rsidR="00872313" w:rsidRPr="002A79F2">
        <w:t xml:space="preserve">2016, </w:t>
      </w:r>
      <w:r w:rsidR="00872313" w:rsidRPr="002A79F2">
        <w:rPr>
          <w:i/>
        </w:rPr>
        <w:t xml:space="preserve">Overcoming Indigenous Disadvantage: Key Indicators 2016, </w:t>
      </w:r>
      <w:r w:rsidR="00872313" w:rsidRPr="002A79F2">
        <w:t xml:space="preserve">Productivity Commission, Canberra http://www.pc.gov.au/oid2016 </w:t>
      </w:r>
    </w:p>
    <w:p w14:paraId="3E32FA17" w14:textId="67E5427C" w:rsidR="00FE4DBC" w:rsidRPr="002A79F2" w:rsidRDefault="00FE4DBC" w:rsidP="00591511">
      <w:pPr>
        <w:pStyle w:val="Reference"/>
      </w:pPr>
      <w:r w:rsidRPr="002A79F2">
        <w:t xml:space="preserve">—— </w:t>
      </w:r>
      <w:r w:rsidR="00EB38D0" w:rsidRPr="002A79F2">
        <w:t>2017</w:t>
      </w:r>
      <w:r w:rsidR="00872313" w:rsidRPr="002A79F2">
        <w:t xml:space="preserve">, </w:t>
      </w:r>
      <w:r w:rsidR="00872313" w:rsidRPr="002A79F2">
        <w:rPr>
          <w:i/>
        </w:rPr>
        <w:t>2017 Indigenous Expenditure Report</w:t>
      </w:r>
      <w:r w:rsidR="00872313" w:rsidRPr="002A79F2">
        <w:t>, Productivity Commission, Canberra</w:t>
      </w:r>
    </w:p>
    <w:p w14:paraId="44B127B6" w14:textId="77777777" w:rsidR="003C412A" w:rsidRPr="00D87AA9" w:rsidRDefault="003C412A" w:rsidP="003C412A">
      <w:pPr>
        <w:pStyle w:val="Heading2"/>
      </w:pPr>
      <w:r w:rsidRPr="002A79F2">
        <w:br w:type="page"/>
      </w:r>
      <w:r w:rsidRPr="00D87AA9">
        <w:lastRenderedPageBreak/>
        <w:t>Acronyms and abbreviations</w:t>
      </w:r>
    </w:p>
    <w:p w14:paraId="5B4D4569" w14:textId="77777777" w:rsidR="003C412A" w:rsidRDefault="003C412A" w:rsidP="003C412A"/>
    <w:p w14:paraId="3E6CB43F" w14:textId="77777777" w:rsidR="003C412A" w:rsidRPr="00D87AA9" w:rsidRDefault="003C412A" w:rsidP="003C412A">
      <w:pPr>
        <w:pStyle w:val="Abbreviation"/>
      </w:pPr>
      <w:r>
        <w:t>AATSIHS</w:t>
      </w:r>
      <w:r>
        <w:tab/>
        <w:t>Australian Aboriginal and Torres Strait Islander Health Survey</w:t>
      </w:r>
    </w:p>
    <w:p w14:paraId="6B4BAC53" w14:textId="77777777" w:rsidR="003C412A" w:rsidRDefault="003C412A" w:rsidP="003C412A">
      <w:pPr>
        <w:pStyle w:val="Abbreviation"/>
      </w:pPr>
      <w:r w:rsidRPr="00D87AA9">
        <w:t>ABS</w:t>
      </w:r>
      <w:r w:rsidRPr="00D87AA9">
        <w:tab/>
        <w:t>Australian Bureau of Statistics</w:t>
      </w:r>
    </w:p>
    <w:p w14:paraId="511EEB61" w14:textId="5D2F1602" w:rsidR="003C412A" w:rsidRDefault="003C412A" w:rsidP="003C412A">
      <w:pPr>
        <w:pStyle w:val="Abbreviation"/>
      </w:pPr>
      <w:r w:rsidRPr="00D87AA9">
        <w:t>ACARA</w:t>
      </w:r>
      <w:r w:rsidRPr="00D87AA9">
        <w:tab/>
        <w:t xml:space="preserve">Australian Curriculum </w:t>
      </w:r>
      <w:r w:rsidR="00183022">
        <w:t xml:space="preserve">Assessment </w:t>
      </w:r>
      <w:r w:rsidRPr="00D87AA9">
        <w:t>and Reporting Authority</w:t>
      </w:r>
    </w:p>
    <w:p w14:paraId="2A38D290" w14:textId="77777777" w:rsidR="003C412A" w:rsidRDefault="003C412A" w:rsidP="003C412A">
      <w:pPr>
        <w:pStyle w:val="Abbreviation"/>
      </w:pPr>
      <w:r w:rsidRPr="00D87AA9">
        <w:t>ACT</w:t>
      </w:r>
      <w:r w:rsidRPr="00D87AA9">
        <w:tab/>
        <w:t>Australian Capital Territory</w:t>
      </w:r>
    </w:p>
    <w:p w14:paraId="60F2AE7C" w14:textId="77777777" w:rsidR="003C412A" w:rsidRPr="00D87AA9" w:rsidRDefault="003C412A" w:rsidP="003C412A">
      <w:pPr>
        <w:pStyle w:val="Abbreviation"/>
      </w:pPr>
      <w:r>
        <w:t>AHS</w:t>
      </w:r>
      <w:r>
        <w:tab/>
        <w:t>Australian Health Survey</w:t>
      </w:r>
    </w:p>
    <w:p w14:paraId="591CB286" w14:textId="77777777" w:rsidR="003C412A" w:rsidRDefault="003C412A" w:rsidP="003C412A">
      <w:pPr>
        <w:pStyle w:val="Abbreviation"/>
      </w:pPr>
      <w:r w:rsidRPr="00D87AA9">
        <w:t>AIHW</w:t>
      </w:r>
      <w:r w:rsidRPr="00D87AA9">
        <w:tab/>
        <w:t>Australian Institute of Health and Welfare</w:t>
      </w:r>
    </w:p>
    <w:p w14:paraId="3CF9929A" w14:textId="77777777" w:rsidR="003C412A" w:rsidRDefault="003C412A" w:rsidP="003C412A">
      <w:pPr>
        <w:pStyle w:val="Abbreviation"/>
      </w:pPr>
      <w:r>
        <w:t>ASGC</w:t>
      </w:r>
      <w:r>
        <w:tab/>
        <w:t>Australian Standard Geographical Classification</w:t>
      </w:r>
    </w:p>
    <w:p w14:paraId="4D79E234" w14:textId="77777777" w:rsidR="003C412A" w:rsidRPr="00D87AA9" w:rsidRDefault="003C412A" w:rsidP="003C412A">
      <w:pPr>
        <w:pStyle w:val="Abbreviation"/>
      </w:pPr>
      <w:r>
        <w:t>ASGS</w:t>
      </w:r>
      <w:r>
        <w:tab/>
        <w:t>Australian Statistical Geography Standard</w:t>
      </w:r>
    </w:p>
    <w:p w14:paraId="57E7D0F0" w14:textId="77777777" w:rsidR="003C412A" w:rsidRPr="00D87AA9" w:rsidRDefault="003C412A" w:rsidP="003C412A">
      <w:pPr>
        <w:pStyle w:val="Abbreviation"/>
      </w:pPr>
      <w:r w:rsidRPr="00D87AA9">
        <w:t xml:space="preserve">BMI </w:t>
      </w:r>
      <w:r w:rsidRPr="00D87AA9">
        <w:tab/>
        <w:t xml:space="preserve">body mass index </w:t>
      </w:r>
    </w:p>
    <w:p w14:paraId="73475E2D" w14:textId="77777777" w:rsidR="003C412A" w:rsidRPr="00D87AA9" w:rsidRDefault="003C412A" w:rsidP="003C412A">
      <w:pPr>
        <w:pStyle w:val="Abbreviation"/>
      </w:pPr>
      <w:r w:rsidRPr="00D87AA9">
        <w:t>Census</w:t>
      </w:r>
      <w:r w:rsidRPr="00D87AA9">
        <w:tab/>
        <w:t>Census of Population and Housing</w:t>
      </w:r>
    </w:p>
    <w:p w14:paraId="13F4E022" w14:textId="77777777" w:rsidR="003C412A" w:rsidRPr="00D87AA9" w:rsidRDefault="003C412A" w:rsidP="003C412A">
      <w:pPr>
        <w:pStyle w:val="Abbreviation"/>
      </w:pPr>
      <w:r w:rsidRPr="00D87AA9">
        <w:t>COAG</w:t>
      </w:r>
      <w:r w:rsidRPr="00D87AA9">
        <w:tab/>
        <w:t xml:space="preserve">Council of Australian Governments </w:t>
      </w:r>
    </w:p>
    <w:p w14:paraId="7C45FE09" w14:textId="77777777" w:rsidR="003C412A" w:rsidRPr="00D87AA9" w:rsidRDefault="003C412A" w:rsidP="003C412A">
      <w:pPr>
        <w:pStyle w:val="Abbreviation"/>
      </w:pPr>
      <w:r w:rsidRPr="00D87AA9">
        <w:t>ERP</w:t>
      </w:r>
      <w:r w:rsidRPr="00D87AA9">
        <w:tab/>
        <w:t>Estimated Resident Population</w:t>
      </w:r>
    </w:p>
    <w:p w14:paraId="53E8A0FA" w14:textId="63EDB3C9" w:rsidR="003C412A" w:rsidRPr="00D87AA9" w:rsidRDefault="003C412A" w:rsidP="003C412A">
      <w:pPr>
        <w:pStyle w:val="Abbreviation"/>
      </w:pPr>
      <w:r w:rsidRPr="00D87AA9">
        <w:t>ICD</w:t>
      </w:r>
      <w:r w:rsidR="00FA5150">
        <w:noBreakHyphen/>
      </w:r>
      <w:r w:rsidRPr="00D87AA9">
        <w:t xml:space="preserve">10 </w:t>
      </w:r>
      <w:r w:rsidRPr="00D87AA9">
        <w:tab/>
        <w:t>International Classification of Diseases</w:t>
      </w:r>
      <w:r>
        <w:t xml:space="preserve"> and Related Health Conditions</w:t>
      </w:r>
      <w:r w:rsidRPr="00D87AA9">
        <w:t>, 10th Edition</w:t>
      </w:r>
    </w:p>
    <w:p w14:paraId="1E747562" w14:textId="28CD4595" w:rsidR="003C412A" w:rsidRDefault="003C412A" w:rsidP="003C412A">
      <w:pPr>
        <w:pStyle w:val="Abbreviation"/>
      </w:pPr>
      <w:r w:rsidRPr="00D87AA9">
        <w:t>ICD</w:t>
      </w:r>
      <w:r w:rsidR="00FA5150">
        <w:noBreakHyphen/>
      </w:r>
      <w:r w:rsidRPr="00D87AA9">
        <w:t>10</w:t>
      </w:r>
      <w:r w:rsidR="00FA5150">
        <w:noBreakHyphen/>
      </w:r>
      <w:r w:rsidRPr="00D87AA9">
        <w:t>AM</w:t>
      </w:r>
      <w:r w:rsidRPr="00D87AA9">
        <w:tab/>
        <w:t>International Classification of Diseases</w:t>
      </w:r>
      <w:r>
        <w:t xml:space="preserve"> and Related Health Conditions,</w:t>
      </w:r>
      <w:r w:rsidRPr="00D87AA9">
        <w:t xml:space="preserve"> 10th Edition, Australian Modification</w:t>
      </w:r>
    </w:p>
    <w:p w14:paraId="5EECD4B7" w14:textId="77777777" w:rsidR="003C412A" w:rsidRPr="00D87AA9" w:rsidRDefault="003C412A" w:rsidP="003C412A">
      <w:pPr>
        <w:pStyle w:val="Abbreviation"/>
      </w:pPr>
      <w:r w:rsidRPr="00D87AA9">
        <w:t>NAPLAN</w:t>
      </w:r>
      <w:r w:rsidRPr="00D87AA9">
        <w:tab/>
        <w:t>National Assessment Program — Literacy and Numeracy</w:t>
      </w:r>
    </w:p>
    <w:p w14:paraId="3EA96239" w14:textId="77777777" w:rsidR="003C412A" w:rsidRPr="00D87AA9" w:rsidRDefault="003C412A" w:rsidP="003C412A">
      <w:pPr>
        <w:pStyle w:val="Abbreviation"/>
      </w:pPr>
      <w:r w:rsidRPr="00D87AA9">
        <w:t>NATSIHS</w:t>
      </w:r>
      <w:r w:rsidRPr="00D87AA9">
        <w:tab/>
        <w:t>National Aboriginal and Torres Strait Islander Health Survey</w:t>
      </w:r>
    </w:p>
    <w:p w14:paraId="0329F436" w14:textId="77777777" w:rsidR="006065DC" w:rsidRDefault="006065DC" w:rsidP="003C412A">
      <w:pPr>
        <w:pStyle w:val="Abbreviation"/>
      </w:pPr>
      <w:r>
        <w:t>NATSINPAS</w:t>
      </w:r>
      <w:r>
        <w:tab/>
      </w:r>
      <w:r w:rsidR="00CC100E">
        <w:t>National Aboriginal and Torres Strait Islander Nutrition and Physical Activity Survey</w:t>
      </w:r>
    </w:p>
    <w:p w14:paraId="7B8A6460" w14:textId="77777777" w:rsidR="003C412A" w:rsidRPr="00D87AA9" w:rsidRDefault="003C412A" w:rsidP="003C412A">
      <w:pPr>
        <w:pStyle w:val="Abbreviation"/>
      </w:pPr>
      <w:r w:rsidRPr="00D87AA9">
        <w:t xml:space="preserve">NATSISS </w:t>
      </w:r>
      <w:r w:rsidRPr="00D87AA9">
        <w:tab/>
        <w:t>National Aboriginal and Torres Strait Islander Social Survey</w:t>
      </w:r>
    </w:p>
    <w:p w14:paraId="4CFE22AD" w14:textId="3BF9E964" w:rsidR="00245778" w:rsidRDefault="00245778" w:rsidP="003C412A">
      <w:pPr>
        <w:pStyle w:val="Abbreviation"/>
      </w:pPr>
      <w:r>
        <w:t>NECECC</w:t>
      </w:r>
      <w:r>
        <w:tab/>
        <w:t>National early Childhood Education and Care Collection</w:t>
      </w:r>
    </w:p>
    <w:p w14:paraId="0739AFE4" w14:textId="77777777" w:rsidR="003C412A" w:rsidRPr="00D87AA9" w:rsidRDefault="003C412A" w:rsidP="003C412A">
      <w:pPr>
        <w:pStyle w:val="Abbreviation"/>
      </w:pPr>
      <w:r w:rsidRPr="00D87AA9">
        <w:t xml:space="preserve">NHS </w:t>
      </w:r>
      <w:r w:rsidRPr="00D87AA9">
        <w:tab/>
        <w:t xml:space="preserve">National Health Survey </w:t>
      </w:r>
    </w:p>
    <w:p w14:paraId="4B1D6F5B" w14:textId="77777777" w:rsidR="003C412A" w:rsidRDefault="003C412A" w:rsidP="003C412A">
      <w:pPr>
        <w:pStyle w:val="Abbreviation"/>
      </w:pPr>
      <w:r w:rsidRPr="00D87AA9">
        <w:t>NIRA</w:t>
      </w:r>
      <w:r w:rsidRPr="00D87AA9">
        <w:tab/>
        <w:t>National Indigenous Reform Agreement</w:t>
      </w:r>
    </w:p>
    <w:p w14:paraId="369DE6B6" w14:textId="7BBC0675" w:rsidR="00414868" w:rsidRPr="00D87AA9" w:rsidRDefault="00414868" w:rsidP="003C412A">
      <w:pPr>
        <w:pStyle w:val="Abbreviation"/>
      </w:pPr>
      <w:r>
        <w:t>NIRAPIMG</w:t>
      </w:r>
      <w:r>
        <w:tab/>
        <w:t>NIRA Performance Information Management Group</w:t>
      </w:r>
    </w:p>
    <w:p w14:paraId="03CF3CDB" w14:textId="77777777" w:rsidR="003C412A" w:rsidRPr="00D87AA9" w:rsidRDefault="003C412A" w:rsidP="003C412A">
      <w:pPr>
        <w:pStyle w:val="Abbreviation"/>
      </w:pPr>
      <w:r w:rsidRPr="00D87AA9">
        <w:t>NPDC</w:t>
      </w:r>
      <w:r w:rsidRPr="00D87AA9">
        <w:tab/>
        <w:t>Nat</w:t>
      </w:r>
      <w:r>
        <w:t>ional Perinatal Data Collection</w:t>
      </w:r>
    </w:p>
    <w:p w14:paraId="405E51C9" w14:textId="77777777" w:rsidR="003C412A" w:rsidRPr="00D87AA9" w:rsidRDefault="003C412A" w:rsidP="003C412A">
      <w:pPr>
        <w:pStyle w:val="Abbreviation"/>
      </w:pPr>
      <w:r w:rsidRPr="00D87AA9">
        <w:t>NSW</w:t>
      </w:r>
      <w:r w:rsidRPr="00D87AA9">
        <w:tab/>
        <w:t>New South Wales</w:t>
      </w:r>
    </w:p>
    <w:p w14:paraId="7D7456A5" w14:textId="77777777" w:rsidR="003C412A" w:rsidRPr="00D87AA9" w:rsidRDefault="003C412A" w:rsidP="003C412A">
      <w:pPr>
        <w:pStyle w:val="Abbreviation"/>
      </w:pPr>
      <w:r w:rsidRPr="00D87AA9">
        <w:t>NT</w:t>
      </w:r>
      <w:r w:rsidRPr="00D87AA9">
        <w:tab/>
        <w:t>Northern Territory</w:t>
      </w:r>
    </w:p>
    <w:p w14:paraId="732CF4D8" w14:textId="77777777" w:rsidR="003C412A" w:rsidRDefault="003C412A" w:rsidP="003C412A">
      <w:pPr>
        <w:pStyle w:val="Abbreviation"/>
      </w:pPr>
      <w:r w:rsidRPr="00D87AA9">
        <w:t>OID</w:t>
      </w:r>
      <w:r w:rsidRPr="00D87AA9">
        <w:tab/>
        <w:t>Overcoming Indigenous Disadvantage</w:t>
      </w:r>
    </w:p>
    <w:p w14:paraId="5FDA5FAE" w14:textId="77777777" w:rsidR="003C412A" w:rsidRPr="00D87AA9" w:rsidRDefault="003C412A" w:rsidP="003C412A">
      <w:pPr>
        <w:pStyle w:val="Abbreviation"/>
      </w:pPr>
      <w:r w:rsidRPr="00D87AA9">
        <w:t>Qld</w:t>
      </w:r>
      <w:r w:rsidRPr="00D87AA9">
        <w:tab/>
        <w:t>Queensland</w:t>
      </w:r>
    </w:p>
    <w:p w14:paraId="57957D29" w14:textId="77777777" w:rsidR="003C412A" w:rsidRPr="00D87AA9" w:rsidRDefault="003C412A" w:rsidP="003C412A">
      <w:pPr>
        <w:pStyle w:val="Abbreviation"/>
      </w:pPr>
      <w:r w:rsidRPr="00D87AA9">
        <w:t>RSE</w:t>
      </w:r>
      <w:r w:rsidRPr="00D87AA9">
        <w:tab/>
        <w:t>Relative standard error</w:t>
      </w:r>
    </w:p>
    <w:p w14:paraId="1CEF7DC4" w14:textId="77777777" w:rsidR="003C412A" w:rsidRDefault="003C412A" w:rsidP="003C412A">
      <w:pPr>
        <w:pStyle w:val="Abbreviation"/>
      </w:pPr>
      <w:r w:rsidRPr="00D87AA9">
        <w:lastRenderedPageBreak/>
        <w:t>SA</w:t>
      </w:r>
      <w:r w:rsidRPr="00D87AA9">
        <w:tab/>
        <w:t>South Australia</w:t>
      </w:r>
    </w:p>
    <w:p w14:paraId="097D3DE4" w14:textId="77777777" w:rsidR="003C412A" w:rsidRDefault="003C412A" w:rsidP="003C412A">
      <w:pPr>
        <w:pStyle w:val="Abbreviation"/>
      </w:pPr>
      <w:r w:rsidRPr="00D87AA9">
        <w:t>SEW</w:t>
      </w:r>
      <w:r w:rsidRPr="00D87AA9">
        <w:tab/>
        <w:t>Survey of Education and Work</w:t>
      </w:r>
    </w:p>
    <w:p w14:paraId="11FD9705" w14:textId="77777777" w:rsidR="003C412A" w:rsidRDefault="003C412A" w:rsidP="003C412A">
      <w:pPr>
        <w:pStyle w:val="Abbreviation"/>
      </w:pPr>
      <w:r w:rsidRPr="00D87AA9">
        <w:t>Tas</w:t>
      </w:r>
      <w:r w:rsidRPr="00D87AA9">
        <w:tab/>
        <w:t>Tasmania</w:t>
      </w:r>
    </w:p>
    <w:p w14:paraId="6F2D8A38" w14:textId="77777777" w:rsidR="003C412A" w:rsidRPr="00D87AA9" w:rsidRDefault="003C412A" w:rsidP="003C412A">
      <w:pPr>
        <w:pStyle w:val="Abbreviation"/>
      </w:pPr>
      <w:r w:rsidRPr="00D87AA9">
        <w:t>Vic</w:t>
      </w:r>
      <w:r w:rsidRPr="00D87AA9">
        <w:tab/>
        <w:t>Victoria</w:t>
      </w:r>
    </w:p>
    <w:p w14:paraId="411C6F3E" w14:textId="77777777" w:rsidR="003C412A" w:rsidRDefault="003C412A" w:rsidP="003C412A">
      <w:pPr>
        <w:pStyle w:val="Abbreviation"/>
      </w:pPr>
      <w:r w:rsidRPr="00D87AA9">
        <w:t>WA</w:t>
      </w:r>
      <w:r w:rsidRPr="00D87AA9">
        <w:tab/>
        <w:t>Western Australia</w:t>
      </w:r>
    </w:p>
    <w:p w14:paraId="2B78E8CD" w14:textId="77777777" w:rsidR="003C412A" w:rsidRDefault="003C412A" w:rsidP="003C412A">
      <w:pPr>
        <w:pStyle w:val="Heading2"/>
        <w:spacing w:after="240"/>
      </w:pPr>
      <w:r w:rsidRPr="00D87AA9">
        <w:br w:type="page"/>
      </w:r>
      <w:r w:rsidRPr="00D87AA9">
        <w:lastRenderedPageBreak/>
        <w:t>Glossary</w:t>
      </w:r>
      <w:r w:rsidR="004D5060">
        <w:t xml:space="preserve"> </w:t>
      </w:r>
    </w:p>
    <w:p w14:paraId="6F759F29" w14:textId="77777777" w:rsidR="00944F80" w:rsidRPr="00944F80" w:rsidRDefault="00944F80" w:rsidP="00944F80">
      <w:pPr>
        <w:pStyle w:val="BodyText"/>
      </w:pPr>
    </w:p>
    <w:tbl>
      <w:tblPr>
        <w:tblW w:w="8789" w:type="dxa"/>
        <w:tblLayout w:type="fixed"/>
        <w:tblCellMar>
          <w:left w:w="0" w:type="dxa"/>
          <w:right w:w="0" w:type="dxa"/>
        </w:tblCellMar>
        <w:tblLook w:val="0000" w:firstRow="0" w:lastRow="0" w:firstColumn="0" w:lastColumn="0" w:noHBand="0" w:noVBand="0"/>
      </w:tblPr>
      <w:tblGrid>
        <w:gridCol w:w="2268"/>
        <w:gridCol w:w="6521"/>
      </w:tblGrid>
      <w:tr w:rsidR="003C412A" w:rsidRPr="0000077F" w14:paraId="2C0D1C5D" w14:textId="77777777" w:rsidTr="000420EF">
        <w:trPr>
          <w:cantSplit/>
        </w:trPr>
        <w:tc>
          <w:tcPr>
            <w:tcW w:w="2268" w:type="dxa"/>
          </w:tcPr>
          <w:p w14:paraId="5887CD6C" w14:textId="77777777" w:rsidR="003C412A" w:rsidRPr="000420EF" w:rsidRDefault="003C412A" w:rsidP="000420EF">
            <w:pPr>
              <w:pStyle w:val="TableBodyNA"/>
              <w:rPr>
                <w:b/>
              </w:rPr>
            </w:pPr>
            <w:r w:rsidRPr="000420EF">
              <w:rPr>
                <w:b/>
              </w:rPr>
              <w:t>Aboriginal</w:t>
            </w:r>
          </w:p>
        </w:tc>
        <w:tc>
          <w:tcPr>
            <w:tcW w:w="6521" w:type="dxa"/>
          </w:tcPr>
          <w:p w14:paraId="6CE096FA" w14:textId="77777777" w:rsidR="003C412A" w:rsidRPr="0000077F" w:rsidRDefault="003C412A" w:rsidP="000420EF">
            <w:pPr>
              <w:pStyle w:val="TableBodyNA"/>
            </w:pPr>
            <w:r w:rsidRPr="0000077F">
              <w:t>A person who identifies as being of Aboriginal origin. May also include people identified as being of both Aboriginal and Torres Strait Islander origin.</w:t>
            </w:r>
          </w:p>
          <w:p w14:paraId="7F0CE07D" w14:textId="77777777" w:rsidR="003C412A" w:rsidRPr="0000077F" w:rsidRDefault="003C412A" w:rsidP="000420EF">
            <w:pPr>
              <w:pStyle w:val="TableBodyNA"/>
              <w:rPr>
                <w:b/>
              </w:rPr>
            </w:pPr>
          </w:p>
        </w:tc>
      </w:tr>
      <w:tr w:rsidR="003C412A" w:rsidRPr="0000077F" w14:paraId="1CD8BEC5" w14:textId="77777777" w:rsidTr="000420EF">
        <w:trPr>
          <w:cantSplit/>
        </w:trPr>
        <w:tc>
          <w:tcPr>
            <w:tcW w:w="2268" w:type="dxa"/>
          </w:tcPr>
          <w:p w14:paraId="0E05E67E" w14:textId="77777777" w:rsidR="003C412A" w:rsidRPr="000420EF" w:rsidRDefault="003C412A" w:rsidP="000420EF">
            <w:pPr>
              <w:pStyle w:val="TableBodyNA"/>
              <w:rPr>
                <w:b/>
              </w:rPr>
            </w:pPr>
            <w:r w:rsidRPr="000420EF">
              <w:rPr>
                <w:b/>
              </w:rPr>
              <w:t>Age standardised rates</w:t>
            </w:r>
          </w:p>
        </w:tc>
        <w:tc>
          <w:tcPr>
            <w:tcW w:w="6521" w:type="dxa"/>
          </w:tcPr>
          <w:p w14:paraId="136826EC" w14:textId="4176DD44" w:rsidR="003C412A" w:rsidRPr="0000077F" w:rsidRDefault="003C412A" w:rsidP="000420EF">
            <w:pPr>
              <w:pStyle w:val="TableBodyNA"/>
            </w:pPr>
            <w:r w:rsidRPr="0000077F">
              <w:t xml:space="preserve">Age standardised rates enable comparisons to be made between populations that have different age structures. Age standardisation is often used when comparing the </w:t>
            </w:r>
            <w:r w:rsidR="00A51293">
              <w:t>Aboriginal and Torres Strait Islander</w:t>
            </w:r>
            <w:r w:rsidR="00A51293" w:rsidRPr="0000077F">
              <w:t xml:space="preserve"> </w:t>
            </w:r>
            <w:r w:rsidRPr="0000077F">
              <w:t>and non</w:t>
            </w:r>
            <w:r w:rsidR="00FA5150">
              <w:noBreakHyphen/>
            </w:r>
            <w:r w:rsidRPr="0000077F">
              <w:t xml:space="preserve">Indigenous populations because the </w:t>
            </w:r>
            <w:r w:rsidR="00A51293">
              <w:t>Aboriginal and Torres Strait Islander</w:t>
            </w:r>
            <w:r w:rsidR="00A51293" w:rsidRPr="0000077F">
              <w:t xml:space="preserve"> </w:t>
            </w:r>
            <w:r w:rsidRPr="0000077F">
              <w:t>population is younger than the non</w:t>
            </w:r>
            <w:r w:rsidR="00FA5150">
              <w:noBreakHyphen/>
            </w:r>
            <w:r w:rsidRPr="0000077F">
              <w:t xml:space="preserve">Indigenous population. Outcomes for some indicators are influenced by age, therefore, it is appropriate to age standardise the data when comparing the results. When comparisons are not being made between the two populations, the data are not age standardised. </w:t>
            </w:r>
          </w:p>
          <w:p w14:paraId="1DA9F996" w14:textId="77777777" w:rsidR="003C412A" w:rsidRPr="0000077F" w:rsidRDefault="003C412A" w:rsidP="000420EF">
            <w:pPr>
              <w:pStyle w:val="TableBodyNA"/>
            </w:pPr>
          </w:p>
        </w:tc>
      </w:tr>
      <w:tr w:rsidR="003C412A" w:rsidRPr="00D87AA9" w14:paraId="0CDB4111" w14:textId="77777777" w:rsidTr="000420EF">
        <w:trPr>
          <w:cantSplit/>
        </w:trPr>
        <w:tc>
          <w:tcPr>
            <w:tcW w:w="2268" w:type="dxa"/>
          </w:tcPr>
          <w:p w14:paraId="421B45C9" w14:textId="77777777" w:rsidR="003C412A" w:rsidRPr="000420EF" w:rsidRDefault="003C412A" w:rsidP="000420EF">
            <w:pPr>
              <w:pStyle w:val="TableBodyNA"/>
              <w:rPr>
                <w:b/>
              </w:rPr>
            </w:pPr>
            <w:r w:rsidRPr="000420EF">
              <w:rPr>
                <w:b/>
              </w:rPr>
              <w:t>International Classification of Diseases (ICD)</w:t>
            </w:r>
          </w:p>
        </w:tc>
        <w:tc>
          <w:tcPr>
            <w:tcW w:w="6521" w:type="dxa"/>
          </w:tcPr>
          <w:p w14:paraId="2B510F08" w14:textId="4696EF76" w:rsidR="003C412A" w:rsidRDefault="003C412A" w:rsidP="000420EF">
            <w:pPr>
              <w:pStyle w:val="TableBodyNA"/>
              <w:rPr>
                <w:bCs/>
              </w:rPr>
            </w:pPr>
            <w:r w:rsidRPr="00D87AA9">
              <w:rPr>
                <w:bCs/>
              </w:rPr>
              <w:t>ICD is the International Statistical Classification of Diseases and Related Health Problems, endorsed by the World Health Organization. It is primarily designed for the classification of diseases and injuries with a formal diagnosis. ICD</w:t>
            </w:r>
            <w:r w:rsidR="00FA5150">
              <w:rPr>
                <w:bCs/>
              </w:rPr>
              <w:noBreakHyphen/>
            </w:r>
            <w:r w:rsidRPr="00D87AA9">
              <w:rPr>
                <w:bCs/>
              </w:rPr>
              <w:t>10</w:t>
            </w:r>
            <w:r w:rsidR="00FA5150">
              <w:rPr>
                <w:bCs/>
              </w:rPr>
              <w:noBreakHyphen/>
            </w:r>
            <w:r w:rsidRPr="00D87AA9">
              <w:rPr>
                <w:bCs/>
              </w:rPr>
              <w:t>AM is the Australian modification of the tenth revision and was adopted for Australian use from 1 January 1999 (superseding ICD</w:t>
            </w:r>
            <w:r w:rsidR="00FA5150">
              <w:rPr>
                <w:bCs/>
              </w:rPr>
              <w:noBreakHyphen/>
            </w:r>
            <w:r w:rsidRPr="00D87AA9">
              <w:rPr>
                <w:bCs/>
              </w:rPr>
              <w:t>9).</w:t>
            </w:r>
          </w:p>
          <w:p w14:paraId="5FBA65AB" w14:textId="77777777" w:rsidR="003C412A" w:rsidRPr="00D87AA9" w:rsidRDefault="003C412A" w:rsidP="000420EF">
            <w:pPr>
              <w:pStyle w:val="TableBodyNA"/>
            </w:pPr>
          </w:p>
        </w:tc>
      </w:tr>
      <w:tr w:rsidR="003C412A" w:rsidRPr="00D87AA9" w14:paraId="5CE786C4" w14:textId="77777777" w:rsidTr="000420EF">
        <w:trPr>
          <w:cantSplit/>
        </w:trPr>
        <w:tc>
          <w:tcPr>
            <w:tcW w:w="2268" w:type="dxa"/>
          </w:tcPr>
          <w:p w14:paraId="3FFEFF0A" w14:textId="77777777" w:rsidR="003C412A" w:rsidRPr="000420EF" w:rsidRDefault="003C412A" w:rsidP="000420EF">
            <w:pPr>
              <w:pStyle w:val="TableBodyNA"/>
              <w:rPr>
                <w:b/>
              </w:rPr>
            </w:pPr>
            <w:r w:rsidRPr="000420EF">
              <w:rPr>
                <w:b/>
              </w:rPr>
              <w:t>Indigenous</w:t>
            </w:r>
          </w:p>
        </w:tc>
        <w:tc>
          <w:tcPr>
            <w:tcW w:w="6521" w:type="dxa"/>
          </w:tcPr>
          <w:p w14:paraId="348AFC8C" w14:textId="77777777" w:rsidR="003C412A" w:rsidRDefault="003C412A" w:rsidP="000420EF">
            <w:pPr>
              <w:pStyle w:val="TableBodyNA"/>
            </w:pPr>
            <w:r w:rsidRPr="00D87AA9">
              <w:t>A person who identifies as, or who is identified as being of</w:t>
            </w:r>
            <w:r w:rsidR="00D62D4D">
              <w:t>,</w:t>
            </w:r>
            <w:r w:rsidRPr="00D87AA9">
              <w:t xml:space="preserve"> Aboriginal and/or Torres Strait Islander origin.</w:t>
            </w:r>
          </w:p>
          <w:p w14:paraId="53075F80" w14:textId="77777777" w:rsidR="003C412A" w:rsidRPr="007B1817" w:rsidRDefault="003C412A" w:rsidP="000420EF">
            <w:pPr>
              <w:pStyle w:val="TableBodyNA"/>
              <w:rPr>
                <w:b/>
              </w:rPr>
            </w:pPr>
          </w:p>
        </w:tc>
      </w:tr>
      <w:tr w:rsidR="003C412A" w:rsidRPr="00D87AA9" w14:paraId="4C79C037" w14:textId="77777777" w:rsidTr="000420EF">
        <w:trPr>
          <w:cantSplit/>
        </w:trPr>
        <w:tc>
          <w:tcPr>
            <w:tcW w:w="2268" w:type="dxa"/>
          </w:tcPr>
          <w:p w14:paraId="392A022B" w14:textId="77777777" w:rsidR="003C412A" w:rsidRPr="000420EF" w:rsidRDefault="003C412A" w:rsidP="000420EF">
            <w:pPr>
              <w:pStyle w:val="TableBodyNA"/>
              <w:rPr>
                <w:b/>
              </w:rPr>
            </w:pPr>
            <w:r w:rsidRPr="000420EF">
              <w:rPr>
                <w:b/>
              </w:rPr>
              <w:t>Indigenous status not stated/Indigenous status unknown</w:t>
            </w:r>
          </w:p>
          <w:p w14:paraId="1BA1F3DB" w14:textId="77777777" w:rsidR="003C412A" w:rsidRPr="000420EF" w:rsidRDefault="003C412A" w:rsidP="000420EF">
            <w:pPr>
              <w:pStyle w:val="TableBodyNA"/>
              <w:rPr>
                <w:b/>
              </w:rPr>
            </w:pPr>
          </w:p>
        </w:tc>
        <w:tc>
          <w:tcPr>
            <w:tcW w:w="6521" w:type="dxa"/>
          </w:tcPr>
          <w:p w14:paraId="2F14CFEF" w14:textId="77777777" w:rsidR="003C412A" w:rsidRPr="00D87AA9" w:rsidRDefault="003C412A" w:rsidP="000420EF">
            <w:pPr>
              <w:pStyle w:val="TableBodyNA"/>
            </w:pPr>
            <w:r w:rsidRPr="00D87AA9">
              <w:rPr>
                <w:snapToGrid w:val="0"/>
                <w:lang w:val="en-US"/>
              </w:rPr>
              <w:t xml:space="preserve">Where a person’s </w:t>
            </w:r>
            <w:r w:rsidR="00A51293">
              <w:t>Aboriginal and Torres Strait Islander</w:t>
            </w:r>
            <w:r w:rsidR="00A51293" w:rsidRPr="00D87AA9">
              <w:rPr>
                <w:snapToGrid w:val="0"/>
                <w:lang w:val="en-US"/>
              </w:rPr>
              <w:t xml:space="preserve"> </w:t>
            </w:r>
            <w:r w:rsidRPr="00D87AA9">
              <w:rPr>
                <w:snapToGrid w:val="0"/>
                <w:lang w:val="en-US"/>
              </w:rPr>
              <w:t>origin has either not been asked or not recorded.</w:t>
            </w:r>
          </w:p>
        </w:tc>
      </w:tr>
      <w:tr w:rsidR="003C412A" w:rsidRPr="00D87AA9" w14:paraId="65570C78" w14:textId="77777777" w:rsidTr="000420EF">
        <w:trPr>
          <w:cantSplit/>
        </w:trPr>
        <w:tc>
          <w:tcPr>
            <w:tcW w:w="2268" w:type="dxa"/>
          </w:tcPr>
          <w:p w14:paraId="75CFE740" w14:textId="77777777" w:rsidR="003C412A" w:rsidRPr="000420EF" w:rsidRDefault="003C412A" w:rsidP="000420EF">
            <w:pPr>
              <w:pStyle w:val="TableBodyNA"/>
              <w:rPr>
                <w:b/>
              </w:rPr>
            </w:pPr>
            <w:r w:rsidRPr="000420EF">
              <w:rPr>
                <w:b/>
              </w:rPr>
              <w:t>Infant mortality</w:t>
            </w:r>
          </w:p>
        </w:tc>
        <w:tc>
          <w:tcPr>
            <w:tcW w:w="6521" w:type="dxa"/>
          </w:tcPr>
          <w:p w14:paraId="289C9691" w14:textId="77777777" w:rsidR="003C412A" w:rsidRDefault="003C412A" w:rsidP="000420EF">
            <w:pPr>
              <w:pStyle w:val="TableBodyNA"/>
            </w:pPr>
            <w:r w:rsidRPr="00D87AA9">
              <w:t>Deaths of children between birth and exactly one year of age.</w:t>
            </w:r>
          </w:p>
          <w:p w14:paraId="24B2403C" w14:textId="41A870CF" w:rsidR="000420EF" w:rsidRPr="00D87AA9" w:rsidRDefault="000420EF" w:rsidP="000420EF">
            <w:pPr>
              <w:pStyle w:val="TableBodyNA"/>
            </w:pPr>
          </w:p>
        </w:tc>
      </w:tr>
      <w:tr w:rsidR="003C412A" w:rsidRPr="00D87AA9" w14:paraId="1933D5CB" w14:textId="77777777" w:rsidTr="000420EF">
        <w:trPr>
          <w:cantSplit/>
        </w:trPr>
        <w:tc>
          <w:tcPr>
            <w:tcW w:w="2268" w:type="dxa"/>
          </w:tcPr>
          <w:p w14:paraId="57864D28" w14:textId="77777777" w:rsidR="003C412A" w:rsidRPr="000420EF" w:rsidRDefault="003C412A" w:rsidP="000420EF">
            <w:pPr>
              <w:pStyle w:val="TableBodyNA"/>
              <w:rPr>
                <w:b/>
              </w:rPr>
            </w:pPr>
            <w:r w:rsidRPr="000420EF">
              <w:rPr>
                <w:b/>
              </w:rPr>
              <w:t>Inner regional</w:t>
            </w:r>
          </w:p>
        </w:tc>
        <w:tc>
          <w:tcPr>
            <w:tcW w:w="6521" w:type="dxa"/>
          </w:tcPr>
          <w:p w14:paraId="1A4909FA" w14:textId="77777777" w:rsidR="003C412A" w:rsidRDefault="003C412A" w:rsidP="000420EF">
            <w:pPr>
              <w:pStyle w:val="TableBodyNA"/>
            </w:pPr>
            <w:r w:rsidRPr="00D87AA9">
              <w:t>See ‘remoteness areas’.</w:t>
            </w:r>
          </w:p>
          <w:p w14:paraId="0F465B93" w14:textId="75FC9E78" w:rsidR="000420EF" w:rsidRPr="00D87AA9" w:rsidRDefault="000420EF" w:rsidP="000420EF">
            <w:pPr>
              <w:pStyle w:val="TableBodyNA"/>
            </w:pPr>
          </w:p>
        </w:tc>
      </w:tr>
      <w:tr w:rsidR="003C412A" w:rsidRPr="00D87AA9" w14:paraId="6C5B6A0F" w14:textId="77777777" w:rsidTr="000420EF">
        <w:trPr>
          <w:cantSplit/>
        </w:trPr>
        <w:tc>
          <w:tcPr>
            <w:tcW w:w="2268" w:type="dxa"/>
          </w:tcPr>
          <w:p w14:paraId="749D99D8" w14:textId="77777777" w:rsidR="003C412A" w:rsidRPr="000420EF" w:rsidRDefault="003C412A" w:rsidP="000420EF">
            <w:pPr>
              <w:pStyle w:val="TableBodyNA"/>
              <w:rPr>
                <w:b/>
              </w:rPr>
            </w:pPr>
            <w:r w:rsidRPr="000420EF">
              <w:rPr>
                <w:b/>
              </w:rPr>
              <w:t>Jurisdiction</w:t>
            </w:r>
          </w:p>
        </w:tc>
        <w:tc>
          <w:tcPr>
            <w:tcW w:w="6521" w:type="dxa"/>
          </w:tcPr>
          <w:p w14:paraId="5D23F026" w14:textId="77777777" w:rsidR="003C412A" w:rsidRDefault="003C412A" w:rsidP="000420EF">
            <w:pPr>
              <w:pStyle w:val="TableBodyNA"/>
            </w:pPr>
            <w:r w:rsidRPr="00D87AA9">
              <w:t xml:space="preserve">The Australian Government or a </w:t>
            </w:r>
            <w:r>
              <w:t>State</w:t>
            </w:r>
            <w:r w:rsidRPr="00D87AA9">
              <w:t xml:space="preserve"> or Territory </w:t>
            </w:r>
            <w:r w:rsidR="00D62D4D">
              <w:t>g</w:t>
            </w:r>
            <w:r w:rsidRPr="00D87AA9">
              <w:t>overnment and areas that it has legal authority over.</w:t>
            </w:r>
          </w:p>
          <w:p w14:paraId="46C0C53C" w14:textId="77777777" w:rsidR="003C412A" w:rsidRPr="007B1817" w:rsidRDefault="003C412A" w:rsidP="000420EF">
            <w:pPr>
              <w:pStyle w:val="TableBodyNA"/>
              <w:rPr>
                <w:b/>
              </w:rPr>
            </w:pPr>
          </w:p>
        </w:tc>
      </w:tr>
      <w:tr w:rsidR="003C412A" w:rsidRPr="00D87AA9" w14:paraId="7824B6AC" w14:textId="77777777" w:rsidTr="000420EF">
        <w:trPr>
          <w:cantSplit/>
        </w:trPr>
        <w:tc>
          <w:tcPr>
            <w:tcW w:w="2268" w:type="dxa"/>
          </w:tcPr>
          <w:p w14:paraId="0A00A46F" w14:textId="77777777" w:rsidR="003C412A" w:rsidRPr="000420EF" w:rsidRDefault="003C412A" w:rsidP="000420EF">
            <w:pPr>
              <w:pStyle w:val="TableBodyNA"/>
              <w:rPr>
                <w:b/>
              </w:rPr>
            </w:pPr>
            <w:r w:rsidRPr="000420EF">
              <w:rPr>
                <w:b/>
              </w:rPr>
              <w:t>Major cities</w:t>
            </w:r>
          </w:p>
        </w:tc>
        <w:tc>
          <w:tcPr>
            <w:tcW w:w="6521" w:type="dxa"/>
          </w:tcPr>
          <w:p w14:paraId="7F10725D" w14:textId="77777777" w:rsidR="003C412A" w:rsidRDefault="003C412A" w:rsidP="000420EF">
            <w:pPr>
              <w:pStyle w:val="TableBodyNA"/>
            </w:pPr>
            <w:r w:rsidRPr="00D87AA9">
              <w:t>See ‘remoteness areas’.</w:t>
            </w:r>
          </w:p>
          <w:p w14:paraId="7EBB7281" w14:textId="775869A9" w:rsidR="000420EF" w:rsidRPr="00D87AA9" w:rsidRDefault="000420EF" w:rsidP="000420EF">
            <w:pPr>
              <w:pStyle w:val="TableBodyNA"/>
            </w:pPr>
          </w:p>
        </w:tc>
      </w:tr>
      <w:tr w:rsidR="003C412A" w:rsidRPr="00D87AA9" w14:paraId="0D08A37F" w14:textId="77777777" w:rsidTr="000420EF">
        <w:trPr>
          <w:cantSplit/>
        </w:trPr>
        <w:tc>
          <w:tcPr>
            <w:tcW w:w="2268" w:type="dxa"/>
          </w:tcPr>
          <w:p w14:paraId="3380CF68" w14:textId="77777777" w:rsidR="003C412A" w:rsidRPr="000420EF" w:rsidRDefault="003C412A" w:rsidP="000420EF">
            <w:pPr>
              <w:pStyle w:val="TableBodyNA"/>
              <w:rPr>
                <w:b/>
              </w:rPr>
            </w:pPr>
            <w:r w:rsidRPr="000420EF">
              <w:rPr>
                <w:b/>
              </w:rPr>
              <w:t>Metadata</w:t>
            </w:r>
          </w:p>
        </w:tc>
        <w:tc>
          <w:tcPr>
            <w:tcW w:w="6521" w:type="dxa"/>
          </w:tcPr>
          <w:p w14:paraId="6FA1AA69" w14:textId="77777777" w:rsidR="003C412A" w:rsidRPr="0006465D" w:rsidRDefault="003C412A" w:rsidP="000420EF">
            <w:pPr>
              <w:pStyle w:val="TableBodyNA"/>
            </w:pPr>
            <w:r w:rsidRPr="0006465D">
              <w:t>Metadata is the underlying definition or structured description of the content, quality, condition or other characteristics of data.</w:t>
            </w:r>
          </w:p>
          <w:p w14:paraId="281371FC" w14:textId="77777777" w:rsidR="003C412A" w:rsidRPr="0006465D" w:rsidRDefault="003C412A" w:rsidP="000420EF">
            <w:pPr>
              <w:pStyle w:val="TableBodyNA"/>
            </w:pPr>
          </w:p>
        </w:tc>
      </w:tr>
      <w:tr w:rsidR="003C412A" w:rsidRPr="00D87AA9" w14:paraId="2507D894" w14:textId="77777777" w:rsidTr="000420EF">
        <w:trPr>
          <w:cantSplit/>
        </w:trPr>
        <w:tc>
          <w:tcPr>
            <w:tcW w:w="2268" w:type="dxa"/>
          </w:tcPr>
          <w:p w14:paraId="1F74F589" w14:textId="61BDC1B9" w:rsidR="003C412A" w:rsidRPr="000420EF" w:rsidRDefault="003C412A" w:rsidP="000420EF">
            <w:pPr>
              <w:pStyle w:val="TableBodyNA"/>
              <w:rPr>
                <w:b/>
              </w:rPr>
            </w:pPr>
            <w:r w:rsidRPr="000420EF">
              <w:rPr>
                <w:b/>
              </w:rPr>
              <w:t>Non</w:t>
            </w:r>
            <w:r w:rsidR="00FA5150">
              <w:rPr>
                <w:b/>
              </w:rPr>
              <w:noBreakHyphen/>
            </w:r>
            <w:r w:rsidRPr="000420EF">
              <w:rPr>
                <w:b/>
              </w:rPr>
              <w:t>Indigenous</w:t>
            </w:r>
          </w:p>
        </w:tc>
        <w:tc>
          <w:tcPr>
            <w:tcW w:w="6521" w:type="dxa"/>
          </w:tcPr>
          <w:p w14:paraId="64FC5DA9" w14:textId="77777777" w:rsidR="003C412A" w:rsidRDefault="003C412A" w:rsidP="000420EF">
            <w:pPr>
              <w:pStyle w:val="TableBodyNA"/>
            </w:pPr>
            <w:r w:rsidRPr="00D87AA9">
              <w:t xml:space="preserve">A person who is not identified as being of Aboriginal and/or Torres Strait Islander origin. </w:t>
            </w:r>
          </w:p>
          <w:p w14:paraId="40A214E1" w14:textId="77777777" w:rsidR="003C412A" w:rsidRPr="00D87AA9" w:rsidRDefault="003C412A" w:rsidP="000420EF">
            <w:pPr>
              <w:pStyle w:val="TableBodyNA"/>
            </w:pPr>
          </w:p>
        </w:tc>
      </w:tr>
      <w:tr w:rsidR="003C412A" w:rsidRPr="00D87AA9" w14:paraId="6849DF49" w14:textId="77777777" w:rsidTr="000420EF">
        <w:trPr>
          <w:cantSplit/>
        </w:trPr>
        <w:tc>
          <w:tcPr>
            <w:tcW w:w="2268" w:type="dxa"/>
          </w:tcPr>
          <w:p w14:paraId="390C5B44" w14:textId="562B2A98" w:rsidR="003C412A" w:rsidRPr="000420EF" w:rsidRDefault="003C412A" w:rsidP="000420EF">
            <w:pPr>
              <w:pStyle w:val="TableBodyNA"/>
              <w:rPr>
                <w:b/>
              </w:rPr>
            </w:pPr>
            <w:r w:rsidRPr="000420EF">
              <w:rPr>
                <w:b/>
              </w:rPr>
              <w:t>Non</w:t>
            </w:r>
            <w:r w:rsidR="00FA5150">
              <w:rPr>
                <w:b/>
              </w:rPr>
              <w:noBreakHyphen/>
            </w:r>
            <w:r w:rsidRPr="000420EF">
              <w:rPr>
                <w:b/>
              </w:rPr>
              <w:t>school qualification</w:t>
            </w:r>
          </w:p>
        </w:tc>
        <w:tc>
          <w:tcPr>
            <w:tcW w:w="6521" w:type="dxa"/>
          </w:tcPr>
          <w:p w14:paraId="2A160DB5" w14:textId="1FFCE365" w:rsidR="003C412A" w:rsidRDefault="003C412A" w:rsidP="000420EF">
            <w:pPr>
              <w:pStyle w:val="TableBodyNA"/>
            </w:pPr>
            <w:r w:rsidRPr="00D87AA9">
              <w:t>Educational attainments other than pre</w:t>
            </w:r>
            <w:r w:rsidR="00FA5150">
              <w:noBreakHyphen/>
            </w:r>
            <w:r w:rsidRPr="00D87AA9">
              <w:t>primary, primary or secondary school.</w:t>
            </w:r>
          </w:p>
          <w:p w14:paraId="2B188F9A" w14:textId="77777777" w:rsidR="003C412A" w:rsidRPr="00D87AA9" w:rsidRDefault="003C412A" w:rsidP="000420EF">
            <w:pPr>
              <w:pStyle w:val="TableBodyNA"/>
            </w:pPr>
          </w:p>
        </w:tc>
      </w:tr>
      <w:tr w:rsidR="003C412A" w:rsidRPr="00D87AA9" w14:paraId="4F27BE49" w14:textId="77777777" w:rsidTr="000420EF">
        <w:trPr>
          <w:cantSplit/>
        </w:trPr>
        <w:tc>
          <w:tcPr>
            <w:tcW w:w="2268" w:type="dxa"/>
          </w:tcPr>
          <w:p w14:paraId="7507D346" w14:textId="46DC5C7B" w:rsidR="003C412A" w:rsidRPr="000420EF" w:rsidRDefault="003C412A" w:rsidP="000420EF">
            <w:pPr>
              <w:pStyle w:val="TableBodyNA"/>
              <w:rPr>
                <w:b/>
              </w:rPr>
            </w:pPr>
            <w:r w:rsidRPr="000420EF">
              <w:rPr>
                <w:b/>
              </w:rPr>
              <w:t>Non</w:t>
            </w:r>
            <w:r w:rsidR="00FA5150">
              <w:rPr>
                <w:b/>
              </w:rPr>
              <w:noBreakHyphen/>
            </w:r>
            <w:r w:rsidRPr="000420EF">
              <w:rPr>
                <w:b/>
              </w:rPr>
              <w:t>remote</w:t>
            </w:r>
          </w:p>
        </w:tc>
        <w:tc>
          <w:tcPr>
            <w:tcW w:w="6521" w:type="dxa"/>
          </w:tcPr>
          <w:p w14:paraId="350062FB" w14:textId="77777777" w:rsidR="003C412A" w:rsidRDefault="003C412A" w:rsidP="000420EF">
            <w:pPr>
              <w:pStyle w:val="TableBodyNA"/>
            </w:pPr>
            <w:r w:rsidRPr="00D87AA9">
              <w:t>See ‘remoteness areas’.</w:t>
            </w:r>
          </w:p>
          <w:p w14:paraId="06F0638D" w14:textId="15DA7334" w:rsidR="000420EF" w:rsidRPr="00D87AA9" w:rsidRDefault="000420EF" w:rsidP="000420EF">
            <w:pPr>
              <w:pStyle w:val="TableBodyNA"/>
            </w:pPr>
          </w:p>
        </w:tc>
      </w:tr>
      <w:tr w:rsidR="003C412A" w:rsidRPr="00D87AA9" w14:paraId="383009C9" w14:textId="77777777" w:rsidTr="000420EF">
        <w:trPr>
          <w:cantSplit/>
        </w:trPr>
        <w:tc>
          <w:tcPr>
            <w:tcW w:w="2268" w:type="dxa"/>
          </w:tcPr>
          <w:p w14:paraId="42BBDAD9" w14:textId="0E67D0CC" w:rsidR="003C412A" w:rsidRPr="000420EF" w:rsidRDefault="003C412A" w:rsidP="000420EF">
            <w:pPr>
              <w:pStyle w:val="TableBodyNA"/>
              <w:rPr>
                <w:b/>
              </w:rPr>
            </w:pPr>
            <w:r w:rsidRPr="000420EF">
              <w:rPr>
                <w:b/>
              </w:rPr>
              <w:lastRenderedPageBreak/>
              <w:t>Other Australians</w:t>
            </w:r>
          </w:p>
        </w:tc>
        <w:tc>
          <w:tcPr>
            <w:tcW w:w="6521" w:type="dxa"/>
          </w:tcPr>
          <w:p w14:paraId="3BC798FD" w14:textId="0E9A6753" w:rsidR="003C412A" w:rsidRDefault="003C412A" w:rsidP="000420EF">
            <w:pPr>
              <w:pStyle w:val="TableBodyNA"/>
            </w:pPr>
            <w:r>
              <w:t>Data with</w:t>
            </w:r>
            <w:r w:rsidRPr="0038020D">
              <w:t xml:space="preserve"> ‘not stated/inadequately described’ Indigenous status </w:t>
            </w:r>
            <w:r>
              <w:t>that have been</w:t>
            </w:r>
            <w:r w:rsidRPr="0038020D">
              <w:t xml:space="preserve"> combined with </w:t>
            </w:r>
            <w:r>
              <w:t>data</w:t>
            </w:r>
            <w:r w:rsidRPr="0038020D">
              <w:t xml:space="preserve"> for ‘non</w:t>
            </w:r>
            <w:r w:rsidR="00FA5150">
              <w:noBreakHyphen/>
            </w:r>
            <w:r w:rsidRPr="0038020D">
              <w:t xml:space="preserve">Indigenous Australians’ </w:t>
            </w:r>
            <w:r>
              <w:t>are</w:t>
            </w:r>
            <w:r w:rsidRPr="0038020D">
              <w:t xml:space="preserve"> reported under the category ‘Other Australians’</w:t>
            </w:r>
            <w:r w:rsidR="003D4A62">
              <w:t xml:space="preserve"> for ABS and AIHW data sets</w:t>
            </w:r>
            <w:r w:rsidRPr="0038020D">
              <w:t xml:space="preserve">. See </w:t>
            </w:r>
            <w:r>
              <w:t xml:space="preserve">associated </w:t>
            </w:r>
            <w:r w:rsidRPr="0038020D">
              <w:t>data quality statement</w:t>
            </w:r>
            <w:r>
              <w:t>s</w:t>
            </w:r>
            <w:r w:rsidRPr="0038020D">
              <w:t xml:space="preserve"> for further information.</w:t>
            </w:r>
          </w:p>
          <w:p w14:paraId="7344F9CC" w14:textId="77777777" w:rsidR="003C412A" w:rsidRPr="0038020D" w:rsidRDefault="003C412A" w:rsidP="000420EF">
            <w:pPr>
              <w:pStyle w:val="TableBodyNA"/>
            </w:pPr>
          </w:p>
        </w:tc>
      </w:tr>
      <w:tr w:rsidR="003C412A" w:rsidRPr="00D87AA9" w14:paraId="3F373A30" w14:textId="77777777" w:rsidTr="000420EF">
        <w:trPr>
          <w:cantSplit/>
        </w:trPr>
        <w:tc>
          <w:tcPr>
            <w:tcW w:w="2268" w:type="dxa"/>
          </w:tcPr>
          <w:p w14:paraId="25F43578" w14:textId="75CAAF23" w:rsidR="003C412A" w:rsidRPr="000420EF" w:rsidRDefault="003C412A" w:rsidP="000420EF">
            <w:pPr>
              <w:pStyle w:val="TableBodyNA"/>
              <w:rPr>
                <w:b/>
              </w:rPr>
            </w:pPr>
            <w:r w:rsidRPr="000420EF">
              <w:rPr>
                <w:b/>
              </w:rPr>
              <w:t>Outer regional</w:t>
            </w:r>
          </w:p>
        </w:tc>
        <w:tc>
          <w:tcPr>
            <w:tcW w:w="6521" w:type="dxa"/>
          </w:tcPr>
          <w:p w14:paraId="24B40115" w14:textId="77777777" w:rsidR="003C412A" w:rsidRDefault="003C412A" w:rsidP="000420EF">
            <w:pPr>
              <w:pStyle w:val="TableBodyNA"/>
            </w:pPr>
            <w:r w:rsidRPr="00D87AA9">
              <w:t>See ‘remoteness areas’.</w:t>
            </w:r>
          </w:p>
          <w:p w14:paraId="289A36DB" w14:textId="77777777" w:rsidR="003C412A" w:rsidRPr="00D87AA9" w:rsidRDefault="003C412A" w:rsidP="000420EF">
            <w:pPr>
              <w:pStyle w:val="TableBodyNA"/>
            </w:pPr>
          </w:p>
        </w:tc>
      </w:tr>
      <w:tr w:rsidR="003C412A" w:rsidRPr="00D87AA9" w14:paraId="29347D11" w14:textId="77777777" w:rsidTr="000420EF">
        <w:trPr>
          <w:cantSplit/>
        </w:trPr>
        <w:tc>
          <w:tcPr>
            <w:tcW w:w="2268" w:type="dxa"/>
          </w:tcPr>
          <w:p w14:paraId="44C019FB" w14:textId="77777777" w:rsidR="003C412A" w:rsidRPr="000420EF" w:rsidRDefault="003C412A" w:rsidP="000420EF">
            <w:pPr>
              <w:pStyle w:val="TableBodyNA"/>
              <w:rPr>
                <w:b/>
              </w:rPr>
            </w:pPr>
            <w:r w:rsidRPr="000420EF">
              <w:rPr>
                <w:b/>
              </w:rPr>
              <w:t>Perinatal mortality</w:t>
            </w:r>
          </w:p>
        </w:tc>
        <w:tc>
          <w:tcPr>
            <w:tcW w:w="6521" w:type="dxa"/>
          </w:tcPr>
          <w:p w14:paraId="18B18428" w14:textId="77777777" w:rsidR="003C412A" w:rsidRDefault="003C412A" w:rsidP="000420EF">
            <w:pPr>
              <w:pStyle w:val="TableBodyNA"/>
            </w:pPr>
            <w:r>
              <w:t xml:space="preserve">Death of a baby within 28 days of birth (neonatal death) or of a fetus (unborn child) of at least 20 completed weeks of gestation or with a </w:t>
            </w:r>
            <w:r w:rsidR="00293E8B">
              <w:t>birth weight</w:t>
            </w:r>
            <w:r>
              <w:t xml:space="preserve"> of at least 400 grams.</w:t>
            </w:r>
          </w:p>
          <w:p w14:paraId="6D27C16E" w14:textId="77777777" w:rsidR="003C412A" w:rsidRPr="00D87AA9" w:rsidRDefault="003C412A" w:rsidP="000420EF">
            <w:pPr>
              <w:pStyle w:val="TableBodyNA"/>
            </w:pPr>
          </w:p>
        </w:tc>
      </w:tr>
      <w:tr w:rsidR="003C412A" w:rsidRPr="00D87AA9" w14:paraId="6289C49D" w14:textId="77777777" w:rsidTr="000420EF">
        <w:trPr>
          <w:cantSplit/>
        </w:trPr>
        <w:tc>
          <w:tcPr>
            <w:tcW w:w="2268" w:type="dxa"/>
          </w:tcPr>
          <w:p w14:paraId="5DAEC26D" w14:textId="77777777" w:rsidR="003C412A" w:rsidRPr="000420EF" w:rsidRDefault="003C412A" w:rsidP="000420EF">
            <w:pPr>
              <w:pStyle w:val="TableBodyNA"/>
              <w:rPr>
                <w:b/>
              </w:rPr>
            </w:pPr>
            <w:r w:rsidRPr="000420EF">
              <w:rPr>
                <w:b/>
              </w:rPr>
              <w:t>Preschool</w:t>
            </w:r>
          </w:p>
        </w:tc>
        <w:tc>
          <w:tcPr>
            <w:tcW w:w="6521" w:type="dxa"/>
          </w:tcPr>
          <w:p w14:paraId="1465B3DB" w14:textId="2EA77184" w:rsidR="003C412A" w:rsidRDefault="003C412A" w:rsidP="000420EF">
            <w:pPr>
              <w:pStyle w:val="TableBodyNA"/>
            </w:pPr>
            <w:r w:rsidRPr="00047A51">
              <w:t>A preschool program is a structured, play</w:t>
            </w:r>
            <w:r w:rsidR="00FA5150">
              <w:noBreakHyphen/>
            </w:r>
            <w:r w:rsidRPr="00047A51">
              <w:t>based learning program delivered by a degree qualified teacher, primarily aimed at children in the year or two before they commence full</w:t>
            </w:r>
            <w:r w:rsidR="00FA5150">
              <w:noBreakHyphen/>
            </w:r>
            <w:r w:rsidRPr="00047A51">
              <w:t xml:space="preserve">time schooling, </w:t>
            </w:r>
            <w:r>
              <w:t>i</w:t>
            </w:r>
            <w:r w:rsidRPr="00047A51">
              <w:t>rrespective of the type of institution that provides it or whether it is government funded or privately provided</w:t>
            </w:r>
            <w:r>
              <w:t xml:space="preserve">. Programs may be delivered in a variety of service settings including separate preschools or kindergartens, long day care centres, in association with a school etc. </w:t>
            </w:r>
            <w:r w:rsidRPr="00047A51">
              <w:t>Alternative terms currently used for preschool in some jurisdictions include ‘kindergarten’, ‘pre</w:t>
            </w:r>
            <w:r w:rsidR="00FA5150">
              <w:noBreakHyphen/>
            </w:r>
            <w:r w:rsidRPr="00047A51">
              <w:t>prep’ and ‘reception’.</w:t>
            </w:r>
          </w:p>
          <w:p w14:paraId="1CB18D63" w14:textId="77777777" w:rsidR="003C412A" w:rsidRPr="00047A51" w:rsidRDefault="003C412A" w:rsidP="000420EF">
            <w:pPr>
              <w:pStyle w:val="TableBodyNA"/>
            </w:pPr>
          </w:p>
        </w:tc>
      </w:tr>
      <w:tr w:rsidR="003C412A" w:rsidRPr="00D87AA9" w14:paraId="5EDFE9A7" w14:textId="77777777" w:rsidTr="000420EF">
        <w:trPr>
          <w:cantSplit/>
        </w:trPr>
        <w:tc>
          <w:tcPr>
            <w:tcW w:w="2268" w:type="dxa"/>
          </w:tcPr>
          <w:p w14:paraId="5A4896F9" w14:textId="77777777" w:rsidR="003C412A" w:rsidRPr="000420EF" w:rsidRDefault="003C412A" w:rsidP="000420EF">
            <w:pPr>
              <w:pStyle w:val="TableBodyNA"/>
              <w:rPr>
                <w:b/>
              </w:rPr>
            </w:pPr>
            <w:r w:rsidRPr="000420EF">
              <w:rPr>
                <w:b/>
              </w:rPr>
              <w:t>Rate difference</w:t>
            </w:r>
          </w:p>
          <w:p w14:paraId="2DD4A36D" w14:textId="77777777" w:rsidR="003C412A" w:rsidRPr="000420EF" w:rsidRDefault="003C412A" w:rsidP="000420EF">
            <w:pPr>
              <w:pStyle w:val="TableBodyNA"/>
              <w:rPr>
                <w:b/>
              </w:rPr>
            </w:pPr>
          </w:p>
        </w:tc>
        <w:tc>
          <w:tcPr>
            <w:tcW w:w="6521" w:type="dxa"/>
          </w:tcPr>
          <w:p w14:paraId="518E65B0" w14:textId="59B9F6FB" w:rsidR="003C412A" w:rsidRPr="00E61DBA" w:rsidRDefault="003C412A" w:rsidP="000420EF">
            <w:pPr>
              <w:pStyle w:val="TableBodyNA"/>
            </w:pPr>
            <w:r>
              <w:t xml:space="preserve">The rate difference is the rate for the </w:t>
            </w:r>
            <w:r w:rsidR="00A51293">
              <w:t xml:space="preserve">Aboriginal and Torres Strait Islander </w:t>
            </w:r>
            <w:r>
              <w:t>population minus the rate for the non</w:t>
            </w:r>
            <w:r w:rsidR="00FA5150">
              <w:noBreakHyphen/>
            </w:r>
            <w:r>
              <w:t>Indigenous population.</w:t>
            </w:r>
          </w:p>
        </w:tc>
      </w:tr>
      <w:tr w:rsidR="003C412A" w:rsidRPr="00D87AA9" w14:paraId="1856B709" w14:textId="77777777" w:rsidTr="000420EF">
        <w:trPr>
          <w:cantSplit/>
        </w:trPr>
        <w:tc>
          <w:tcPr>
            <w:tcW w:w="2268" w:type="dxa"/>
          </w:tcPr>
          <w:p w14:paraId="2D8C6DA1" w14:textId="77777777" w:rsidR="003C412A" w:rsidRPr="000420EF" w:rsidRDefault="003C412A" w:rsidP="000420EF">
            <w:pPr>
              <w:pStyle w:val="TableBodyNA"/>
              <w:rPr>
                <w:b/>
              </w:rPr>
            </w:pPr>
            <w:r w:rsidRPr="000420EF">
              <w:rPr>
                <w:b/>
              </w:rPr>
              <w:t>Rate ratio</w:t>
            </w:r>
          </w:p>
        </w:tc>
        <w:tc>
          <w:tcPr>
            <w:tcW w:w="6521" w:type="dxa"/>
          </w:tcPr>
          <w:p w14:paraId="7F5687A3" w14:textId="44B815CE" w:rsidR="003C412A" w:rsidRDefault="003C412A" w:rsidP="000420EF">
            <w:pPr>
              <w:pStyle w:val="TableBodyNA"/>
            </w:pPr>
            <w:r w:rsidRPr="00E61DBA">
              <w:t xml:space="preserve">The rate ratio is the rate for the </w:t>
            </w:r>
            <w:r w:rsidR="00A51293">
              <w:t>Aboriginal and Torres Strait Islander</w:t>
            </w:r>
            <w:r w:rsidR="00A51293" w:rsidRPr="00E61DBA">
              <w:t xml:space="preserve"> </w:t>
            </w:r>
            <w:r w:rsidRPr="00E61DBA">
              <w:t>population divided by the rate for the non</w:t>
            </w:r>
            <w:r w:rsidR="00FA5150">
              <w:noBreakHyphen/>
            </w:r>
            <w:r w:rsidRPr="00E61DBA">
              <w:t xml:space="preserve">Indigenous population. See ‘relative </w:t>
            </w:r>
            <w:r w:rsidR="00A51293">
              <w:t>Aboriginal and Torres Strait Islander</w:t>
            </w:r>
            <w:r w:rsidR="00A51293" w:rsidRPr="00E61DBA">
              <w:t xml:space="preserve"> </w:t>
            </w:r>
            <w:r w:rsidRPr="00E61DBA">
              <w:t>disadvantage’.</w:t>
            </w:r>
          </w:p>
          <w:p w14:paraId="359E635D" w14:textId="77777777" w:rsidR="003C412A" w:rsidRPr="00D87AA9" w:rsidRDefault="003C412A" w:rsidP="000420EF">
            <w:pPr>
              <w:pStyle w:val="TableBodyNA"/>
            </w:pPr>
          </w:p>
        </w:tc>
      </w:tr>
      <w:tr w:rsidR="003C412A" w:rsidRPr="00D87AA9" w14:paraId="7A3C4217" w14:textId="77777777" w:rsidTr="000420EF">
        <w:trPr>
          <w:cantSplit/>
        </w:trPr>
        <w:tc>
          <w:tcPr>
            <w:tcW w:w="2268" w:type="dxa"/>
          </w:tcPr>
          <w:p w14:paraId="51B89C5A" w14:textId="77777777" w:rsidR="003C412A" w:rsidRPr="000420EF" w:rsidRDefault="003C412A" w:rsidP="000420EF">
            <w:pPr>
              <w:pStyle w:val="TableBodyNA"/>
              <w:rPr>
                <w:b/>
              </w:rPr>
            </w:pPr>
            <w:r w:rsidRPr="000420EF">
              <w:rPr>
                <w:b/>
              </w:rPr>
              <w:t>Regional</w:t>
            </w:r>
          </w:p>
        </w:tc>
        <w:tc>
          <w:tcPr>
            <w:tcW w:w="6521" w:type="dxa"/>
          </w:tcPr>
          <w:p w14:paraId="3252F87F" w14:textId="77777777" w:rsidR="003C412A" w:rsidRDefault="003C412A" w:rsidP="000420EF">
            <w:pPr>
              <w:pStyle w:val="TableBodyNA"/>
            </w:pPr>
            <w:r w:rsidRPr="00D87AA9">
              <w:t>See ‘remoteness areas’.</w:t>
            </w:r>
          </w:p>
          <w:p w14:paraId="3413E4C6" w14:textId="77777777" w:rsidR="003C412A" w:rsidRPr="00D87AA9" w:rsidRDefault="003C412A" w:rsidP="000420EF">
            <w:pPr>
              <w:pStyle w:val="TableBodyNA"/>
            </w:pPr>
          </w:p>
        </w:tc>
      </w:tr>
      <w:tr w:rsidR="003C412A" w:rsidRPr="00D87AA9" w14:paraId="74DDB694" w14:textId="068D70F0" w:rsidTr="000420EF">
        <w:trPr>
          <w:cantSplit/>
        </w:trPr>
        <w:tc>
          <w:tcPr>
            <w:tcW w:w="2268" w:type="dxa"/>
          </w:tcPr>
          <w:p w14:paraId="74C0551A" w14:textId="28C96294" w:rsidR="003C412A" w:rsidRPr="000420EF" w:rsidRDefault="003C412A" w:rsidP="000420EF">
            <w:pPr>
              <w:pStyle w:val="TableBodyNA"/>
              <w:rPr>
                <w:b/>
              </w:rPr>
            </w:pPr>
            <w:r w:rsidRPr="000420EF">
              <w:rPr>
                <w:b/>
              </w:rPr>
              <w:t xml:space="preserve">Relative </w:t>
            </w:r>
            <w:r w:rsidR="00A51293" w:rsidRPr="000420EF">
              <w:rPr>
                <w:b/>
              </w:rPr>
              <w:t xml:space="preserve">Aboriginal and Torres Strait Islander </w:t>
            </w:r>
            <w:r w:rsidRPr="000420EF">
              <w:rPr>
                <w:b/>
              </w:rPr>
              <w:t>disadvantage</w:t>
            </w:r>
          </w:p>
        </w:tc>
        <w:tc>
          <w:tcPr>
            <w:tcW w:w="6521" w:type="dxa"/>
          </w:tcPr>
          <w:p w14:paraId="118DC441" w14:textId="53DA675B" w:rsidR="003C412A" w:rsidRDefault="003C412A" w:rsidP="000420EF">
            <w:pPr>
              <w:pStyle w:val="TableBodyNA"/>
            </w:pPr>
            <w:r>
              <w:t xml:space="preserve">Relative </w:t>
            </w:r>
            <w:r w:rsidR="00A51293">
              <w:t xml:space="preserve">Aboriginal and Torres Strait Islander </w:t>
            </w:r>
            <w:r>
              <w:t xml:space="preserve">disadvantage is measured by comparing the rate of </w:t>
            </w:r>
            <w:r w:rsidR="00A51293">
              <w:t xml:space="preserve">Aboriginal and Torres Strait Islander </w:t>
            </w:r>
            <w:r>
              <w:t xml:space="preserve">disadvantage (for example, the proportion of </w:t>
            </w:r>
            <w:r w:rsidR="00A51293">
              <w:t xml:space="preserve">Aboriginal and Torres Strait Islander </w:t>
            </w:r>
            <w:r>
              <w:t>people reporting they do not have a non</w:t>
            </w:r>
            <w:r w:rsidR="00FA5150">
              <w:noBreakHyphen/>
            </w:r>
            <w:r>
              <w:t>school qualification) with the rate for the non</w:t>
            </w:r>
            <w:r w:rsidR="00FA5150">
              <w:noBreakHyphen/>
            </w:r>
            <w:r>
              <w:t>Indigenous population. See ‘rate ratio’.</w:t>
            </w:r>
          </w:p>
          <w:p w14:paraId="06AEA432" w14:textId="5D905EB0" w:rsidR="003C412A" w:rsidRPr="00D87AA9" w:rsidRDefault="003C412A" w:rsidP="000420EF">
            <w:pPr>
              <w:pStyle w:val="TableBodyNA"/>
            </w:pPr>
          </w:p>
        </w:tc>
      </w:tr>
      <w:tr w:rsidR="003C412A" w:rsidRPr="00D87AA9" w14:paraId="6467D62E" w14:textId="77777777" w:rsidTr="000420EF">
        <w:trPr>
          <w:cantSplit/>
        </w:trPr>
        <w:tc>
          <w:tcPr>
            <w:tcW w:w="2268" w:type="dxa"/>
          </w:tcPr>
          <w:p w14:paraId="78B2303E" w14:textId="77777777" w:rsidR="003C412A" w:rsidRPr="000420EF" w:rsidRDefault="003C412A" w:rsidP="000420EF">
            <w:pPr>
              <w:pStyle w:val="TableBodyNA"/>
              <w:rPr>
                <w:b/>
              </w:rPr>
            </w:pPr>
            <w:r w:rsidRPr="000420EF">
              <w:rPr>
                <w:b/>
              </w:rPr>
              <w:t>Relative standard error (RSE)</w:t>
            </w:r>
          </w:p>
        </w:tc>
        <w:tc>
          <w:tcPr>
            <w:tcW w:w="6521" w:type="dxa"/>
          </w:tcPr>
          <w:p w14:paraId="66F1AAB0" w14:textId="77777777" w:rsidR="003C412A" w:rsidRDefault="003C412A" w:rsidP="000420EF">
            <w:pPr>
              <w:pStyle w:val="TableBodyNA"/>
            </w:pPr>
            <w:r w:rsidRPr="004C74F3">
              <w:t>The relative standard error (RSE) of a survey data estimate is a measure of the reliability of the estimate and depends on both the number of people giving a particular answer in the survey and the size of the population. The RSE is expressed as a percentage of the estimate. The higher the RSE, the less reliable the estimate. Relative standard errors for survey estimates are included in the attachment tables. See also ‘statistical significance’.</w:t>
            </w:r>
          </w:p>
          <w:p w14:paraId="602E1EFE" w14:textId="77777777" w:rsidR="003C412A" w:rsidRPr="00D87AA9" w:rsidRDefault="003C412A" w:rsidP="000420EF">
            <w:pPr>
              <w:pStyle w:val="TableBodyNA"/>
            </w:pPr>
          </w:p>
        </w:tc>
      </w:tr>
      <w:tr w:rsidR="003C412A" w:rsidRPr="00D87AA9" w14:paraId="40DAC601" w14:textId="77777777" w:rsidTr="000420EF">
        <w:trPr>
          <w:cantSplit/>
        </w:trPr>
        <w:tc>
          <w:tcPr>
            <w:tcW w:w="2268" w:type="dxa"/>
          </w:tcPr>
          <w:p w14:paraId="7E908FBA" w14:textId="77777777" w:rsidR="003C412A" w:rsidRPr="000420EF" w:rsidRDefault="003C412A" w:rsidP="000420EF">
            <w:pPr>
              <w:pStyle w:val="TableBodyNA"/>
              <w:rPr>
                <w:b/>
              </w:rPr>
            </w:pPr>
            <w:r w:rsidRPr="000420EF">
              <w:rPr>
                <w:b/>
              </w:rPr>
              <w:t>Remote</w:t>
            </w:r>
          </w:p>
        </w:tc>
        <w:tc>
          <w:tcPr>
            <w:tcW w:w="6521" w:type="dxa"/>
          </w:tcPr>
          <w:p w14:paraId="0AE6DDCA" w14:textId="77777777" w:rsidR="003C412A" w:rsidRDefault="003C412A" w:rsidP="000420EF">
            <w:pPr>
              <w:pStyle w:val="TableBodyNA"/>
            </w:pPr>
            <w:r w:rsidRPr="00D87AA9">
              <w:t>See ‘remoteness areas’.</w:t>
            </w:r>
          </w:p>
          <w:p w14:paraId="55D754BD" w14:textId="77777777" w:rsidR="003C412A" w:rsidRPr="00D87AA9" w:rsidRDefault="003C412A" w:rsidP="000420EF">
            <w:pPr>
              <w:pStyle w:val="TableBodyNA"/>
            </w:pPr>
          </w:p>
        </w:tc>
      </w:tr>
      <w:tr w:rsidR="003C412A" w:rsidRPr="00D87AA9" w14:paraId="4E335A19" w14:textId="77777777" w:rsidTr="000420EF">
        <w:trPr>
          <w:cantSplit/>
        </w:trPr>
        <w:tc>
          <w:tcPr>
            <w:tcW w:w="2268" w:type="dxa"/>
          </w:tcPr>
          <w:p w14:paraId="23EAEB0F" w14:textId="77777777" w:rsidR="003C412A" w:rsidRPr="000420EF" w:rsidRDefault="003C412A" w:rsidP="000420EF">
            <w:pPr>
              <w:pStyle w:val="TableBodyNA"/>
              <w:rPr>
                <w:b/>
              </w:rPr>
            </w:pPr>
            <w:r w:rsidRPr="000420EF">
              <w:rPr>
                <w:b/>
              </w:rPr>
              <w:t>Remoteness</w:t>
            </w:r>
          </w:p>
        </w:tc>
        <w:tc>
          <w:tcPr>
            <w:tcW w:w="6521" w:type="dxa"/>
          </w:tcPr>
          <w:p w14:paraId="064857FF" w14:textId="77777777" w:rsidR="003C412A" w:rsidRDefault="003C412A" w:rsidP="000420EF">
            <w:pPr>
              <w:pStyle w:val="TableBodyNA"/>
            </w:pPr>
            <w:r w:rsidRPr="00D87AA9">
              <w:t>See ‘remoteness areas’.</w:t>
            </w:r>
          </w:p>
          <w:p w14:paraId="2064984C" w14:textId="77777777" w:rsidR="003C412A" w:rsidRPr="00D87AA9" w:rsidRDefault="003C412A" w:rsidP="000420EF">
            <w:pPr>
              <w:pStyle w:val="TableBodyNA"/>
            </w:pPr>
          </w:p>
        </w:tc>
      </w:tr>
      <w:tr w:rsidR="003C412A" w:rsidRPr="00D87AA9" w14:paraId="7B58F52A" w14:textId="77777777" w:rsidTr="000420EF">
        <w:trPr>
          <w:cantSplit/>
          <w:trHeight w:val="4466"/>
        </w:trPr>
        <w:tc>
          <w:tcPr>
            <w:tcW w:w="2268" w:type="dxa"/>
          </w:tcPr>
          <w:p w14:paraId="23145DA8" w14:textId="77777777" w:rsidR="003C412A" w:rsidRPr="000420EF" w:rsidRDefault="003C412A" w:rsidP="000420EF">
            <w:pPr>
              <w:pStyle w:val="TableBodyNA"/>
              <w:rPr>
                <w:b/>
              </w:rPr>
            </w:pPr>
            <w:r w:rsidRPr="000420EF">
              <w:rPr>
                <w:b/>
              </w:rPr>
              <w:lastRenderedPageBreak/>
              <w:t>Remoteness areas</w:t>
            </w:r>
          </w:p>
        </w:tc>
        <w:tc>
          <w:tcPr>
            <w:tcW w:w="6521" w:type="dxa"/>
          </w:tcPr>
          <w:p w14:paraId="5F59B113" w14:textId="0664C7D7" w:rsidR="00925AB3" w:rsidRPr="00925AB3" w:rsidRDefault="00925AB3" w:rsidP="000420EF">
            <w:pPr>
              <w:pStyle w:val="TableBodyNA"/>
            </w:pPr>
            <w:r w:rsidRPr="00925AB3">
              <w:t>Remoteness areas are defined in the Australian Statistical Geograph</w:t>
            </w:r>
            <w:r w:rsidR="001F37A7">
              <w:t>y</w:t>
            </w:r>
            <w:r w:rsidRPr="00925AB3">
              <w:t xml:space="preserve"> Standard (ASGS) developed by the ABS.</w:t>
            </w:r>
            <w:r>
              <w:rPr>
                <w:rStyle w:val="FootnoteReference"/>
              </w:rPr>
              <w:footnoteReference w:id="11"/>
            </w:r>
            <w:r w:rsidRPr="00925AB3">
              <w:t xml:space="preserve"> The ASGS remoteness classification identifies a place in Australia as having a particular degree of remoteness. The remoteness of each place is determined using the Accessibility/Remoteness Index of Australia (ARIA). The ABS generates an average ARIA score for each location based on its </w:t>
            </w:r>
            <w:r w:rsidR="00844DDF">
              <w:t xml:space="preserve">road </w:t>
            </w:r>
            <w:r w:rsidRPr="00925AB3">
              <w:t xml:space="preserve">distance </w:t>
            </w:r>
            <w:r w:rsidR="00844DDF">
              <w:t>to urban</w:t>
            </w:r>
            <w:r w:rsidRPr="00925AB3">
              <w:t xml:space="preserve"> centres. Locations are then added together to form the remoteness areas in each State and Territory. Remoteness areas comprise the following six categories: </w:t>
            </w:r>
          </w:p>
          <w:p w14:paraId="0EEB04D7" w14:textId="77777777" w:rsidR="00925AB3" w:rsidRPr="00925AB3" w:rsidRDefault="00925AB3" w:rsidP="00925AB3">
            <w:pPr>
              <w:pStyle w:val="TableBodyText"/>
              <w:jc w:val="both"/>
            </w:pPr>
            <w:r w:rsidRPr="00925AB3">
              <w:t xml:space="preserve">• major cities of Australia </w:t>
            </w:r>
          </w:p>
          <w:p w14:paraId="692564E6" w14:textId="77777777" w:rsidR="00925AB3" w:rsidRPr="00925AB3" w:rsidRDefault="00925AB3" w:rsidP="00925AB3">
            <w:pPr>
              <w:pStyle w:val="TableBodyText"/>
              <w:jc w:val="both"/>
            </w:pPr>
            <w:r w:rsidRPr="00925AB3">
              <w:t xml:space="preserve">• inner regional Australia </w:t>
            </w:r>
          </w:p>
          <w:p w14:paraId="5A9CBF9E" w14:textId="77777777" w:rsidR="00925AB3" w:rsidRPr="00925AB3" w:rsidRDefault="00925AB3" w:rsidP="00925AB3">
            <w:pPr>
              <w:pStyle w:val="TableBodyText"/>
              <w:jc w:val="both"/>
            </w:pPr>
            <w:r w:rsidRPr="00925AB3">
              <w:t xml:space="preserve">• outer regional Australia </w:t>
            </w:r>
          </w:p>
          <w:p w14:paraId="4A6FF819" w14:textId="77777777" w:rsidR="00925AB3" w:rsidRPr="00925AB3" w:rsidRDefault="00925AB3" w:rsidP="00925AB3">
            <w:pPr>
              <w:pStyle w:val="TableBodyText"/>
              <w:jc w:val="both"/>
            </w:pPr>
            <w:r w:rsidRPr="00925AB3">
              <w:t xml:space="preserve">• remote Australia </w:t>
            </w:r>
          </w:p>
          <w:p w14:paraId="448DBFE8" w14:textId="77777777" w:rsidR="00925AB3" w:rsidRPr="00925AB3" w:rsidRDefault="00925AB3" w:rsidP="00925AB3">
            <w:pPr>
              <w:pStyle w:val="TableBodyText"/>
              <w:jc w:val="both"/>
            </w:pPr>
            <w:r w:rsidRPr="00925AB3">
              <w:t xml:space="preserve">• very remote Australia </w:t>
            </w:r>
          </w:p>
          <w:p w14:paraId="0D08058B" w14:textId="4E7A42B6" w:rsidR="00925AB3" w:rsidRPr="00925AB3" w:rsidRDefault="00925AB3" w:rsidP="00925AB3">
            <w:pPr>
              <w:pStyle w:val="TableBodyText"/>
              <w:jc w:val="both"/>
            </w:pPr>
            <w:r w:rsidRPr="00925AB3">
              <w:t>• migratory regions (comprising off</w:t>
            </w:r>
            <w:r w:rsidR="00FA5150">
              <w:noBreakHyphen/>
            </w:r>
            <w:r w:rsidRPr="00925AB3">
              <w:t xml:space="preserve">shore, shipping and migratory places). </w:t>
            </w:r>
          </w:p>
          <w:p w14:paraId="07C96C4F" w14:textId="77777777" w:rsidR="00925AB3" w:rsidRPr="00925AB3" w:rsidRDefault="00925AB3" w:rsidP="000420EF">
            <w:pPr>
              <w:pStyle w:val="TableBodyNA"/>
            </w:pPr>
          </w:p>
          <w:p w14:paraId="554CB8C3" w14:textId="77777777" w:rsidR="003C412A" w:rsidRPr="00D87AA9" w:rsidRDefault="00925AB3" w:rsidP="000420EF">
            <w:pPr>
              <w:pStyle w:val="TableBodyNA"/>
            </w:pPr>
            <w:r w:rsidRPr="00925AB3">
              <w:t>The aim of the ASGS remoteness structure is not to provide a measure of the remoteness of a particular location but to divide Australia into five broad categories (excluding migratory regions) of remoteness for comparative statistical purposes.</w:t>
            </w:r>
            <w:r>
              <w:rPr>
                <w:sz w:val="23"/>
                <w:szCs w:val="23"/>
              </w:rPr>
              <w:t xml:space="preserve"> </w:t>
            </w:r>
          </w:p>
        </w:tc>
      </w:tr>
      <w:tr w:rsidR="003C412A" w:rsidRPr="00D87AA9" w14:paraId="29CE3766" w14:textId="77777777" w:rsidTr="000420EF">
        <w:trPr>
          <w:cantSplit/>
        </w:trPr>
        <w:tc>
          <w:tcPr>
            <w:tcW w:w="2268" w:type="dxa"/>
          </w:tcPr>
          <w:p w14:paraId="1EC254C8" w14:textId="77777777" w:rsidR="003C412A" w:rsidRPr="000420EF" w:rsidRDefault="003C412A" w:rsidP="000420EF">
            <w:pPr>
              <w:pStyle w:val="TableBodyNA"/>
              <w:rPr>
                <w:b/>
              </w:rPr>
            </w:pPr>
            <w:r w:rsidRPr="000420EF">
              <w:rPr>
                <w:b/>
              </w:rPr>
              <w:t>Statistical significance</w:t>
            </w:r>
          </w:p>
        </w:tc>
        <w:tc>
          <w:tcPr>
            <w:tcW w:w="6521" w:type="dxa"/>
          </w:tcPr>
          <w:p w14:paraId="203B2E56" w14:textId="77777777" w:rsidR="003C412A" w:rsidRDefault="003C412A" w:rsidP="000420EF">
            <w:pPr>
              <w:pStyle w:val="TableBodyNA"/>
            </w:pPr>
            <w:r>
              <w:t xml:space="preserve">Statistical significance is a measure of the degree of difference between survey data estimates. The potential for sampling error — that is, the error that occurs by chance because the data are obtained from only a sample and not the entire population — means that reported responses may not indicate the true responses. </w:t>
            </w:r>
          </w:p>
          <w:p w14:paraId="196D5D21" w14:textId="72EC0C7B" w:rsidR="003C412A" w:rsidRDefault="003C412A" w:rsidP="000420EF">
            <w:pPr>
              <w:pStyle w:val="TableBodyNA"/>
            </w:pPr>
            <w:r>
              <w:t>Using the RSE of survey data estimates, it is possible to use a formula to test whether the difference is statistically significant. If there is an overlap between confidence intervals for different data items, it cannot be stated for certain that there is a statistically significant difference between the results. See ‘variability bands’ and ‘relative standard error’.</w:t>
            </w:r>
          </w:p>
          <w:p w14:paraId="139A8432" w14:textId="77777777" w:rsidR="003C412A" w:rsidRDefault="003C412A" w:rsidP="004C6DAF">
            <w:pPr>
              <w:pStyle w:val="TableBodyText"/>
              <w:jc w:val="both"/>
            </w:pPr>
          </w:p>
        </w:tc>
      </w:tr>
      <w:tr w:rsidR="003C412A" w:rsidRPr="00D87AA9" w14:paraId="3C2D680A" w14:textId="77777777" w:rsidTr="000420EF">
        <w:trPr>
          <w:cantSplit/>
        </w:trPr>
        <w:tc>
          <w:tcPr>
            <w:tcW w:w="2268" w:type="dxa"/>
          </w:tcPr>
          <w:p w14:paraId="67301799" w14:textId="77777777" w:rsidR="003C412A" w:rsidRPr="000420EF" w:rsidRDefault="003C412A" w:rsidP="000420EF">
            <w:pPr>
              <w:pStyle w:val="TableBodyNA"/>
              <w:rPr>
                <w:b/>
              </w:rPr>
            </w:pPr>
            <w:r w:rsidRPr="000420EF">
              <w:rPr>
                <w:b/>
              </w:rPr>
              <w:t>Torres Strait Islander people</w:t>
            </w:r>
          </w:p>
        </w:tc>
        <w:tc>
          <w:tcPr>
            <w:tcW w:w="6521" w:type="dxa"/>
          </w:tcPr>
          <w:p w14:paraId="3B0636BA" w14:textId="77777777" w:rsidR="003C412A" w:rsidRDefault="003C412A" w:rsidP="000420EF">
            <w:pPr>
              <w:pStyle w:val="TableBodyNA"/>
            </w:pPr>
            <w:r w:rsidRPr="00D87AA9">
              <w:t>People identified as being of Torres Strait Islander origin. May also include people who identify as being of both Torres Strait Islander and Aboriginal origin.</w:t>
            </w:r>
          </w:p>
          <w:p w14:paraId="786E57DB" w14:textId="77777777" w:rsidR="003C412A" w:rsidRPr="00D87AA9" w:rsidRDefault="003C412A" w:rsidP="004C6DAF">
            <w:pPr>
              <w:pStyle w:val="TableBodyText"/>
              <w:jc w:val="both"/>
            </w:pPr>
          </w:p>
        </w:tc>
      </w:tr>
      <w:tr w:rsidR="003C412A" w:rsidRPr="00D87AA9" w14:paraId="28778EBA" w14:textId="77777777" w:rsidTr="000420EF">
        <w:trPr>
          <w:cantSplit/>
        </w:trPr>
        <w:tc>
          <w:tcPr>
            <w:tcW w:w="2268" w:type="dxa"/>
          </w:tcPr>
          <w:p w14:paraId="34FD2EA9" w14:textId="77777777" w:rsidR="003C412A" w:rsidRPr="000420EF" w:rsidRDefault="003C412A" w:rsidP="000420EF">
            <w:pPr>
              <w:pStyle w:val="TableBodyNA"/>
              <w:rPr>
                <w:b/>
              </w:rPr>
            </w:pPr>
            <w:r w:rsidRPr="000420EF">
              <w:rPr>
                <w:b/>
              </w:rPr>
              <w:t>Variability bands</w:t>
            </w:r>
          </w:p>
        </w:tc>
        <w:tc>
          <w:tcPr>
            <w:tcW w:w="6521" w:type="dxa"/>
          </w:tcPr>
          <w:p w14:paraId="6FF3D9DD" w14:textId="0C391C21" w:rsidR="003C412A" w:rsidRDefault="003C412A" w:rsidP="000420EF">
            <w:pPr>
              <w:pStyle w:val="TableBodyNA"/>
            </w:pPr>
            <w:r w:rsidRPr="00D52652">
              <w:t xml:space="preserve">In the NAs a variability band gives a range of values which is very likely to contain the true unknown rate. Variability bands accompanying mortality data should be used for the purposes of comparisons at a point in time </w:t>
            </w:r>
            <w:r>
              <w:t>or</w:t>
            </w:r>
            <w:r w:rsidRPr="00D52652">
              <w:t xml:space="preserve"> over time (within a jurisdiction). They should not be used for comparing mortality rates at a single point in time </w:t>
            </w:r>
            <w:r>
              <w:t>across</w:t>
            </w:r>
            <w:r w:rsidRPr="00D52652">
              <w:t xml:space="preserve"> jurisdictions as the variability bands and mortality rates do not take into account differences in under</w:t>
            </w:r>
            <w:r w:rsidR="00FA5150">
              <w:noBreakHyphen/>
            </w:r>
            <w:r w:rsidRPr="00D52652">
              <w:t xml:space="preserve">identification of </w:t>
            </w:r>
            <w:r w:rsidR="00B52185">
              <w:t>Aboriginal and Torres Strait Islander</w:t>
            </w:r>
            <w:r w:rsidR="00B52185" w:rsidRPr="00D52652">
              <w:t xml:space="preserve"> </w:t>
            </w:r>
            <w:r w:rsidRPr="00D52652">
              <w:t xml:space="preserve">deaths </w:t>
            </w:r>
            <w:r>
              <w:t>across</w:t>
            </w:r>
            <w:r w:rsidRPr="00D52652">
              <w:t xml:space="preserve"> jurisdictions.</w:t>
            </w:r>
          </w:p>
          <w:p w14:paraId="78F9F6A2" w14:textId="77777777" w:rsidR="003C412A" w:rsidRPr="002009A3" w:rsidRDefault="003C412A" w:rsidP="004C6DAF">
            <w:pPr>
              <w:pStyle w:val="TableBodyText"/>
              <w:jc w:val="both"/>
            </w:pPr>
          </w:p>
        </w:tc>
      </w:tr>
      <w:tr w:rsidR="003C412A" w14:paraId="63717257" w14:textId="77777777" w:rsidTr="000420EF">
        <w:trPr>
          <w:cantSplit/>
        </w:trPr>
        <w:tc>
          <w:tcPr>
            <w:tcW w:w="2268" w:type="dxa"/>
          </w:tcPr>
          <w:p w14:paraId="0DAB4260" w14:textId="77777777" w:rsidR="003C412A" w:rsidRPr="000420EF" w:rsidRDefault="003C412A" w:rsidP="000420EF">
            <w:pPr>
              <w:pStyle w:val="TableBodyNA"/>
              <w:rPr>
                <w:b/>
              </w:rPr>
            </w:pPr>
            <w:r w:rsidRPr="000420EF">
              <w:rPr>
                <w:b/>
              </w:rPr>
              <w:t>Very remote</w:t>
            </w:r>
          </w:p>
        </w:tc>
        <w:tc>
          <w:tcPr>
            <w:tcW w:w="6521" w:type="dxa"/>
          </w:tcPr>
          <w:p w14:paraId="7E1E1751" w14:textId="77777777" w:rsidR="003C412A" w:rsidRDefault="003C412A" w:rsidP="000420EF">
            <w:pPr>
              <w:pStyle w:val="TableBodyNA"/>
            </w:pPr>
            <w:r w:rsidRPr="00D87AA9">
              <w:t>See ‘remoteness areas’.</w:t>
            </w:r>
          </w:p>
        </w:tc>
      </w:tr>
    </w:tbl>
    <w:p w14:paraId="123C4D73" w14:textId="77777777" w:rsidR="003C412A" w:rsidRPr="000431ED" w:rsidRDefault="003C412A" w:rsidP="003C412A"/>
    <w:p w14:paraId="2E73E016" w14:textId="77777777" w:rsidR="003C412A" w:rsidRPr="003C412A" w:rsidRDefault="003C412A" w:rsidP="003C412A">
      <w:pPr>
        <w:pStyle w:val="BodyText"/>
        <w:rPr>
          <w:rFonts w:ascii="Arial" w:hAnsi="Arial"/>
          <w:sz w:val="20"/>
        </w:rPr>
      </w:pPr>
    </w:p>
    <w:sectPr w:rsidR="003C412A" w:rsidRPr="003C412A" w:rsidSect="00217FEB">
      <w:headerReference w:type="even" r:id="rId22"/>
      <w:headerReference w:type="default" r:id="rId23"/>
      <w:footerReference w:type="even" r:id="rId24"/>
      <w:footerReference w:type="default" r:id="rId25"/>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1A7B9" w14:textId="77777777" w:rsidR="004A793A" w:rsidRDefault="004A793A">
      <w:r>
        <w:separator/>
      </w:r>
    </w:p>
  </w:endnote>
  <w:endnote w:type="continuationSeparator" w:id="0">
    <w:p w14:paraId="756504D3" w14:textId="77777777" w:rsidR="004A793A" w:rsidRDefault="004A793A">
      <w:r>
        <w:continuationSeparator/>
      </w:r>
    </w:p>
  </w:endnote>
  <w:endnote w:type="continuationNotice" w:id="1">
    <w:p w14:paraId="0BBDCFD2" w14:textId="77777777" w:rsidR="004A793A" w:rsidRDefault="004A7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A3015" w14:paraId="10A82149" w14:textId="77777777" w:rsidTr="002E7C67">
      <w:trPr>
        <w:trHeight w:hRule="exact" w:val="567"/>
      </w:trPr>
      <w:tc>
        <w:tcPr>
          <w:tcW w:w="510" w:type="dxa"/>
        </w:tcPr>
        <w:p w14:paraId="3F065C94" w14:textId="77777777" w:rsidR="006A3015" w:rsidRPr="00A24443" w:rsidRDefault="006A3015" w:rsidP="002E7C67">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iv</w:t>
          </w:r>
          <w:r w:rsidRPr="00A24443">
            <w:rPr>
              <w:rStyle w:val="PageNumber"/>
              <w:caps w:val="0"/>
            </w:rPr>
            <w:fldChar w:fldCharType="end"/>
          </w:r>
        </w:p>
      </w:tc>
      <w:tc>
        <w:tcPr>
          <w:tcW w:w="7767" w:type="dxa"/>
        </w:tcPr>
        <w:p w14:paraId="721A6417" w14:textId="77777777" w:rsidR="006A3015" w:rsidRPr="0013739A" w:rsidRDefault="006A3015" w:rsidP="002E7C67">
          <w:pPr>
            <w:pStyle w:val="Footer"/>
            <w:rPr>
              <w:rFonts w:cs="Arial"/>
            </w:rPr>
          </w:pPr>
          <w:r w:rsidRPr="00BA5B14">
            <w:rPr>
              <w:rFonts w:cs="Arial"/>
            </w:rPr>
            <w:fldChar w:fldCharType="begin"/>
          </w:r>
          <w:r>
            <w:rPr>
              <w:rFonts w:cs="Arial"/>
            </w:rPr>
            <w:instrText xml:space="preserve"> TITLE </w:instrText>
          </w:r>
          <w:r w:rsidRPr="00BA5B14">
            <w:rPr>
              <w:rFonts w:cs="Arial"/>
            </w:rPr>
            <w:fldChar w:fldCharType="separate"/>
          </w:r>
          <w:r w:rsidR="00D642F4">
            <w:rPr>
              <w:rFonts w:cs="Arial"/>
            </w:rPr>
            <w:t>National Indigenous Reform Agreement (Closing the Gap) performance reporting 2018-19</w:t>
          </w:r>
          <w:r w:rsidRPr="00BA5B14">
            <w:rPr>
              <w:rFonts w:cs="Arial"/>
            </w:rPr>
            <w:fldChar w:fldCharType="end"/>
          </w:r>
        </w:p>
      </w:tc>
      <w:tc>
        <w:tcPr>
          <w:tcW w:w="510" w:type="dxa"/>
        </w:tcPr>
        <w:p w14:paraId="797ECDBF" w14:textId="77777777" w:rsidR="006A3015" w:rsidRDefault="006A3015" w:rsidP="002E7C67">
          <w:pPr>
            <w:pStyle w:val="Footer"/>
          </w:pPr>
        </w:p>
      </w:tc>
    </w:tr>
  </w:tbl>
  <w:p w14:paraId="1D119B9A" w14:textId="77777777" w:rsidR="006A3015" w:rsidRDefault="006A3015" w:rsidP="002E7C67">
    <w:pPr>
      <w:pStyle w:val="FooterEnd"/>
    </w:pPr>
  </w:p>
  <w:p w14:paraId="478B319F" w14:textId="77777777" w:rsidR="006A3015" w:rsidRDefault="006A3015">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A3015" w14:paraId="0FFFE608" w14:textId="77777777" w:rsidTr="002E7C67">
      <w:trPr>
        <w:trHeight w:hRule="exact" w:val="567"/>
      </w:trPr>
      <w:tc>
        <w:tcPr>
          <w:tcW w:w="510" w:type="dxa"/>
        </w:tcPr>
        <w:p w14:paraId="660309FB" w14:textId="77777777" w:rsidR="006A3015" w:rsidRDefault="006A3015">
          <w:pPr>
            <w:pStyle w:val="Footer"/>
            <w:ind w:right="360" w:firstLine="360"/>
          </w:pPr>
        </w:p>
      </w:tc>
      <w:tc>
        <w:tcPr>
          <w:tcW w:w="7767" w:type="dxa"/>
        </w:tcPr>
        <w:p w14:paraId="1DA2C551" w14:textId="77777777" w:rsidR="006A3015" w:rsidRPr="00BA5B14" w:rsidRDefault="006A3015" w:rsidP="007448F7">
          <w:pPr>
            <w:pStyle w:val="Footer"/>
            <w:jc w:val="right"/>
            <w:rPr>
              <w:rFonts w:cs="Arial"/>
            </w:rPr>
          </w:pPr>
          <w:r w:rsidRPr="00FE477F">
            <w:rPr>
              <w:bCs/>
              <w:noProof/>
            </w:rPr>
            <w:t>Contents</w:t>
          </w:r>
          <w:r>
            <w:rPr>
              <w:rFonts w:cs="Arial"/>
            </w:rPr>
            <w:t xml:space="preserve"> </w:t>
          </w:r>
        </w:p>
      </w:tc>
      <w:tc>
        <w:tcPr>
          <w:tcW w:w="510" w:type="dxa"/>
        </w:tcPr>
        <w:p w14:paraId="087873D2" w14:textId="77777777" w:rsidR="006A3015" w:rsidRPr="007448F7" w:rsidRDefault="006A3015">
          <w:pPr>
            <w:pStyle w:val="Footer"/>
            <w:jc w:val="right"/>
            <w:rP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D642F4">
            <w:rPr>
              <w:rStyle w:val="PageNumber"/>
              <w:caps w:val="0"/>
              <w:noProof/>
            </w:rPr>
            <w:t>iii</w:t>
          </w:r>
          <w:r w:rsidRPr="007448F7">
            <w:rPr>
              <w:rStyle w:val="PageNumber"/>
              <w:caps w:val="0"/>
            </w:rPr>
            <w:fldChar w:fldCharType="end"/>
          </w:r>
        </w:p>
      </w:tc>
    </w:tr>
  </w:tbl>
  <w:p w14:paraId="672870DC" w14:textId="77777777" w:rsidR="006A3015" w:rsidRDefault="006A3015">
    <w:pPr>
      <w:pStyle w:val="FooterEnd"/>
    </w:pPr>
  </w:p>
  <w:p w14:paraId="157E8B5B" w14:textId="77777777" w:rsidR="006A3015" w:rsidRDefault="006A3015">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A3015" w14:paraId="4C8A0854" w14:textId="77777777" w:rsidTr="002E7C67">
      <w:trPr>
        <w:trHeight w:hRule="exact" w:val="567"/>
      </w:trPr>
      <w:tc>
        <w:tcPr>
          <w:tcW w:w="510" w:type="dxa"/>
        </w:tcPr>
        <w:p w14:paraId="65D2142D" w14:textId="77777777" w:rsidR="006A3015" w:rsidRPr="000A26A1" w:rsidRDefault="006A3015" w:rsidP="002E7C67">
          <w:pPr>
            <w:pStyle w:val="Footer"/>
            <w:tabs>
              <w:tab w:val="left" w:pos="0"/>
            </w:tabs>
            <w:ind w:right="0"/>
            <w:rPr>
              <w:rStyle w:val="PageNumber"/>
              <w:caps w:val="0"/>
            </w:rPr>
          </w:pPr>
          <w:r w:rsidRPr="000A26A1">
            <w:rPr>
              <w:rStyle w:val="PageNumber"/>
              <w:caps w:val="0"/>
            </w:rPr>
            <w:fldChar w:fldCharType="begin"/>
          </w:r>
          <w:r w:rsidRPr="000A26A1">
            <w:rPr>
              <w:rStyle w:val="PageNumber"/>
              <w:caps w:val="0"/>
            </w:rPr>
            <w:instrText xml:space="preserve">PAGE  </w:instrText>
          </w:r>
          <w:r w:rsidRPr="000A26A1">
            <w:rPr>
              <w:rStyle w:val="PageNumber"/>
              <w:caps w:val="0"/>
            </w:rPr>
            <w:fldChar w:fldCharType="separate"/>
          </w:r>
          <w:r w:rsidR="00D642F4">
            <w:rPr>
              <w:rStyle w:val="PageNumber"/>
              <w:caps w:val="0"/>
              <w:noProof/>
            </w:rPr>
            <w:t>iv</w:t>
          </w:r>
          <w:r w:rsidRPr="000A26A1">
            <w:rPr>
              <w:rStyle w:val="PageNumber"/>
              <w:caps w:val="0"/>
            </w:rPr>
            <w:fldChar w:fldCharType="end"/>
          </w:r>
        </w:p>
      </w:tc>
      <w:tc>
        <w:tcPr>
          <w:tcW w:w="7767" w:type="dxa"/>
        </w:tcPr>
        <w:p w14:paraId="475D015A" w14:textId="77777777" w:rsidR="006A3015" w:rsidRPr="0013739A" w:rsidRDefault="006A3015" w:rsidP="00F16533">
          <w:pPr>
            <w:pStyle w:val="Footer"/>
            <w:rPr>
              <w:rFonts w:cs="Arial"/>
            </w:rPr>
          </w:pPr>
          <w:r>
            <w:rPr>
              <w:rFonts w:cs="Arial"/>
            </w:rPr>
            <w:t>SCRGSP Report december 2019</w:t>
          </w:r>
        </w:p>
      </w:tc>
      <w:tc>
        <w:tcPr>
          <w:tcW w:w="510" w:type="dxa"/>
        </w:tcPr>
        <w:p w14:paraId="5609AEF6" w14:textId="77777777" w:rsidR="006A3015" w:rsidRDefault="006A3015" w:rsidP="002E7C67">
          <w:pPr>
            <w:pStyle w:val="Footer"/>
          </w:pPr>
        </w:p>
      </w:tc>
    </w:tr>
  </w:tbl>
  <w:p w14:paraId="666E6D1C" w14:textId="77777777" w:rsidR="006A3015" w:rsidRDefault="006A3015" w:rsidP="002E7C67">
    <w:pPr>
      <w:pStyle w:val="FooterEnd"/>
    </w:pPr>
  </w:p>
  <w:p w14:paraId="355CA8E8" w14:textId="77777777" w:rsidR="006A3015" w:rsidRDefault="006A3015">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A3015" w14:paraId="6D1E83EA" w14:textId="77777777" w:rsidTr="002E7C67">
      <w:trPr>
        <w:trHeight w:hRule="exact" w:val="567"/>
      </w:trPr>
      <w:tc>
        <w:tcPr>
          <w:tcW w:w="510" w:type="dxa"/>
        </w:tcPr>
        <w:p w14:paraId="33EFD58B" w14:textId="77777777" w:rsidR="006A3015" w:rsidRDefault="006A3015">
          <w:pPr>
            <w:pStyle w:val="Footer"/>
            <w:ind w:right="360" w:firstLine="360"/>
          </w:pPr>
        </w:p>
      </w:tc>
      <w:tc>
        <w:tcPr>
          <w:tcW w:w="7767" w:type="dxa"/>
        </w:tcPr>
        <w:p w14:paraId="12E01735" w14:textId="77777777" w:rsidR="006A3015" w:rsidRPr="000A26A1" w:rsidRDefault="006A3015" w:rsidP="002E7C67">
          <w:pPr>
            <w:pStyle w:val="Footer"/>
            <w:jc w:val="right"/>
            <w:rPr>
              <w:rFonts w:cs="Arial"/>
            </w:rPr>
          </w:pPr>
          <w:r w:rsidRPr="000A26A1">
            <w:rPr>
              <w:noProof/>
            </w:rPr>
            <w:fldChar w:fldCharType="begin"/>
          </w:r>
          <w:r w:rsidRPr="000A26A1">
            <w:rPr>
              <w:noProof/>
            </w:rPr>
            <w:instrText xml:space="preserve"> STYLEREF "Heading 1" \* MERGEFORMAT </w:instrText>
          </w:r>
          <w:r w:rsidRPr="000A26A1">
            <w:rPr>
              <w:noProof/>
            </w:rPr>
            <w:fldChar w:fldCharType="separate"/>
          </w:r>
          <w:r w:rsidR="00D642F4" w:rsidRPr="00D642F4">
            <w:rPr>
              <w:bCs/>
              <w:noProof/>
              <w:lang w:val="en-US"/>
            </w:rPr>
            <w:t>National</w:t>
          </w:r>
          <w:r w:rsidR="00D642F4">
            <w:rPr>
              <w:noProof/>
            </w:rPr>
            <w:t xml:space="preserve"> Agreement Performance Information 2018-19: National Indigenous Reform Agreement</w:t>
          </w:r>
          <w:r w:rsidRPr="000A26A1">
            <w:rPr>
              <w:noProof/>
            </w:rPr>
            <w:fldChar w:fldCharType="end"/>
          </w:r>
        </w:p>
      </w:tc>
      <w:tc>
        <w:tcPr>
          <w:tcW w:w="510" w:type="dxa"/>
        </w:tcPr>
        <w:p w14:paraId="39E6FA56" w14:textId="77777777" w:rsidR="006A3015" w:rsidRPr="00A24443" w:rsidRDefault="006A301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v</w:t>
          </w:r>
          <w:r w:rsidRPr="00A24443">
            <w:rPr>
              <w:rStyle w:val="PageNumber"/>
              <w:caps w:val="0"/>
            </w:rPr>
            <w:fldChar w:fldCharType="end"/>
          </w:r>
        </w:p>
      </w:tc>
    </w:tr>
  </w:tbl>
  <w:p w14:paraId="46B79D92" w14:textId="77777777" w:rsidR="006A3015" w:rsidRDefault="006A3015">
    <w:pPr>
      <w:pStyle w:val="FooterEnd"/>
    </w:pPr>
  </w:p>
  <w:p w14:paraId="0D24C3BB" w14:textId="77777777" w:rsidR="006A3015" w:rsidRDefault="006A3015">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A3015" w14:paraId="25AF681C" w14:textId="77777777" w:rsidTr="002E7C67">
      <w:trPr>
        <w:trHeight w:hRule="exact" w:val="567"/>
      </w:trPr>
      <w:tc>
        <w:tcPr>
          <w:tcW w:w="510" w:type="dxa"/>
        </w:tcPr>
        <w:p w14:paraId="6342BAE6" w14:textId="77777777" w:rsidR="006A3015" w:rsidRPr="007448F7" w:rsidRDefault="006A3015" w:rsidP="002E7C67">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D642F4">
            <w:rPr>
              <w:rStyle w:val="PageNumber"/>
              <w:caps w:val="0"/>
              <w:noProof/>
            </w:rPr>
            <w:t>vi</w:t>
          </w:r>
          <w:r w:rsidRPr="007448F7">
            <w:rPr>
              <w:rStyle w:val="PageNumber"/>
              <w:caps w:val="0"/>
            </w:rPr>
            <w:fldChar w:fldCharType="end"/>
          </w:r>
        </w:p>
      </w:tc>
      <w:tc>
        <w:tcPr>
          <w:tcW w:w="7767" w:type="dxa"/>
        </w:tcPr>
        <w:p w14:paraId="1208F801" w14:textId="77777777" w:rsidR="006A3015" w:rsidRPr="0013739A" w:rsidRDefault="006A3015" w:rsidP="00F16533">
          <w:pPr>
            <w:pStyle w:val="Footer"/>
            <w:rPr>
              <w:rFonts w:cs="Arial"/>
            </w:rPr>
          </w:pPr>
          <w:r>
            <w:rPr>
              <w:rFonts w:cs="Arial"/>
            </w:rPr>
            <w:t>SCRGSP Report December 2019</w:t>
          </w:r>
        </w:p>
      </w:tc>
      <w:tc>
        <w:tcPr>
          <w:tcW w:w="510" w:type="dxa"/>
        </w:tcPr>
        <w:p w14:paraId="7D1EE7CC" w14:textId="77777777" w:rsidR="006A3015" w:rsidRDefault="006A3015" w:rsidP="002E7C67">
          <w:pPr>
            <w:pStyle w:val="Footer"/>
          </w:pPr>
        </w:p>
      </w:tc>
    </w:tr>
  </w:tbl>
  <w:p w14:paraId="5539BC55" w14:textId="77777777" w:rsidR="006A3015" w:rsidRDefault="006A3015" w:rsidP="002E7C67">
    <w:pPr>
      <w:pStyle w:val="FooterEnd"/>
    </w:pPr>
  </w:p>
  <w:p w14:paraId="22FAF1A1" w14:textId="77777777" w:rsidR="006A3015" w:rsidRDefault="006A3015">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A3015" w14:paraId="16AFDB9B" w14:textId="77777777" w:rsidTr="002E7C67">
      <w:trPr>
        <w:trHeight w:hRule="exact" w:val="567"/>
      </w:trPr>
      <w:tc>
        <w:tcPr>
          <w:tcW w:w="510" w:type="dxa"/>
        </w:tcPr>
        <w:p w14:paraId="7E36B795" w14:textId="77777777" w:rsidR="006A3015" w:rsidRDefault="006A3015">
          <w:pPr>
            <w:pStyle w:val="Footer"/>
            <w:ind w:right="360" w:firstLine="360"/>
          </w:pPr>
        </w:p>
      </w:tc>
      <w:tc>
        <w:tcPr>
          <w:tcW w:w="7767" w:type="dxa"/>
        </w:tcPr>
        <w:p w14:paraId="142DC18C" w14:textId="77777777" w:rsidR="006A3015" w:rsidRPr="00340511" w:rsidRDefault="006A3015" w:rsidP="00340511">
          <w:pPr>
            <w:pStyle w:val="Footer"/>
            <w:jc w:val="right"/>
            <w:rPr>
              <w:rFonts w:cs="Arial"/>
            </w:rPr>
          </w:pPr>
          <w:r w:rsidRPr="00FE477F">
            <w:rPr>
              <w:bCs/>
              <w:noProof/>
              <w:lang w:val="en-US"/>
            </w:rPr>
            <w:t>Steering</w:t>
          </w:r>
          <w:r>
            <w:rPr>
              <w:noProof/>
            </w:rPr>
            <w:t xml:space="preserve"> Committee</w:t>
          </w:r>
        </w:p>
      </w:tc>
      <w:tc>
        <w:tcPr>
          <w:tcW w:w="510" w:type="dxa"/>
        </w:tcPr>
        <w:p w14:paraId="3A66D96C" w14:textId="77777777" w:rsidR="006A3015" w:rsidRPr="00A24443" w:rsidRDefault="006A301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642F4">
            <w:rPr>
              <w:rStyle w:val="PageNumber"/>
              <w:caps w:val="0"/>
              <w:noProof/>
            </w:rPr>
            <w:t>v</w:t>
          </w:r>
          <w:r w:rsidRPr="00A24443">
            <w:rPr>
              <w:rStyle w:val="PageNumber"/>
              <w:caps w:val="0"/>
            </w:rPr>
            <w:fldChar w:fldCharType="end"/>
          </w:r>
        </w:p>
      </w:tc>
    </w:tr>
  </w:tbl>
  <w:p w14:paraId="738874D7" w14:textId="77777777" w:rsidR="006A3015" w:rsidRDefault="006A3015">
    <w:pPr>
      <w:pStyle w:val="FooterEnd"/>
    </w:pPr>
  </w:p>
  <w:p w14:paraId="54F74A66" w14:textId="77777777" w:rsidR="006A3015" w:rsidRDefault="006A3015" w:rsidP="00B95339">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A793A" w14:paraId="7B53F04F" w14:textId="77777777" w:rsidTr="005F48ED">
      <w:trPr>
        <w:trHeight w:hRule="exact" w:val="567"/>
      </w:trPr>
      <w:tc>
        <w:tcPr>
          <w:tcW w:w="510" w:type="dxa"/>
        </w:tcPr>
        <w:p w14:paraId="4A4BFBCD" w14:textId="77777777" w:rsidR="004A793A" w:rsidRPr="00A24443" w:rsidRDefault="004A793A"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642F4">
            <w:rPr>
              <w:rStyle w:val="PageNumber"/>
              <w:caps w:val="0"/>
              <w:noProof/>
            </w:rPr>
            <w:t>16</w:t>
          </w:r>
          <w:r w:rsidRPr="00A24443">
            <w:rPr>
              <w:rStyle w:val="PageNumber"/>
              <w:caps w:val="0"/>
            </w:rPr>
            <w:fldChar w:fldCharType="end"/>
          </w:r>
        </w:p>
      </w:tc>
      <w:tc>
        <w:tcPr>
          <w:tcW w:w="7767" w:type="dxa"/>
        </w:tcPr>
        <w:p w14:paraId="6007C44F" w14:textId="103266F5" w:rsidR="004A793A" w:rsidRPr="0013739A" w:rsidRDefault="004A793A" w:rsidP="00DB3C2B">
          <w:pPr>
            <w:pStyle w:val="Footer"/>
            <w:rPr>
              <w:rFonts w:cs="Arial"/>
            </w:rPr>
          </w:pPr>
          <w:r>
            <w:rPr>
              <w:rFonts w:cs="Arial"/>
            </w:rPr>
            <w:t>SCRGSP REPORT DECEMBER 2019</w:t>
          </w:r>
        </w:p>
      </w:tc>
      <w:tc>
        <w:tcPr>
          <w:tcW w:w="510" w:type="dxa"/>
        </w:tcPr>
        <w:p w14:paraId="2502E690" w14:textId="77777777" w:rsidR="004A793A" w:rsidRDefault="004A793A" w:rsidP="0019293B">
          <w:pPr>
            <w:pStyle w:val="Footer"/>
          </w:pPr>
        </w:p>
      </w:tc>
    </w:tr>
  </w:tbl>
  <w:p w14:paraId="5E370A46" w14:textId="77777777" w:rsidR="004A793A" w:rsidRDefault="004A793A" w:rsidP="0019293B">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A793A" w14:paraId="13184B9C" w14:textId="77777777" w:rsidTr="005F48ED">
      <w:trPr>
        <w:trHeight w:hRule="exact" w:val="567"/>
      </w:trPr>
      <w:tc>
        <w:tcPr>
          <w:tcW w:w="510" w:type="dxa"/>
        </w:tcPr>
        <w:p w14:paraId="7ADB2052" w14:textId="77777777" w:rsidR="004A793A" w:rsidRDefault="004A793A">
          <w:pPr>
            <w:pStyle w:val="Footer"/>
            <w:ind w:right="360" w:firstLine="360"/>
          </w:pPr>
        </w:p>
      </w:tc>
      <w:tc>
        <w:tcPr>
          <w:tcW w:w="7767" w:type="dxa"/>
        </w:tcPr>
        <w:p w14:paraId="4373EF3D" w14:textId="77777777" w:rsidR="004A793A" w:rsidRPr="00BA5B14" w:rsidRDefault="004A793A" w:rsidP="00B2369F">
          <w:pPr>
            <w:pStyle w:val="Footer"/>
            <w:jc w:val="right"/>
            <w:rPr>
              <w:rFonts w:cs="Arial"/>
            </w:rPr>
          </w:pPr>
          <w:r>
            <w:rPr>
              <w:rFonts w:cs="Arial"/>
            </w:rPr>
            <w:t xml:space="preserve">Indigenous reform </w:t>
          </w:r>
          <w:bookmarkStart w:id="40" w:name="DraftReportOdd"/>
          <w:bookmarkEnd w:id="40"/>
        </w:p>
      </w:tc>
      <w:tc>
        <w:tcPr>
          <w:tcW w:w="510" w:type="dxa"/>
        </w:tcPr>
        <w:p w14:paraId="51ADC981" w14:textId="77777777" w:rsidR="004A793A" w:rsidRPr="00A24443" w:rsidRDefault="004A793A">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642F4">
            <w:rPr>
              <w:rStyle w:val="PageNumber"/>
              <w:caps w:val="0"/>
              <w:noProof/>
            </w:rPr>
            <w:t>15</w:t>
          </w:r>
          <w:r w:rsidRPr="00A24443">
            <w:rPr>
              <w:rStyle w:val="PageNumber"/>
              <w:caps w:val="0"/>
            </w:rPr>
            <w:fldChar w:fldCharType="end"/>
          </w:r>
        </w:p>
      </w:tc>
    </w:tr>
  </w:tbl>
  <w:p w14:paraId="261948CF" w14:textId="77777777" w:rsidR="004A793A" w:rsidRDefault="004A793A">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AE40A" w14:textId="77777777" w:rsidR="004A793A" w:rsidRDefault="004A793A">
      <w:r>
        <w:separator/>
      </w:r>
    </w:p>
  </w:footnote>
  <w:footnote w:type="continuationSeparator" w:id="0">
    <w:p w14:paraId="475E8AC3" w14:textId="77777777" w:rsidR="004A793A" w:rsidRDefault="004A793A">
      <w:r>
        <w:continuationSeparator/>
      </w:r>
    </w:p>
  </w:footnote>
  <w:footnote w:type="continuationNotice" w:id="1">
    <w:p w14:paraId="00917D16" w14:textId="77777777" w:rsidR="004A793A" w:rsidRDefault="004A793A"/>
  </w:footnote>
  <w:footnote w:id="2">
    <w:p w14:paraId="7A5F7CF2" w14:textId="045B0620" w:rsidR="004A793A" w:rsidRDefault="004A793A">
      <w:pPr>
        <w:pStyle w:val="FootnoteText"/>
      </w:pPr>
      <w:r>
        <w:rPr>
          <w:rStyle w:val="FootnoteReference"/>
        </w:rPr>
        <w:footnoteRef/>
      </w:r>
      <w:r>
        <w:tab/>
        <w:t>For 2012-13, included both the NATSIHS and National Aboriginal and Torres Strait Islander Nutrition and Physical Activity Survey.</w:t>
      </w:r>
    </w:p>
  </w:footnote>
  <w:footnote w:id="3">
    <w:p w14:paraId="3185D905" w14:textId="676979A8" w:rsidR="004A793A" w:rsidRDefault="004A793A">
      <w:pPr>
        <w:pStyle w:val="FootnoteText"/>
      </w:pPr>
      <w:r>
        <w:rPr>
          <w:rStyle w:val="FootnoteReference"/>
        </w:rPr>
        <w:footnoteRef/>
      </w:r>
      <w:r>
        <w:tab/>
        <w:t>For 2012-13, included both the NATSIHS and National Aboriginal and Torres Strait Islander Nutrition and Physical Activity Survey.</w:t>
      </w:r>
    </w:p>
  </w:footnote>
  <w:footnote w:id="4">
    <w:p w14:paraId="66D04F5C" w14:textId="77777777" w:rsidR="004A793A" w:rsidRPr="0033163A" w:rsidRDefault="004A793A" w:rsidP="007D6965">
      <w:pPr>
        <w:pStyle w:val="FootnoteText"/>
        <w:rPr>
          <w:sz w:val="18"/>
          <w:szCs w:val="18"/>
        </w:rPr>
      </w:pPr>
      <w:r w:rsidRPr="0033163A">
        <w:rPr>
          <w:rStyle w:val="FootnoteReference"/>
          <w:sz w:val="18"/>
          <w:szCs w:val="18"/>
        </w:rPr>
        <w:footnoteRef/>
      </w:r>
      <w:r w:rsidRPr="0033163A">
        <w:rPr>
          <w:sz w:val="18"/>
          <w:szCs w:val="18"/>
        </w:rPr>
        <w:t xml:space="preserve"> See National Standards for School Atten</w:t>
      </w:r>
      <w:r>
        <w:rPr>
          <w:sz w:val="18"/>
          <w:szCs w:val="18"/>
        </w:rPr>
        <w:t>dance Data Reporting Section 6.8</w:t>
      </w:r>
    </w:p>
  </w:footnote>
  <w:footnote w:id="5">
    <w:p w14:paraId="754A2C86" w14:textId="38D36715" w:rsidR="004A793A" w:rsidRDefault="004A793A">
      <w:pPr>
        <w:pStyle w:val="FootnoteText"/>
      </w:pPr>
      <w:r>
        <w:rPr>
          <w:rStyle w:val="FootnoteReference"/>
        </w:rPr>
        <w:footnoteRef/>
      </w:r>
      <w:r>
        <w:tab/>
        <w:t xml:space="preserve">For 2012-13, included data from the National Aboriginal and Torres Strait Islander Nutrition and Physical Activity Survey (referred to as the core component of the AATSIHS). </w:t>
      </w:r>
    </w:p>
  </w:footnote>
  <w:footnote w:id="6">
    <w:p w14:paraId="3BA643D8" w14:textId="79B7DF52" w:rsidR="004A793A" w:rsidRDefault="004A793A">
      <w:pPr>
        <w:pStyle w:val="FootnoteText"/>
      </w:pPr>
      <w:r>
        <w:rPr>
          <w:rStyle w:val="FootnoteReference"/>
        </w:rPr>
        <w:footnoteRef/>
      </w:r>
      <w:r>
        <w:tab/>
        <w:t>For 2012-13, included data from the National Aboriginal and Torres Strait Islander Nutrition and Physical Activity Survey (referred to as the core component of the AATSIHS).</w:t>
      </w:r>
    </w:p>
  </w:footnote>
  <w:footnote w:id="7">
    <w:p w14:paraId="3F32AC70" w14:textId="10F5BC27" w:rsidR="004A793A" w:rsidRDefault="004A793A">
      <w:pPr>
        <w:pStyle w:val="FootnoteText"/>
      </w:pPr>
      <w:r>
        <w:rPr>
          <w:rStyle w:val="FootnoteReference"/>
        </w:rPr>
        <w:footnoteRef/>
      </w:r>
      <w:r>
        <w:tab/>
        <w:t>For 2012-13, included data from the National Aboriginal and Torres Strait Islander Nutrition and Physical Activity Survey (referred to as the core component of the AATSIHS).</w:t>
      </w:r>
    </w:p>
  </w:footnote>
  <w:footnote w:id="8">
    <w:p w14:paraId="5E91C618" w14:textId="77777777" w:rsidR="004A793A" w:rsidRPr="008822BF" w:rsidRDefault="004A793A" w:rsidP="00206660">
      <w:pPr>
        <w:pStyle w:val="FootnoteText"/>
      </w:pPr>
      <w:r w:rsidRPr="00206660">
        <w:rPr>
          <w:rStyle w:val="FootnoteReference"/>
          <w:sz w:val="18"/>
          <w:szCs w:val="18"/>
        </w:rPr>
        <w:footnoteRef/>
      </w:r>
      <w:r w:rsidRPr="00206660">
        <w:t xml:space="preserve"> </w:t>
      </w:r>
      <w:r w:rsidRPr="008822BF">
        <w:t>See National Standards for School Attendance Data Reporting (http://www.acara.edu.au/reporting/national-standards-for-student-attendance-data-reporting).</w:t>
      </w:r>
    </w:p>
  </w:footnote>
  <w:footnote w:id="9">
    <w:p w14:paraId="5C978672" w14:textId="36624831" w:rsidR="004A793A" w:rsidRDefault="004A793A">
      <w:pPr>
        <w:pStyle w:val="FootnoteText"/>
      </w:pPr>
      <w:r>
        <w:rPr>
          <w:rStyle w:val="FootnoteReference"/>
        </w:rPr>
        <w:footnoteRef/>
      </w:r>
      <w:r>
        <w:tab/>
        <w:t>For 2012-13, included data from the National Aboriginal and Torres Strait Islander Nutrition and Physical Activity Survey (referred to as the core component of the AATSIHS).</w:t>
      </w:r>
    </w:p>
  </w:footnote>
  <w:footnote w:id="10">
    <w:p w14:paraId="414416D0" w14:textId="0A37F489" w:rsidR="004A793A" w:rsidRDefault="004A793A">
      <w:pPr>
        <w:pStyle w:val="FootnoteText"/>
      </w:pPr>
      <w:r>
        <w:rPr>
          <w:rStyle w:val="FootnoteReference"/>
        </w:rPr>
        <w:footnoteRef/>
      </w:r>
      <w:r>
        <w:tab/>
        <w:t>For 2012-13, included data from the National Aboriginal and Torres Strait Islander Nutrition and Physical Activity Survey (referred to as the core component of the AATSIHS).</w:t>
      </w:r>
    </w:p>
  </w:footnote>
  <w:footnote w:id="11">
    <w:p w14:paraId="196971A5" w14:textId="77777777" w:rsidR="004A793A" w:rsidRPr="00206660" w:rsidRDefault="004A793A" w:rsidP="00206660">
      <w:pPr>
        <w:pStyle w:val="FootnoteText"/>
      </w:pPr>
      <w:r w:rsidRPr="00206660">
        <w:rPr>
          <w:rStyle w:val="FootnoteReference"/>
        </w:rPr>
        <w:footnoteRef/>
      </w:r>
      <w:r w:rsidRPr="00206660">
        <w:tab/>
        <w:t>The ASGS replaced the Australian Standard Geographical Classification (ASGC) from 1 July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6A3015" w14:paraId="650BB4AB" w14:textId="77777777">
      <w:tc>
        <w:tcPr>
          <w:tcW w:w="2155" w:type="dxa"/>
          <w:tcBorders>
            <w:top w:val="single" w:sz="24" w:space="0" w:color="auto"/>
          </w:tcBorders>
        </w:tcPr>
        <w:p w14:paraId="27A4D9ED" w14:textId="77777777" w:rsidR="006A3015" w:rsidRDefault="006A3015">
          <w:pPr>
            <w:pStyle w:val="Header"/>
          </w:pPr>
        </w:p>
      </w:tc>
      <w:tc>
        <w:tcPr>
          <w:tcW w:w="6634" w:type="dxa"/>
          <w:tcBorders>
            <w:top w:val="single" w:sz="6" w:space="0" w:color="auto"/>
          </w:tcBorders>
        </w:tcPr>
        <w:p w14:paraId="7A4931E2" w14:textId="77777777" w:rsidR="006A3015" w:rsidRDefault="006A3015">
          <w:pPr>
            <w:pStyle w:val="Header"/>
          </w:pPr>
        </w:p>
      </w:tc>
    </w:tr>
  </w:tbl>
  <w:p w14:paraId="0D1EF0D8" w14:textId="77777777" w:rsidR="006A3015" w:rsidRDefault="006A3015">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A3015" w14:paraId="11EC5F65" w14:textId="77777777" w:rsidTr="005C68FE">
      <w:tc>
        <w:tcPr>
          <w:tcW w:w="6634" w:type="dxa"/>
          <w:tcBorders>
            <w:top w:val="single" w:sz="6" w:space="0" w:color="auto"/>
          </w:tcBorders>
        </w:tcPr>
        <w:p w14:paraId="62C9AD78" w14:textId="77777777" w:rsidR="006A3015" w:rsidRDefault="006A3015" w:rsidP="005C68FE">
          <w:pPr>
            <w:pStyle w:val="HeaderOdd"/>
          </w:pPr>
        </w:p>
      </w:tc>
      <w:tc>
        <w:tcPr>
          <w:tcW w:w="2155" w:type="dxa"/>
          <w:tcBorders>
            <w:top w:val="single" w:sz="24" w:space="0" w:color="auto"/>
          </w:tcBorders>
        </w:tcPr>
        <w:p w14:paraId="6E10B493" w14:textId="77777777" w:rsidR="006A3015" w:rsidRDefault="006A3015" w:rsidP="005C68FE">
          <w:pPr>
            <w:pStyle w:val="HeaderOdd"/>
          </w:pPr>
        </w:p>
      </w:tc>
    </w:tr>
  </w:tbl>
  <w:p w14:paraId="34146010" w14:textId="77777777" w:rsidR="006A3015" w:rsidRPr="005C68FE" w:rsidRDefault="006A3015" w:rsidP="005C68FE">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6A3015" w14:paraId="451D6321" w14:textId="77777777">
      <w:tc>
        <w:tcPr>
          <w:tcW w:w="2155" w:type="dxa"/>
          <w:tcBorders>
            <w:top w:val="single" w:sz="24" w:space="0" w:color="auto"/>
          </w:tcBorders>
        </w:tcPr>
        <w:p w14:paraId="5EA757FC" w14:textId="77777777" w:rsidR="006A3015" w:rsidRDefault="006A3015">
          <w:pPr>
            <w:pStyle w:val="HeaderEven"/>
          </w:pPr>
        </w:p>
      </w:tc>
      <w:tc>
        <w:tcPr>
          <w:tcW w:w="6634" w:type="dxa"/>
          <w:tcBorders>
            <w:top w:val="single" w:sz="6" w:space="0" w:color="auto"/>
          </w:tcBorders>
        </w:tcPr>
        <w:p w14:paraId="54E7365D" w14:textId="77777777" w:rsidR="006A3015" w:rsidRDefault="006A3015">
          <w:pPr>
            <w:pStyle w:val="HeaderEven"/>
          </w:pPr>
        </w:p>
      </w:tc>
    </w:tr>
  </w:tbl>
  <w:p w14:paraId="1370BE8F" w14:textId="77777777" w:rsidR="006A3015" w:rsidRDefault="006A3015">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A3015" w14:paraId="0876B5BF" w14:textId="77777777">
      <w:tc>
        <w:tcPr>
          <w:tcW w:w="6634" w:type="dxa"/>
          <w:tcBorders>
            <w:top w:val="single" w:sz="6" w:space="0" w:color="auto"/>
          </w:tcBorders>
        </w:tcPr>
        <w:p w14:paraId="4BB2758F" w14:textId="77777777" w:rsidR="006A3015" w:rsidRDefault="006A3015">
          <w:pPr>
            <w:pStyle w:val="HeaderOdd"/>
          </w:pPr>
        </w:p>
      </w:tc>
      <w:tc>
        <w:tcPr>
          <w:tcW w:w="2155" w:type="dxa"/>
          <w:tcBorders>
            <w:top w:val="single" w:sz="24" w:space="0" w:color="auto"/>
          </w:tcBorders>
        </w:tcPr>
        <w:p w14:paraId="1854CE30" w14:textId="77777777" w:rsidR="006A3015" w:rsidRDefault="006A3015">
          <w:pPr>
            <w:pStyle w:val="HeaderOdd"/>
          </w:pPr>
        </w:p>
      </w:tc>
    </w:tr>
  </w:tbl>
  <w:p w14:paraId="4D271D9A" w14:textId="77777777" w:rsidR="006A3015" w:rsidRDefault="006A3015">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6A3015" w14:paraId="1D8611CE" w14:textId="77777777" w:rsidTr="005C68FE">
      <w:tc>
        <w:tcPr>
          <w:tcW w:w="2155" w:type="dxa"/>
          <w:tcBorders>
            <w:top w:val="single" w:sz="24" w:space="0" w:color="auto"/>
          </w:tcBorders>
        </w:tcPr>
        <w:p w14:paraId="79A1A1C0" w14:textId="77777777" w:rsidR="006A3015" w:rsidRDefault="006A3015" w:rsidP="005C68FE">
          <w:pPr>
            <w:pStyle w:val="HeaderEven"/>
          </w:pPr>
        </w:p>
      </w:tc>
      <w:tc>
        <w:tcPr>
          <w:tcW w:w="6634" w:type="dxa"/>
          <w:tcBorders>
            <w:top w:val="single" w:sz="6" w:space="0" w:color="auto"/>
          </w:tcBorders>
        </w:tcPr>
        <w:p w14:paraId="48C73697" w14:textId="77777777" w:rsidR="006A3015" w:rsidRDefault="006A3015" w:rsidP="005C68FE">
          <w:pPr>
            <w:pStyle w:val="HeaderEven"/>
          </w:pPr>
        </w:p>
      </w:tc>
    </w:tr>
  </w:tbl>
  <w:p w14:paraId="3B65C23C" w14:textId="77777777" w:rsidR="006A3015" w:rsidRDefault="006A3015" w:rsidP="00D732FE">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A3015" w14:paraId="22DF7E67" w14:textId="77777777">
      <w:tc>
        <w:tcPr>
          <w:tcW w:w="6634" w:type="dxa"/>
          <w:tcBorders>
            <w:top w:val="single" w:sz="6" w:space="0" w:color="auto"/>
          </w:tcBorders>
        </w:tcPr>
        <w:p w14:paraId="305FF46C" w14:textId="77777777" w:rsidR="006A3015" w:rsidRDefault="006A3015">
          <w:pPr>
            <w:pStyle w:val="HeaderOdd"/>
          </w:pPr>
        </w:p>
      </w:tc>
      <w:tc>
        <w:tcPr>
          <w:tcW w:w="2155" w:type="dxa"/>
          <w:tcBorders>
            <w:top w:val="single" w:sz="24" w:space="0" w:color="auto"/>
          </w:tcBorders>
        </w:tcPr>
        <w:p w14:paraId="6C30B011" w14:textId="77777777" w:rsidR="006A3015" w:rsidRDefault="006A3015">
          <w:pPr>
            <w:pStyle w:val="HeaderOdd"/>
          </w:pPr>
        </w:p>
      </w:tc>
    </w:tr>
  </w:tbl>
  <w:p w14:paraId="73010391" w14:textId="77777777" w:rsidR="006A3015" w:rsidRDefault="006A3015" w:rsidP="00B95339">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410"/>
      <w:gridCol w:w="6379"/>
    </w:tblGrid>
    <w:tr w:rsidR="004A793A" w14:paraId="599E97A4" w14:textId="77777777" w:rsidTr="006850A5">
      <w:tc>
        <w:tcPr>
          <w:tcW w:w="2410" w:type="dxa"/>
          <w:tcBorders>
            <w:top w:val="single" w:sz="24" w:space="0" w:color="auto"/>
          </w:tcBorders>
        </w:tcPr>
        <w:p w14:paraId="69EF7991" w14:textId="77777777" w:rsidR="004A793A" w:rsidRDefault="004A793A" w:rsidP="0019293B">
          <w:pPr>
            <w:pStyle w:val="HeaderEven"/>
          </w:pPr>
        </w:p>
      </w:tc>
      <w:tc>
        <w:tcPr>
          <w:tcW w:w="6379" w:type="dxa"/>
          <w:tcBorders>
            <w:top w:val="single" w:sz="6" w:space="0" w:color="auto"/>
          </w:tcBorders>
        </w:tcPr>
        <w:p w14:paraId="23178D90" w14:textId="39F72994" w:rsidR="004A793A" w:rsidRDefault="004A793A" w:rsidP="00FE4EFA">
          <w:pPr>
            <w:pStyle w:val="HeaderEven"/>
          </w:pPr>
        </w:p>
      </w:tc>
    </w:tr>
  </w:tbl>
  <w:p w14:paraId="342C4F9C" w14:textId="77777777" w:rsidR="004A793A" w:rsidRDefault="004A793A" w:rsidP="0019293B">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A793A" w14:paraId="0B701B34" w14:textId="77777777">
      <w:tc>
        <w:tcPr>
          <w:tcW w:w="6634" w:type="dxa"/>
          <w:tcBorders>
            <w:top w:val="single" w:sz="6" w:space="0" w:color="auto"/>
          </w:tcBorders>
        </w:tcPr>
        <w:p w14:paraId="0661AE4F" w14:textId="0C2D1E7C" w:rsidR="004A793A" w:rsidRDefault="004A793A" w:rsidP="00572E4B">
          <w:pPr>
            <w:pStyle w:val="HeaderOdd"/>
          </w:pPr>
        </w:p>
      </w:tc>
      <w:tc>
        <w:tcPr>
          <w:tcW w:w="2155" w:type="dxa"/>
          <w:tcBorders>
            <w:top w:val="single" w:sz="24" w:space="0" w:color="auto"/>
          </w:tcBorders>
        </w:tcPr>
        <w:p w14:paraId="6C68CC3C" w14:textId="77777777" w:rsidR="004A793A" w:rsidRDefault="004A793A" w:rsidP="00E669E2">
          <w:pPr>
            <w:pStyle w:val="HeaderOdd"/>
          </w:pPr>
        </w:p>
      </w:tc>
    </w:tr>
  </w:tbl>
  <w:p w14:paraId="66D041AD" w14:textId="77777777" w:rsidR="004A793A" w:rsidRDefault="004A793A"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BBE02DF"/>
    <w:multiLevelType w:val="hybridMultilevel"/>
    <w:tmpl w:val="0F3CB162"/>
    <w:lvl w:ilvl="0" w:tplc="8DCC3470">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1"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2DAA0C43"/>
    <w:multiLevelType w:val="hybridMultilevel"/>
    <w:tmpl w:val="3E000C5C"/>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4"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5" w15:restartNumberingAfterBreak="0">
    <w:nsid w:val="4BA71CF8"/>
    <w:multiLevelType w:val="hybridMultilevel"/>
    <w:tmpl w:val="2864002C"/>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6"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D31182"/>
    <w:multiLevelType w:val="hybridMultilevel"/>
    <w:tmpl w:val="91587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9"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0"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1"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4" w15:restartNumberingAfterBreak="0">
    <w:nsid w:val="65A11AC8"/>
    <w:multiLevelType w:val="hybridMultilevel"/>
    <w:tmpl w:val="55168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6"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4"/>
  </w:num>
  <w:num w:numId="2">
    <w:abstractNumId w:val="3"/>
  </w:num>
  <w:num w:numId="3">
    <w:abstractNumId w:val="18"/>
  </w:num>
  <w:num w:numId="4">
    <w:abstractNumId w:val="4"/>
  </w:num>
  <w:num w:numId="5">
    <w:abstractNumId w:val="23"/>
  </w:num>
  <w:num w:numId="6">
    <w:abstractNumId w:val="20"/>
  </w:num>
  <w:num w:numId="7">
    <w:abstractNumId w:val="8"/>
  </w:num>
  <w:num w:numId="8">
    <w:abstractNumId w:val="19"/>
  </w:num>
  <w:num w:numId="9">
    <w:abstractNumId w:val="7"/>
  </w:num>
  <w:num w:numId="10">
    <w:abstractNumId w:val="6"/>
  </w:num>
  <w:num w:numId="11">
    <w:abstractNumId w:val="11"/>
  </w:num>
  <w:num w:numId="12">
    <w:abstractNumId w:val="12"/>
  </w:num>
  <w:num w:numId="13">
    <w:abstractNumId w:val="5"/>
  </w:num>
  <w:num w:numId="14">
    <w:abstractNumId w:val="21"/>
  </w:num>
  <w:num w:numId="15">
    <w:abstractNumId w:val="25"/>
  </w:num>
  <w:num w:numId="16">
    <w:abstractNumId w:val="16"/>
  </w:num>
  <w:num w:numId="17">
    <w:abstractNumId w:val="26"/>
  </w:num>
  <w:num w:numId="18">
    <w:abstractNumId w:val="22"/>
  </w:num>
  <w:num w:numId="19">
    <w:abstractNumId w:val="9"/>
  </w:num>
  <w:num w:numId="20">
    <w:abstractNumId w:val="10"/>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0"/>
  </w:num>
  <w:num w:numId="25">
    <w:abstractNumId w:val="17"/>
  </w:num>
  <w:num w:numId="26">
    <w:abstractNumId w:val="24"/>
  </w:num>
  <w:num w:numId="27">
    <w:abstractNumId w:val="13"/>
  </w:num>
  <w:num w:numId="28">
    <w:abstractNumId w:val="1"/>
  </w:num>
  <w:num w:numId="29">
    <w:abstractNumId w:val="15"/>
  </w:num>
  <w:num w:numId="30">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3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INDIGENOUS REFORM"/>
    <w:docVar w:name="ShortReportTitle" w:val="SCRGSP REPORT DECEMBER 2015"/>
  </w:docVars>
  <w:rsids>
    <w:rsidRoot w:val="008E3D85"/>
    <w:rsid w:val="00001AEF"/>
    <w:rsid w:val="000025A7"/>
    <w:rsid w:val="00002DF0"/>
    <w:rsid w:val="0000380A"/>
    <w:rsid w:val="00003FCA"/>
    <w:rsid w:val="0000568B"/>
    <w:rsid w:val="0000643B"/>
    <w:rsid w:val="00012B4D"/>
    <w:rsid w:val="00014B57"/>
    <w:rsid w:val="00015246"/>
    <w:rsid w:val="00020A72"/>
    <w:rsid w:val="00020D30"/>
    <w:rsid w:val="00021BE7"/>
    <w:rsid w:val="000227D5"/>
    <w:rsid w:val="000245AA"/>
    <w:rsid w:val="00024936"/>
    <w:rsid w:val="00024BF6"/>
    <w:rsid w:val="00026629"/>
    <w:rsid w:val="0003196B"/>
    <w:rsid w:val="00032480"/>
    <w:rsid w:val="00034247"/>
    <w:rsid w:val="00034C32"/>
    <w:rsid w:val="00034FC0"/>
    <w:rsid w:val="0003664B"/>
    <w:rsid w:val="0003738F"/>
    <w:rsid w:val="000406EE"/>
    <w:rsid w:val="0004111F"/>
    <w:rsid w:val="00041B6D"/>
    <w:rsid w:val="000420EF"/>
    <w:rsid w:val="000421EF"/>
    <w:rsid w:val="00044939"/>
    <w:rsid w:val="00046720"/>
    <w:rsid w:val="0005370C"/>
    <w:rsid w:val="00054A8F"/>
    <w:rsid w:val="00055077"/>
    <w:rsid w:val="00055D5D"/>
    <w:rsid w:val="000565B3"/>
    <w:rsid w:val="00057243"/>
    <w:rsid w:val="00057AE9"/>
    <w:rsid w:val="00063E26"/>
    <w:rsid w:val="00067E40"/>
    <w:rsid w:val="0007150B"/>
    <w:rsid w:val="0007384C"/>
    <w:rsid w:val="00073B00"/>
    <w:rsid w:val="00074D31"/>
    <w:rsid w:val="00081E96"/>
    <w:rsid w:val="00082DB4"/>
    <w:rsid w:val="00083F2B"/>
    <w:rsid w:val="000878EC"/>
    <w:rsid w:val="00090060"/>
    <w:rsid w:val="0009162B"/>
    <w:rsid w:val="00092827"/>
    <w:rsid w:val="000938F5"/>
    <w:rsid w:val="00094483"/>
    <w:rsid w:val="00094D38"/>
    <w:rsid w:val="00095168"/>
    <w:rsid w:val="00095663"/>
    <w:rsid w:val="00096D71"/>
    <w:rsid w:val="00096E55"/>
    <w:rsid w:val="0009783E"/>
    <w:rsid w:val="000A1A31"/>
    <w:rsid w:val="000A285E"/>
    <w:rsid w:val="000A3EBC"/>
    <w:rsid w:val="000A548F"/>
    <w:rsid w:val="000A6D48"/>
    <w:rsid w:val="000A7DC2"/>
    <w:rsid w:val="000B1022"/>
    <w:rsid w:val="000B1D42"/>
    <w:rsid w:val="000B25BC"/>
    <w:rsid w:val="000B3C45"/>
    <w:rsid w:val="000B601B"/>
    <w:rsid w:val="000B640B"/>
    <w:rsid w:val="000B665F"/>
    <w:rsid w:val="000C207E"/>
    <w:rsid w:val="000C25EE"/>
    <w:rsid w:val="000C5788"/>
    <w:rsid w:val="000C5880"/>
    <w:rsid w:val="000C6749"/>
    <w:rsid w:val="000C739C"/>
    <w:rsid w:val="000D0707"/>
    <w:rsid w:val="000D3436"/>
    <w:rsid w:val="000D3D8D"/>
    <w:rsid w:val="000D41E9"/>
    <w:rsid w:val="000D6934"/>
    <w:rsid w:val="000D6945"/>
    <w:rsid w:val="000D698A"/>
    <w:rsid w:val="000E097B"/>
    <w:rsid w:val="000E1A1E"/>
    <w:rsid w:val="000E2039"/>
    <w:rsid w:val="000E2BA9"/>
    <w:rsid w:val="000E4DD3"/>
    <w:rsid w:val="000E5284"/>
    <w:rsid w:val="000F0035"/>
    <w:rsid w:val="000F04E7"/>
    <w:rsid w:val="000F060A"/>
    <w:rsid w:val="000F1247"/>
    <w:rsid w:val="000F1314"/>
    <w:rsid w:val="000F1E9A"/>
    <w:rsid w:val="000F33B4"/>
    <w:rsid w:val="000F3B15"/>
    <w:rsid w:val="000F420B"/>
    <w:rsid w:val="000F499C"/>
    <w:rsid w:val="000F7959"/>
    <w:rsid w:val="0010355C"/>
    <w:rsid w:val="00103F75"/>
    <w:rsid w:val="001049A4"/>
    <w:rsid w:val="00107185"/>
    <w:rsid w:val="00110116"/>
    <w:rsid w:val="00112E5C"/>
    <w:rsid w:val="001138FB"/>
    <w:rsid w:val="00115D40"/>
    <w:rsid w:val="001174D8"/>
    <w:rsid w:val="00120072"/>
    <w:rsid w:val="00120CC1"/>
    <w:rsid w:val="00122C24"/>
    <w:rsid w:val="00123A9A"/>
    <w:rsid w:val="001260DD"/>
    <w:rsid w:val="00126EB8"/>
    <w:rsid w:val="00126F14"/>
    <w:rsid w:val="001274D4"/>
    <w:rsid w:val="0013117E"/>
    <w:rsid w:val="00131CF9"/>
    <w:rsid w:val="0013319B"/>
    <w:rsid w:val="00135549"/>
    <w:rsid w:val="00135E93"/>
    <w:rsid w:val="001363AA"/>
    <w:rsid w:val="0013739A"/>
    <w:rsid w:val="00141720"/>
    <w:rsid w:val="00142165"/>
    <w:rsid w:val="00143713"/>
    <w:rsid w:val="00145F97"/>
    <w:rsid w:val="00152E6B"/>
    <w:rsid w:val="0015462C"/>
    <w:rsid w:val="001548B6"/>
    <w:rsid w:val="001575C3"/>
    <w:rsid w:val="00157D8F"/>
    <w:rsid w:val="0016023F"/>
    <w:rsid w:val="001622C8"/>
    <w:rsid w:val="00162434"/>
    <w:rsid w:val="001660D4"/>
    <w:rsid w:val="00166183"/>
    <w:rsid w:val="00166285"/>
    <w:rsid w:val="00166AA1"/>
    <w:rsid w:val="0017036B"/>
    <w:rsid w:val="00170EF9"/>
    <w:rsid w:val="00172622"/>
    <w:rsid w:val="0017273E"/>
    <w:rsid w:val="00173963"/>
    <w:rsid w:val="001754B1"/>
    <w:rsid w:val="001755D2"/>
    <w:rsid w:val="00177B9D"/>
    <w:rsid w:val="00181C3D"/>
    <w:rsid w:val="00183022"/>
    <w:rsid w:val="00183E82"/>
    <w:rsid w:val="00185AE7"/>
    <w:rsid w:val="00185D28"/>
    <w:rsid w:val="001878BB"/>
    <w:rsid w:val="00191AE0"/>
    <w:rsid w:val="00192894"/>
    <w:rsid w:val="0019293B"/>
    <w:rsid w:val="0019426B"/>
    <w:rsid w:val="00195DF4"/>
    <w:rsid w:val="00197A39"/>
    <w:rsid w:val="001A03C8"/>
    <w:rsid w:val="001A2976"/>
    <w:rsid w:val="001A2FAE"/>
    <w:rsid w:val="001A52CA"/>
    <w:rsid w:val="001A6127"/>
    <w:rsid w:val="001A69CC"/>
    <w:rsid w:val="001A6A4B"/>
    <w:rsid w:val="001A6C50"/>
    <w:rsid w:val="001B08C4"/>
    <w:rsid w:val="001B42D0"/>
    <w:rsid w:val="001C0865"/>
    <w:rsid w:val="001C0AED"/>
    <w:rsid w:val="001C3ABA"/>
    <w:rsid w:val="001C3F95"/>
    <w:rsid w:val="001C4805"/>
    <w:rsid w:val="001C5111"/>
    <w:rsid w:val="001C6327"/>
    <w:rsid w:val="001C7003"/>
    <w:rsid w:val="001C7AC0"/>
    <w:rsid w:val="001D0F5E"/>
    <w:rsid w:val="001D1B0D"/>
    <w:rsid w:val="001D1E96"/>
    <w:rsid w:val="001D2D15"/>
    <w:rsid w:val="001D31AE"/>
    <w:rsid w:val="001E0EA6"/>
    <w:rsid w:val="001E43D7"/>
    <w:rsid w:val="001E519D"/>
    <w:rsid w:val="001E7BE8"/>
    <w:rsid w:val="001F0248"/>
    <w:rsid w:val="001F13EB"/>
    <w:rsid w:val="001F1684"/>
    <w:rsid w:val="001F1CD0"/>
    <w:rsid w:val="001F1E78"/>
    <w:rsid w:val="001F2953"/>
    <w:rsid w:val="001F2E32"/>
    <w:rsid w:val="001F37A7"/>
    <w:rsid w:val="001F3EB3"/>
    <w:rsid w:val="001F4F86"/>
    <w:rsid w:val="001F612D"/>
    <w:rsid w:val="001F73CA"/>
    <w:rsid w:val="001F7FBB"/>
    <w:rsid w:val="00200A5B"/>
    <w:rsid w:val="0020119D"/>
    <w:rsid w:val="00201218"/>
    <w:rsid w:val="00202C2C"/>
    <w:rsid w:val="00203050"/>
    <w:rsid w:val="00203A91"/>
    <w:rsid w:val="00205908"/>
    <w:rsid w:val="00206660"/>
    <w:rsid w:val="002073DF"/>
    <w:rsid w:val="00210CF2"/>
    <w:rsid w:val="00212BBA"/>
    <w:rsid w:val="002135AB"/>
    <w:rsid w:val="002144BE"/>
    <w:rsid w:val="00214DFB"/>
    <w:rsid w:val="00215532"/>
    <w:rsid w:val="00217C29"/>
    <w:rsid w:val="00217FEB"/>
    <w:rsid w:val="002216AD"/>
    <w:rsid w:val="002217CD"/>
    <w:rsid w:val="00221AC2"/>
    <w:rsid w:val="00221F4B"/>
    <w:rsid w:val="002238CE"/>
    <w:rsid w:val="00223F13"/>
    <w:rsid w:val="002271F7"/>
    <w:rsid w:val="00230A24"/>
    <w:rsid w:val="002316B4"/>
    <w:rsid w:val="00231E86"/>
    <w:rsid w:val="00232011"/>
    <w:rsid w:val="00232B67"/>
    <w:rsid w:val="00235014"/>
    <w:rsid w:val="00240CD1"/>
    <w:rsid w:val="00241AD7"/>
    <w:rsid w:val="00242279"/>
    <w:rsid w:val="00243997"/>
    <w:rsid w:val="002440B4"/>
    <w:rsid w:val="0024516C"/>
    <w:rsid w:val="00245778"/>
    <w:rsid w:val="00245C82"/>
    <w:rsid w:val="00246289"/>
    <w:rsid w:val="00246AF2"/>
    <w:rsid w:val="00246D4A"/>
    <w:rsid w:val="00247FCD"/>
    <w:rsid w:val="002518B5"/>
    <w:rsid w:val="00252185"/>
    <w:rsid w:val="0025245D"/>
    <w:rsid w:val="002533D1"/>
    <w:rsid w:val="0025340F"/>
    <w:rsid w:val="002549C4"/>
    <w:rsid w:val="00254F5E"/>
    <w:rsid w:val="0025561A"/>
    <w:rsid w:val="0025580A"/>
    <w:rsid w:val="00257F8D"/>
    <w:rsid w:val="0026099E"/>
    <w:rsid w:val="0026135D"/>
    <w:rsid w:val="00263B28"/>
    <w:rsid w:val="002642EB"/>
    <w:rsid w:val="0026537F"/>
    <w:rsid w:val="002703C5"/>
    <w:rsid w:val="00270AEC"/>
    <w:rsid w:val="002710FE"/>
    <w:rsid w:val="002724BA"/>
    <w:rsid w:val="00273360"/>
    <w:rsid w:val="00273D2D"/>
    <w:rsid w:val="00274088"/>
    <w:rsid w:val="002760EC"/>
    <w:rsid w:val="002817F6"/>
    <w:rsid w:val="00281873"/>
    <w:rsid w:val="00281D53"/>
    <w:rsid w:val="00282109"/>
    <w:rsid w:val="00283113"/>
    <w:rsid w:val="00283339"/>
    <w:rsid w:val="0028371E"/>
    <w:rsid w:val="00283B68"/>
    <w:rsid w:val="002846A8"/>
    <w:rsid w:val="002848C7"/>
    <w:rsid w:val="00286D32"/>
    <w:rsid w:val="00291333"/>
    <w:rsid w:val="00291B40"/>
    <w:rsid w:val="00291F8D"/>
    <w:rsid w:val="00292875"/>
    <w:rsid w:val="00293E28"/>
    <w:rsid w:val="00293E8B"/>
    <w:rsid w:val="0029533A"/>
    <w:rsid w:val="00295C5C"/>
    <w:rsid w:val="00296947"/>
    <w:rsid w:val="00297D85"/>
    <w:rsid w:val="002A1512"/>
    <w:rsid w:val="002A72AE"/>
    <w:rsid w:val="002A79F2"/>
    <w:rsid w:val="002B0E0A"/>
    <w:rsid w:val="002B4008"/>
    <w:rsid w:val="002B469C"/>
    <w:rsid w:val="002B56C7"/>
    <w:rsid w:val="002B56D4"/>
    <w:rsid w:val="002B7EFC"/>
    <w:rsid w:val="002C08C0"/>
    <w:rsid w:val="002C180B"/>
    <w:rsid w:val="002C439F"/>
    <w:rsid w:val="002D0C42"/>
    <w:rsid w:val="002D0E8E"/>
    <w:rsid w:val="002D21CC"/>
    <w:rsid w:val="002D402D"/>
    <w:rsid w:val="002D75B6"/>
    <w:rsid w:val="002E28E5"/>
    <w:rsid w:val="002E3935"/>
    <w:rsid w:val="002E4023"/>
    <w:rsid w:val="002E49DE"/>
    <w:rsid w:val="002E75A0"/>
    <w:rsid w:val="002E79A4"/>
    <w:rsid w:val="002E7C90"/>
    <w:rsid w:val="002E7DE7"/>
    <w:rsid w:val="002F2485"/>
    <w:rsid w:val="002F4271"/>
    <w:rsid w:val="002F46E7"/>
    <w:rsid w:val="002F7F75"/>
    <w:rsid w:val="00301189"/>
    <w:rsid w:val="00301E4A"/>
    <w:rsid w:val="00302119"/>
    <w:rsid w:val="00302DFE"/>
    <w:rsid w:val="00304221"/>
    <w:rsid w:val="00304577"/>
    <w:rsid w:val="00307733"/>
    <w:rsid w:val="00310897"/>
    <w:rsid w:val="003109D3"/>
    <w:rsid w:val="003139E2"/>
    <w:rsid w:val="003168B8"/>
    <w:rsid w:val="00316934"/>
    <w:rsid w:val="00322D64"/>
    <w:rsid w:val="00323E09"/>
    <w:rsid w:val="00325B5A"/>
    <w:rsid w:val="00326C65"/>
    <w:rsid w:val="00326DBA"/>
    <w:rsid w:val="00327B35"/>
    <w:rsid w:val="003302DC"/>
    <w:rsid w:val="0033198B"/>
    <w:rsid w:val="003319BE"/>
    <w:rsid w:val="00333932"/>
    <w:rsid w:val="00337E5B"/>
    <w:rsid w:val="0034173E"/>
    <w:rsid w:val="0034316D"/>
    <w:rsid w:val="00343FA7"/>
    <w:rsid w:val="003518AA"/>
    <w:rsid w:val="00352165"/>
    <w:rsid w:val="003529BB"/>
    <w:rsid w:val="00353182"/>
    <w:rsid w:val="00354C64"/>
    <w:rsid w:val="0035536F"/>
    <w:rsid w:val="00356183"/>
    <w:rsid w:val="003565D9"/>
    <w:rsid w:val="003568C7"/>
    <w:rsid w:val="00357780"/>
    <w:rsid w:val="00357DCB"/>
    <w:rsid w:val="003602E1"/>
    <w:rsid w:val="003602FA"/>
    <w:rsid w:val="00360E8B"/>
    <w:rsid w:val="0036232D"/>
    <w:rsid w:val="00365748"/>
    <w:rsid w:val="00365846"/>
    <w:rsid w:val="003661AB"/>
    <w:rsid w:val="00366220"/>
    <w:rsid w:val="00367EF8"/>
    <w:rsid w:val="00370054"/>
    <w:rsid w:val="0037026F"/>
    <w:rsid w:val="003703C3"/>
    <w:rsid w:val="00371240"/>
    <w:rsid w:val="00372153"/>
    <w:rsid w:val="00372E06"/>
    <w:rsid w:val="00372F68"/>
    <w:rsid w:val="0037302B"/>
    <w:rsid w:val="00373489"/>
    <w:rsid w:val="00374731"/>
    <w:rsid w:val="00376E59"/>
    <w:rsid w:val="003770A0"/>
    <w:rsid w:val="00377EC1"/>
    <w:rsid w:val="00380340"/>
    <w:rsid w:val="00383463"/>
    <w:rsid w:val="00383553"/>
    <w:rsid w:val="00384FF9"/>
    <w:rsid w:val="00385253"/>
    <w:rsid w:val="00387952"/>
    <w:rsid w:val="00387C4E"/>
    <w:rsid w:val="00390448"/>
    <w:rsid w:val="003917D1"/>
    <w:rsid w:val="003919F9"/>
    <w:rsid w:val="00391D44"/>
    <w:rsid w:val="003920CF"/>
    <w:rsid w:val="00395274"/>
    <w:rsid w:val="003A00CE"/>
    <w:rsid w:val="003A0165"/>
    <w:rsid w:val="003A15AB"/>
    <w:rsid w:val="003A2AB0"/>
    <w:rsid w:val="003A3535"/>
    <w:rsid w:val="003A5783"/>
    <w:rsid w:val="003A5A89"/>
    <w:rsid w:val="003A624B"/>
    <w:rsid w:val="003A6DB6"/>
    <w:rsid w:val="003A7646"/>
    <w:rsid w:val="003A7EAD"/>
    <w:rsid w:val="003B23C2"/>
    <w:rsid w:val="003B730A"/>
    <w:rsid w:val="003B749C"/>
    <w:rsid w:val="003B7E15"/>
    <w:rsid w:val="003C34D9"/>
    <w:rsid w:val="003C38B5"/>
    <w:rsid w:val="003C40A6"/>
    <w:rsid w:val="003C412A"/>
    <w:rsid w:val="003C4488"/>
    <w:rsid w:val="003C599F"/>
    <w:rsid w:val="003C5D99"/>
    <w:rsid w:val="003D0190"/>
    <w:rsid w:val="003D0EF4"/>
    <w:rsid w:val="003D1087"/>
    <w:rsid w:val="003D1963"/>
    <w:rsid w:val="003D4A62"/>
    <w:rsid w:val="003D75C8"/>
    <w:rsid w:val="003E2CE5"/>
    <w:rsid w:val="003E2F59"/>
    <w:rsid w:val="003E3EED"/>
    <w:rsid w:val="003E4220"/>
    <w:rsid w:val="003E6D96"/>
    <w:rsid w:val="003E746B"/>
    <w:rsid w:val="003F0789"/>
    <w:rsid w:val="003F1F99"/>
    <w:rsid w:val="003F29C2"/>
    <w:rsid w:val="003F3554"/>
    <w:rsid w:val="003F35F7"/>
    <w:rsid w:val="003F3BCD"/>
    <w:rsid w:val="003F41B8"/>
    <w:rsid w:val="003F42BA"/>
    <w:rsid w:val="003F4701"/>
    <w:rsid w:val="003F4751"/>
    <w:rsid w:val="003F6889"/>
    <w:rsid w:val="003F6D08"/>
    <w:rsid w:val="003F77CB"/>
    <w:rsid w:val="0040006D"/>
    <w:rsid w:val="004013DD"/>
    <w:rsid w:val="00401882"/>
    <w:rsid w:val="0040338B"/>
    <w:rsid w:val="00405EF2"/>
    <w:rsid w:val="00406C75"/>
    <w:rsid w:val="004100C8"/>
    <w:rsid w:val="00410D62"/>
    <w:rsid w:val="00411DBD"/>
    <w:rsid w:val="00411F19"/>
    <w:rsid w:val="00412ACE"/>
    <w:rsid w:val="00412D22"/>
    <w:rsid w:val="004145D2"/>
    <w:rsid w:val="00414868"/>
    <w:rsid w:val="00414D1B"/>
    <w:rsid w:val="00415522"/>
    <w:rsid w:val="00416152"/>
    <w:rsid w:val="00416468"/>
    <w:rsid w:val="00420F9D"/>
    <w:rsid w:val="00421935"/>
    <w:rsid w:val="00421992"/>
    <w:rsid w:val="0042341C"/>
    <w:rsid w:val="00423879"/>
    <w:rsid w:val="00423D10"/>
    <w:rsid w:val="00424E10"/>
    <w:rsid w:val="00425157"/>
    <w:rsid w:val="00425A5E"/>
    <w:rsid w:val="004261E9"/>
    <w:rsid w:val="00426CB4"/>
    <w:rsid w:val="00426E46"/>
    <w:rsid w:val="0042784E"/>
    <w:rsid w:val="004306F6"/>
    <w:rsid w:val="00431249"/>
    <w:rsid w:val="004317A6"/>
    <w:rsid w:val="00431C01"/>
    <w:rsid w:val="004345ED"/>
    <w:rsid w:val="00434C19"/>
    <w:rsid w:val="004350B4"/>
    <w:rsid w:val="0043735A"/>
    <w:rsid w:val="00437C7F"/>
    <w:rsid w:val="004407E5"/>
    <w:rsid w:val="00440C3F"/>
    <w:rsid w:val="00441699"/>
    <w:rsid w:val="00441B21"/>
    <w:rsid w:val="0044328E"/>
    <w:rsid w:val="00443DCE"/>
    <w:rsid w:val="0044630A"/>
    <w:rsid w:val="00450212"/>
    <w:rsid w:val="00450474"/>
    <w:rsid w:val="00450810"/>
    <w:rsid w:val="00450B0B"/>
    <w:rsid w:val="004540F8"/>
    <w:rsid w:val="00454758"/>
    <w:rsid w:val="004609EE"/>
    <w:rsid w:val="004615CE"/>
    <w:rsid w:val="00461FAD"/>
    <w:rsid w:val="00462C59"/>
    <w:rsid w:val="0047014A"/>
    <w:rsid w:val="00470737"/>
    <w:rsid w:val="0047227D"/>
    <w:rsid w:val="004722E0"/>
    <w:rsid w:val="004725AA"/>
    <w:rsid w:val="004727A4"/>
    <w:rsid w:val="004731C0"/>
    <w:rsid w:val="0047343F"/>
    <w:rsid w:val="00474636"/>
    <w:rsid w:val="00474A5F"/>
    <w:rsid w:val="00475119"/>
    <w:rsid w:val="004766A7"/>
    <w:rsid w:val="00476927"/>
    <w:rsid w:val="00476A5E"/>
    <w:rsid w:val="00477144"/>
    <w:rsid w:val="0048054E"/>
    <w:rsid w:val="00480808"/>
    <w:rsid w:val="004808FE"/>
    <w:rsid w:val="004812E3"/>
    <w:rsid w:val="00481920"/>
    <w:rsid w:val="0048444D"/>
    <w:rsid w:val="004849CA"/>
    <w:rsid w:val="00485496"/>
    <w:rsid w:val="00486723"/>
    <w:rsid w:val="00487656"/>
    <w:rsid w:val="00491380"/>
    <w:rsid w:val="00493383"/>
    <w:rsid w:val="0049459F"/>
    <w:rsid w:val="0049542F"/>
    <w:rsid w:val="004A075D"/>
    <w:rsid w:val="004A3833"/>
    <w:rsid w:val="004A38DD"/>
    <w:rsid w:val="004A6489"/>
    <w:rsid w:val="004A700E"/>
    <w:rsid w:val="004A793A"/>
    <w:rsid w:val="004A7DD3"/>
    <w:rsid w:val="004B0299"/>
    <w:rsid w:val="004B3D0D"/>
    <w:rsid w:val="004B3E20"/>
    <w:rsid w:val="004B43AE"/>
    <w:rsid w:val="004B4854"/>
    <w:rsid w:val="004B53C9"/>
    <w:rsid w:val="004B65E9"/>
    <w:rsid w:val="004B7C70"/>
    <w:rsid w:val="004C105B"/>
    <w:rsid w:val="004C1073"/>
    <w:rsid w:val="004C17CA"/>
    <w:rsid w:val="004C30ED"/>
    <w:rsid w:val="004C3BDB"/>
    <w:rsid w:val="004C59F8"/>
    <w:rsid w:val="004C6DAF"/>
    <w:rsid w:val="004C71ED"/>
    <w:rsid w:val="004D0AF1"/>
    <w:rsid w:val="004D5060"/>
    <w:rsid w:val="004D5675"/>
    <w:rsid w:val="004E06F7"/>
    <w:rsid w:val="004E13DA"/>
    <w:rsid w:val="004E14A7"/>
    <w:rsid w:val="004E207F"/>
    <w:rsid w:val="004E22DD"/>
    <w:rsid w:val="004E2AF6"/>
    <w:rsid w:val="004E5B06"/>
    <w:rsid w:val="004E7A5A"/>
    <w:rsid w:val="004F00F4"/>
    <w:rsid w:val="004F016B"/>
    <w:rsid w:val="004F0383"/>
    <w:rsid w:val="004F04D8"/>
    <w:rsid w:val="004F1B9E"/>
    <w:rsid w:val="004F51D4"/>
    <w:rsid w:val="004F5CAE"/>
    <w:rsid w:val="004F74A0"/>
    <w:rsid w:val="004F7927"/>
    <w:rsid w:val="00500594"/>
    <w:rsid w:val="005031F0"/>
    <w:rsid w:val="00504D68"/>
    <w:rsid w:val="00504DA4"/>
    <w:rsid w:val="00505508"/>
    <w:rsid w:val="00505774"/>
    <w:rsid w:val="00505FEE"/>
    <w:rsid w:val="005069E3"/>
    <w:rsid w:val="00506C4C"/>
    <w:rsid w:val="005106A6"/>
    <w:rsid w:val="00510842"/>
    <w:rsid w:val="00510A02"/>
    <w:rsid w:val="00510C07"/>
    <w:rsid w:val="00511C6D"/>
    <w:rsid w:val="005134CB"/>
    <w:rsid w:val="005139F4"/>
    <w:rsid w:val="00514813"/>
    <w:rsid w:val="00516C24"/>
    <w:rsid w:val="0051747F"/>
    <w:rsid w:val="00517795"/>
    <w:rsid w:val="00517DA3"/>
    <w:rsid w:val="00520B45"/>
    <w:rsid w:val="00523639"/>
    <w:rsid w:val="00523B4E"/>
    <w:rsid w:val="00523EC2"/>
    <w:rsid w:val="005246C1"/>
    <w:rsid w:val="005263DE"/>
    <w:rsid w:val="005267B0"/>
    <w:rsid w:val="005275BD"/>
    <w:rsid w:val="00531FE5"/>
    <w:rsid w:val="00532D4F"/>
    <w:rsid w:val="00533AF5"/>
    <w:rsid w:val="0053445D"/>
    <w:rsid w:val="00534757"/>
    <w:rsid w:val="00534D31"/>
    <w:rsid w:val="00535DDF"/>
    <w:rsid w:val="00537191"/>
    <w:rsid w:val="005402FA"/>
    <w:rsid w:val="00541CBF"/>
    <w:rsid w:val="00542AC9"/>
    <w:rsid w:val="0054312C"/>
    <w:rsid w:val="00543477"/>
    <w:rsid w:val="00545A4B"/>
    <w:rsid w:val="00546B5B"/>
    <w:rsid w:val="00547FD2"/>
    <w:rsid w:val="005510E3"/>
    <w:rsid w:val="005519B4"/>
    <w:rsid w:val="00551B74"/>
    <w:rsid w:val="00555E7F"/>
    <w:rsid w:val="005566BB"/>
    <w:rsid w:val="00561E17"/>
    <w:rsid w:val="0056202F"/>
    <w:rsid w:val="005666C1"/>
    <w:rsid w:val="00567BBA"/>
    <w:rsid w:val="0057053B"/>
    <w:rsid w:val="005727BE"/>
    <w:rsid w:val="005729BD"/>
    <w:rsid w:val="00572E4B"/>
    <w:rsid w:val="00573011"/>
    <w:rsid w:val="00574425"/>
    <w:rsid w:val="00575656"/>
    <w:rsid w:val="005779AF"/>
    <w:rsid w:val="00580154"/>
    <w:rsid w:val="00581B68"/>
    <w:rsid w:val="0058397A"/>
    <w:rsid w:val="00583C39"/>
    <w:rsid w:val="00585BF5"/>
    <w:rsid w:val="00586A90"/>
    <w:rsid w:val="005871DB"/>
    <w:rsid w:val="00587F28"/>
    <w:rsid w:val="00590103"/>
    <w:rsid w:val="005906C2"/>
    <w:rsid w:val="005909CF"/>
    <w:rsid w:val="0059147C"/>
    <w:rsid w:val="00591511"/>
    <w:rsid w:val="00591E71"/>
    <w:rsid w:val="00595E18"/>
    <w:rsid w:val="005A0D41"/>
    <w:rsid w:val="005A2220"/>
    <w:rsid w:val="005A2C27"/>
    <w:rsid w:val="005A3036"/>
    <w:rsid w:val="005A3AFB"/>
    <w:rsid w:val="005A3C2A"/>
    <w:rsid w:val="005A3C3A"/>
    <w:rsid w:val="005A4925"/>
    <w:rsid w:val="005A59AD"/>
    <w:rsid w:val="005A6B7E"/>
    <w:rsid w:val="005A6EB0"/>
    <w:rsid w:val="005A790D"/>
    <w:rsid w:val="005B0038"/>
    <w:rsid w:val="005B14F8"/>
    <w:rsid w:val="005B1567"/>
    <w:rsid w:val="005B4BB4"/>
    <w:rsid w:val="005B4FF0"/>
    <w:rsid w:val="005B5AE3"/>
    <w:rsid w:val="005C047E"/>
    <w:rsid w:val="005C173E"/>
    <w:rsid w:val="005C47D6"/>
    <w:rsid w:val="005C5C5A"/>
    <w:rsid w:val="005D07B6"/>
    <w:rsid w:val="005D189B"/>
    <w:rsid w:val="005D1FE9"/>
    <w:rsid w:val="005D329F"/>
    <w:rsid w:val="005D5739"/>
    <w:rsid w:val="005D6036"/>
    <w:rsid w:val="005D75B8"/>
    <w:rsid w:val="005E0F9C"/>
    <w:rsid w:val="005E18B9"/>
    <w:rsid w:val="005E1919"/>
    <w:rsid w:val="005E1EA3"/>
    <w:rsid w:val="005E37FD"/>
    <w:rsid w:val="005E53F1"/>
    <w:rsid w:val="005E5DB4"/>
    <w:rsid w:val="005E67F5"/>
    <w:rsid w:val="005E685C"/>
    <w:rsid w:val="005F26F7"/>
    <w:rsid w:val="005F48ED"/>
    <w:rsid w:val="00601508"/>
    <w:rsid w:val="00602042"/>
    <w:rsid w:val="006047BE"/>
    <w:rsid w:val="00605004"/>
    <w:rsid w:val="0060577C"/>
    <w:rsid w:val="006060DD"/>
    <w:rsid w:val="0060612A"/>
    <w:rsid w:val="006065DC"/>
    <w:rsid w:val="00606B68"/>
    <w:rsid w:val="00606E78"/>
    <w:rsid w:val="0060750B"/>
    <w:rsid w:val="00607BF1"/>
    <w:rsid w:val="00607F03"/>
    <w:rsid w:val="00610154"/>
    <w:rsid w:val="00610E64"/>
    <w:rsid w:val="00611406"/>
    <w:rsid w:val="00611985"/>
    <w:rsid w:val="00611E12"/>
    <w:rsid w:val="00614095"/>
    <w:rsid w:val="00617682"/>
    <w:rsid w:val="00620913"/>
    <w:rsid w:val="00620F1F"/>
    <w:rsid w:val="00621869"/>
    <w:rsid w:val="006242DE"/>
    <w:rsid w:val="00624D90"/>
    <w:rsid w:val="00625E4E"/>
    <w:rsid w:val="00627552"/>
    <w:rsid w:val="006278EC"/>
    <w:rsid w:val="0063013C"/>
    <w:rsid w:val="00630D4D"/>
    <w:rsid w:val="0063115F"/>
    <w:rsid w:val="00631821"/>
    <w:rsid w:val="00632466"/>
    <w:rsid w:val="00632A74"/>
    <w:rsid w:val="00632F43"/>
    <w:rsid w:val="0063407D"/>
    <w:rsid w:val="006341FA"/>
    <w:rsid w:val="006358C5"/>
    <w:rsid w:val="0063689B"/>
    <w:rsid w:val="00640348"/>
    <w:rsid w:val="00641488"/>
    <w:rsid w:val="00641B26"/>
    <w:rsid w:val="006421CE"/>
    <w:rsid w:val="00645340"/>
    <w:rsid w:val="00645E29"/>
    <w:rsid w:val="00647634"/>
    <w:rsid w:val="006512CD"/>
    <w:rsid w:val="0065425D"/>
    <w:rsid w:val="00654D42"/>
    <w:rsid w:val="00656514"/>
    <w:rsid w:val="00657D43"/>
    <w:rsid w:val="006609CB"/>
    <w:rsid w:val="00660D2B"/>
    <w:rsid w:val="00660EAC"/>
    <w:rsid w:val="0066162F"/>
    <w:rsid w:val="00662E2F"/>
    <w:rsid w:val="00663A03"/>
    <w:rsid w:val="00664070"/>
    <w:rsid w:val="00665665"/>
    <w:rsid w:val="00666E02"/>
    <w:rsid w:val="00667A03"/>
    <w:rsid w:val="006728CD"/>
    <w:rsid w:val="006734BF"/>
    <w:rsid w:val="00673682"/>
    <w:rsid w:val="00674E2A"/>
    <w:rsid w:val="0067541F"/>
    <w:rsid w:val="00677B0E"/>
    <w:rsid w:val="00680847"/>
    <w:rsid w:val="00680B2C"/>
    <w:rsid w:val="00680E00"/>
    <w:rsid w:val="00684FC4"/>
    <w:rsid w:val="006850A5"/>
    <w:rsid w:val="00685820"/>
    <w:rsid w:val="006877A8"/>
    <w:rsid w:val="006908FD"/>
    <w:rsid w:val="00693DEA"/>
    <w:rsid w:val="006A0764"/>
    <w:rsid w:val="006A3015"/>
    <w:rsid w:val="006A37F5"/>
    <w:rsid w:val="006A4655"/>
    <w:rsid w:val="006A5041"/>
    <w:rsid w:val="006A68DE"/>
    <w:rsid w:val="006A6DE7"/>
    <w:rsid w:val="006A6F27"/>
    <w:rsid w:val="006A77A1"/>
    <w:rsid w:val="006B0124"/>
    <w:rsid w:val="006B0177"/>
    <w:rsid w:val="006B1D49"/>
    <w:rsid w:val="006B271E"/>
    <w:rsid w:val="006B2B3C"/>
    <w:rsid w:val="006B316F"/>
    <w:rsid w:val="006B33E9"/>
    <w:rsid w:val="006B46D6"/>
    <w:rsid w:val="006B4D32"/>
    <w:rsid w:val="006B5489"/>
    <w:rsid w:val="006B589C"/>
    <w:rsid w:val="006C1D81"/>
    <w:rsid w:val="006C1F8D"/>
    <w:rsid w:val="006C2B26"/>
    <w:rsid w:val="006C47FE"/>
    <w:rsid w:val="006C4F8C"/>
    <w:rsid w:val="006C5095"/>
    <w:rsid w:val="006C7038"/>
    <w:rsid w:val="006D1807"/>
    <w:rsid w:val="006D2778"/>
    <w:rsid w:val="006D2892"/>
    <w:rsid w:val="006D3CB3"/>
    <w:rsid w:val="006D4A87"/>
    <w:rsid w:val="006E1C40"/>
    <w:rsid w:val="006E2D55"/>
    <w:rsid w:val="006E3BB2"/>
    <w:rsid w:val="006E47D4"/>
    <w:rsid w:val="006E5E59"/>
    <w:rsid w:val="006E73EF"/>
    <w:rsid w:val="006F0E69"/>
    <w:rsid w:val="006F24C5"/>
    <w:rsid w:val="006F3223"/>
    <w:rsid w:val="006F6242"/>
    <w:rsid w:val="006F7E4A"/>
    <w:rsid w:val="00701439"/>
    <w:rsid w:val="0070155F"/>
    <w:rsid w:val="00702A62"/>
    <w:rsid w:val="007037F6"/>
    <w:rsid w:val="00705AA2"/>
    <w:rsid w:val="00705DBC"/>
    <w:rsid w:val="00705DFC"/>
    <w:rsid w:val="007079C9"/>
    <w:rsid w:val="0071084C"/>
    <w:rsid w:val="007114A8"/>
    <w:rsid w:val="0071208C"/>
    <w:rsid w:val="00713CD5"/>
    <w:rsid w:val="00714D4D"/>
    <w:rsid w:val="00715F6E"/>
    <w:rsid w:val="00722007"/>
    <w:rsid w:val="0072207B"/>
    <w:rsid w:val="007233E3"/>
    <w:rsid w:val="00723C57"/>
    <w:rsid w:val="00725461"/>
    <w:rsid w:val="00725A18"/>
    <w:rsid w:val="00725AE4"/>
    <w:rsid w:val="007266D3"/>
    <w:rsid w:val="00727166"/>
    <w:rsid w:val="0073114E"/>
    <w:rsid w:val="00731612"/>
    <w:rsid w:val="00732029"/>
    <w:rsid w:val="00732FC6"/>
    <w:rsid w:val="00734281"/>
    <w:rsid w:val="00734AFE"/>
    <w:rsid w:val="007350B3"/>
    <w:rsid w:val="0073688C"/>
    <w:rsid w:val="00737220"/>
    <w:rsid w:val="007376D1"/>
    <w:rsid w:val="00737739"/>
    <w:rsid w:val="007400F1"/>
    <w:rsid w:val="007414FD"/>
    <w:rsid w:val="007424C3"/>
    <w:rsid w:val="00743019"/>
    <w:rsid w:val="00744688"/>
    <w:rsid w:val="00744DB0"/>
    <w:rsid w:val="00747E09"/>
    <w:rsid w:val="007509C7"/>
    <w:rsid w:val="00754ED1"/>
    <w:rsid w:val="00756808"/>
    <w:rsid w:val="00760201"/>
    <w:rsid w:val="007604BB"/>
    <w:rsid w:val="0076063B"/>
    <w:rsid w:val="00760FAF"/>
    <w:rsid w:val="00763368"/>
    <w:rsid w:val="00764894"/>
    <w:rsid w:val="00772909"/>
    <w:rsid w:val="00772C0D"/>
    <w:rsid w:val="00772DE7"/>
    <w:rsid w:val="00775A12"/>
    <w:rsid w:val="00776D59"/>
    <w:rsid w:val="00777063"/>
    <w:rsid w:val="0077722E"/>
    <w:rsid w:val="0077784B"/>
    <w:rsid w:val="00780FE3"/>
    <w:rsid w:val="00781D1E"/>
    <w:rsid w:val="0078330A"/>
    <w:rsid w:val="007839BF"/>
    <w:rsid w:val="00784C2A"/>
    <w:rsid w:val="00784C3B"/>
    <w:rsid w:val="00784D6B"/>
    <w:rsid w:val="00785232"/>
    <w:rsid w:val="00787019"/>
    <w:rsid w:val="0079074B"/>
    <w:rsid w:val="00792BD2"/>
    <w:rsid w:val="0079305E"/>
    <w:rsid w:val="00793792"/>
    <w:rsid w:val="00793FFB"/>
    <w:rsid w:val="00794590"/>
    <w:rsid w:val="00796DBE"/>
    <w:rsid w:val="0079701E"/>
    <w:rsid w:val="007A117B"/>
    <w:rsid w:val="007A21EB"/>
    <w:rsid w:val="007A2228"/>
    <w:rsid w:val="007A2DB5"/>
    <w:rsid w:val="007A3850"/>
    <w:rsid w:val="007A7672"/>
    <w:rsid w:val="007A76E5"/>
    <w:rsid w:val="007A7C47"/>
    <w:rsid w:val="007B1620"/>
    <w:rsid w:val="007B1A93"/>
    <w:rsid w:val="007C0562"/>
    <w:rsid w:val="007C36C9"/>
    <w:rsid w:val="007C3AC3"/>
    <w:rsid w:val="007C5727"/>
    <w:rsid w:val="007D1CC6"/>
    <w:rsid w:val="007D2F63"/>
    <w:rsid w:val="007D60E9"/>
    <w:rsid w:val="007D6401"/>
    <w:rsid w:val="007D6965"/>
    <w:rsid w:val="007E01E4"/>
    <w:rsid w:val="007E14F1"/>
    <w:rsid w:val="007E166B"/>
    <w:rsid w:val="007E16CD"/>
    <w:rsid w:val="007E64B9"/>
    <w:rsid w:val="007E72F6"/>
    <w:rsid w:val="007E7A12"/>
    <w:rsid w:val="007F062F"/>
    <w:rsid w:val="007F1930"/>
    <w:rsid w:val="007F3549"/>
    <w:rsid w:val="007F43A2"/>
    <w:rsid w:val="007F477C"/>
    <w:rsid w:val="007F5557"/>
    <w:rsid w:val="007F5D5F"/>
    <w:rsid w:val="007F7107"/>
    <w:rsid w:val="007F7474"/>
    <w:rsid w:val="007F7B2C"/>
    <w:rsid w:val="00800D4C"/>
    <w:rsid w:val="00801236"/>
    <w:rsid w:val="00804F78"/>
    <w:rsid w:val="00807379"/>
    <w:rsid w:val="00810258"/>
    <w:rsid w:val="0081030F"/>
    <w:rsid w:val="008103E3"/>
    <w:rsid w:val="00812F4A"/>
    <w:rsid w:val="008132F3"/>
    <w:rsid w:val="00813DFA"/>
    <w:rsid w:val="00814CFA"/>
    <w:rsid w:val="00815570"/>
    <w:rsid w:val="008159C7"/>
    <w:rsid w:val="00815D24"/>
    <w:rsid w:val="00816AC4"/>
    <w:rsid w:val="0082087D"/>
    <w:rsid w:val="00822938"/>
    <w:rsid w:val="00822EA2"/>
    <w:rsid w:val="0082461D"/>
    <w:rsid w:val="008307D4"/>
    <w:rsid w:val="00831041"/>
    <w:rsid w:val="008327DB"/>
    <w:rsid w:val="00835771"/>
    <w:rsid w:val="00837DEE"/>
    <w:rsid w:val="00840EB7"/>
    <w:rsid w:val="00841E35"/>
    <w:rsid w:val="00841EFF"/>
    <w:rsid w:val="0084200A"/>
    <w:rsid w:val="00842933"/>
    <w:rsid w:val="00843944"/>
    <w:rsid w:val="00843F68"/>
    <w:rsid w:val="00844DDF"/>
    <w:rsid w:val="0084560F"/>
    <w:rsid w:val="00847F79"/>
    <w:rsid w:val="008512F4"/>
    <w:rsid w:val="00851F99"/>
    <w:rsid w:val="00852628"/>
    <w:rsid w:val="00852BAD"/>
    <w:rsid w:val="00853C43"/>
    <w:rsid w:val="00857228"/>
    <w:rsid w:val="00857438"/>
    <w:rsid w:val="0086082C"/>
    <w:rsid w:val="00864ADC"/>
    <w:rsid w:val="00864E10"/>
    <w:rsid w:val="008657ED"/>
    <w:rsid w:val="0086643F"/>
    <w:rsid w:val="0086684A"/>
    <w:rsid w:val="00866D2D"/>
    <w:rsid w:val="00870410"/>
    <w:rsid w:val="00870441"/>
    <w:rsid w:val="00871C88"/>
    <w:rsid w:val="00872313"/>
    <w:rsid w:val="00872A66"/>
    <w:rsid w:val="00880153"/>
    <w:rsid w:val="00880F97"/>
    <w:rsid w:val="0088133A"/>
    <w:rsid w:val="00881C50"/>
    <w:rsid w:val="008822BF"/>
    <w:rsid w:val="00882969"/>
    <w:rsid w:val="00883366"/>
    <w:rsid w:val="00883747"/>
    <w:rsid w:val="00885EA7"/>
    <w:rsid w:val="008873E7"/>
    <w:rsid w:val="008925F7"/>
    <w:rsid w:val="0089285E"/>
    <w:rsid w:val="00893314"/>
    <w:rsid w:val="00893AE2"/>
    <w:rsid w:val="00893C81"/>
    <w:rsid w:val="0089436C"/>
    <w:rsid w:val="00894BB2"/>
    <w:rsid w:val="0089626C"/>
    <w:rsid w:val="008A0474"/>
    <w:rsid w:val="008A4F45"/>
    <w:rsid w:val="008B06BD"/>
    <w:rsid w:val="008B1A0F"/>
    <w:rsid w:val="008B1D19"/>
    <w:rsid w:val="008B36C7"/>
    <w:rsid w:val="008B42A7"/>
    <w:rsid w:val="008B4B8D"/>
    <w:rsid w:val="008B4C93"/>
    <w:rsid w:val="008B4F49"/>
    <w:rsid w:val="008B5D62"/>
    <w:rsid w:val="008B71FD"/>
    <w:rsid w:val="008B787D"/>
    <w:rsid w:val="008C04A2"/>
    <w:rsid w:val="008C0A99"/>
    <w:rsid w:val="008C5A1A"/>
    <w:rsid w:val="008C5BAE"/>
    <w:rsid w:val="008C60CE"/>
    <w:rsid w:val="008D039F"/>
    <w:rsid w:val="008D0AB2"/>
    <w:rsid w:val="008D0B14"/>
    <w:rsid w:val="008D147B"/>
    <w:rsid w:val="008D25F1"/>
    <w:rsid w:val="008D365C"/>
    <w:rsid w:val="008D3BAF"/>
    <w:rsid w:val="008D4253"/>
    <w:rsid w:val="008D6A10"/>
    <w:rsid w:val="008D7622"/>
    <w:rsid w:val="008D7EDA"/>
    <w:rsid w:val="008E081B"/>
    <w:rsid w:val="008E3756"/>
    <w:rsid w:val="008E3793"/>
    <w:rsid w:val="008E3D85"/>
    <w:rsid w:val="008E5FBC"/>
    <w:rsid w:val="008E712F"/>
    <w:rsid w:val="008F028B"/>
    <w:rsid w:val="008F4D23"/>
    <w:rsid w:val="008F59D4"/>
    <w:rsid w:val="008F5A63"/>
    <w:rsid w:val="008F5EB3"/>
    <w:rsid w:val="008F66B1"/>
    <w:rsid w:val="0090061A"/>
    <w:rsid w:val="009017E1"/>
    <w:rsid w:val="009021A6"/>
    <w:rsid w:val="009030BF"/>
    <w:rsid w:val="00903B52"/>
    <w:rsid w:val="00905F35"/>
    <w:rsid w:val="009068B3"/>
    <w:rsid w:val="0091032F"/>
    <w:rsid w:val="00913985"/>
    <w:rsid w:val="00914368"/>
    <w:rsid w:val="00914CA5"/>
    <w:rsid w:val="00916456"/>
    <w:rsid w:val="009168E8"/>
    <w:rsid w:val="00920EDE"/>
    <w:rsid w:val="00923303"/>
    <w:rsid w:val="00925AB3"/>
    <w:rsid w:val="00926756"/>
    <w:rsid w:val="00927554"/>
    <w:rsid w:val="00931076"/>
    <w:rsid w:val="0093133F"/>
    <w:rsid w:val="009345D9"/>
    <w:rsid w:val="00934B15"/>
    <w:rsid w:val="00935DAF"/>
    <w:rsid w:val="00936759"/>
    <w:rsid w:val="00937031"/>
    <w:rsid w:val="0093760D"/>
    <w:rsid w:val="00937DB6"/>
    <w:rsid w:val="009400FF"/>
    <w:rsid w:val="00940AFE"/>
    <w:rsid w:val="00940C87"/>
    <w:rsid w:val="00940F72"/>
    <w:rsid w:val="009426DA"/>
    <w:rsid w:val="00942B62"/>
    <w:rsid w:val="00942BFF"/>
    <w:rsid w:val="009431D9"/>
    <w:rsid w:val="00944F80"/>
    <w:rsid w:val="009467A7"/>
    <w:rsid w:val="00947053"/>
    <w:rsid w:val="00947B81"/>
    <w:rsid w:val="009508CD"/>
    <w:rsid w:val="0095323B"/>
    <w:rsid w:val="009550D3"/>
    <w:rsid w:val="00955406"/>
    <w:rsid w:val="00956A0C"/>
    <w:rsid w:val="00956BD9"/>
    <w:rsid w:val="00961D81"/>
    <w:rsid w:val="00962489"/>
    <w:rsid w:val="0096257C"/>
    <w:rsid w:val="00964F0B"/>
    <w:rsid w:val="009663E9"/>
    <w:rsid w:val="00966495"/>
    <w:rsid w:val="009674C3"/>
    <w:rsid w:val="0096799F"/>
    <w:rsid w:val="00967CD3"/>
    <w:rsid w:val="00970081"/>
    <w:rsid w:val="00970E5B"/>
    <w:rsid w:val="009719EC"/>
    <w:rsid w:val="00971B30"/>
    <w:rsid w:val="00972BFE"/>
    <w:rsid w:val="00973286"/>
    <w:rsid w:val="00974FB4"/>
    <w:rsid w:val="00975CBC"/>
    <w:rsid w:val="00976731"/>
    <w:rsid w:val="00977872"/>
    <w:rsid w:val="00977DEF"/>
    <w:rsid w:val="009805A4"/>
    <w:rsid w:val="009824F7"/>
    <w:rsid w:val="0098683F"/>
    <w:rsid w:val="00987431"/>
    <w:rsid w:val="00990C2C"/>
    <w:rsid w:val="0099120B"/>
    <w:rsid w:val="00991A09"/>
    <w:rsid w:val="009924DC"/>
    <w:rsid w:val="00993332"/>
    <w:rsid w:val="00993FC9"/>
    <w:rsid w:val="00995191"/>
    <w:rsid w:val="00995891"/>
    <w:rsid w:val="00995AE1"/>
    <w:rsid w:val="00995C2F"/>
    <w:rsid w:val="009A1C19"/>
    <w:rsid w:val="009A2120"/>
    <w:rsid w:val="009A216C"/>
    <w:rsid w:val="009A2F8A"/>
    <w:rsid w:val="009A3160"/>
    <w:rsid w:val="009A348A"/>
    <w:rsid w:val="009A5171"/>
    <w:rsid w:val="009A665E"/>
    <w:rsid w:val="009A6B9E"/>
    <w:rsid w:val="009B0C6D"/>
    <w:rsid w:val="009B231E"/>
    <w:rsid w:val="009B584F"/>
    <w:rsid w:val="009B6299"/>
    <w:rsid w:val="009C07B4"/>
    <w:rsid w:val="009C0C22"/>
    <w:rsid w:val="009C1ED3"/>
    <w:rsid w:val="009C237F"/>
    <w:rsid w:val="009C4323"/>
    <w:rsid w:val="009D00D9"/>
    <w:rsid w:val="009D1B6E"/>
    <w:rsid w:val="009D2857"/>
    <w:rsid w:val="009D3762"/>
    <w:rsid w:val="009D6909"/>
    <w:rsid w:val="009E03D7"/>
    <w:rsid w:val="009E0C1D"/>
    <w:rsid w:val="009E1844"/>
    <w:rsid w:val="009E2E15"/>
    <w:rsid w:val="009F0D1B"/>
    <w:rsid w:val="009F2BBC"/>
    <w:rsid w:val="009F34F2"/>
    <w:rsid w:val="009F3665"/>
    <w:rsid w:val="009F5125"/>
    <w:rsid w:val="009F5B8F"/>
    <w:rsid w:val="009F5BBD"/>
    <w:rsid w:val="009F696D"/>
    <w:rsid w:val="009F6BC6"/>
    <w:rsid w:val="009F6E27"/>
    <w:rsid w:val="009F74EF"/>
    <w:rsid w:val="009F75FF"/>
    <w:rsid w:val="00A02826"/>
    <w:rsid w:val="00A03E93"/>
    <w:rsid w:val="00A05877"/>
    <w:rsid w:val="00A075AF"/>
    <w:rsid w:val="00A10193"/>
    <w:rsid w:val="00A1196C"/>
    <w:rsid w:val="00A12233"/>
    <w:rsid w:val="00A145AA"/>
    <w:rsid w:val="00A15490"/>
    <w:rsid w:val="00A15D5A"/>
    <w:rsid w:val="00A16B64"/>
    <w:rsid w:val="00A17328"/>
    <w:rsid w:val="00A1741E"/>
    <w:rsid w:val="00A177B1"/>
    <w:rsid w:val="00A22543"/>
    <w:rsid w:val="00A23A20"/>
    <w:rsid w:val="00A24443"/>
    <w:rsid w:val="00A2492B"/>
    <w:rsid w:val="00A24CED"/>
    <w:rsid w:val="00A25A01"/>
    <w:rsid w:val="00A26485"/>
    <w:rsid w:val="00A268B9"/>
    <w:rsid w:val="00A2690D"/>
    <w:rsid w:val="00A269CF"/>
    <w:rsid w:val="00A2703A"/>
    <w:rsid w:val="00A30918"/>
    <w:rsid w:val="00A3297D"/>
    <w:rsid w:val="00A33DFF"/>
    <w:rsid w:val="00A35115"/>
    <w:rsid w:val="00A35375"/>
    <w:rsid w:val="00A35642"/>
    <w:rsid w:val="00A35C36"/>
    <w:rsid w:val="00A35DBE"/>
    <w:rsid w:val="00A3699E"/>
    <w:rsid w:val="00A36D9A"/>
    <w:rsid w:val="00A4052F"/>
    <w:rsid w:val="00A40C19"/>
    <w:rsid w:val="00A413DD"/>
    <w:rsid w:val="00A42905"/>
    <w:rsid w:val="00A451DC"/>
    <w:rsid w:val="00A4563D"/>
    <w:rsid w:val="00A50CC1"/>
    <w:rsid w:val="00A51293"/>
    <w:rsid w:val="00A52631"/>
    <w:rsid w:val="00A534BD"/>
    <w:rsid w:val="00A554AB"/>
    <w:rsid w:val="00A57062"/>
    <w:rsid w:val="00A571A6"/>
    <w:rsid w:val="00A5749E"/>
    <w:rsid w:val="00A57A38"/>
    <w:rsid w:val="00A61B0E"/>
    <w:rsid w:val="00A62E7E"/>
    <w:rsid w:val="00A637BB"/>
    <w:rsid w:val="00A63DD7"/>
    <w:rsid w:val="00A64861"/>
    <w:rsid w:val="00A65765"/>
    <w:rsid w:val="00A67781"/>
    <w:rsid w:val="00A701AC"/>
    <w:rsid w:val="00A708FF"/>
    <w:rsid w:val="00A70D91"/>
    <w:rsid w:val="00A7107B"/>
    <w:rsid w:val="00A75A8E"/>
    <w:rsid w:val="00A761F9"/>
    <w:rsid w:val="00A76236"/>
    <w:rsid w:val="00A7767C"/>
    <w:rsid w:val="00A8151B"/>
    <w:rsid w:val="00A815D8"/>
    <w:rsid w:val="00A859CC"/>
    <w:rsid w:val="00A9041D"/>
    <w:rsid w:val="00A92470"/>
    <w:rsid w:val="00A92B53"/>
    <w:rsid w:val="00A93B96"/>
    <w:rsid w:val="00A93E7E"/>
    <w:rsid w:val="00A94FA6"/>
    <w:rsid w:val="00A96FBF"/>
    <w:rsid w:val="00AA1858"/>
    <w:rsid w:val="00AA2158"/>
    <w:rsid w:val="00AA2474"/>
    <w:rsid w:val="00AA3930"/>
    <w:rsid w:val="00AA4682"/>
    <w:rsid w:val="00AA49A0"/>
    <w:rsid w:val="00AA4E08"/>
    <w:rsid w:val="00AA5921"/>
    <w:rsid w:val="00AA6710"/>
    <w:rsid w:val="00AA699C"/>
    <w:rsid w:val="00AA69CF"/>
    <w:rsid w:val="00AA6C4F"/>
    <w:rsid w:val="00AB0681"/>
    <w:rsid w:val="00AB50C5"/>
    <w:rsid w:val="00AB58A3"/>
    <w:rsid w:val="00AB6092"/>
    <w:rsid w:val="00AB6171"/>
    <w:rsid w:val="00AB6286"/>
    <w:rsid w:val="00AB6404"/>
    <w:rsid w:val="00AC128F"/>
    <w:rsid w:val="00AC254B"/>
    <w:rsid w:val="00AC3A15"/>
    <w:rsid w:val="00AC653F"/>
    <w:rsid w:val="00AC6C31"/>
    <w:rsid w:val="00AC7908"/>
    <w:rsid w:val="00AD020A"/>
    <w:rsid w:val="00AD148C"/>
    <w:rsid w:val="00AD1584"/>
    <w:rsid w:val="00AD222D"/>
    <w:rsid w:val="00AD2E5A"/>
    <w:rsid w:val="00AD3C2B"/>
    <w:rsid w:val="00AD3E06"/>
    <w:rsid w:val="00AD405C"/>
    <w:rsid w:val="00AD4483"/>
    <w:rsid w:val="00AD520B"/>
    <w:rsid w:val="00AD5409"/>
    <w:rsid w:val="00AD682C"/>
    <w:rsid w:val="00AD72DA"/>
    <w:rsid w:val="00AD739C"/>
    <w:rsid w:val="00AD73D5"/>
    <w:rsid w:val="00AE1A0E"/>
    <w:rsid w:val="00AE2464"/>
    <w:rsid w:val="00AE3BCC"/>
    <w:rsid w:val="00AE524F"/>
    <w:rsid w:val="00AF228F"/>
    <w:rsid w:val="00AF367A"/>
    <w:rsid w:val="00AF3FD1"/>
    <w:rsid w:val="00AF4DBA"/>
    <w:rsid w:val="00B007AA"/>
    <w:rsid w:val="00B0092F"/>
    <w:rsid w:val="00B067D3"/>
    <w:rsid w:val="00B06B51"/>
    <w:rsid w:val="00B11FD8"/>
    <w:rsid w:val="00B12B0A"/>
    <w:rsid w:val="00B1316B"/>
    <w:rsid w:val="00B14587"/>
    <w:rsid w:val="00B147D8"/>
    <w:rsid w:val="00B1567F"/>
    <w:rsid w:val="00B169AF"/>
    <w:rsid w:val="00B1719E"/>
    <w:rsid w:val="00B171AC"/>
    <w:rsid w:val="00B21127"/>
    <w:rsid w:val="00B2369F"/>
    <w:rsid w:val="00B24A4E"/>
    <w:rsid w:val="00B254D7"/>
    <w:rsid w:val="00B2663D"/>
    <w:rsid w:val="00B30486"/>
    <w:rsid w:val="00B33651"/>
    <w:rsid w:val="00B34A2E"/>
    <w:rsid w:val="00B378A4"/>
    <w:rsid w:val="00B37F2F"/>
    <w:rsid w:val="00B4024D"/>
    <w:rsid w:val="00B41A6E"/>
    <w:rsid w:val="00B425C3"/>
    <w:rsid w:val="00B43033"/>
    <w:rsid w:val="00B440AD"/>
    <w:rsid w:val="00B44201"/>
    <w:rsid w:val="00B44A37"/>
    <w:rsid w:val="00B47864"/>
    <w:rsid w:val="00B479BB"/>
    <w:rsid w:val="00B47DEB"/>
    <w:rsid w:val="00B52185"/>
    <w:rsid w:val="00B5333E"/>
    <w:rsid w:val="00B5397E"/>
    <w:rsid w:val="00B53E7E"/>
    <w:rsid w:val="00B55425"/>
    <w:rsid w:val="00B55FD0"/>
    <w:rsid w:val="00B60F0B"/>
    <w:rsid w:val="00B6167F"/>
    <w:rsid w:val="00B6173B"/>
    <w:rsid w:val="00B62546"/>
    <w:rsid w:val="00B6342E"/>
    <w:rsid w:val="00B63526"/>
    <w:rsid w:val="00B63E92"/>
    <w:rsid w:val="00B669A8"/>
    <w:rsid w:val="00B7113F"/>
    <w:rsid w:val="00B71CD4"/>
    <w:rsid w:val="00B7285F"/>
    <w:rsid w:val="00B74752"/>
    <w:rsid w:val="00B80C34"/>
    <w:rsid w:val="00B87346"/>
    <w:rsid w:val="00B90364"/>
    <w:rsid w:val="00B93086"/>
    <w:rsid w:val="00B930B3"/>
    <w:rsid w:val="00B9504F"/>
    <w:rsid w:val="00B970E0"/>
    <w:rsid w:val="00BA08B4"/>
    <w:rsid w:val="00BA2BB9"/>
    <w:rsid w:val="00BA2BCF"/>
    <w:rsid w:val="00BA38EF"/>
    <w:rsid w:val="00BA4ED8"/>
    <w:rsid w:val="00BA5B14"/>
    <w:rsid w:val="00BA73B6"/>
    <w:rsid w:val="00BA7E27"/>
    <w:rsid w:val="00BB1064"/>
    <w:rsid w:val="00BB2603"/>
    <w:rsid w:val="00BB3279"/>
    <w:rsid w:val="00BB3342"/>
    <w:rsid w:val="00BB3F8B"/>
    <w:rsid w:val="00BB48DD"/>
    <w:rsid w:val="00BB4FCD"/>
    <w:rsid w:val="00BB5AD8"/>
    <w:rsid w:val="00BB6791"/>
    <w:rsid w:val="00BC04E9"/>
    <w:rsid w:val="00BC0687"/>
    <w:rsid w:val="00BC3CB6"/>
    <w:rsid w:val="00BC48C3"/>
    <w:rsid w:val="00BC5A6F"/>
    <w:rsid w:val="00BC5BAA"/>
    <w:rsid w:val="00BD06AC"/>
    <w:rsid w:val="00BD13EA"/>
    <w:rsid w:val="00BD241A"/>
    <w:rsid w:val="00BD25BC"/>
    <w:rsid w:val="00BD472B"/>
    <w:rsid w:val="00BD57C3"/>
    <w:rsid w:val="00BD59E4"/>
    <w:rsid w:val="00BD5DEA"/>
    <w:rsid w:val="00BD6CAC"/>
    <w:rsid w:val="00BD7F2F"/>
    <w:rsid w:val="00BE01E0"/>
    <w:rsid w:val="00BE32DD"/>
    <w:rsid w:val="00BE3808"/>
    <w:rsid w:val="00BE40DD"/>
    <w:rsid w:val="00BE6154"/>
    <w:rsid w:val="00BF087B"/>
    <w:rsid w:val="00BF3BE7"/>
    <w:rsid w:val="00BF3CBC"/>
    <w:rsid w:val="00BF443C"/>
    <w:rsid w:val="00BF4BD7"/>
    <w:rsid w:val="00BF67D8"/>
    <w:rsid w:val="00BF6FAD"/>
    <w:rsid w:val="00C02EA8"/>
    <w:rsid w:val="00C03957"/>
    <w:rsid w:val="00C03B88"/>
    <w:rsid w:val="00C05B27"/>
    <w:rsid w:val="00C062E9"/>
    <w:rsid w:val="00C079A4"/>
    <w:rsid w:val="00C07B64"/>
    <w:rsid w:val="00C10C77"/>
    <w:rsid w:val="00C13721"/>
    <w:rsid w:val="00C14F1A"/>
    <w:rsid w:val="00C14FE4"/>
    <w:rsid w:val="00C20366"/>
    <w:rsid w:val="00C206B5"/>
    <w:rsid w:val="00C21169"/>
    <w:rsid w:val="00C2224F"/>
    <w:rsid w:val="00C2322F"/>
    <w:rsid w:val="00C23422"/>
    <w:rsid w:val="00C234E7"/>
    <w:rsid w:val="00C25B25"/>
    <w:rsid w:val="00C27509"/>
    <w:rsid w:val="00C2757E"/>
    <w:rsid w:val="00C276CB"/>
    <w:rsid w:val="00C3066D"/>
    <w:rsid w:val="00C30BB4"/>
    <w:rsid w:val="00C314DB"/>
    <w:rsid w:val="00C3357E"/>
    <w:rsid w:val="00C3645B"/>
    <w:rsid w:val="00C37535"/>
    <w:rsid w:val="00C3783F"/>
    <w:rsid w:val="00C40438"/>
    <w:rsid w:val="00C40710"/>
    <w:rsid w:val="00C43966"/>
    <w:rsid w:val="00C454A6"/>
    <w:rsid w:val="00C47C7E"/>
    <w:rsid w:val="00C51C15"/>
    <w:rsid w:val="00C52416"/>
    <w:rsid w:val="00C530B4"/>
    <w:rsid w:val="00C543F4"/>
    <w:rsid w:val="00C54B59"/>
    <w:rsid w:val="00C54BD4"/>
    <w:rsid w:val="00C54ECF"/>
    <w:rsid w:val="00C558F8"/>
    <w:rsid w:val="00C625E8"/>
    <w:rsid w:val="00C6291C"/>
    <w:rsid w:val="00C62AB1"/>
    <w:rsid w:val="00C633CB"/>
    <w:rsid w:val="00C640A5"/>
    <w:rsid w:val="00C640BB"/>
    <w:rsid w:val="00C664CD"/>
    <w:rsid w:val="00C673A8"/>
    <w:rsid w:val="00C7031E"/>
    <w:rsid w:val="00C706BD"/>
    <w:rsid w:val="00C70B17"/>
    <w:rsid w:val="00C71A0E"/>
    <w:rsid w:val="00C73557"/>
    <w:rsid w:val="00C736B7"/>
    <w:rsid w:val="00C739A9"/>
    <w:rsid w:val="00C73B70"/>
    <w:rsid w:val="00C73F56"/>
    <w:rsid w:val="00C754EF"/>
    <w:rsid w:val="00C75BBA"/>
    <w:rsid w:val="00C760B1"/>
    <w:rsid w:val="00C76A57"/>
    <w:rsid w:val="00C77B5B"/>
    <w:rsid w:val="00C77CA4"/>
    <w:rsid w:val="00C802AB"/>
    <w:rsid w:val="00C81D4A"/>
    <w:rsid w:val="00C82CBF"/>
    <w:rsid w:val="00C82FB7"/>
    <w:rsid w:val="00C835E4"/>
    <w:rsid w:val="00C84E68"/>
    <w:rsid w:val="00C8545E"/>
    <w:rsid w:val="00C872E6"/>
    <w:rsid w:val="00C8762C"/>
    <w:rsid w:val="00C87D81"/>
    <w:rsid w:val="00C939F1"/>
    <w:rsid w:val="00C9576A"/>
    <w:rsid w:val="00CA00CE"/>
    <w:rsid w:val="00CA00F9"/>
    <w:rsid w:val="00CA0D19"/>
    <w:rsid w:val="00CA294E"/>
    <w:rsid w:val="00CA2961"/>
    <w:rsid w:val="00CA3040"/>
    <w:rsid w:val="00CA6134"/>
    <w:rsid w:val="00CA6AD2"/>
    <w:rsid w:val="00CA7075"/>
    <w:rsid w:val="00CA70BC"/>
    <w:rsid w:val="00CB3977"/>
    <w:rsid w:val="00CB43B1"/>
    <w:rsid w:val="00CB4C54"/>
    <w:rsid w:val="00CB50D7"/>
    <w:rsid w:val="00CB7177"/>
    <w:rsid w:val="00CB7CED"/>
    <w:rsid w:val="00CC070F"/>
    <w:rsid w:val="00CC100E"/>
    <w:rsid w:val="00CC1998"/>
    <w:rsid w:val="00CC199D"/>
    <w:rsid w:val="00CC1F44"/>
    <w:rsid w:val="00CC359E"/>
    <w:rsid w:val="00CC3DC0"/>
    <w:rsid w:val="00CC41AE"/>
    <w:rsid w:val="00CC4946"/>
    <w:rsid w:val="00CC64A1"/>
    <w:rsid w:val="00CC714E"/>
    <w:rsid w:val="00CD100F"/>
    <w:rsid w:val="00CD1910"/>
    <w:rsid w:val="00CE098E"/>
    <w:rsid w:val="00CE0B96"/>
    <w:rsid w:val="00CE109A"/>
    <w:rsid w:val="00CE4447"/>
    <w:rsid w:val="00CE5238"/>
    <w:rsid w:val="00CE5702"/>
    <w:rsid w:val="00CF0329"/>
    <w:rsid w:val="00CF0606"/>
    <w:rsid w:val="00CF200F"/>
    <w:rsid w:val="00CF2C3C"/>
    <w:rsid w:val="00CF30E9"/>
    <w:rsid w:val="00CF3B11"/>
    <w:rsid w:val="00CF4D4C"/>
    <w:rsid w:val="00CF7A3C"/>
    <w:rsid w:val="00CF7B03"/>
    <w:rsid w:val="00D00F06"/>
    <w:rsid w:val="00D03091"/>
    <w:rsid w:val="00D03AC7"/>
    <w:rsid w:val="00D060D1"/>
    <w:rsid w:val="00D07B19"/>
    <w:rsid w:val="00D101E0"/>
    <w:rsid w:val="00D12D13"/>
    <w:rsid w:val="00D14C74"/>
    <w:rsid w:val="00D1545B"/>
    <w:rsid w:val="00D21547"/>
    <w:rsid w:val="00D2329D"/>
    <w:rsid w:val="00D249CA"/>
    <w:rsid w:val="00D2594A"/>
    <w:rsid w:val="00D270A4"/>
    <w:rsid w:val="00D305A4"/>
    <w:rsid w:val="00D3169D"/>
    <w:rsid w:val="00D31FE9"/>
    <w:rsid w:val="00D32255"/>
    <w:rsid w:val="00D32547"/>
    <w:rsid w:val="00D337E4"/>
    <w:rsid w:val="00D33A93"/>
    <w:rsid w:val="00D33F15"/>
    <w:rsid w:val="00D34628"/>
    <w:rsid w:val="00D34E1B"/>
    <w:rsid w:val="00D376BA"/>
    <w:rsid w:val="00D41001"/>
    <w:rsid w:val="00D434A0"/>
    <w:rsid w:val="00D44EF8"/>
    <w:rsid w:val="00D45634"/>
    <w:rsid w:val="00D459D5"/>
    <w:rsid w:val="00D46D9F"/>
    <w:rsid w:val="00D5568A"/>
    <w:rsid w:val="00D60781"/>
    <w:rsid w:val="00D6223B"/>
    <w:rsid w:val="00D62D4D"/>
    <w:rsid w:val="00D62FF2"/>
    <w:rsid w:val="00D63D73"/>
    <w:rsid w:val="00D642F4"/>
    <w:rsid w:val="00D64452"/>
    <w:rsid w:val="00D651EC"/>
    <w:rsid w:val="00D66E1E"/>
    <w:rsid w:val="00D677BF"/>
    <w:rsid w:val="00D70696"/>
    <w:rsid w:val="00D71B5B"/>
    <w:rsid w:val="00D74AA3"/>
    <w:rsid w:val="00D753EC"/>
    <w:rsid w:val="00D75722"/>
    <w:rsid w:val="00D77A62"/>
    <w:rsid w:val="00D77AB0"/>
    <w:rsid w:val="00D80B68"/>
    <w:rsid w:val="00D80CF5"/>
    <w:rsid w:val="00D8320A"/>
    <w:rsid w:val="00D83FD9"/>
    <w:rsid w:val="00D84ACC"/>
    <w:rsid w:val="00D87227"/>
    <w:rsid w:val="00D9194B"/>
    <w:rsid w:val="00D91A80"/>
    <w:rsid w:val="00D92518"/>
    <w:rsid w:val="00D96608"/>
    <w:rsid w:val="00D96DB8"/>
    <w:rsid w:val="00DA2AF1"/>
    <w:rsid w:val="00DA5BBA"/>
    <w:rsid w:val="00DA7289"/>
    <w:rsid w:val="00DB0792"/>
    <w:rsid w:val="00DB26D2"/>
    <w:rsid w:val="00DB31C5"/>
    <w:rsid w:val="00DB320B"/>
    <w:rsid w:val="00DB37E1"/>
    <w:rsid w:val="00DB3C2B"/>
    <w:rsid w:val="00DB3DFF"/>
    <w:rsid w:val="00DB519D"/>
    <w:rsid w:val="00DB67C9"/>
    <w:rsid w:val="00DC056D"/>
    <w:rsid w:val="00DC0BD3"/>
    <w:rsid w:val="00DC0C95"/>
    <w:rsid w:val="00DC2CAB"/>
    <w:rsid w:val="00DC38D2"/>
    <w:rsid w:val="00DC45AB"/>
    <w:rsid w:val="00DC4F0B"/>
    <w:rsid w:val="00DC75F1"/>
    <w:rsid w:val="00DC7CBB"/>
    <w:rsid w:val="00DD1CC3"/>
    <w:rsid w:val="00DD220C"/>
    <w:rsid w:val="00DD2978"/>
    <w:rsid w:val="00DD4235"/>
    <w:rsid w:val="00DD57F7"/>
    <w:rsid w:val="00DD6580"/>
    <w:rsid w:val="00DD6855"/>
    <w:rsid w:val="00DD7967"/>
    <w:rsid w:val="00DD7C49"/>
    <w:rsid w:val="00DE0A19"/>
    <w:rsid w:val="00DE1E5C"/>
    <w:rsid w:val="00DE42B9"/>
    <w:rsid w:val="00DE4CBE"/>
    <w:rsid w:val="00DE6859"/>
    <w:rsid w:val="00DE73C9"/>
    <w:rsid w:val="00DF0063"/>
    <w:rsid w:val="00DF15B2"/>
    <w:rsid w:val="00DF3349"/>
    <w:rsid w:val="00DF6051"/>
    <w:rsid w:val="00DF657D"/>
    <w:rsid w:val="00E002E4"/>
    <w:rsid w:val="00E0136A"/>
    <w:rsid w:val="00E01D7F"/>
    <w:rsid w:val="00E047E0"/>
    <w:rsid w:val="00E05C03"/>
    <w:rsid w:val="00E10314"/>
    <w:rsid w:val="00E1133A"/>
    <w:rsid w:val="00E11A4A"/>
    <w:rsid w:val="00E143D3"/>
    <w:rsid w:val="00E14798"/>
    <w:rsid w:val="00E16784"/>
    <w:rsid w:val="00E17C72"/>
    <w:rsid w:val="00E206A7"/>
    <w:rsid w:val="00E21FC6"/>
    <w:rsid w:val="00E23DEB"/>
    <w:rsid w:val="00E23FC9"/>
    <w:rsid w:val="00E241B6"/>
    <w:rsid w:val="00E24459"/>
    <w:rsid w:val="00E32E3F"/>
    <w:rsid w:val="00E33868"/>
    <w:rsid w:val="00E33FEA"/>
    <w:rsid w:val="00E340E5"/>
    <w:rsid w:val="00E3796E"/>
    <w:rsid w:val="00E40C67"/>
    <w:rsid w:val="00E419B5"/>
    <w:rsid w:val="00E431A9"/>
    <w:rsid w:val="00E445BE"/>
    <w:rsid w:val="00E45036"/>
    <w:rsid w:val="00E50607"/>
    <w:rsid w:val="00E50A18"/>
    <w:rsid w:val="00E50EF9"/>
    <w:rsid w:val="00E516C4"/>
    <w:rsid w:val="00E518BF"/>
    <w:rsid w:val="00E61E9F"/>
    <w:rsid w:val="00E6250F"/>
    <w:rsid w:val="00E64616"/>
    <w:rsid w:val="00E661ED"/>
    <w:rsid w:val="00E669E2"/>
    <w:rsid w:val="00E71367"/>
    <w:rsid w:val="00E7459E"/>
    <w:rsid w:val="00E75A1B"/>
    <w:rsid w:val="00E76135"/>
    <w:rsid w:val="00E7689D"/>
    <w:rsid w:val="00E7729E"/>
    <w:rsid w:val="00E77543"/>
    <w:rsid w:val="00E82F4F"/>
    <w:rsid w:val="00E84D06"/>
    <w:rsid w:val="00E8634F"/>
    <w:rsid w:val="00E864DF"/>
    <w:rsid w:val="00E87D23"/>
    <w:rsid w:val="00E9121D"/>
    <w:rsid w:val="00E91680"/>
    <w:rsid w:val="00E919C4"/>
    <w:rsid w:val="00E9227E"/>
    <w:rsid w:val="00E92C58"/>
    <w:rsid w:val="00E93D84"/>
    <w:rsid w:val="00EA31C4"/>
    <w:rsid w:val="00EA4095"/>
    <w:rsid w:val="00EB0AD6"/>
    <w:rsid w:val="00EB1279"/>
    <w:rsid w:val="00EB22C4"/>
    <w:rsid w:val="00EB2557"/>
    <w:rsid w:val="00EB2CC3"/>
    <w:rsid w:val="00EB349D"/>
    <w:rsid w:val="00EB38D0"/>
    <w:rsid w:val="00EB4C3C"/>
    <w:rsid w:val="00EB514C"/>
    <w:rsid w:val="00EC1252"/>
    <w:rsid w:val="00EC1C43"/>
    <w:rsid w:val="00EC2844"/>
    <w:rsid w:val="00EC4922"/>
    <w:rsid w:val="00EC5500"/>
    <w:rsid w:val="00EC645C"/>
    <w:rsid w:val="00EC7709"/>
    <w:rsid w:val="00ED14CD"/>
    <w:rsid w:val="00ED18F8"/>
    <w:rsid w:val="00ED39FA"/>
    <w:rsid w:val="00ED6AA6"/>
    <w:rsid w:val="00EE332B"/>
    <w:rsid w:val="00EE3FD5"/>
    <w:rsid w:val="00EE477A"/>
    <w:rsid w:val="00EE4F17"/>
    <w:rsid w:val="00EE6EDA"/>
    <w:rsid w:val="00EE742C"/>
    <w:rsid w:val="00EE778E"/>
    <w:rsid w:val="00EF0EB7"/>
    <w:rsid w:val="00EF3A24"/>
    <w:rsid w:val="00EF4072"/>
    <w:rsid w:val="00EF535D"/>
    <w:rsid w:val="00EF53FE"/>
    <w:rsid w:val="00EF54A3"/>
    <w:rsid w:val="00EF6719"/>
    <w:rsid w:val="00EF6C6C"/>
    <w:rsid w:val="00F0118E"/>
    <w:rsid w:val="00F038E2"/>
    <w:rsid w:val="00F049D5"/>
    <w:rsid w:val="00F056FC"/>
    <w:rsid w:val="00F0632F"/>
    <w:rsid w:val="00F069AE"/>
    <w:rsid w:val="00F069CB"/>
    <w:rsid w:val="00F10476"/>
    <w:rsid w:val="00F115B8"/>
    <w:rsid w:val="00F11CC4"/>
    <w:rsid w:val="00F11D54"/>
    <w:rsid w:val="00F135D8"/>
    <w:rsid w:val="00F144E1"/>
    <w:rsid w:val="00F1640C"/>
    <w:rsid w:val="00F1707A"/>
    <w:rsid w:val="00F26AD7"/>
    <w:rsid w:val="00F26DCF"/>
    <w:rsid w:val="00F31299"/>
    <w:rsid w:val="00F33F03"/>
    <w:rsid w:val="00F34E12"/>
    <w:rsid w:val="00F3520D"/>
    <w:rsid w:val="00F3534A"/>
    <w:rsid w:val="00F35BFB"/>
    <w:rsid w:val="00F36ACC"/>
    <w:rsid w:val="00F36F40"/>
    <w:rsid w:val="00F40323"/>
    <w:rsid w:val="00F40B3B"/>
    <w:rsid w:val="00F40CC1"/>
    <w:rsid w:val="00F420F7"/>
    <w:rsid w:val="00F42479"/>
    <w:rsid w:val="00F42556"/>
    <w:rsid w:val="00F44465"/>
    <w:rsid w:val="00F4543D"/>
    <w:rsid w:val="00F50910"/>
    <w:rsid w:val="00F50913"/>
    <w:rsid w:val="00F5111A"/>
    <w:rsid w:val="00F51609"/>
    <w:rsid w:val="00F531B9"/>
    <w:rsid w:val="00F54A25"/>
    <w:rsid w:val="00F555B6"/>
    <w:rsid w:val="00F55BEB"/>
    <w:rsid w:val="00F55C25"/>
    <w:rsid w:val="00F57F7B"/>
    <w:rsid w:val="00F6022F"/>
    <w:rsid w:val="00F60E5D"/>
    <w:rsid w:val="00F62402"/>
    <w:rsid w:val="00F6544D"/>
    <w:rsid w:val="00F724E7"/>
    <w:rsid w:val="00F73727"/>
    <w:rsid w:val="00F750C7"/>
    <w:rsid w:val="00F75460"/>
    <w:rsid w:val="00F766A7"/>
    <w:rsid w:val="00F770E1"/>
    <w:rsid w:val="00F80EE3"/>
    <w:rsid w:val="00F81006"/>
    <w:rsid w:val="00F81C3E"/>
    <w:rsid w:val="00F81C5D"/>
    <w:rsid w:val="00F82323"/>
    <w:rsid w:val="00F83F68"/>
    <w:rsid w:val="00F8458B"/>
    <w:rsid w:val="00F85325"/>
    <w:rsid w:val="00F85DF8"/>
    <w:rsid w:val="00F875F1"/>
    <w:rsid w:val="00F93782"/>
    <w:rsid w:val="00F93786"/>
    <w:rsid w:val="00F9446A"/>
    <w:rsid w:val="00F95FD1"/>
    <w:rsid w:val="00F97CDB"/>
    <w:rsid w:val="00FA39A2"/>
    <w:rsid w:val="00FA4521"/>
    <w:rsid w:val="00FA5150"/>
    <w:rsid w:val="00FA6259"/>
    <w:rsid w:val="00FA700C"/>
    <w:rsid w:val="00FA7518"/>
    <w:rsid w:val="00FA7B55"/>
    <w:rsid w:val="00FB25B1"/>
    <w:rsid w:val="00FB3340"/>
    <w:rsid w:val="00FB3FB5"/>
    <w:rsid w:val="00FB6FB6"/>
    <w:rsid w:val="00FB7798"/>
    <w:rsid w:val="00FC12CC"/>
    <w:rsid w:val="00FC15F4"/>
    <w:rsid w:val="00FC284A"/>
    <w:rsid w:val="00FC4DE6"/>
    <w:rsid w:val="00FC61A8"/>
    <w:rsid w:val="00FD07C9"/>
    <w:rsid w:val="00FD1253"/>
    <w:rsid w:val="00FD1BAF"/>
    <w:rsid w:val="00FD22B1"/>
    <w:rsid w:val="00FD33F1"/>
    <w:rsid w:val="00FD3566"/>
    <w:rsid w:val="00FD4001"/>
    <w:rsid w:val="00FD5DEA"/>
    <w:rsid w:val="00FD6E9D"/>
    <w:rsid w:val="00FD7148"/>
    <w:rsid w:val="00FE1538"/>
    <w:rsid w:val="00FE22D4"/>
    <w:rsid w:val="00FE3DE2"/>
    <w:rsid w:val="00FE4BE1"/>
    <w:rsid w:val="00FE4DBC"/>
    <w:rsid w:val="00FE4EFA"/>
    <w:rsid w:val="00FE4F71"/>
    <w:rsid w:val="00FE5397"/>
    <w:rsid w:val="00FE54D7"/>
    <w:rsid w:val="00FE5B40"/>
    <w:rsid w:val="00FE7AE3"/>
    <w:rsid w:val="00FF25AC"/>
    <w:rsid w:val="00FF3965"/>
    <w:rsid w:val="00FF5B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55AC1541"/>
  <w15:docId w15:val="{1271E636-9486-482A-8A8A-E0C8C5F1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642F4"/>
    <w:rPr>
      <w:sz w:val="24"/>
      <w:szCs w:val="24"/>
    </w:rPr>
  </w:style>
  <w:style w:type="paragraph" w:styleId="Heading1">
    <w:name w:val="heading 1"/>
    <w:basedOn w:val="BodyText"/>
    <w:next w:val="BodyText"/>
    <w:rsid w:val="00D642F4"/>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D642F4"/>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D642F4"/>
    <w:pPr>
      <w:spacing w:before="560" w:line="320" w:lineRule="exact"/>
      <w:ind w:left="0" w:firstLine="0"/>
      <w:outlineLvl w:val="2"/>
    </w:pPr>
    <w:rPr>
      <w:sz w:val="26"/>
    </w:rPr>
  </w:style>
  <w:style w:type="paragraph" w:styleId="Heading4">
    <w:name w:val="heading 4"/>
    <w:basedOn w:val="Heading3"/>
    <w:next w:val="BodyText"/>
    <w:qFormat/>
    <w:rsid w:val="00D642F4"/>
    <w:pPr>
      <w:spacing w:before="480"/>
      <w:outlineLvl w:val="3"/>
    </w:pPr>
    <w:rPr>
      <w:b w:val="0"/>
      <w:sz w:val="24"/>
    </w:rPr>
  </w:style>
  <w:style w:type="paragraph" w:styleId="Heading5">
    <w:name w:val="heading 5"/>
    <w:basedOn w:val="Heading4"/>
    <w:next w:val="BodyText"/>
    <w:link w:val="Heading5Char"/>
    <w:qFormat/>
    <w:rsid w:val="00D642F4"/>
    <w:pPr>
      <w:outlineLvl w:val="4"/>
    </w:pPr>
    <w:rPr>
      <w:i/>
      <w:sz w:val="22"/>
    </w:rPr>
  </w:style>
  <w:style w:type="paragraph" w:styleId="Heading6">
    <w:name w:val="heading 6"/>
    <w:basedOn w:val="BodyText"/>
    <w:next w:val="BodyText"/>
    <w:semiHidden/>
    <w:rsid w:val="00D642F4"/>
    <w:pPr>
      <w:spacing w:after="60"/>
      <w:jc w:val="left"/>
      <w:outlineLvl w:val="5"/>
    </w:pPr>
    <w:rPr>
      <w:i/>
      <w:sz w:val="22"/>
    </w:rPr>
  </w:style>
  <w:style w:type="paragraph" w:styleId="Heading7">
    <w:name w:val="heading 7"/>
    <w:basedOn w:val="BodyText"/>
    <w:next w:val="BodyText"/>
    <w:semiHidden/>
    <w:rsid w:val="00D642F4"/>
    <w:pPr>
      <w:spacing w:after="60" w:line="240" w:lineRule="auto"/>
      <w:jc w:val="left"/>
      <w:outlineLvl w:val="6"/>
    </w:pPr>
    <w:rPr>
      <w:rFonts w:ascii="Arial" w:hAnsi="Arial"/>
      <w:sz w:val="20"/>
    </w:rPr>
  </w:style>
  <w:style w:type="paragraph" w:styleId="Heading8">
    <w:name w:val="heading 8"/>
    <w:basedOn w:val="BodyText"/>
    <w:next w:val="BodyText"/>
    <w:semiHidden/>
    <w:rsid w:val="00D642F4"/>
    <w:pPr>
      <w:spacing w:after="60" w:line="240" w:lineRule="auto"/>
      <w:jc w:val="left"/>
      <w:outlineLvl w:val="7"/>
    </w:pPr>
    <w:rPr>
      <w:rFonts w:ascii="Arial" w:hAnsi="Arial"/>
      <w:i/>
      <w:sz w:val="20"/>
    </w:rPr>
  </w:style>
  <w:style w:type="paragraph" w:styleId="Heading9">
    <w:name w:val="heading 9"/>
    <w:basedOn w:val="BodyText"/>
    <w:next w:val="BodyText"/>
    <w:semiHidden/>
    <w:rsid w:val="00D642F4"/>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D642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42F4"/>
  </w:style>
  <w:style w:type="paragraph" w:styleId="BodyText">
    <w:name w:val="Body Text"/>
    <w:link w:val="BodyTextChar"/>
    <w:qFormat/>
    <w:rsid w:val="00D642F4"/>
    <w:pPr>
      <w:spacing w:before="240" w:line="300" w:lineRule="atLeast"/>
      <w:jc w:val="both"/>
    </w:pPr>
    <w:rPr>
      <w:sz w:val="24"/>
    </w:rPr>
  </w:style>
  <w:style w:type="paragraph" w:styleId="Footer">
    <w:name w:val="footer"/>
    <w:basedOn w:val="BodyText"/>
    <w:link w:val="FooterChar"/>
    <w:rsid w:val="00D642F4"/>
    <w:pPr>
      <w:spacing w:before="80" w:line="200" w:lineRule="exact"/>
      <w:ind w:right="6"/>
      <w:jc w:val="left"/>
    </w:pPr>
    <w:rPr>
      <w:rFonts w:ascii="Arial" w:hAnsi="Arial"/>
      <w:caps/>
      <w:spacing w:val="-4"/>
      <w:sz w:val="16"/>
    </w:rPr>
  </w:style>
  <w:style w:type="paragraph" w:customStyle="1" w:styleId="FooterEnd">
    <w:name w:val="Footer End"/>
    <w:basedOn w:val="Footer"/>
    <w:rsid w:val="00D642F4"/>
    <w:pPr>
      <w:spacing w:before="0" w:line="20" w:lineRule="exact"/>
    </w:pPr>
  </w:style>
  <w:style w:type="paragraph" w:styleId="Header">
    <w:name w:val="header"/>
    <w:basedOn w:val="BodyText"/>
    <w:rsid w:val="00D642F4"/>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D642F4"/>
    <w:pPr>
      <w:spacing w:line="20" w:lineRule="exact"/>
    </w:pPr>
    <w:rPr>
      <w:sz w:val="16"/>
    </w:rPr>
  </w:style>
  <w:style w:type="paragraph" w:customStyle="1" w:styleId="HeaderEven">
    <w:name w:val="Header Even"/>
    <w:basedOn w:val="Header"/>
    <w:rsid w:val="00D642F4"/>
  </w:style>
  <w:style w:type="paragraph" w:customStyle="1" w:styleId="HeaderOdd">
    <w:name w:val="Header Odd"/>
    <w:basedOn w:val="Header"/>
    <w:rsid w:val="00D642F4"/>
  </w:style>
  <w:style w:type="character" w:styleId="PageNumber">
    <w:name w:val="page number"/>
    <w:basedOn w:val="DefaultParagraphFont"/>
    <w:rsid w:val="00D642F4"/>
    <w:rPr>
      <w:rFonts w:ascii="Arial" w:hAnsi="Arial"/>
      <w:b/>
      <w:sz w:val="16"/>
    </w:rPr>
  </w:style>
  <w:style w:type="paragraph" w:customStyle="1" w:styleId="Abbreviation">
    <w:name w:val="Abbreviation"/>
    <w:basedOn w:val="BodyText"/>
    <w:rsid w:val="00D642F4"/>
    <w:pPr>
      <w:spacing w:before="120"/>
      <w:ind w:left="2381" w:hanging="2381"/>
      <w:jc w:val="left"/>
    </w:pPr>
  </w:style>
  <w:style w:type="paragraph" w:customStyle="1" w:styleId="Box">
    <w:name w:val="Box"/>
    <w:basedOn w:val="BodyText"/>
    <w:link w:val="BoxChar"/>
    <w:qFormat/>
    <w:rsid w:val="00D642F4"/>
    <w:pPr>
      <w:keepNext/>
      <w:spacing w:before="120" w:line="260" w:lineRule="atLeast"/>
    </w:pPr>
    <w:rPr>
      <w:rFonts w:ascii="Arial" w:hAnsi="Arial"/>
      <w:sz w:val="20"/>
    </w:rPr>
  </w:style>
  <w:style w:type="paragraph" w:customStyle="1" w:styleId="BoxContinued">
    <w:name w:val="Box Continued"/>
    <w:basedOn w:val="BodyText"/>
    <w:next w:val="BodyText"/>
    <w:semiHidden/>
    <w:rsid w:val="00D642F4"/>
    <w:pPr>
      <w:spacing w:before="180" w:line="220" w:lineRule="exact"/>
      <w:jc w:val="right"/>
    </w:pPr>
    <w:rPr>
      <w:rFonts w:ascii="Arial" w:hAnsi="Arial"/>
      <w:sz w:val="18"/>
    </w:rPr>
  </w:style>
  <w:style w:type="paragraph" w:customStyle="1" w:styleId="BoxHeading1">
    <w:name w:val="Box Heading 1"/>
    <w:basedOn w:val="BodyText"/>
    <w:next w:val="Box"/>
    <w:rsid w:val="00D642F4"/>
    <w:pPr>
      <w:keepNext/>
      <w:spacing w:before="200" w:line="280" w:lineRule="atLeast"/>
    </w:pPr>
    <w:rPr>
      <w:rFonts w:ascii="Arial" w:hAnsi="Arial"/>
      <w:b/>
      <w:sz w:val="22"/>
    </w:rPr>
  </w:style>
  <w:style w:type="paragraph" w:customStyle="1" w:styleId="BoxHeading2">
    <w:name w:val="Box Heading 2"/>
    <w:basedOn w:val="BoxHeading1"/>
    <w:next w:val="Box"/>
    <w:rsid w:val="00D642F4"/>
    <w:rPr>
      <w:b w:val="0"/>
      <w:i/>
    </w:rPr>
  </w:style>
  <w:style w:type="paragraph" w:customStyle="1" w:styleId="BoxListBullet">
    <w:name w:val="Box List Bullet"/>
    <w:basedOn w:val="BodyText"/>
    <w:link w:val="BoxListBulletChar"/>
    <w:rsid w:val="00D642F4"/>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D642F4"/>
    <w:pPr>
      <w:numPr>
        <w:numId w:val="13"/>
      </w:numPr>
      <w:ind w:left="568" w:hanging="284"/>
    </w:pPr>
  </w:style>
  <w:style w:type="paragraph" w:customStyle="1" w:styleId="BoxListNumber">
    <w:name w:val="Box List Number"/>
    <w:basedOn w:val="BodyText"/>
    <w:rsid w:val="00D642F4"/>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D642F4"/>
    <w:pPr>
      <w:numPr>
        <w:ilvl w:val="1"/>
      </w:numPr>
      <w:ind w:left="681" w:hanging="397"/>
    </w:pPr>
  </w:style>
  <w:style w:type="paragraph" w:customStyle="1" w:styleId="BoxQuote">
    <w:name w:val="Box Quote"/>
    <w:basedOn w:val="BodyText"/>
    <w:next w:val="Box"/>
    <w:qFormat/>
    <w:rsid w:val="00D642F4"/>
    <w:pPr>
      <w:keepNext/>
      <w:spacing w:before="60" w:line="240" w:lineRule="exact"/>
      <w:ind w:left="284"/>
    </w:pPr>
    <w:rPr>
      <w:rFonts w:ascii="Arial" w:hAnsi="Arial"/>
      <w:sz w:val="18"/>
    </w:rPr>
  </w:style>
  <w:style w:type="paragraph" w:customStyle="1" w:styleId="Note">
    <w:name w:val="Note"/>
    <w:basedOn w:val="BodyText"/>
    <w:next w:val="BodyText"/>
    <w:link w:val="NoteChar"/>
    <w:rsid w:val="00D642F4"/>
    <w:pPr>
      <w:keepLines/>
      <w:spacing w:before="80" w:line="220" w:lineRule="exact"/>
    </w:pPr>
    <w:rPr>
      <w:rFonts w:ascii="Arial" w:hAnsi="Arial"/>
      <w:sz w:val="18"/>
    </w:rPr>
  </w:style>
  <w:style w:type="paragraph" w:customStyle="1" w:styleId="Source">
    <w:name w:val="Source"/>
    <w:basedOn w:val="Normal"/>
    <w:next w:val="BodyText"/>
    <w:rsid w:val="00D642F4"/>
    <w:pPr>
      <w:keepLines/>
      <w:spacing w:before="80" w:line="220" w:lineRule="exact"/>
      <w:jc w:val="both"/>
    </w:pPr>
    <w:rPr>
      <w:rFonts w:ascii="Arial" w:hAnsi="Arial"/>
      <w:sz w:val="18"/>
      <w:szCs w:val="20"/>
    </w:rPr>
  </w:style>
  <w:style w:type="paragraph" w:customStyle="1" w:styleId="BoxSource">
    <w:name w:val="Box Source"/>
    <w:basedOn w:val="Source"/>
    <w:next w:val="BodyText"/>
    <w:rsid w:val="00D642F4"/>
    <w:pPr>
      <w:spacing w:before="120"/>
    </w:pPr>
  </w:style>
  <w:style w:type="paragraph" w:customStyle="1" w:styleId="BoxSpaceAbove">
    <w:name w:val="Box Space Above"/>
    <w:basedOn w:val="BodyText"/>
    <w:rsid w:val="00D642F4"/>
    <w:pPr>
      <w:keepNext/>
      <w:spacing w:before="360" w:line="80" w:lineRule="exact"/>
      <w:jc w:val="left"/>
    </w:pPr>
  </w:style>
  <w:style w:type="paragraph" w:styleId="Caption">
    <w:name w:val="caption"/>
    <w:basedOn w:val="Normal"/>
    <w:next w:val="BodyText"/>
    <w:rsid w:val="00D642F4"/>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link w:val="BoxTitleChar"/>
    <w:rsid w:val="00D642F4"/>
    <w:pPr>
      <w:spacing w:before="120" w:after="0"/>
    </w:pPr>
  </w:style>
  <w:style w:type="paragraph" w:customStyle="1" w:styleId="BoxSubtitle">
    <w:name w:val="Box Subtitle"/>
    <w:basedOn w:val="BoxTitle"/>
    <w:next w:val="Normal"/>
    <w:rsid w:val="00D642F4"/>
    <w:pPr>
      <w:spacing w:after="80" w:line="200" w:lineRule="exact"/>
      <w:ind w:firstLine="0"/>
    </w:pPr>
    <w:rPr>
      <w:b w:val="0"/>
      <w:sz w:val="20"/>
    </w:rPr>
  </w:style>
  <w:style w:type="paragraph" w:customStyle="1" w:styleId="Chapter">
    <w:name w:val="Chapter"/>
    <w:basedOn w:val="Heading1"/>
    <w:next w:val="BodyText"/>
    <w:semiHidden/>
    <w:rsid w:val="00D642F4"/>
    <w:pPr>
      <w:ind w:left="0" w:firstLine="0"/>
      <w:outlineLvl w:val="9"/>
    </w:pPr>
  </w:style>
  <w:style w:type="paragraph" w:customStyle="1" w:styleId="ChapterSummary">
    <w:name w:val="Chapter Summary"/>
    <w:basedOn w:val="BodyText"/>
    <w:rsid w:val="00D642F4"/>
    <w:pPr>
      <w:spacing w:line="280" w:lineRule="atLeast"/>
      <w:ind w:left="907"/>
    </w:pPr>
    <w:rPr>
      <w:rFonts w:ascii="Arial" w:hAnsi="Arial"/>
      <w:b/>
      <w:sz w:val="20"/>
    </w:rPr>
  </w:style>
  <w:style w:type="character" w:styleId="CommentReference">
    <w:name w:val="annotation reference"/>
    <w:basedOn w:val="DefaultParagraphFont"/>
    <w:rsid w:val="00D642F4"/>
    <w:rPr>
      <w:b/>
      <w:vanish/>
      <w:color w:val="FF00FF"/>
      <w:sz w:val="20"/>
    </w:rPr>
  </w:style>
  <w:style w:type="paragraph" w:styleId="CommentText">
    <w:name w:val="annotation text"/>
    <w:basedOn w:val="Normal"/>
    <w:link w:val="CommentTextChar"/>
    <w:rsid w:val="00D642F4"/>
    <w:pPr>
      <w:spacing w:before="120" w:line="240" w:lineRule="atLeast"/>
      <w:ind w:left="567" w:hanging="567"/>
    </w:pPr>
    <w:rPr>
      <w:sz w:val="20"/>
    </w:rPr>
  </w:style>
  <w:style w:type="paragraph" w:customStyle="1" w:styleId="Continued">
    <w:name w:val="Continued"/>
    <w:basedOn w:val="BoxContinued"/>
    <w:next w:val="BodyText"/>
    <w:link w:val="ContinuedChar"/>
    <w:rsid w:val="00D642F4"/>
  </w:style>
  <w:style w:type="character" w:customStyle="1" w:styleId="DocumentInfo">
    <w:name w:val="Document Info"/>
    <w:basedOn w:val="DefaultParagraphFont"/>
    <w:semiHidden/>
    <w:rsid w:val="00D642F4"/>
    <w:rPr>
      <w:rFonts w:ascii="Arial" w:hAnsi="Arial"/>
      <w:sz w:val="14"/>
    </w:rPr>
  </w:style>
  <w:style w:type="character" w:customStyle="1" w:styleId="DraftingNote">
    <w:name w:val="Drafting Note"/>
    <w:basedOn w:val="DefaultParagraphFont"/>
    <w:rsid w:val="00D642F4"/>
    <w:rPr>
      <w:b/>
      <w:color w:val="FF0000"/>
      <w:sz w:val="24"/>
      <w:u w:val="dotted"/>
    </w:rPr>
  </w:style>
  <w:style w:type="paragraph" w:customStyle="1" w:styleId="Figure">
    <w:name w:val="Figure"/>
    <w:basedOn w:val="BodyText"/>
    <w:rsid w:val="00D642F4"/>
    <w:pPr>
      <w:keepNext/>
      <w:spacing w:before="120" w:after="120" w:line="240" w:lineRule="atLeast"/>
      <w:jc w:val="center"/>
    </w:pPr>
  </w:style>
  <w:style w:type="paragraph" w:customStyle="1" w:styleId="FigureTitle">
    <w:name w:val="Figure Title"/>
    <w:basedOn w:val="Caption"/>
    <w:next w:val="Subtitle"/>
    <w:rsid w:val="00D642F4"/>
    <w:pPr>
      <w:spacing w:before="120"/>
    </w:pPr>
  </w:style>
  <w:style w:type="paragraph" w:styleId="Subtitle">
    <w:name w:val="Subtitle"/>
    <w:basedOn w:val="Caption"/>
    <w:link w:val="SubtitleChar"/>
    <w:qFormat/>
    <w:rsid w:val="00D642F4"/>
    <w:pPr>
      <w:spacing w:before="0" w:line="200" w:lineRule="exact"/>
      <w:ind w:firstLine="0"/>
    </w:pPr>
    <w:rPr>
      <w:b w:val="0"/>
      <w:sz w:val="20"/>
    </w:rPr>
  </w:style>
  <w:style w:type="paragraph" w:customStyle="1" w:styleId="Finding">
    <w:name w:val="Finding"/>
    <w:basedOn w:val="BodyText"/>
    <w:rsid w:val="00D642F4"/>
    <w:pPr>
      <w:keepLines/>
      <w:spacing w:before="120" w:line="280" w:lineRule="atLeast"/>
    </w:pPr>
    <w:rPr>
      <w:rFonts w:ascii="Arial" w:hAnsi="Arial"/>
      <w:sz w:val="22"/>
    </w:rPr>
  </w:style>
  <w:style w:type="paragraph" w:customStyle="1" w:styleId="FindingBullet">
    <w:name w:val="Finding Bullet"/>
    <w:basedOn w:val="Finding"/>
    <w:rsid w:val="00D642F4"/>
    <w:pPr>
      <w:numPr>
        <w:numId w:val="15"/>
      </w:numPr>
      <w:spacing w:before="80"/>
    </w:pPr>
  </w:style>
  <w:style w:type="paragraph" w:customStyle="1" w:styleId="FindingNoTitle">
    <w:name w:val="Finding NoTitle"/>
    <w:basedOn w:val="Finding"/>
    <w:semiHidden/>
    <w:rsid w:val="00D642F4"/>
    <w:pPr>
      <w:spacing w:before="240"/>
    </w:pPr>
  </w:style>
  <w:style w:type="paragraph" w:customStyle="1" w:styleId="RecTitle">
    <w:name w:val="Rec Title"/>
    <w:basedOn w:val="BodyText"/>
    <w:next w:val="Rec"/>
    <w:qFormat/>
    <w:rsid w:val="00D642F4"/>
    <w:pPr>
      <w:keepNext/>
      <w:keepLines/>
      <w:spacing w:line="280" w:lineRule="atLeast"/>
    </w:pPr>
    <w:rPr>
      <w:rFonts w:ascii="Arial" w:hAnsi="Arial"/>
      <w:caps/>
      <w:sz w:val="18"/>
    </w:rPr>
  </w:style>
  <w:style w:type="paragraph" w:customStyle="1" w:styleId="FindingTitle">
    <w:name w:val="Finding Title"/>
    <w:basedOn w:val="RecTitle"/>
    <w:next w:val="Finding"/>
    <w:rsid w:val="00D642F4"/>
  </w:style>
  <w:style w:type="character" w:styleId="FootnoteReference">
    <w:name w:val="footnote reference"/>
    <w:basedOn w:val="DefaultParagraphFont"/>
    <w:rsid w:val="00D642F4"/>
    <w:rPr>
      <w:rFonts w:ascii="Times New Roman" w:hAnsi="Times New Roman"/>
      <w:position w:val="6"/>
      <w:sz w:val="20"/>
      <w:vertAlign w:val="baseline"/>
    </w:rPr>
  </w:style>
  <w:style w:type="paragraph" w:styleId="FootnoteText">
    <w:name w:val="footnote text"/>
    <w:basedOn w:val="BodyText"/>
    <w:link w:val="FootnoteTextChar"/>
    <w:rsid w:val="00D642F4"/>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D642F4"/>
    <w:rPr>
      <w:i/>
    </w:rPr>
  </w:style>
  <w:style w:type="paragraph" w:customStyle="1" w:styleId="Jurisdictioncommentsbodytext">
    <w:name w:val="Jurisdiction comments body text"/>
    <w:rsid w:val="00D642F4"/>
    <w:pPr>
      <w:spacing w:after="140"/>
      <w:jc w:val="both"/>
    </w:pPr>
    <w:rPr>
      <w:rFonts w:ascii="Arial" w:hAnsi="Arial"/>
      <w:sz w:val="24"/>
      <w:lang w:eastAsia="en-US"/>
    </w:rPr>
  </w:style>
  <w:style w:type="paragraph" w:customStyle="1" w:styleId="Jurisdictioncommentsheading">
    <w:name w:val="Jurisdiction comments heading"/>
    <w:rsid w:val="00D642F4"/>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D642F4"/>
    <w:pPr>
      <w:numPr>
        <w:numId w:val="2"/>
      </w:numPr>
      <w:spacing w:after="140"/>
      <w:jc w:val="both"/>
    </w:pPr>
    <w:rPr>
      <w:rFonts w:ascii="Arial" w:hAnsi="Arial"/>
      <w:sz w:val="24"/>
      <w:lang w:eastAsia="en-US"/>
    </w:rPr>
  </w:style>
  <w:style w:type="paragraph" w:styleId="ListBullet">
    <w:name w:val="List Bullet"/>
    <w:basedOn w:val="BodyText"/>
    <w:rsid w:val="00D642F4"/>
    <w:pPr>
      <w:numPr>
        <w:numId w:val="3"/>
      </w:numPr>
      <w:spacing w:before="120"/>
    </w:pPr>
  </w:style>
  <w:style w:type="paragraph" w:styleId="ListBullet2">
    <w:name w:val="List Bullet 2"/>
    <w:basedOn w:val="BodyText"/>
    <w:rsid w:val="00D642F4"/>
    <w:pPr>
      <w:numPr>
        <w:numId w:val="4"/>
      </w:numPr>
      <w:spacing w:before="120"/>
    </w:pPr>
  </w:style>
  <w:style w:type="paragraph" w:styleId="ListBullet3">
    <w:name w:val="List Bullet 3"/>
    <w:basedOn w:val="BodyText"/>
    <w:rsid w:val="00D642F4"/>
    <w:pPr>
      <w:numPr>
        <w:numId w:val="5"/>
      </w:numPr>
      <w:spacing w:before="120"/>
      <w:ind w:left="1020" w:hanging="340"/>
    </w:pPr>
  </w:style>
  <w:style w:type="paragraph" w:styleId="ListNumber">
    <w:name w:val="List Number"/>
    <w:basedOn w:val="BodyText"/>
    <w:rsid w:val="00D642F4"/>
    <w:pPr>
      <w:numPr>
        <w:numId w:val="9"/>
      </w:numPr>
      <w:spacing w:before="120"/>
    </w:pPr>
  </w:style>
  <w:style w:type="paragraph" w:styleId="ListNumber2">
    <w:name w:val="List Number 2"/>
    <w:basedOn w:val="ListNumber"/>
    <w:rsid w:val="00D642F4"/>
    <w:pPr>
      <w:numPr>
        <w:ilvl w:val="1"/>
      </w:numPr>
    </w:pPr>
  </w:style>
  <w:style w:type="paragraph" w:styleId="ListNumber3">
    <w:name w:val="List Number 3"/>
    <w:basedOn w:val="ListNumber2"/>
    <w:rsid w:val="00D642F4"/>
    <w:pPr>
      <w:numPr>
        <w:ilvl w:val="2"/>
      </w:numPr>
    </w:pPr>
  </w:style>
  <w:style w:type="character" w:customStyle="1" w:styleId="NoteLabel">
    <w:name w:val="Note Label"/>
    <w:basedOn w:val="DefaultParagraphFont"/>
    <w:rsid w:val="00D642F4"/>
    <w:rPr>
      <w:rFonts w:ascii="Arial" w:hAnsi="Arial"/>
      <w:b/>
      <w:position w:val="6"/>
      <w:sz w:val="18"/>
    </w:rPr>
  </w:style>
  <w:style w:type="paragraph" w:customStyle="1" w:styleId="PartDivider">
    <w:name w:val="Part Divider"/>
    <w:basedOn w:val="BodyText"/>
    <w:next w:val="BodyText"/>
    <w:semiHidden/>
    <w:rsid w:val="00D642F4"/>
    <w:pPr>
      <w:spacing w:before="0" w:line="40" w:lineRule="exact"/>
      <w:jc w:val="right"/>
    </w:pPr>
    <w:rPr>
      <w:smallCaps/>
      <w:sz w:val="16"/>
    </w:rPr>
  </w:style>
  <w:style w:type="paragraph" w:customStyle="1" w:styleId="PartNumber">
    <w:name w:val="Part Number"/>
    <w:basedOn w:val="BodyText"/>
    <w:next w:val="BodyText"/>
    <w:semiHidden/>
    <w:rsid w:val="00D642F4"/>
    <w:pPr>
      <w:spacing w:before="4000" w:line="320" w:lineRule="exact"/>
      <w:ind w:left="6634"/>
      <w:jc w:val="right"/>
    </w:pPr>
    <w:rPr>
      <w:smallCaps/>
      <w:spacing w:val="60"/>
      <w:sz w:val="32"/>
    </w:rPr>
  </w:style>
  <w:style w:type="paragraph" w:customStyle="1" w:styleId="PartTitle">
    <w:name w:val="Part Title"/>
    <w:basedOn w:val="BodyText"/>
    <w:semiHidden/>
    <w:rsid w:val="00D642F4"/>
    <w:pPr>
      <w:spacing w:before="160" w:after="1360" w:line="520" w:lineRule="exact"/>
      <w:ind w:right="2381"/>
      <w:jc w:val="right"/>
    </w:pPr>
    <w:rPr>
      <w:smallCaps/>
      <w:sz w:val="52"/>
    </w:rPr>
  </w:style>
  <w:style w:type="paragraph" w:styleId="Quote">
    <w:name w:val="Quote"/>
    <w:basedOn w:val="BodyText"/>
    <w:next w:val="BodyText"/>
    <w:qFormat/>
    <w:rsid w:val="00D642F4"/>
    <w:pPr>
      <w:spacing w:before="120" w:line="280" w:lineRule="exact"/>
      <w:ind w:left="340"/>
    </w:pPr>
    <w:rPr>
      <w:sz w:val="22"/>
    </w:rPr>
  </w:style>
  <w:style w:type="paragraph" w:customStyle="1" w:styleId="QuoteBullet">
    <w:name w:val="Quote Bullet"/>
    <w:basedOn w:val="Quote"/>
    <w:rsid w:val="00D642F4"/>
    <w:pPr>
      <w:numPr>
        <w:numId w:val="6"/>
      </w:numPr>
    </w:pPr>
  </w:style>
  <w:style w:type="paragraph" w:customStyle="1" w:styleId="Rec">
    <w:name w:val="Rec"/>
    <w:basedOn w:val="BodyText"/>
    <w:qFormat/>
    <w:rsid w:val="00D642F4"/>
    <w:pPr>
      <w:keepLines/>
      <w:spacing w:before="120" w:line="280" w:lineRule="atLeast"/>
    </w:pPr>
    <w:rPr>
      <w:rFonts w:ascii="Arial" w:hAnsi="Arial"/>
      <w:sz w:val="22"/>
    </w:rPr>
  </w:style>
  <w:style w:type="paragraph" w:customStyle="1" w:styleId="RecBullet">
    <w:name w:val="Rec Bullet"/>
    <w:basedOn w:val="Rec"/>
    <w:rsid w:val="00D642F4"/>
    <w:pPr>
      <w:numPr>
        <w:numId w:val="17"/>
      </w:numPr>
      <w:spacing w:before="80"/>
    </w:pPr>
  </w:style>
  <w:style w:type="paragraph" w:customStyle="1" w:styleId="RecB">
    <w:name w:val="RecB"/>
    <w:basedOn w:val="Normal"/>
    <w:semiHidden/>
    <w:rsid w:val="00D642F4"/>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D642F4"/>
    <w:pPr>
      <w:numPr>
        <w:numId w:val="11"/>
      </w:numPr>
      <w:spacing w:before="80"/>
    </w:pPr>
  </w:style>
  <w:style w:type="paragraph" w:customStyle="1" w:styleId="RecBNoTitle">
    <w:name w:val="RecB NoTitle"/>
    <w:basedOn w:val="RecB"/>
    <w:semiHidden/>
    <w:rsid w:val="00D642F4"/>
    <w:pPr>
      <w:spacing w:before="240"/>
    </w:pPr>
  </w:style>
  <w:style w:type="paragraph" w:customStyle="1" w:styleId="Reference">
    <w:name w:val="Reference"/>
    <w:basedOn w:val="BodyText"/>
    <w:rsid w:val="00D642F4"/>
    <w:pPr>
      <w:spacing w:before="120"/>
      <w:ind w:left="340" w:hanging="340"/>
    </w:pPr>
  </w:style>
  <w:style w:type="paragraph" w:customStyle="1" w:styleId="SequenceInfo">
    <w:name w:val="Sequence Info"/>
    <w:basedOn w:val="BodyText"/>
    <w:semiHidden/>
    <w:rsid w:val="00D642F4"/>
    <w:rPr>
      <w:vanish/>
      <w:sz w:val="16"/>
    </w:rPr>
  </w:style>
  <w:style w:type="paragraph" w:customStyle="1" w:styleId="SideNote">
    <w:name w:val="Side Note"/>
    <w:basedOn w:val="BodyText"/>
    <w:next w:val="BodyText"/>
    <w:semiHidden/>
    <w:rsid w:val="00D642F4"/>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D642F4"/>
    <w:pPr>
      <w:framePr w:wrap="around"/>
      <w:numPr>
        <w:numId w:val="7"/>
      </w:numPr>
      <w:tabs>
        <w:tab w:val="left" w:pos="227"/>
      </w:tabs>
    </w:pPr>
  </w:style>
  <w:style w:type="paragraph" w:customStyle="1" w:styleId="SideNoteGraphic">
    <w:name w:val="Side Note Graphic"/>
    <w:basedOn w:val="SideNote"/>
    <w:next w:val="BodyText"/>
    <w:semiHidden/>
    <w:rsid w:val="00D642F4"/>
    <w:pPr>
      <w:framePr w:wrap="around"/>
    </w:pPr>
  </w:style>
  <w:style w:type="paragraph" w:customStyle="1" w:styleId="TableBodyText">
    <w:name w:val="Table Body Text"/>
    <w:basedOn w:val="BodyText"/>
    <w:link w:val="TableBodyTextChar"/>
    <w:rsid w:val="00D642F4"/>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link w:val="TableBulletChar"/>
    <w:rsid w:val="00D642F4"/>
    <w:pPr>
      <w:numPr>
        <w:numId w:val="8"/>
      </w:numPr>
      <w:jc w:val="left"/>
    </w:pPr>
  </w:style>
  <w:style w:type="paragraph" w:customStyle="1" w:styleId="TableColumnHeading">
    <w:name w:val="Table Column Heading"/>
    <w:basedOn w:val="TableBodyText"/>
    <w:rsid w:val="00D642F4"/>
    <w:pPr>
      <w:spacing w:before="80" w:after="80"/>
    </w:pPr>
    <w:rPr>
      <w:i/>
    </w:rPr>
  </w:style>
  <w:style w:type="paragraph" w:styleId="TOC2">
    <w:name w:val="toc 2"/>
    <w:basedOn w:val="TOC1"/>
    <w:rsid w:val="00D642F4"/>
    <w:pPr>
      <w:ind w:left="1134" w:hanging="624"/>
    </w:pPr>
    <w:rPr>
      <w:b w:val="0"/>
    </w:rPr>
  </w:style>
  <w:style w:type="paragraph" w:styleId="TOC3">
    <w:name w:val="toc 3"/>
    <w:basedOn w:val="TOC2"/>
    <w:rsid w:val="00D642F4"/>
    <w:pPr>
      <w:spacing w:before="60"/>
      <w:ind w:left="1190" w:hanging="680"/>
    </w:pPr>
  </w:style>
  <w:style w:type="paragraph" w:styleId="TableofFigures">
    <w:name w:val="table of figures"/>
    <w:basedOn w:val="TOC3"/>
    <w:next w:val="BodyText"/>
    <w:semiHidden/>
    <w:rsid w:val="00D642F4"/>
    <w:pPr>
      <w:ind w:left="737" w:hanging="737"/>
    </w:pPr>
  </w:style>
  <w:style w:type="paragraph" w:customStyle="1" w:styleId="TableTitle">
    <w:name w:val="Table Title"/>
    <w:basedOn w:val="Caption"/>
    <w:next w:val="Subtitle"/>
    <w:qFormat/>
    <w:rsid w:val="00D642F4"/>
    <w:pPr>
      <w:spacing w:before="120"/>
    </w:pPr>
  </w:style>
  <w:style w:type="paragraph" w:customStyle="1" w:styleId="TableUnitsRow">
    <w:name w:val="Table Units Row"/>
    <w:basedOn w:val="TableBodyText"/>
    <w:rsid w:val="00D642F4"/>
    <w:pPr>
      <w:spacing w:before="40"/>
    </w:pPr>
  </w:style>
  <w:style w:type="paragraph" w:styleId="TOC1">
    <w:name w:val="toc 1"/>
    <w:basedOn w:val="Normal"/>
    <w:next w:val="TOC2"/>
    <w:link w:val="TOC1Char"/>
    <w:rsid w:val="00D642F4"/>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D642F4"/>
    <w:pPr>
      <w:ind w:left="1191" w:firstLine="0"/>
    </w:pPr>
  </w:style>
  <w:style w:type="paragraph" w:customStyle="1" w:styleId="RecBBullet2">
    <w:name w:val="RecB Bullet 2"/>
    <w:basedOn w:val="ListBullet2"/>
    <w:semiHidden/>
    <w:rsid w:val="00D642F4"/>
    <w:pPr>
      <w:pBdr>
        <w:left w:val="single" w:sz="24" w:space="29" w:color="C0C0C0"/>
      </w:pBdr>
    </w:pPr>
    <w:rPr>
      <w:b/>
      <w:i/>
    </w:rPr>
  </w:style>
  <w:style w:type="paragraph" w:styleId="BalloonText">
    <w:name w:val="Balloon Text"/>
    <w:basedOn w:val="Normal"/>
    <w:link w:val="BalloonTextChar"/>
    <w:rsid w:val="00D642F4"/>
    <w:rPr>
      <w:rFonts w:ascii="Tahoma" w:hAnsi="Tahoma" w:cs="Tahoma"/>
      <w:sz w:val="16"/>
      <w:szCs w:val="16"/>
    </w:rPr>
  </w:style>
  <w:style w:type="character" w:customStyle="1" w:styleId="BalloonTextChar">
    <w:name w:val="Balloon Text Char"/>
    <w:basedOn w:val="DefaultParagraphFont"/>
    <w:link w:val="BalloonText"/>
    <w:rsid w:val="00D642F4"/>
    <w:rPr>
      <w:rFonts w:ascii="Tahoma" w:hAnsi="Tahoma" w:cs="Tahoma"/>
      <w:sz w:val="16"/>
      <w:szCs w:val="16"/>
    </w:rPr>
  </w:style>
  <w:style w:type="character" w:customStyle="1" w:styleId="SubtitleChar">
    <w:name w:val="Subtitle Char"/>
    <w:basedOn w:val="DefaultParagraphFont"/>
    <w:link w:val="Subtitle"/>
    <w:rsid w:val="00D642F4"/>
    <w:rPr>
      <w:rFonts w:ascii="Arial" w:hAnsi="Arial"/>
      <w:szCs w:val="24"/>
    </w:rPr>
  </w:style>
  <w:style w:type="paragraph" w:customStyle="1" w:styleId="BoxListBullet3">
    <w:name w:val="Box List Bullet 3"/>
    <w:basedOn w:val="ListBullet3"/>
    <w:rsid w:val="00D642F4"/>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642F4"/>
    <w:rPr>
      <w:i/>
      <w:iCs/>
    </w:rPr>
  </w:style>
  <w:style w:type="paragraph" w:customStyle="1" w:styleId="BoxQuoteBullet">
    <w:name w:val="Box Quote Bullet"/>
    <w:basedOn w:val="BoxQuote"/>
    <w:next w:val="Box"/>
    <w:rsid w:val="00D642F4"/>
    <w:pPr>
      <w:numPr>
        <w:numId w:val="12"/>
      </w:numPr>
      <w:ind w:left="568" w:hanging="284"/>
    </w:pPr>
  </w:style>
  <w:style w:type="paragraph" w:customStyle="1" w:styleId="InformationRequestBullet">
    <w:name w:val="Information Request Bullet"/>
    <w:basedOn w:val="ListBullet"/>
    <w:next w:val="BodyText"/>
    <w:rsid w:val="00D642F4"/>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D642F4"/>
    <w:pPr>
      <w:keepNext w:val="0"/>
      <w:spacing w:before="60" w:after="60" w:line="80" w:lineRule="exact"/>
    </w:pPr>
    <w:rPr>
      <w:sz w:val="14"/>
    </w:rPr>
  </w:style>
  <w:style w:type="paragraph" w:customStyle="1" w:styleId="KeyPointsListBullet">
    <w:name w:val="Key Points List Bullet"/>
    <w:basedOn w:val="Normal"/>
    <w:qFormat/>
    <w:rsid w:val="00D642F4"/>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D642F4"/>
    <w:pPr>
      <w:numPr>
        <w:numId w:val="19"/>
      </w:numPr>
      <w:ind w:left="568" w:hanging="284"/>
    </w:pPr>
  </w:style>
  <w:style w:type="paragraph" w:customStyle="1" w:styleId="InformationRequestTitle">
    <w:name w:val="Information Request Title"/>
    <w:basedOn w:val="FindingTitle"/>
    <w:next w:val="InformationRequest"/>
    <w:rsid w:val="00D642F4"/>
    <w:rPr>
      <w:i/>
    </w:rPr>
  </w:style>
  <w:style w:type="paragraph" w:customStyle="1" w:styleId="Space">
    <w:name w:val="Space"/>
    <w:basedOn w:val="Normal"/>
    <w:rsid w:val="00D642F4"/>
    <w:pPr>
      <w:keepNext/>
      <w:spacing w:line="120" w:lineRule="exact"/>
      <w:jc w:val="both"/>
    </w:pPr>
    <w:rPr>
      <w:rFonts w:ascii="Arial" w:hAnsi="Arial"/>
      <w:sz w:val="20"/>
      <w:szCs w:val="20"/>
    </w:rPr>
  </w:style>
  <w:style w:type="paragraph" w:customStyle="1" w:styleId="Heading1nochapterno">
    <w:name w:val="Heading 1 (no chapter no.)"/>
    <w:basedOn w:val="Heading1"/>
    <w:rsid w:val="00D642F4"/>
    <w:pPr>
      <w:spacing w:before="0"/>
      <w:ind w:left="0" w:firstLine="0"/>
    </w:pPr>
  </w:style>
  <w:style w:type="paragraph" w:customStyle="1" w:styleId="Heading2nosectionno">
    <w:name w:val="Heading 2 (no section no.)"/>
    <w:basedOn w:val="Heading2"/>
    <w:rsid w:val="00D642F4"/>
    <w:pPr>
      <w:ind w:left="0" w:firstLine="0"/>
    </w:pPr>
  </w:style>
  <w:style w:type="character" w:customStyle="1" w:styleId="Heading5Char">
    <w:name w:val="Heading 5 Char"/>
    <w:basedOn w:val="DefaultParagraphFont"/>
    <w:link w:val="Heading5"/>
    <w:rsid w:val="00D642F4"/>
    <w:rPr>
      <w:rFonts w:ascii="Arial" w:hAnsi="Arial"/>
      <w:i/>
      <w:sz w:val="22"/>
    </w:rPr>
  </w:style>
  <w:style w:type="paragraph" w:customStyle="1" w:styleId="Figurespace">
    <w:name w:val="Figure space"/>
    <w:basedOn w:val="Box"/>
    <w:rsid w:val="00D642F4"/>
    <w:pPr>
      <w:spacing w:before="0" w:line="120" w:lineRule="exact"/>
    </w:pPr>
  </w:style>
  <w:style w:type="paragraph" w:customStyle="1" w:styleId="FooterDraftReport">
    <w:name w:val="FooterDraftReport"/>
    <w:basedOn w:val="Footer"/>
    <w:link w:val="FooterDraftReportChar"/>
    <w:rsid w:val="00D642F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D642F4"/>
    <w:rPr>
      <w:sz w:val="24"/>
    </w:rPr>
  </w:style>
  <w:style w:type="character" w:customStyle="1" w:styleId="FooterChar">
    <w:name w:val="Footer Char"/>
    <w:basedOn w:val="BodyTextChar"/>
    <w:link w:val="Footer"/>
    <w:rsid w:val="00D642F4"/>
    <w:rPr>
      <w:rFonts w:ascii="Arial" w:hAnsi="Arial"/>
      <w:caps/>
      <w:spacing w:val="-4"/>
      <w:sz w:val="16"/>
    </w:rPr>
  </w:style>
  <w:style w:type="character" w:customStyle="1" w:styleId="FooterDraftReportChar">
    <w:name w:val="FooterDraftReport Char"/>
    <w:basedOn w:val="FooterChar"/>
    <w:link w:val="FooterDraftReport"/>
    <w:rsid w:val="00D642F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D6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D642F4"/>
    <w:rPr>
      <w:rFonts w:ascii="Arial" w:hAnsi="Arial"/>
      <w:b/>
      <w:sz w:val="26"/>
      <w:szCs w:val="26"/>
      <w:lang w:eastAsia="en-US"/>
    </w:rPr>
  </w:style>
  <w:style w:type="character" w:customStyle="1" w:styleId="Heading3Char">
    <w:name w:val="Heading 3 Char"/>
    <w:basedOn w:val="DefaultParagraphFont"/>
    <w:link w:val="Heading3"/>
    <w:rsid w:val="004F00F4"/>
    <w:rPr>
      <w:rFonts w:ascii="Arial" w:hAnsi="Arial"/>
      <w:b/>
      <w:sz w:val="26"/>
    </w:rPr>
  </w:style>
  <w:style w:type="character" w:customStyle="1" w:styleId="BoxListBulletChar">
    <w:name w:val="Box List Bullet Char"/>
    <w:link w:val="BoxListBullet"/>
    <w:rsid w:val="004F00F4"/>
    <w:rPr>
      <w:rFonts w:ascii="Arial" w:hAnsi="Arial"/>
    </w:rPr>
  </w:style>
  <w:style w:type="character" w:customStyle="1" w:styleId="CommentTextChar">
    <w:name w:val="Comment Text Char"/>
    <w:basedOn w:val="DefaultParagraphFont"/>
    <w:link w:val="CommentText"/>
    <w:rsid w:val="004F00F4"/>
    <w:rPr>
      <w:szCs w:val="24"/>
    </w:rPr>
  </w:style>
  <w:style w:type="character" w:customStyle="1" w:styleId="Heading2Char">
    <w:name w:val="Heading 2 Char"/>
    <w:basedOn w:val="DefaultParagraphFont"/>
    <w:link w:val="Heading2"/>
    <w:rsid w:val="004F00F4"/>
    <w:rPr>
      <w:rFonts w:ascii="Arial" w:hAnsi="Arial"/>
      <w:b/>
      <w:sz w:val="32"/>
    </w:rPr>
  </w:style>
  <w:style w:type="character" w:customStyle="1" w:styleId="TableBodyTextChar">
    <w:name w:val="Table Body Text Char"/>
    <w:link w:val="TableBodyText"/>
    <w:rsid w:val="00001AEF"/>
    <w:rPr>
      <w:rFonts w:ascii="Arial" w:hAnsi="Arial"/>
      <w:sz w:val="18"/>
    </w:rPr>
  </w:style>
  <w:style w:type="character" w:customStyle="1" w:styleId="TableBulletChar">
    <w:name w:val="Table Bullet Char"/>
    <w:basedOn w:val="DefaultParagraphFont"/>
    <w:link w:val="TableBullet"/>
    <w:locked/>
    <w:rsid w:val="004F00F4"/>
    <w:rPr>
      <w:rFonts w:ascii="Arial" w:hAnsi="Arial"/>
      <w:sz w:val="18"/>
    </w:rPr>
  </w:style>
  <w:style w:type="character" w:customStyle="1" w:styleId="BoxChar">
    <w:name w:val="Box Char"/>
    <w:link w:val="Box"/>
    <w:rsid w:val="004F00F4"/>
    <w:rPr>
      <w:rFonts w:ascii="Arial" w:hAnsi="Arial"/>
    </w:rPr>
  </w:style>
  <w:style w:type="paragraph" w:customStyle="1" w:styleId="BoxSpace">
    <w:name w:val="Box Space"/>
    <w:basedOn w:val="BodyText"/>
    <w:rsid w:val="00680847"/>
    <w:pPr>
      <w:keepNext/>
      <w:spacing w:before="360" w:line="80" w:lineRule="exact"/>
      <w:jc w:val="left"/>
    </w:pPr>
  </w:style>
  <w:style w:type="character" w:customStyle="1" w:styleId="FootnoteTextChar">
    <w:name w:val="Footnote Text Char"/>
    <w:basedOn w:val="DefaultParagraphFont"/>
    <w:link w:val="FootnoteText"/>
    <w:rsid w:val="003C412A"/>
  </w:style>
  <w:style w:type="character" w:styleId="Hyperlink">
    <w:name w:val="Hyperlink"/>
    <w:basedOn w:val="DefaultParagraphFont"/>
    <w:rsid w:val="00591511"/>
    <w:rPr>
      <w:color w:val="78A22F" w:themeColor="hyperlink"/>
      <w:u w:val="single"/>
    </w:rPr>
  </w:style>
  <w:style w:type="paragraph" w:styleId="CommentSubject">
    <w:name w:val="annotation subject"/>
    <w:basedOn w:val="CommentText"/>
    <w:next w:val="CommentText"/>
    <w:link w:val="CommentSubjectChar"/>
    <w:rsid w:val="00510C07"/>
    <w:pPr>
      <w:spacing w:before="0" w:line="240" w:lineRule="auto"/>
      <w:ind w:left="0" w:firstLine="0"/>
    </w:pPr>
    <w:rPr>
      <w:b/>
      <w:bCs/>
      <w:szCs w:val="20"/>
    </w:rPr>
  </w:style>
  <w:style w:type="character" w:customStyle="1" w:styleId="CommentSubjectChar">
    <w:name w:val="Comment Subject Char"/>
    <w:basedOn w:val="CommentTextChar"/>
    <w:link w:val="CommentSubject"/>
    <w:rsid w:val="00510C07"/>
    <w:rPr>
      <w:b/>
      <w:bCs/>
      <w:szCs w:val="24"/>
    </w:rPr>
  </w:style>
  <w:style w:type="paragraph" w:styleId="Revision">
    <w:name w:val="Revision"/>
    <w:hidden/>
    <w:uiPriority w:val="99"/>
    <w:semiHidden/>
    <w:rsid w:val="00510C07"/>
    <w:rPr>
      <w:sz w:val="24"/>
      <w:szCs w:val="24"/>
    </w:rPr>
  </w:style>
  <w:style w:type="paragraph" w:customStyle="1" w:styleId="Default">
    <w:name w:val="Default"/>
    <w:rsid w:val="00925AB3"/>
    <w:pPr>
      <w:autoSpaceDE w:val="0"/>
      <w:autoSpaceDN w:val="0"/>
      <w:adjustRightInd w:val="0"/>
    </w:pPr>
    <w:rPr>
      <w:color w:val="000000"/>
      <w:sz w:val="24"/>
      <w:szCs w:val="24"/>
    </w:rPr>
  </w:style>
  <w:style w:type="character" w:customStyle="1" w:styleId="NoteChar">
    <w:name w:val="Note Char"/>
    <w:link w:val="Note"/>
    <w:rsid w:val="007D6965"/>
    <w:rPr>
      <w:rFonts w:ascii="Arial" w:hAnsi="Arial"/>
      <w:sz w:val="18"/>
    </w:rPr>
  </w:style>
  <w:style w:type="character" w:customStyle="1" w:styleId="Continuedintitle">
    <w:name w:val="Continued (in title)"/>
    <w:basedOn w:val="DefaultParagraphFont"/>
    <w:rsid w:val="00D642F4"/>
    <w:rPr>
      <w:rFonts w:ascii="Arial" w:hAnsi="Arial"/>
      <w:b/>
      <w:sz w:val="18"/>
    </w:rPr>
  </w:style>
  <w:style w:type="character" w:customStyle="1" w:styleId="BoxTitleChar">
    <w:name w:val="Box Title Char"/>
    <w:link w:val="BoxTitle"/>
    <w:rsid w:val="003F42BA"/>
    <w:rPr>
      <w:rFonts w:ascii="Arial" w:hAnsi="Arial"/>
      <w:b/>
      <w:sz w:val="24"/>
      <w:szCs w:val="24"/>
    </w:rPr>
  </w:style>
  <w:style w:type="character" w:customStyle="1" w:styleId="ContinuedChar">
    <w:name w:val="Continued Char"/>
    <w:basedOn w:val="DefaultParagraphFont"/>
    <w:link w:val="Continued"/>
    <w:rsid w:val="003F42BA"/>
    <w:rPr>
      <w:rFonts w:ascii="Arial" w:hAnsi="Arial"/>
      <w:sz w:val="18"/>
    </w:rPr>
  </w:style>
  <w:style w:type="paragraph" w:customStyle="1" w:styleId="TableBodyNA">
    <w:name w:val="Table Body NA"/>
    <w:basedOn w:val="TableBodyText"/>
    <w:rsid w:val="000D6945"/>
    <w:pPr>
      <w:keepNext w:val="0"/>
      <w:spacing w:before="80"/>
      <w:jc w:val="left"/>
    </w:pPr>
  </w:style>
  <w:style w:type="paragraph" w:customStyle="1" w:styleId="BoxSpaceBolow">
    <w:name w:val="Box Space Bolow"/>
    <w:basedOn w:val="BoxSpaceAbove"/>
    <w:rsid w:val="00C02EA8"/>
  </w:style>
  <w:style w:type="paragraph" w:customStyle="1" w:styleId="Heading1NotTOC">
    <w:name w:val="Heading 1 Not TOC"/>
    <w:basedOn w:val="Heading1"/>
    <w:next w:val="BodyText"/>
    <w:rsid w:val="006A3015"/>
    <w:rPr>
      <w:kern w:val="28"/>
      <w:szCs w:val="26"/>
      <w:lang w:eastAsia="en-US"/>
    </w:rPr>
  </w:style>
  <w:style w:type="paragraph" w:customStyle="1" w:styleId="Copyrightheading">
    <w:name w:val="Copyright heading"/>
    <w:basedOn w:val="TOC1"/>
    <w:link w:val="CopyrightheadingChar"/>
    <w:qFormat/>
    <w:rsid w:val="006A3015"/>
    <w:pPr>
      <w:spacing w:line="300" w:lineRule="exact"/>
    </w:pPr>
    <w:rPr>
      <w:sz w:val="22"/>
    </w:rPr>
  </w:style>
  <w:style w:type="character" w:customStyle="1" w:styleId="CopyrightheadingChar">
    <w:name w:val="Copyright heading Char"/>
    <w:basedOn w:val="TOC1Char"/>
    <w:link w:val="Copyrightheading"/>
    <w:rsid w:val="006A3015"/>
    <w:rPr>
      <w:rFonts w:ascii="Arial" w:hAnsi="Arial"/>
      <w:b/>
      <w:sz w:val="22"/>
      <w:szCs w:val="26"/>
      <w:lang w:eastAsia="en-US"/>
    </w:rPr>
  </w:style>
  <w:style w:type="paragraph" w:customStyle="1" w:styleId="Copyrightsubtitle">
    <w:name w:val="Copyright subtitle"/>
    <w:basedOn w:val="BodyText"/>
    <w:rsid w:val="006A3015"/>
    <w:rPr>
      <w:rFonts w:ascii="Arial" w:hAnsi="Arial"/>
      <w:b/>
      <w:sz w:val="22"/>
      <w:szCs w:val="25"/>
    </w:rPr>
  </w:style>
  <w:style w:type="paragraph" w:customStyle="1" w:styleId="Copyrightbodytext">
    <w:name w:val="Copyright bodytext"/>
    <w:basedOn w:val="BodyText"/>
    <w:link w:val="CopyrightbodytextChar"/>
    <w:qFormat/>
    <w:rsid w:val="006A3015"/>
    <w:pPr>
      <w:spacing w:before="60"/>
    </w:pPr>
  </w:style>
  <w:style w:type="character" w:customStyle="1" w:styleId="CopyrightbodytextChar">
    <w:name w:val="Copyright bodytext Char"/>
    <w:basedOn w:val="BodyTextChar"/>
    <w:link w:val="Copyrightbodytext"/>
    <w:rsid w:val="006A30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808242">
      <w:bodyDiv w:val="1"/>
      <w:marLeft w:val="0"/>
      <w:marRight w:val="0"/>
      <w:marTop w:val="0"/>
      <w:marBottom w:val="0"/>
      <w:divBdr>
        <w:top w:val="none" w:sz="0" w:space="0" w:color="auto"/>
        <w:left w:val="none" w:sz="0" w:space="0" w:color="auto"/>
        <w:bottom w:val="none" w:sz="0" w:space="0" w:color="auto"/>
        <w:right w:val="none" w:sz="0" w:space="0" w:color="auto"/>
      </w:divBdr>
    </w:div>
    <w:div w:id="127162521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9229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5245C-CD29-4A27-8651-39E28F61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41</TotalTime>
  <Pages>73</Pages>
  <Words>20920</Words>
  <Characters>118559</Characters>
  <Application>Microsoft Office Word</Application>
  <DocSecurity>0</DocSecurity>
  <Lines>987</Lines>
  <Paragraphs>278</Paragraphs>
  <ScaleCrop>false</ScaleCrop>
  <HeadingPairs>
    <vt:vector size="2" baseType="variant">
      <vt:variant>
        <vt:lpstr>Title</vt:lpstr>
      </vt:variant>
      <vt:variant>
        <vt:i4>1</vt:i4>
      </vt:variant>
    </vt:vector>
  </HeadingPairs>
  <TitlesOfParts>
    <vt:vector size="1" baseType="lpstr">
      <vt:lpstr>National Indigenous Reform Agreement (Closing the Gap) performance reporting 2018-19</vt:lpstr>
    </vt:vector>
  </TitlesOfParts>
  <Company>Productivity Commission</Company>
  <LinksUpToDate>false</LinksUpToDate>
  <CharactersWithSpaces>139201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Indigenous Reform Agreement (Closing the Gap) performance reporting 2018-19</dc:title>
  <dc:subject/>
  <dc:creator>Steering Committee for the Review of Government Service Provision</dc:creator>
  <cp:keywords/>
  <dc:description/>
  <cp:lastModifiedBy>Munce, Melissa</cp:lastModifiedBy>
  <cp:revision>14</cp:revision>
  <cp:lastPrinted>2020-01-28T22:26:00Z</cp:lastPrinted>
  <dcterms:created xsi:type="dcterms:W3CDTF">2020-01-28T01:50:00Z</dcterms:created>
  <dcterms:modified xsi:type="dcterms:W3CDTF">2020-01-28T22:27:00Z</dcterms:modified>
</cp:coreProperties>
</file>