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DFF" w:rsidRDefault="00D111FD" w:rsidP="00DF3AA3">
      <w:pPr>
        <w:pStyle w:val="Heading1"/>
        <w:spacing w:before="0"/>
      </w:pPr>
      <w:bookmarkStart w:id="0" w:name="ChapterTitle"/>
      <w:bookmarkStart w:id="1" w:name="_GoBack"/>
      <w:bookmarkEnd w:id="1"/>
      <w:r>
        <w:t>National Agreement for Skills and Workforce Development performance reporting</w:t>
      </w:r>
      <w:bookmarkEnd w:id="0"/>
    </w:p>
    <w:p w:rsidR="00DF3AA3" w:rsidRDefault="00AA68C1" w:rsidP="00DF3AA3">
      <w:pPr>
        <w:pStyle w:val="Heading2"/>
      </w:pPr>
      <w:r>
        <w:t>Framework f</w:t>
      </w:r>
      <w:r w:rsidR="00C70A34">
        <w:t>or National Agreement reporting</w:t>
      </w:r>
    </w:p>
    <w:p w:rsidR="00DF3AA3" w:rsidRDefault="00AA68C1" w:rsidP="00DF3AA3">
      <w:pPr>
        <w:pStyle w:val="BodyText"/>
      </w:pPr>
      <w:r>
        <w:t xml:space="preserve">COAG endorsed a new </w:t>
      </w:r>
      <w:r w:rsidR="00DF3AA3">
        <w:t>Intergovernmental Agreement on Federal Financial Relations (IG</w:t>
      </w:r>
      <w:r w:rsidR="00FB6BF4">
        <w:t xml:space="preserve">A) </w:t>
      </w:r>
      <w:r>
        <w:t xml:space="preserve">in November 2008 </w:t>
      </w:r>
      <w:r w:rsidR="00FB6BF4">
        <w:t>(COAG </w:t>
      </w:r>
      <w:proofErr w:type="spellStart"/>
      <w:r>
        <w:t>2009</w:t>
      </w:r>
      <w:r w:rsidR="002A3A47">
        <w:t>a</w:t>
      </w:r>
      <w:proofErr w:type="spellEnd"/>
      <w:r w:rsidR="001F558D">
        <w:t>)</w:t>
      </w:r>
      <w:r>
        <w:t xml:space="preserve"> and reaffirmed its commitment </w:t>
      </w:r>
      <w:r w:rsidR="008A0CB8">
        <w:t xml:space="preserve">to the IGA in August 2011 (COAG </w:t>
      </w:r>
      <w:proofErr w:type="spellStart"/>
      <w:r w:rsidR="008A0CB8">
        <w:t>2011a</w:t>
      </w:r>
      <w:proofErr w:type="spellEnd"/>
      <w:r w:rsidR="008A0CB8">
        <w:t xml:space="preserve">). </w:t>
      </w:r>
      <w:r w:rsidR="001F558D">
        <w:t xml:space="preserve">The </w:t>
      </w:r>
      <w:r w:rsidR="00DF3AA3">
        <w:t>IGA</w:t>
      </w:r>
      <w:r w:rsidR="008A0CB8">
        <w:t xml:space="preserve"> </w:t>
      </w:r>
      <w:r>
        <w:t>include</w:t>
      </w:r>
      <w:r w:rsidR="00B63B12">
        <w:t>s six National Agreements (NAs):</w:t>
      </w:r>
      <w:r w:rsidR="001E4416">
        <w:t xml:space="preserve"> </w:t>
      </w:r>
    </w:p>
    <w:p w:rsidR="00DF3AA3" w:rsidRPr="00DF3AA3" w:rsidRDefault="00DF3AA3" w:rsidP="00DF3AA3">
      <w:pPr>
        <w:pStyle w:val="ListBullet"/>
        <w:rPr>
          <w:i/>
        </w:rPr>
      </w:pPr>
      <w:r w:rsidRPr="00DF3AA3">
        <w:rPr>
          <w:i/>
        </w:rPr>
        <w:t>National Healthcare Agreement</w:t>
      </w:r>
    </w:p>
    <w:p w:rsidR="00DF3AA3" w:rsidRPr="00DF3AA3" w:rsidRDefault="00DF3AA3" w:rsidP="00DF3AA3">
      <w:pPr>
        <w:pStyle w:val="ListBullet"/>
        <w:rPr>
          <w:i/>
        </w:rPr>
      </w:pPr>
      <w:r w:rsidRPr="00DF3AA3">
        <w:rPr>
          <w:i/>
        </w:rPr>
        <w:t>National Education Agreement</w:t>
      </w:r>
    </w:p>
    <w:p w:rsidR="00DF3AA3" w:rsidRPr="00DF3AA3" w:rsidRDefault="00DF3AA3" w:rsidP="00DF3AA3">
      <w:pPr>
        <w:pStyle w:val="ListBullet"/>
        <w:rPr>
          <w:i/>
        </w:rPr>
      </w:pPr>
      <w:r w:rsidRPr="00DF3AA3">
        <w:rPr>
          <w:i/>
        </w:rPr>
        <w:t>National Agreement for Skills and Workforce Development</w:t>
      </w:r>
    </w:p>
    <w:p w:rsidR="00DF3AA3" w:rsidRPr="00DF3AA3" w:rsidRDefault="00DF3AA3" w:rsidP="00DF3AA3">
      <w:pPr>
        <w:pStyle w:val="ListBullet"/>
        <w:rPr>
          <w:i/>
        </w:rPr>
      </w:pPr>
      <w:r w:rsidRPr="00DF3AA3">
        <w:rPr>
          <w:i/>
        </w:rPr>
        <w:t>National Affordable Housing Agreement</w:t>
      </w:r>
    </w:p>
    <w:p w:rsidR="00DF3AA3" w:rsidRPr="00DF3AA3" w:rsidRDefault="00DF3AA3" w:rsidP="00DF3AA3">
      <w:pPr>
        <w:pStyle w:val="ListBullet"/>
        <w:rPr>
          <w:i/>
        </w:rPr>
      </w:pPr>
      <w:r w:rsidRPr="00DF3AA3">
        <w:rPr>
          <w:i/>
        </w:rPr>
        <w:t>National Disability Agreement</w:t>
      </w:r>
    </w:p>
    <w:p w:rsidR="00DF3AA3" w:rsidRPr="00DF3AA3" w:rsidRDefault="00DF3AA3" w:rsidP="00DF3AA3">
      <w:pPr>
        <w:pStyle w:val="ListBullet"/>
        <w:rPr>
          <w:i/>
        </w:rPr>
      </w:pPr>
      <w:r w:rsidRPr="00DF3AA3">
        <w:rPr>
          <w:i/>
        </w:rPr>
        <w:t>Nation</w:t>
      </w:r>
      <w:r w:rsidR="001D2206">
        <w:rPr>
          <w:i/>
        </w:rPr>
        <w:t>al Indigenous Reform Agreement.</w:t>
      </w:r>
    </w:p>
    <w:p w:rsidR="00DF3AA3" w:rsidRDefault="00DF3AA3" w:rsidP="00DF3AA3">
      <w:pPr>
        <w:pStyle w:val="BodyText"/>
      </w:pPr>
      <w:r>
        <w:t>Five of the NAs are associated with a national Specific Purpose Payment (</w:t>
      </w:r>
      <w:proofErr w:type="spellStart"/>
      <w:r>
        <w:t>SPP</w:t>
      </w:r>
      <w:proofErr w:type="spellEnd"/>
      <w:r>
        <w:t>) that provide</w:t>
      </w:r>
      <w:r w:rsidR="002A16C0">
        <w:t>s</w:t>
      </w:r>
      <w:r>
        <w:t xml:space="preserve"> funding to the states and territories for the sector covered by the NA. These five </w:t>
      </w:r>
      <w:proofErr w:type="spellStart"/>
      <w:r>
        <w:t>SPPs</w:t>
      </w:r>
      <w:proofErr w:type="spellEnd"/>
      <w:r>
        <w:t xml:space="preserve"> cover schools, vocational education and training (VET), disability services, healthcare and affordable housing. The </w:t>
      </w:r>
      <w:r w:rsidRPr="00DF3AA3">
        <w:rPr>
          <w:i/>
        </w:rPr>
        <w:t>National Indigenous Reform Agreement</w:t>
      </w:r>
      <w:r>
        <w:t xml:space="preserve"> (NIRA) is not associated with a </w:t>
      </w:r>
      <w:proofErr w:type="spellStart"/>
      <w:r>
        <w:t>SPP</w:t>
      </w:r>
      <w:proofErr w:type="spellEnd"/>
      <w:r>
        <w:t>, but draws together Indige</w:t>
      </w:r>
      <w:r w:rsidR="002A16C0">
        <w:t>nous elements from the other NAs</w:t>
      </w:r>
      <w:r>
        <w:t>.</w:t>
      </w:r>
    </w:p>
    <w:p w:rsidR="00B63B12" w:rsidRDefault="00586034" w:rsidP="00B63B12">
      <w:pPr>
        <w:spacing w:before="240" w:line="320" w:lineRule="atLeast"/>
        <w:jc w:val="both"/>
        <w:rPr>
          <w:szCs w:val="20"/>
        </w:rPr>
      </w:pPr>
      <w:r w:rsidRPr="00586034">
        <w:rPr>
          <w:szCs w:val="20"/>
        </w:rPr>
        <w:t>At its 7 December 2009 meeting, COAG agreed to a h</w:t>
      </w:r>
      <w:r w:rsidR="00B63B12">
        <w:rPr>
          <w:szCs w:val="20"/>
        </w:rPr>
        <w:t>igh level review of the NAs, National Partnership Agreements (NPs)</w:t>
      </w:r>
      <w:r w:rsidRPr="00586034">
        <w:rPr>
          <w:szCs w:val="20"/>
        </w:rPr>
        <w:t xml:space="preserve"> and implementation plans. On 13 February 2011, COAG noted a report on this review and agreed to further reviews of the </w:t>
      </w:r>
      <w:r w:rsidR="00B63B12">
        <w:rPr>
          <w:szCs w:val="20"/>
        </w:rPr>
        <w:t xml:space="preserve">NA </w:t>
      </w:r>
      <w:r w:rsidRPr="00586034">
        <w:rPr>
          <w:szCs w:val="20"/>
        </w:rPr>
        <w:t xml:space="preserve">performance indicator frameworks (COAG </w:t>
      </w:r>
      <w:proofErr w:type="spellStart"/>
      <w:r w:rsidRPr="00586034">
        <w:rPr>
          <w:szCs w:val="20"/>
        </w:rPr>
        <w:t>2011</w:t>
      </w:r>
      <w:r w:rsidR="008A0CB8">
        <w:rPr>
          <w:szCs w:val="20"/>
        </w:rPr>
        <w:t>b</w:t>
      </w:r>
      <w:proofErr w:type="spellEnd"/>
      <w:r w:rsidRPr="00586034">
        <w:rPr>
          <w:szCs w:val="20"/>
        </w:rPr>
        <w:t>).</w:t>
      </w:r>
    </w:p>
    <w:p w:rsidR="00D43996" w:rsidRDefault="00D43996" w:rsidP="00C51819">
      <w:pPr>
        <w:spacing w:before="240" w:line="320" w:lineRule="atLeast"/>
        <w:jc w:val="both"/>
      </w:pPr>
      <w:r w:rsidRPr="00DC0F2B">
        <w:t xml:space="preserve">At its 13 April 2012 meeting, COAG agreed to a revised </w:t>
      </w:r>
      <w:r w:rsidR="000D18F2" w:rsidRPr="0031116C">
        <w:rPr>
          <w:i/>
        </w:rPr>
        <w:t>National Agreement for Skills and Workforce Development</w:t>
      </w:r>
      <w:r w:rsidR="000D18F2">
        <w:t xml:space="preserve"> (</w:t>
      </w:r>
      <w:r w:rsidRPr="00DC0F2B">
        <w:t>NASWD</w:t>
      </w:r>
      <w:r w:rsidR="000D18F2">
        <w:t>)</w:t>
      </w:r>
      <w:r w:rsidRPr="00DC0F2B">
        <w:t xml:space="preserve"> and a new </w:t>
      </w:r>
      <w:r w:rsidRPr="00DC0F2B">
        <w:rPr>
          <w:i/>
        </w:rPr>
        <w:t>National Partnership Agreement on Skills Reform</w:t>
      </w:r>
      <w:r w:rsidRPr="00DC0F2B">
        <w:t xml:space="preserve"> (COAG </w:t>
      </w:r>
      <w:proofErr w:type="spellStart"/>
      <w:r w:rsidRPr="00DC0F2B">
        <w:t>2012</w:t>
      </w:r>
      <w:r w:rsidR="00CA6B35" w:rsidRPr="00DC0F2B">
        <w:t>a</w:t>
      </w:r>
      <w:proofErr w:type="spellEnd"/>
      <w:r w:rsidR="00CA6B35" w:rsidRPr="00DC0F2B">
        <w:t>,</w:t>
      </w:r>
      <w:r w:rsidR="000B5441" w:rsidRPr="00DC0F2B">
        <w:t xml:space="preserve"> </w:t>
      </w:r>
      <w:proofErr w:type="spellStart"/>
      <w:r w:rsidR="000B5441" w:rsidRPr="00DC0F2B">
        <w:t>2012b</w:t>
      </w:r>
      <w:proofErr w:type="spellEnd"/>
      <w:r w:rsidR="000B5441" w:rsidRPr="00DC0F2B">
        <w:t xml:space="preserve"> and </w:t>
      </w:r>
      <w:proofErr w:type="spellStart"/>
      <w:r w:rsidR="000B5441" w:rsidRPr="00DC0F2B">
        <w:t>2012c</w:t>
      </w:r>
      <w:proofErr w:type="spellEnd"/>
      <w:r w:rsidR="00426E98">
        <w:t>)</w:t>
      </w:r>
      <w:r w:rsidR="000D18F2">
        <w:t>.</w:t>
      </w:r>
      <w:r w:rsidR="00273EC6">
        <w:t xml:space="preserve"> Reporting against the performance indicator framework in the revised NA</w:t>
      </w:r>
      <w:r w:rsidR="00811D2D">
        <w:t>SWD was i</w:t>
      </w:r>
      <w:r w:rsidR="00600E52">
        <w:t>mplemented for the 2012 cycle of</w:t>
      </w:r>
      <w:r w:rsidR="00811D2D">
        <w:t xml:space="preserve"> reporting (incorporating data for 2011)</w:t>
      </w:r>
      <w:r w:rsidR="00273EC6">
        <w:t xml:space="preserve">. </w:t>
      </w:r>
    </w:p>
    <w:p w:rsidR="00E60C09" w:rsidRDefault="00E60C09" w:rsidP="00E60C09">
      <w:pPr>
        <w:pStyle w:val="Heading3"/>
      </w:pPr>
      <w:r>
        <w:lastRenderedPageBreak/>
        <w:t>National Agreement repor</w:t>
      </w:r>
      <w:r w:rsidR="007851A2">
        <w:t>ting roles and responsibilities</w:t>
      </w:r>
    </w:p>
    <w:p w:rsidR="00E60C09" w:rsidRDefault="00E60C09" w:rsidP="00B63B12">
      <w:pPr>
        <w:pStyle w:val="BodyText"/>
      </w:pPr>
      <w:r>
        <w:t xml:space="preserve">The Standing Council for Federal Financial Relations (SCFFR) has general oversight of the operations of the IGA on behalf of COAG [IGA para. </w:t>
      </w:r>
      <w:proofErr w:type="spellStart"/>
      <w:r>
        <w:t>A4</w:t>
      </w:r>
      <w:proofErr w:type="spellEnd"/>
      <w:r>
        <w:t>(a)].</w:t>
      </w:r>
    </w:p>
    <w:p w:rsidR="00B63B12" w:rsidRDefault="002A16C0" w:rsidP="00B63B12">
      <w:pPr>
        <w:pStyle w:val="BodyText"/>
      </w:pPr>
      <w:r>
        <w:t>The COAG Reform Council (CRC)</w:t>
      </w:r>
      <w:r w:rsidR="00B63B12">
        <w:t xml:space="preserve"> is responsible for monitoring and assessing the performance of all governments in achieving the outcomes and benchmarks specified in each NA. The CRC is required to provide to COAG the NA performance information and a comparative analysis of this information within three months of receipt from the Steering Committee</w:t>
      </w:r>
      <w:r w:rsidR="00B77593">
        <w:t xml:space="preserve"> for the Review of Government Service Provision</w:t>
      </w:r>
      <w:r w:rsidR="00B63B12">
        <w:t xml:space="preserve">. [IGA paras. </w:t>
      </w:r>
      <w:proofErr w:type="spellStart"/>
      <w:r w:rsidR="00B63B12">
        <w:t>C.14</w:t>
      </w:r>
      <w:proofErr w:type="spellEnd"/>
      <w:r w:rsidR="00E60C09">
        <w:t>-15]</w:t>
      </w:r>
    </w:p>
    <w:p w:rsidR="006131B3" w:rsidRDefault="00DF3AA3" w:rsidP="00C51819">
      <w:pPr>
        <w:pStyle w:val="BodyText"/>
      </w:pPr>
      <w:r>
        <w:t xml:space="preserve">The Steering Committee </w:t>
      </w:r>
      <w:r w:rsidR="00E60C09">
        <w:t xml:space="preserve">has overall responsibility for collating the necessary NA performance data [IGA para. </w:t>
      </w:r>
      <w:proofErr w:type="spellStart"/>
      <w:r w:rsidR="00E60C09">
        <w:t>C.9</w:t>
      </w:r>
      <w:proofErr w:type="spellEnd"/>
      <w:r w:rsidR="00E60C09">
        <w:t xml:space="preserve">]. </w:t>
      </w:r>
      <w:r w:rsidR="00E60C09" w:rsidRPr="00E2205C">
        <w:t xml:space="preserve">Reports from </w:t>
      </w:r>
      <w:r w:rsidRPr="00E2205C">
        <w:t>the Steering Co</w:t>
      </w:r>
      <w:r w:rsidR="006131B3" w:rsidRPr="00E2205C">
        <w:t xml:space="preserve">mmittee to the CRC are </w:t>
      </w:r>
      <w:r w:rsidR="00E2205C" w:rsidRPr="00E2205C">
        <w:t>required ideally in 3 months and no</w:t>
      </w:r>
      <w:r w:rsidR="006131B3" w:rsidRPr="00E2205C">
        <w:t xml:space="preserve"> later than 6 months after the end of reporting period. </w:t>
      </w:r>
      <w:r w:rsidR="00811D2D">
        <w:t xml:space="preserve">Previous reports were provided by end-June (six months after the end of the reporting period). </w:t>
      </w:r>
      <w:r w:rsidR="006131B3" w:rsidRPr="00E2205C">
        <w:t>For this report the CRC requested data by end April 2014</w:t>
      </w:r>
      <w:r w:rsidR="00811D2D">
        <w:t xml:space="preserve"> (four months after the end of the reporting period)</w:t>
      </w:r>
      <w:r w:rsidR="006131B3" w:rsidRPr="00E2205C">
        <w:t>.</w:t>
      </w:r>
    </w:p>
    <w:p w:rsidR="00D7078E" w:rsidRDefault="00D7078E">
      <w:pPr>
        <w:rPr>
          <w:rFonts w:ascii="Arial" w:hAnsi="Arial"/>
          <w:b/>
          <w:szCs w:val="20"/>
        </w:rPr>
      </w:pPr>
      <w:r>
        <w:br w:type="page"/>
      </w:r>
    </w:p>
    <w:p w:rsidR="00DF3AA3" w:rsidRDefault="00DF3AA3" w:rsidP="00E60C09">
      <w:pPr>
        <w:pStyle w:val="Heading3"/>
      </w:pPr>
      <w:r>
        <w:lastRenderedPageBreak/>
        <w:t>Performance reporting</w:t>
      </w:r>
    </w:p>
    <w:p w:rsidR="0028355C" w:rsidRDefault="00DF3AA3" w:rsidP="00C51819">
      <w:pPr>
        <w:pStyle w:val="BodyText"/>
      </w:pPr>
      <w:r>
        <w:t xml:space="preserve">The CRC has requested the Steering Committee to provide information on all performance categories in the </w:t>
      </w:r>
      <w:r w:rsidR="00E60C09">
        <w:t>NA</w:t>
      </w:r>
      <w:r w:rsidR="00D7078E">
        <w:t>s</w:t>
      </w:r>
      <w:r>
        <w:t>.</w:t>
      </w:r>
      <w:r w:rsidR="00CB0AE4">
        <w:t xml:space="preserve"> </w:t>
      </w:r>
      <w:r w:rsidR="0028355C">
        <w:t>The NASWD includes the performance categories of ‘performance indicators’ and ‘targets’. The links between the objective, outcomes and associated performance categories in the NASWD are illustrated in figure </w:t>
      </w:r>
      <w:r w:rsidR="0028355C" w:rsidRPr="00212A4D">
        <w:t>1</w:t>
      </w:r>
      <w:r w:rsidR="0028355C">
        <w:t>.</w:t>
      </w:r>
    </w:p>
    <w:p w:rsidR="0028355C" w:rsidRPr="00BC7D63" w:rsidRDefault="0028355C" w:rsidP="0028355C">
      <w:pPr>
        <w:pStyle w:val="FigureTitle"/>
      </w:pPr>
      <w:r>
        <w:rPr>
          <w:b w:val="0"/>
        </w:rPr>
        <w:t>Figure </w:t>
      </w:r>
      <w:r w:rsidR="00503759">
        <w:rPr>
          <w:b w:val="0"/>
          <w:noProof/>
        </w:rPr>
        <w:t>1</w:t>
      </w:r>
      <w:r>
        <w:tab/>
        <w:t>NASWD performance reporting</w:t>
      </w:r>
      <w:r w:rsidRPr="00270A0B">
        <w:rPr>
          <w:rStyle w:val="NoteLabel"/>
          <w:b/>
        </w:rPr>
        <w:t>a, b</w:t>
      </w:r>
    </w:p>
    <w:tbl>
      <w:tblPr>
        <w:tblW w:w="0" w:type="auto"/>
        <w:tblInd w:w="11" w:type="dxa"/>
        <w:tblBorders>
          <w:top w:val="single" w:sz="6" w:space="0" w:color="auto"/>
          <w:bottom w:val="single" w:sz="6" w:space="0" w:color="auto"/>
        </w:tblBorders>
        <w:tblLayout w:type="fixed"/>
        <w:tblCellMar>
          <w:left w:w="0" w:type="dxa"/>
          <w:right w:w="0" w:type="dxa"/>
        </w:tblCellMar>
        <w:tblLook w:val="0000" w:firstRow="0" w:lastRow="0" w:firstColumn="0" w:lastColumn="0" w:noHBand="0" w:noVBand="0"/>
      </w:tblPr>
      <w:tblGrid>
        <w:gridCol w:w="8777"/>
      </w:tblGrid>
      <w:tr w:rsidR="0028355C" w:rsidTr="002E767C">
        <w:tc>
          <w:tcPr>
            <w:tcW w:w="8777" w:type="dxa"/>
            <w:tcBorders>
              <w:top w:val="single" w:sz="6" w:space="0" w:color="auto"/>
              <w:bottom w:val="single" w:sz="6" w:space="0" w:color="auto"/>
            </w:tcBorders>
          </w:tcPr>
          <w:p w:rsidR="0028355C" w:rsidRDefault="0028355C" w:rsidP="002E767C">
            <w:pPr>
              <w:pStyle w:val="Figure"/>
            </w:pPr>
            <w:r>
              <w:rPr>
                <w:noProof/>
              </w:rPr>
              <mc:AlternateContent>
                <mc:Choice Requires="wpc">
                  <w:drawing>
                    <wp:inline distT="0" distB="0" distL="0" distR="0" wp14:anchorId="0D79E50C" wp14:editId="1854A36D">
                      <wp:extent cx="5486400" cy="3429000"/>
                      <wp:effectExtent l="0" t="0" r="19050" b="0"/>
                      <wp:docPr id="10" name="Canvas 10" descr="Shows the links between the performance reporting categories in the NASWD."/>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AutoShape 4"/>
                              <wps:cNvSpPr>
                                <a:spLocks noChangeArrowheads="1"/>
                              </wps:cNvSpPr>
                              <wps:spPr bwMode="auto">
                                <a:xfrm>
                                  <a:off x="0" y="530224"/>
                                  <a:ext cx="1943100" cy="2060575"/>
                                </a:xfrm>
                                <a:prstGeom prst="roundRect">
                                  <a:avLst>
                                    <a:gd name="adj" fmla="val 16667"/>
                                  </a:avLst>
                                </a:prstGeom>
                                <a:solidFill>
                                  <a:srgbClr val="FFFFFF"/>
                                </a:solidFill>
                                <a:ln w="9525">
                                  <a:solidFill>
                                    <a:srgbClr val="000000"/>
                                  </a:solidFill>
                                  <a:round/>
                                  <a:headEnd/>
                                  <a:tailEnd/>
                                </a:ln>
                              </wps:spPr>
                              <wps:txbx>
                                <w:txbxContent>
                                  <w:p w:rsidR="00A57DDD" w:rsidRDefault="00A57DDD" w:rsidP="0028355C">
                                    <w:pPr>
                                      <w:rPr>
                                        <w:rFonts w:ascii="Arial" w:hAnsi="Arial" w:cs="Arial"/>
                                        <w:b/>
                                        <w:sz w:val="16"/>
                                        <w:szCs w:val="16"/>
                                      </w:rPr>
                                    </w:pPr>
                                    <w:r w:rsidRPr="0038241D">
                                      <w:rPr>
                                        <w:rFonts w:ascii="Arial" w:hAnsi="Arial" w:cs="Arial"/>
                                        <w:b/>
                                        <w:sz w:val="16"/>
                                        <w:szCs w:val="16"/>
                                      </w:rPr>
                                      <w:t>Objective</w:t>
                                    </w:r>
                                  </w:p>
                                  <w:p w:rsidR="00A57DDD" w:rsidRPr="0038241D" w:rsidRDefault="00A57DDD" w:rsidP="0028355C">
                                    <w:pPr>
                                      <w:rPr>
                                        <w:rFonts w:ascii="Arial" w:hAnsi="Arial" w:cs="Arial"/>
                                        <w:b/>
                                        <w:sz w:val="16"/>
                                        <w:szCs w:val="16"/>
                                      </w:rPr>
                                    </w:pPr>
                                  </w:p>
                                  <w:p w:rsidR="00A57DDD" w:rsidRPr="0038241D" w:rsidRDefault="00A57DDD" w:rsidP="0028355C">
                                    <w:pPr>
                                      <w:rPr>
                                        <w:rFonts w:ascii="Arial" w:hAnsi="Arial" w:cs="Arial"/>
                                        <w:sz w:val="16"/>
                                        <w:szCs w:val="16"/>
                                      </w:rPr>
                                    </w:pPr>
                                    <w:r>
                                      <w:rPr>
                                        <w:rFonts w:ascii="Arial" w:hAnsi="Arial" w:cs="Arial"/>
                                        <w:sz w:val="16"/>
                                        <w:szCs w:val="16"/>
                                      </w:rPr>
                                      <w:t>A vocational education and training (VET) system that delivers a productive and highly skilled workforce, and which enables all working age Australians to  develop the skills and qualifications needed to participate effectively in the labour market and contribute to Australia’s economic future; and supports the achievement of increased rates of workforce participation</w:t>
                                    </w:r>
                                  </w:p>
                                  <w:p w:rsidR="00A57DDD" w:rsidRPr="0038241D" w:rsidRDefault="00A57DDD" w:rsidP="0028355C">
                                    <w:pPr>
                                      <w:pStyle w:val="BodyText"/>
                                      <w:rPr>
                                        <w:rFonts w:ascii="Arial" w:hAnsi="Arial" w:cs="Arial"/>
                                        <w:sz w:val="16"/>
                                        <w:szCs w:val="16"/>
                                      </w:rPr>
                                    </w:pPr>
                                  </w:p>
                                </w:txbxContent>
                              </wps:txbx>
                              <wps:bodyPr rot="0" vert="horz" wrap="square" lIns="91440" tIns="45720" rIns="91440" bIns="45720" anchor="t" anchorCtr="0" upright="1">
                                <a:noAutofit/>
                              </wps:bodyPr>
                            </wps:wsp>
                            <wps:wsp>
                              <wps:cNvPr id="2" name="AutoShape 5"/>
                              <wps:cNvSpPr>
                                <a:spLocks noChangeArrowheads="1"/>
                              </wps:cNvSpPr>
                              <wps:spPr bwMode="auto">
                                <a:xfrm>
                                  <a:off x="2171700" y="914400"/>
                                  <a:ext cx="1485900" cy="1073150"/>
                                </a:xfrm>
                                <a:prstGeom prst="roundRect">
                                  <a:avLst>
                                    <a:gd name="adj" fmla="val 16667"/>
                                  </a:avLst>
                                </a:prstGeom>
                                <a:solidFill>
                                  <a:srgbClr val="FFFFFF"/>
                                </a:solidFill>
                                <a:ln w="9525">
                                  <a:solidFill>
                                    <a:srgbClr val="000000"/>
                                  </a:solidFill>
                                  <a:round/>
                                  <a:headEnd/>
                                  <a:tailEnd/>
                                </a:ln>
                              </wps:spPr>
                              <wps:txbx>
                                <w:txbxContent>
                                  <w:p w:rsidR="00A57DDD" w:rsidRDefault="00A57DDD" w:rsidP="0028355C">
                                    <w:pPr>
                                      <w:rPr>
                                        <w:rFonts w:ascii="Arial" w:hAnsi="Arial" w:cs="Arial"/>
                                        <w:b/>
                                        <w:sz w:val="16"/>
                                        <w:szCs w:val="16"/>
                                      </w:rPr>
                                    </w:pPr>
                                    <w:r w:rsidRPr="0038241D">
                                      <w:rPr>
                                        <w:rFonts w:ascii="Arial" w:hAnsi="Arial" w:cs="Arial"/>
                                        <w:b/>
                                        <w:sz w:val="16"/>
                                        <w:szCs w:val="16"/>
                                      </w:rPr>
                                      <w:t>Outcomes</w:t>
                                    </w:r>
                                  </w:p>
                                  <w:p w:rsidR="00A57DDD" w:rsidRPr="0038241D" w:rsidRDefault="00A57DDD" w:rsidP="0028355C">
                                    <w:pPr>
                                      <w:rPr>
                                        <w:rFonts w:ascii="Arial" w:hAnsi="Arial" w:cs="Arial"/>
                                        <w:b/>
                                        <w:sz w:val="16"/>
                                        <w:szCs w:val="16"/>
                                      </w:rPr>
                                    </w:pPr>
                                  </w:p>
                                  <w:p w:rsidR="00A57DDD" w:rsidRPr="0038241D" w:rsidRDefault="00A57DDD" w:rsidP="0028355C">
                                    <w:pPr>
                                      <w:rPr>
                                        <w:rFonts w:ascii="Arial" w:hAnsi="Arial" w:cs="Arial"/>
                                        <w:sz w:val="16"/>
                                        <w:szCs w:val="16"/>
                                      </w:rPr>
                                    </w:pPr>
                                    <w:proofErr w:type="spellStart"/>
                                    <w:r w:rsidRPr="0038241D">
                                      <w:rPr>
                                        <w:rFonts w:ascii="Arial" w:hAnsi="Arial" w:cs="Arial"/>
                                        <w:sz w:val="16"/>
                                        <w:szCs w:val="16"/>
                                      </w:rPr>
                                      <w:t>eg</w:t>
                                    </w:r>
                                    <w:proofErr w:type="spellEnd"/>
                                    <w:r w:rsidRPr="0038241D">
                                      <w:rPr>
                                        <w:rFonts w:ascii="Arial" w:hAnsi="Arial" w:cs="Arial"/>
                                        <w:sz w:val="16"/>
                                        <w:szCs w:val="16"/>
                                      </w:rPr>
                                      <w:t xml:space="preserve"> </w:t>
                                    </w:r>
                                    <w:r>
                                      <w:rPr>
                                        <w:rFonts w:ascii="Arial" w:hAnsi="Arial" w:cs="Arial"/>
                                        <w:sz w:val="16"/>
                                        <w:szCs w:val="16"/>
                                      </w:rPr>
                                      <w:t>the skill levels of the working age population are increased to meet the changing needs of the economy</w:t>
                                    </w:r>
                                  </w:p>
                                </w:txbxContent>
                              </wps:txbx>
                              <wps:bodyPr rot="0" vert="horz" wrap="square" lIns="91440" tIns="45720" rIns="91440" bIns="45720" anchor="t" anchorCtr="0" upright="1">
                                <a:noAutofit/>
                              </wps:bodyPr>
                            </wps:wsp>
                            <wps:wsp>
                              <wps:cNvPr id="3" name="AutoShape 6"/>
                              <wps:cNvSpPr>
                                <a:spLocks noChangeArrowheads="1"/>
                              </wps:cNvSpPr>
                              <wps:spPr bwMode="auto">
                                <a:xfrm>
                                  <a:off x="3886200" y="1758950"/>
                                  <a:ext cx="1600200" cy="1143000"/>
                                </a:xfrm>
                                <a:prstGeom prst="roundRect">
                                  <a:avLst>
                                    <a:gd name="adj" fmla="val 16667"/>
                                  </a:avLst>
                                </a:prstGeom>
                                <a:solidFill>
                                  <a:srgbClr val="C0C0C0"/>
                                </a:solidFill>
                                <a:ln w="9525">
                                  <a:solidFill>
                                    <a:srgbClr val="000000"/>
                                  </a:solidFill>
                                  <a:round/>
                                  <a:headEnd/>
                                  <a:tailEnd/>
                                </a:ln>
                              </wps:spPr>
                              <wps:txbx>
                                <w:txbxContent>
                                  <w:p w:rsidR="00A57DDD" w:rsidRDefault="00A57DDD" w:rsidP="0028355C">
                                    <w:pPr>
                                      <w:rPr>
                                        <w:rFonts w:ascii="Arial" w:hAnsi="Arial" w:cs="Arial"/>
                                        <w:b/>
                                        <w:sz w:val="16"/>
                                        <w:szCs w:val="16"/>
                                      </w:rPr>
                                    </w:pPr>
                                    <w:r>
                                      <w:rPr>
                                        <w:rFonts w:ascii="Arial" w:hAnsi="Arial" w:cs="Arial"/>
                                        <w:b/>
                                        <w:sz w:val="16"/>
                                        <w:szCs w:val="16"/>
                                      </w:rPr>
                                      <w:t>T</w:t>
                                    </w:r>
                                    <w:r w:rsidRPr="0038241D">
                                      <w:rPr>
                                        <w:rFonts w:ascii="Arial" w:hAnsi="Arial" w:cs="Arial"/>
                                        <w:b/>
                                        <w:sz w:val="16"/>
                                        <w:szCs w:val="16"/>
                                      </w:rPr>
                                      <w:t>argets</w:t>
                                    </w:r>
                                  </w:p>
                                  <w:p w:rsidR="00A57DDD" w:rsidRPr="0038241D" w:rsidRDefault="00A57DDD" w:rsidP="0028355C">
                                    <w:pPr>
                                      <w:rPr>
                                        <w:rFonts w:ascii="Arial" w:hAnsi="Arial" w:cs="Arial"/>
                                        <w:b/>
                                        <w:sz w:val="16"/>
                                        <w:szCs w:val="16"/>
                                      </w:rPr>
                                    </w:pPr>
                                  </w:p>
                                  <w:p w:rsidR="00A57DDD" w:rsidRPr="0038241D" w:rsidRDefault="00A57DDD" w:rsidP="0028355C">
                                    <w:pPr>
                                      <w:rPr>
                                        <w:rFonts w:ascii="Arial" w:hAnsi="Arial" w:cs="Arial"/>
                                        <w:sz w:val="16"/>
                                        <w:szCs w:val="16"/>
                                      </w:rPr>
                                    </w:pPr>
                                    <w:proofErr w:type="spellStart"/>
                                    <w:r w:rsidRPr="0038241D">
                                      <w:rPr>
                                        <w:rFonts w:ascii="Arial" w:hAnsi="Arial" w:cs="Arial"/>
                                        <w:sz w:val="16"/>
                                        <w:szCs w:val="16"/>
                                      </w:rPr>
                                      <w:t>eg</w:t>
                                    </w:r>
                                    <w:proofErr w:type="spellEnd"/>
                                    <w:r w:rsidRPr="0038241D">
                                      <w:rPr>
                                        <w:rFonts w:ascii="Arial" w:hAnsi="Arial" w:cs="Arial"/>
                                        <w:sz w:val="16"/>
                                        <w:szCs w:val="16"/>
                                      </w:rPr>
                                      <w:t xml:space="preserve"> Halve the proportion of Australians</w:t>
                                    </w:r>
                                    <w:r>
                                      <w:rPr>
                                        <w:rFonts w:ascii="Arial" w:hAnsi="Arial" w:cs="Arial"/>
                                        <w:sz w:val="16"/>
                                        <w:szCs w:val="16"/>
                                      </w:rPr>
                                      <w:t xml:space="preserve"> nationally</w:t>
                                    </w:r>
                                    <w:r w:rsidRPr="0038241D">
                                      <w:rPr>
                                        <w:rFonts w:ascii="Arial" w:hAnsi="Arial" w:cs="Arial"/>
                                        <w:sz w:val="16"/>
                                        <w:szCs w:val="16"/>
                                      </w:rPr>
                                      <w:t xml:space="preserve"> aged 20–64 without qualifications at Certificate III level and above between 2009 and 2020</w:t>
                                    </w:r>
                                  </w:p>
                                </w:txbxContent>
                              </wps:txbx>
                              <wps:bodyPr rot="0" vert="horz" wrap="square" lIns="91440" tIns="45720" rIns="91440" bIns="45720" anchor="t" anchorCtr="0" upright="1">
                                <a:noAutofit/>
                              </wps:bodyPr>
                            </wps:wsp>
                            <wps:wsp>
                              <wps:cNvPr id="4" name="AutoShape 7"/>
                              <wps:cNvSpPr>
                                <a:spLocks noChangeArrowheads="1"/>
                              </wps:cNvSpPr>
                              <wps:spPr bwMode="auto">
                                <a:xfrm>
                                  <a:off x="3886200" y="301625"/>
                                  <a:ext cx="1600200" cy="1028700"/>
                                </a:xfrm>
                                <a:prstGeom prst="roundRect">
                                  <a:avLst>
                                    <a:gd name="adj" fmla="val 16667"/>
                                  </a:avLst>
                                </a:prstGeom>
                                <a:solidFill>
                                  <a:srgbClr val="C0C0C0"/>
                                </a:solidFill>
                                <a:ln w="9525">
                                  <a:solidFill>
                                    <a:srgbClr val="000000"/>
                                  </a:solidFill>
                                  <a:round/>
                                  <a:headEnd/>
                                  <a:tailEnd/>
                                </a:ln>
                              </wps:spPr>
                              <wps:txbx>
                                <w:txbxContent>
                                  <w:p w:rsidR="00A57DDD" w:rsidRDefault="00A57DDD" w:rsidP="0028355C">
                                    <w:pPr>
                                      <w:rPr>
                                        <w:rFonts w:ascii="Arial" w:hAnsi="Arial" w:cs="Arial"/>
                                        <w:b/>
                                        <w:sz w:val="16"/>
                                        <w:szCs w:val="16"/>
                                      </w:rPr>
                                    </w:pPr>
                                    <w:r>
                                      <w:rPr>
                                        <w:rFonts w:ascii="Arial" w:hAnsi="Arial" w:cs="Arial"/>
                                        <w:b/>
                                        <w:sz w:val="16"/>
                                        <w:szCs w:val="16"/>
                                      </w:rPr>
                                      <w:t>Performance indicator</w:t>
                                    </w:r>
                                  </w:p>
                                  <w:p w:rsidR="00A57DDD" w:rsidRPr="0038241D" w:rsidRDefault="00A57DDD" w:rsidP="0028355C">
                                    <w:pPr>
                                      <w:rPr>
                                        <w:rFonts w:ascii="Arial" w:hAnsi="Arial" w:cs="Arial"/>
                                        <w:b/>
                                        <w:sz w:val="16"/>
                                        <w:szCs w:val="16"/>
                                      </w:rPr>
                                    </w:pPr>
                                  </w:p>
                                  <w:p w:rsidR="00A57DDD" w:rsidRPr="0038241D" w:rsidRDefault="00A57DDD" w:rsidP="0028355C">
                                    <w:pPr>
                                      <w:rPr>
                                        <w:rFonts w:ascii="Arial" w:hAnsi="Arial" w:cs="Arial"/>
                                        <w:sz w:val="16"/>
                                        <w:szCs w:val="16"/>
                                      </w:rPr>
                                    </w:pPr>
                                    <w:proofErr w:type="spellStart"/>
                                    <w:r>
                                      <w:rPr>
                                        <w:rFonts w:ascii="Arial" w:hAnsi="Arial" w:cs="Arial"/>
                                        <w:sz w:val="16"/>
                                        <w:szCs w:val="16"/>
                                      </w:rPr>
                                      <w:t>eg</w:t>
                                    </w:r>
                                    <w:proofErr w:type="spellEnd"/>
                                    <w:r>
                                      <w:rPr>
                                        <w:rFonts w:ascii="Arial" w:hAnsi="Arial" w:cs="Arial"/>
                                        <w:sz w:val="16"/>
                                        <w:szCs w:val="16"/>
                                      </w:rPr>
                                      <w:t xml:space="preserve"> Proportion of working age population with higher level qualifications (Certificate III and above)</w:t>
                                    </w:r>
                                  </w:p>
                                </w:txbxContent>
                              </wps:txbx>
                              <wps:bodyPr rot="0" vert="horz" wrap="square" lIns="91440" tIns="45720" rIns="91440" bIns="45720" anchor="t" anchorCtr="0" upright="1">
                                <a:noAutofit/>
                              </wps:bodyPr>
                            </wps:wsp>
                            <wps:wsp>
                              <wps:cNvPr id="5" name="Line 8"/>
                              <wps:cNvCnPr/>
                              <wps:spPr bwMode="auto">
                                <a:xfrm>
                                  <a:off x="1943100" y="1434465"/>
                                  <a:ext cx="2286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Line 9"/>
                              <wps:cNvCnPr/>
                              <wps:spPr bwMode="auto">
                                <a:xfrm>
                                  <a:off x="3772535" y="2263140"/>
                                  <a:ext cx="1143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Line 10"/>
                              <wps:cNvCnPr/>
                              <wps:spPr bwMode="auto">
                                <a:xfrm>
                                  <a:off x="3771900" y="672465"/>
                                  <a:ext cx="1143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AutoShape 11"/>
                              <wps:cNvCnPr>
                                <a:cxnSpLocks noChangeShapeType="1"/>
                                <a:stCxn id="2" idx="3"/>
                              </wps:cNvCnPr>
                              <wps:spPr bwMode="auto">
                                <a:xfrm>
                                  <a:off x="3657600" y="1450975"/>
                                  <a:ext cx="1143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12"/>
                              <wps:cNvCnPr>
                                <a:cxnSpLocks noChangeShapeType="1"/>
                                <a:stCxn id="7" idx="0"/>
                                <a:endCxn id="6" idx="0"/>
                              </wps:cNvCnPr>
                              <wps:spPr bwMode="auto">
                                <a:xfrm>
                                  <a:off x="3771900" y="672465"/>
                                  <a:ext cx="635" cy="15906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10" o:spid="_x0000_s1026" editas="canvas" alt="Shows the links between the performance reporting categories in the NASWD." style="width:6in;height:270pt;mso-position-horizontal-relative:char;mso-position-vertical-relative:line" coordsize="54864,34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Shows the links between the performance reporting categories in the NASWD." style="position:absolute;width:54864;height:34290;visibility:visible;mso-wrap-style:square">
                        <v:fill o:detectmouseclick="t"/>
                        <v:path o:connecttype="none"/>
                      </v:shape>
                      <v:roundrect id="AutoShape 4" o:spid="_x0000_s1028" style="position:absolute;top:5302;width:19431;height:2060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wc9cAA&#10;AADaAAAADwAAAGRycy9kb3ducmV2LnhtbERPTWvCQBC9F/oflin01uxWqNjoKlKw9CbGHnqcZsck&#10;mJ2Nu5sY++u7guBpeLzPWaxG24qBfGgca3jNFAji0pmGKw3f+83LDESIyAZbx6ThQgFWy8eHBebG&#10;nXlHQxErkUI45KihjrHLpQxlTRZD5jrixB2ctxgT9JU0Hs8p3LZyotRUWmw4NdTY0UdN5bHorYbS&#10;qF75n2H7/vsWi7+hP7H8PGn9/DSu5yAijfEuvrm/TJoP11euVy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1wc9cAAAADaAAAADwAAAAAAAAAAAAAAAACYAgAAZHJzL2Rvd25y&#10;ZXYueG1sUEsFBgAAAAAEAAQA9QAAAIUDAAAAAA==&#10;">
                        <v:textbox>
                          <w:txbxContent>
                            <w:p w:rsidR="00A57DDD" w:rsidRDefault="00A57DDD" w:rsidP="0028355C">
                              <w:pPr>
                                <w:rPr>
                                  <w:rFonts w:ascii="Arial" w:hAnsi="Arial" w:cs="Arial"/>
                                  <w:b/>
                                  <w:sz w:val="16"/>
                                  <w:szCs w:val="16"/>
                                </w:rPr>
                              </w:pPr>
                              <w:r w:rsidRPr="0038241D">
                                <w:rPr>
                                  <w:rFonts w:ascii="Arial" w:hAnsi="Arial" w:cs="Arial"/>
                                  <w:b/>
                                  <w:sz w:val="16"/>
                                  <w:szCs w:val="16"/>
                                </w:rPr>
                                <w:t>Objective</w:t>
                              </w:r>
                            </w:p>
                            <w:p w:rsidR="00A57DDD" w:rsidRPr="0038241D" w:rsidRDefault="00A57DDD" w:rsidP="0028355C">
                              <w:pPr>
                                <w:rPr>
                                  <w:rFonts w:ascii="Arial" w:hAnsi="Arial" w:cs="Arial"/>
                                  <w:b/>
                                  <w:sz w:val="16"/>
                                  <w:szCs w:val="16"/>
                                </w:rPr>
                              </w:pPr>
                            </w:p>
                            <w:p w:rsidR="00A57DDD" w:rsidRPr="0038241D" w:rsidRDefault="00A57DDD" w:rsidP="0028355C">
                              <w:pPr>
                                <w:rPr>
                                  <w:rFonts w:ascii="Arial" w:hAnsi="Arial" w:cs="Arial"/>
                                  <w:sz w:val="16"/>
                                  <w:szCs w:val="16"/>
                                </w:rPr>
                              </w:pPr>
                              <w:r>
                                <w:rPr>
                                  <w:rFonts w:ascii="Arial" w:hAnsi="Arial" w:cs="Arial"/>
                                  <w:sz w:val="16"/>
                                  <w:szCs w:val="16"/>
                                </w:rPr>
                                <w:t>A vocational education and training (VET) system that delivers a productive and highly skilled workforce, and which enables all working age Australians to  develop the skills and qualifications needed to participate effectively in the labour market and contribute to Australia’s economic future; and supports the achievement of increased rates of workforce participation</w:t>
                              </w:r>
                            </w:p>
                            <w:p w:rsidR="00A57DDD" w:rsidRPr="0038241D" w:rsidRDefault="00A57DDD" w:rsidP="0028355C">
                              <w:pPr>
                                <w:pStyle w:val="BodyText"/>
                                <w:rPr>
                                  <w:rFonts w:ascii="Arial" w:hAnsi="Arial" w:cs="Arial"/>
                                  <w:sz w:val="16"/>
                                  <w:szCs w:val="16"/>
                                </w:rPr>
                              </w:pPr>
                            </w:p>
                          </w:txbxContent>
                        </v:textbox>
                      </v:roundrect>
                      <v:roundrect id="AutoShape 5" o:spid="_x0000_s1029" style="position:absolute;left:21717;top:9144;width:14859;height:1073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6CgsIA&#10;AADaAAAADwAAAGRycy9kb3ducmV2LnhtbESPQWsCMRSE74L/ITyhN00ULHVrlCIo3opbDx6fm9fd&#10;pZuXNcmu2/56Uyj0OMzMN8x6O9hG9ORD7VjDfKZAEBfO1FxqOH/spy8gQkQ22DgmDd8UYLsZj9aY&#10;GXfnE/V5LEWCcMhQQxVjm0kZiooshplriZP36bzFmKQvpfF4T3DbyIVSz9JizWmhwpZ2FRVfeWc1&#10;FEZ1yl/699V1GfOfvruxPNy0fpoMb68gIg3xP/zXPhoNC/i9km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joKCwgAAANoAAAAPAAAAAAAAAAAAAAAAAJgCAABkcnMvZG93&#10;bnJldi54bWxQSwUGAAAAAAQABAD1AAAAhwMAAAAA&#10;">
                        <v:textbox>
                          <w:txbxContent>
                            <w:p w:rsidR="00A57DDD" w:rsidRDefault="00A57DDD" w:rsidP="0028355C">
                              <w:pPr>
                                <w:rPr>
                                  <w:rFonts w:ascii="Arial" w:hAnsi="Arial" w:cs="Arial"/>
                                  <w:b/>
                                  <w:sz w:val="16"/>
                                  <w:szCs w:val="16"/>
                                </w:rPr>
                              </w:pPr>
                              <w:r w:rsidRPr="0038241D">
                                <w:rPr>
                                  <w:rFonts w:ascii="Arial" w:hAnsi="Arial" w:cs="Arial"/>
                                  <w:b/>
                                  <w:sz w:val="16"/>
                                  <w:szCs w:val="16"/>
                                </w:rPr>
                                <w:t>Outcomes</w:t>
                              </w:r>
                            </w:p>
                            <w:p w:rsidR="00A57DDD" w:rsidRPr="0038241D" w:rsidRDefault="00A57DDD" w:rsidP="0028355C">
                              <w:pPr>
                                <w:rPr>
                                  <w:rFonts w:ascii="Arial" w:hAnsi="Arial" w:cs="Arial"/>
                                  <w:b/>
                                  <w:sz w:val="16"/>
                                  <w:szCs w:val="16"/>
                                </w:rPr>
                              </w:pPr>
                            </w:p>
                            <w:p w:rsidR="00A57DDD" w:rsidRPr="0038241D" w:rsidRDefault="00A57DDD" w:rsidP="0028355C">
                              <w:pPr>
                                <w:rPr>
                                  <w:rFonts w:ascii="Arial" w:hAnsi="Arial" w:cs="Arial"/>
                                  <w:sz w:val="16"/>
                                  <w:szCs w:val="16"/>
                                </w:rPr>
                              </w:pPr>
                              <w:proofErr w:type="spellStart"/>
                              <w:r w:rsidRPr="0038241D">
                                <w:rPr>
                                  <w:rFonts w:ascii="Arial" w:hAnsi="Arial" w:cs="Arial"/>
                                  <w:sz w:val="16"/>
                                  <w:szCs w:val="16"/>
                                </w:rPr>
                                <w:t>eg</w:t>
                              </w:r>
                              <w:proofErr w:type="spellEnd"/>
                              <w:r w:rsidRPr="0038241D">
                                <w:rPr>
                                  <w:rFonts w:ascii="Arial" w:hAnsi="Arial" w:cs="Arial"/>
                                  <w:sz w:val="16"/>
                                  <w:szCs w:val="16"/>
                                </w:rPr>
                                <w:t xml:space="preserve"> </w:t>
                              </w:r>
                              <w:r>
                                <w:rPr>
                                  <w:rFonts w:ascii="Arial" w:hAnsi="Arial" w:cs="Arial"/>
                                  <w:sz w:val="16"/>
                                  <w:szCs w:val="16"/>
                                </w:rPr>
                                <w:t>the skill levels of the working age population are increased to meet the changing needs of the economy</w:t>
                              </w:r>
                            </w:p>
                          </w:txbxContent>
                        </v:textbox>
                      </v:roundrect>
                      <v:roundrect id="AutoShape 6" o:spid="_x0000_s1030" style="position:absolute;left:38862;top:17589;width:16002;height:1143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UvVcIA&#10;AADaAAAADwAAAGRycy9kb3ducmV2LnhtbESPQWvCQBSE7wX/w/IEb3VTC2LTbKSIQvGksdLrI/ua&#10;hGbfhuzTxH/vFgoeh5n5hsnWo2vVlfrQeDbwMk9AEZfeNlwZ+DrtnleggiBbbD2TgRsFWOeTpwxT&#10;6wc+0rWQSkUIhxQN1CJdqnUoa3IY5r4jjt6P7x1KlH2lbY9DhLtWL5JkqR02HBdq7GhTU/lbXJyB&#10;836/HL5PQxmOh8u5eJOEpNsaM5uOH++ghEZ5hP/bn9bAK/xdiTdA5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VS9VwgAAANoAAAAPAAAAAAAAAAAAAAAAAJgCAABkcnMvZG93&#10;bnJldi54bWxQSwUGAAAAAAQABAD1AAAAhwMAAAAA&#10;" fillcolor="silver">
                        <v:textbox>
                          <w:txbxContent>
                            <w:p w:rsidR="00A57DDD" w:rsidRDefault="00A57DDD" w:rsidP="0028355C">
                              <w:pPr>
                                <w:rPr>
                                  <w:rFonts w:ascii="Arial" w:hAnsi="Arial" w:cs="Arial"/>
                                  <w:b/>
                                  <w:sz w:val="16"/>
                                  <w:szCs w:val="16"/>
                                </w:rPr>
                              </w:pPr>
                              <w:r>
                                <w:rPr>
                                  <w:rFonts w:ascii="Arial" w:hAnsi="Arial" w:cs="Arial"/>
                                  <w:b/>
                                  <w:sz w:val="16"/>
                                  <w:szCs w:val="16"/>
                                </w:rPr>
                                <w:t>T</w:t>
                              </w:r>
                              <w:r w:rsidRPr="0038241D">
                                <w:rPr>
                                  <w:rFonts w:ascii="Arial" w:hAnsi="Arial" w:cs="Arial"/>
                                  <w:b/>
                                  <w:sz w:val="16"/>
                                  <w:szCs w:val="16"/>
                                </w:rPr>
                                <w:t>argets</w:t>
                              </w:r>
                            </w:p>
                            <w:p w:rsidR="00A57DDD" w:rsidRPr="0038241D" w:rsidRDefault="00A57DDD" w:rsidP="0028355C">
                              <w:pPr>
                                <w:rPr>
                                  <w:rFonts w:ascii="Arial" w:hAnsi="Arial" w:cs="Arial"/>
                                  <w:b/>
                                  <w:sz w:val="16"/>
                                  <w:szCs w:val="16"/>
                                </w:rPr>
                              </w:pPr>
                            </w:p>
                            <w:p w:rsidR="00A57DDD" w:rsidRPr="0038241D" w:rsidRDefault="00A57DDD" w:rsidP="0028355C">
                              <w:pPr>
                                <w:rPr>
                                  <w:rFonts w:ascii="Arial" w:hAnsi="Arial" w:cs="Arial"/>
                                  <w:sz w:val="16"/>
                                  <w:szCs w:val="16"/>
                                </w:rPr>
                              </w:pPr>
                              <w:proofErr w:type="spellStart"/>
                              <w:r w:rsidRPr="0038241D">
                                <w:rPr>
                                  <w:rFonts w:ascii="Arial" w:hAnsi="Arial" w:cs="Arial"/>
                                  <w:sz w:val="16"/>
                                  <w:szCs w:val="16"/>
                                </w:rPr>
                                <w:t>eg</w:t>
                              </w:r>
                              <w:proofErr w:type="spellEnd"/>
                              <w:r w:rsidRPr="0038241D">
                                <w:rPr>
                                  <w:rFonts w:ascii="Arial" w:hAnsi="Arial" w:cs="Arial"/>
                                  <w:sz w:val="16"/>
                                  <w:szCs w:val="16"/>
                                </w:rPr>
                                <w:t xml:space="preserve"> Halve the proportion of Australians</w:t>
                              </w:r>
                              <w:r>
                                <w:rPr>
                                  <w:rFonts w:ascii="Arial" w:hAnsi="Arial" w:cs="Arial"/>
                                  <w:sz w:val="16"/>
                                  <w:szCs w:val="16"/>
                                </w:rPr>
                                <w:t xml:space="preserve"> nationally</w:t>
                              </w:r>
                              <w:r w:rsidRPr="0038241D">
                                <w:rPr>
                                  <w:rFonts w:ascii="Arial" w:hAnsi="Arial" w:cs="Arial"/>
                                  <w:sz w:val="16"/>
                                  <w:szCs w:val="16"/>
                                </w:rPr>
                                <w:t xml:space="preserve"> aged 20–64 without qualifications at Certificate III level and above between 2009 and 2020</w:t>
                              </w:r>
                            </w:p>
                          </w:txbxContent>
                        </v:textbox>
                      </v:roundrect>
                      <v:roundrect id="AutoShape 7" o:spid="_x0000_s1031" style="position:absolute;left:38862;top:3016;width:16002;height:1028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y3IcIA&#10;AADaAAAADwAAAGRycy9kb3ducmV2LnhtbESPQWvCQBSE7wX/w/IEb3VTKWLTbKSIQvGksdLrI/ua&#10;hGbfhuzTxH/vFgoeh5n5hsnWo2vVlfrQeDbwMk9AEZfeNlwZ+DrtnleggiBbbD2TgRsFWOeTpwxT&#10;6wc+0rWQSkUIhxQN1CJdqnUoa3IY5r4jjt6P7x1KlH2lbY9DhLtWL5JkqR02HBdq7GhTU/lbXJyB&#10;836/HL5PQxmOh8u5eJOEpNsaM5uOH++ghEZ5hP/bn9bAK/xdiTdA5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vLchwgAAANoAAAAPAAAAAAAAAAAAAAAAAJgCAABkcnMvZG93&#10;bnJldi54bWxQSwUGAAAAAAQABAD1AAAAhwMAAAAA&#10;" fillcolor="silver">
                        <v:textbox>
                          <w:txbxContent>
                            <w:p w:rsidR="00A57DDD" w:rsidRDefault="00A57DDD" w:rsidP="0028355C">
                              <w:pPr>
                                <w:rPr>
                                  <w:rFonts w:ascii="Arial" w:hAnsi="Arial" w:cs="Arial"/>
                                  <w:b/>
                                  <w:sz w:val="16"/>
                                  <w:szCs w:val="16"/>
                                </w:rPr>
                              </w:pPr>
                              <w:r>
                                <w:rPr>
                                  <w:rFonts w:ascii="Arial" w:hAnsi="Arial" w:cs="Arial"/>
                                  <w:b/>
                                  <w:sz w:val="16"/>
                                  <w:szCs w:val="16"/>
                                </w:rPr>
                                <w:t>Performance indicator</w:t>
                              </w:r>
                            </w:p>
                            <w:p w:rsidR="00A57DDD" w:rsidRPr="0038241D" w:rsidRDefault="00A57DDD" w:rsidP="0028355C">
                              <w:pPr>
                                <w:rPr>
                                  <w:rFonts w:ascii="Arial" w:hAnsi="Arial" w:cs="Arial"/>
                                  <w:b/>
                                  <w:sz w:val="16"/>
                                  <w:szCs w:val="16"/>
                                </w:rPr>
                              </w:pPr>
                            </w:p>
                            <w:p w:rsidR="00A57DDD" w:rsidRPr="0038241D" w:rsidRDefault="00A57DDD" w:rsidP="0028355C">
                              <w:pPr>
                                <w:rPr>
                                  <w:rFonts w:ascii="Arial" w:hAnsi="Arial" w:cs="Arial"/>
                                  <w:sz w:val="16"/>
                                  <w:szCs w:val="16"/>
                                </w:rPr>
                              </w:pPr>
                              <w:proofErr w:type="spellStart"/>
                              <w:r>
                                <w:rPr>
                                  <w:rFonts w:ascii="Arial" w:hAnsi="Arial" w:cs="Arial"/>
                                  <w:sz w:val="16"/>
                                  <w:szCs w:val="16"/>
                                </w:rPr>
                                <w:t>eg</w:t>
                              </w:r>
                              <w:proofErr w:type="spellEnd"/>
                              <w:r>
                                <w:rPr>
                                  <w:rFonts w:ascii="Arial" w:hAnsi="Arial" w:cs="Arial"/>
                                  <w:sz w:val="16"/>
                                  <w:szCs w:val="16"/>
                                </w:rPr>
                                <w:t xml:space="preserve"> Proportion of working age population with higher level qualifications (Certificate III and above)</w:t>
                              </w:r>
                            </w:p>
                          </w:txbxContent>
                        </v:textbox>
                      </v:roundrect>
                      <v:line id="Line 8" o:spid="_x0000_s1032" style="position:absolute;visibility:visible;mso-wrap-style:square" from="19431,14344" to="21717,143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o3O8MAAADaAAAADwAAAGRycy9kb3ducmV2LnhtbESPQWsCMRSE7wX/Q3iCt5pVqN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2qNzvDAAAA2gAAAA8AAAAAAAAAAAAA&#10;AAAAoQIAAGRycy9kb3ducmV2LnhtbFBLBQYAAAAABAAEAPkAAACRAwAAAAA=&#10;">
                        <v:stroke endarrow="block"/>
                      </v:line>
                      <v:line id="Line 9" o:spid="_x0000_s1033" style="position:absolute;visibility:visible;mso-wrap-style:square" from="37725,22631" to="38868,22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pTMIAAADaAAAADwAAAGRycy9kb3ducmV2LnhtbESPQWsCMRSE7wX/Q3hCbzWrB62rUcRF&#10;8FALaun5uXluFjcvyyau6b9vhEKPw8x8wyzX0Taip87XjhWMRxkI4tLpmisFX+fd2zsIH5A1No5J&#10;wQ95WK8GL0vMtXvwkfpTqESCsM9RgQmhzaX0pSGLfuRa4uRdXWcxJNlVUnf4SHDbyEmWTaXFmtOC&#10;wZa2hsrb6W4VzExxlDNZfJw/i74ez+Mhfl/mSr0O42YBIlAM/+G/9l4rmMLzSroBcv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ipTMIAAADaAAAADwAAAAAAAAAAAAAA&#10;AAChAgAAZHJzL2Rvd25yZXYueG1sUEsFBgAAAAAEAAQA+QAAAJADAAAAAA==&#10;">
                        <v:stroke endarrow="block"/>
                      </v:line>
                      <v:line id="Line 10" o:spid="_x0000_s1034" style="position:absolute;visibility:visible;mso-wrap-style:square" from="37719,6724" to="38862,67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QM18IAAADaAAAADwAAAGRycy9kb3ducmV2LnhtbESPT2sCMRTE7wW/Q3iCt5rVg9bVKOJS&#10;8GAL/sHzc/PcLG5elk26pt++KRR6HGZ+M8xqE20jeup87VjBZJyBIC6drrlScDm/v76B8AFZY+OY&#10;FHyTh8168LLCXLsnH6k/hUqkEvY5KjAhtLmUvjRk0Y9dS5y8u+sshiS7SuoOn6ncNnKaZTNpsea0&#10;YLClnaHycfqyCuamOMq5LA7nz6KvJ4v4Ea+3hVKjYdwuQQSK4T/8R+914uD3SroBcv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jQM18IAAADaAAAADwAAAAAAAAAAAAAA&#10;AAChAgAAZHJzL2Rvd25yZXYueG1sUEsFBgAAAAAEAAQA+QAAAJADAAAAAA==&#10;">
                        <v:stroke endarrow="block"/>
                      </v:line>
                      <v:shapetype id="_x0000_t32" coordsize="21600,21600" o:spt="32" o:oned="t" path="m,l21600,21600e" filled="f">
                        <v:path arrowok="t" fillok="f" o:connecttype="none"/>
                        <o:lock v:ext="edit" shapetype="t"/>
                      </v:shapetype>
                      <v:shape id="AutoShape 11" o:spid="_x0000_s1035" type="#_x0000_t32" style="position:absolute;left:36576;top:14509;width:1143;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mcEAAADaAAAADwAAAGRycy9kb3ducmV2LnhtbERPz2vCMBS+D/wfwhO8jJk62BidaamC&#10;MAce7PT+1rw1wealNlHrf78cBjt+fL+X5eg6caUhWM8KFvMMBHHjteVWweFr8/QGIkRkjZ1nUnCn&#10;AGUxeVhirv2N93StYytSCIccFZgY+1zK0BhyGOa+J07cjx8cxgSHVuoBbyncdfI5y16lQ8upwWBP&#10;a0PNqb44BbvtYlV9G7v93J/t7mVTdZf28ajUbDpW7yAijfFf/Of+0ArS1nQl3QBZ/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z6ZwQAAANoAAAAPAAAAAAAAAAAAAAAA&#10;AKECAABkcnMvZG93bnJldi54bWxQSwUGAAAAAAQABAD5AAAAjwMAAAAA&#10;"/>
                      <v:shape id="AutoShape 12" o:spid="_x0000_s1036" type="#_x0000_t32" style="position:absolute;left:37719;top:6724;width:6;height:1590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ObAsQAAADaAAAADwAAAGRycy9kb3ducmV2LnhtbESPT2sCMRTE74V+h/AEL0WzChXdGmVb&#10;EGrBg396f928boKbl+0m6vrtTUHwOMzMb5j5snO1OFMbrGcFo2EGgrj02nKl4LBfDaYgQkTWWHsm&#10;BVcKsFw8P80x1/7CWzrvYiUShEOOCkyMTS5lKA05DEPfECfv17cOY5JtJXWLlwR3tRxn2UQ6tJwW&#10;DDb0Yag87k5OwWY9ei9+jF1/bf/s5nVV1Kfq5Vupfq8r3kBE6uIjfG9/agUz+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s5sCxAAAANoAAAAPAAAAAAAAAAAA&#10;AAAAAKECAABkcnMvZG93bnJldi54bWxQSwUGAAAAAAQABAD5AAAAkgMAAAAA&#10;"/>
                      <w10:anchorlock/>
                    </v:group>
                  </w:pict>
                </mc:Fallback>
              </mc:AlternateContent>
            </w:r>
          </w:p>
        </w:tc>
      </w:tr>
    </w:tbl>
    <w:p w:rsidR="0028355C" w:rsidRPr="004C5A4A" w:rsidRDefault="0028355C" w:rsidP="0028355C">
      <w:pPr>
        <w:pStyle w:val="Note"/>
      </w:pPr>
      <w:r>
        <w:rPr>
          <w:rStyle w:val="NoteLabel"/>
        </w:rPr>
        <w:t>a</w:t>
      </w:r>
      <w:r>
        <w:t> </w:t>
      </w:r>
      <w:r w:rsidRPr="004C5A4A">
        <w:t xml:space="preserve">Shaded boxes indicate categories of performance information included in this report. </w:t>
      </w:r>
      <w:r>
        <w:rPr>
          <w:rStyle w:val="NoteLabel"/>
        </w:rPr>
        <w:t>b </w:t>
      </w:r>
      <w:r>
        <w:t>T</w:t>
      </w:r>
      <w:r w:rsidRPr="004C5A4A">
        <w:t xml:space="preserve">he </w:t>
      </w:r>
      <w:r>
        <w:t>NASWD</w:t>
      </w:r>
      <w:r w:rsidRPr="004C5A4A">
        <w:t xml:space="preserve"> has multiple outcomes, </w:t>
      </w:r>
      <w:r>
        <w:t>performance indicators</w:t>
      </w:r>
      <w:r w:rsidRPr="004C5A4A">
        <w:t xml:space="preserve"> and </w:t>
      </w:r>
      <w:r>
        <w:t>targets.</w:t>
      </w:r>
      <w:r w:rsidRPr="004C5A4A">
        <w:t xml:space="preserve"> </w:t>
      </w:r>
      <w:r>
        <w:t>O</w:t>
      </w:r>
      <w:r w:rsidRPr="004C5A4A">
        <w:t>nly one example of each</w:t>
      </w:r>
      <w:r>
        <w:t xml:space="preserve"> is</w:t>
      </w:r>
      <w:r w:rsidRPr="004C5A4A">
        <w:t xml:space="preserve"> included in this </w:t>
      </w:r>
      <w:r>
        <w:t>figure </w:t>
      </w:r>
      <w:r w:rsidRPr="004C5A4A">
        <w:t>for illustrative purposes</w:t>
      </w:r>
      <w:r>
        <w:t>.</w:t>
      </w:r>
    </w:p>
    <w:p w:rsidR="00CA6B35" w:rsidRDefault="00C00AFB" w:rsidP="0028355C">
      <w:pPr>
        <w:pStyle w:val="BodyText"/>
      </w:pPr>
      <w:r>
        <w:t>This is the sixth</w:t>
      </w:r>
      <w:r w:rsidR="0028355C">
        <w:t xml:space="preserve"> NASWD </w:t>
      </w:r>
      <w:r w:rsidR="00A82142">
        <w:t xml:space="preserve">performance </w:t>
      </w:r>
      <w:r w:rsidR="0028355C">
        <w:t>report prepared by the Steering Committee.</w:t>
      </w:r>
      <w:r w:rsidR="000B5441">
        <w:t xml:space="preserve"> The </w:t>
      </w:r>
      <w:r w:rsidR="00E60C09">
        <w:t xml:space="preserve">first three </w:t>
      </w:r>
      <w:r w:rsidR="000B5441">
        <w:t>reports provided performance information for the previous NASWD</w:t>
      </w:r>
      <w:r w:rsidR="00CA6B35">
        <w:t xml:space="preserve"> </w:t>
      </w:r>
      <w:r w:rsidR="00355518">
        <w:t xml:space="preserve">performance framework </w:t>
      </w:r>
      <w:r w:rsidR="00CA6B35">
        <w:t xml:space="preserve">(COAG </w:t>
      </w:r>
      <w:proofErr w:type="spellStart"/>
      <w:r w:rsidR="00CA6B35">
        <w:t>2009b</w:t>
      </w:r>
      <w:proofErr w:type="spellEnd"/>
      <w:r w:rsidR="00CA6B35">
        <w:t>)</w:t>
      </w:r>
      <w:r w:rsidR="008F5813">
        <w:t xml:space="preserve">. </w:t>
      </w:r>
      <w:r w:rsidR="006C2559">
        <w:t xml:space="preserve">This report </w:t>
      </w:r>
      <w:r>
        <w:t>and the 201</w:t>
      </w:r>
      <w:r w:rsidR="00D7078E">
        <w:t>2</w:t>
      </w:r>
      <w:r>
        <w:t xml:space="preserve"> </w:t>
      </w:r>
      <w:r w:rsidR="006C2559">
        <w:t xml:space="preserve">and </w:t>
      </w:r>
      <w:r w:rsidR="00E60C09">
        <w:t>201</w:t>
      </w:r>
      <w:r w:rsidR="00D7078E">
        <w:t>1</w:t>
      </w:r>
      <w:r w:rsidR="00433347">
        <w:t xml:space="preserve"> r</w:t>
      </w:r>
      <w:r w:rsidR="000B5441">
        <w:t>eport</w:t>
      </w:r>
      <w:r>
        <w:t>s</w:t>
      </w:r>
      <w:r w:rsidR="000B5441">
        <w:t xml:space="preserve"> provide performance information for the revised </w:t>
      </w:r>
      <w:proofErr w:type="spellStart"/>
      <w:r w:rsidR="000B5441">
        <w:t>NASWD</w:t>
      </w:r>
      <w:proofErr w:type="spellEnd"/>
      <w:r w:rsidR="00CA6B35">
        <w:t xml:space="preserve"> (</w:t>
      </w:r>
      <w:r w:rsidR="00641401">
        <w:t xml:space="preserve">COAG </w:t>
      </w:r>
      <w:proofErr w:type="spellStart"/>
      <w:r w:rsidR="00CA6B35">
        <w:t>2012b</w:t>
      </w:r>
      <w:proofErr w:type="spellEnd"/>
      <w:r w:rsidR="00CA6B35">
        <w:t>)</w:t>
      </w:r>
      <w:r w:rsidR="000B5441">
        <w:t xml:space="preserve">. </w:t>
      </w:r>
      <w:r w:rsidR="0028355C">
        <w:t>The CRC has requested</w:t>
      </w:r>
      <w:r w:rsidR="00DD40CA">
        <w:t xml:space="preserve"> that the </w:t>
      </w:r>
      <w:r w:rsidR="00CA6B35">
        <w:t xml:space="preserve">Steering Committee collate data </w:t>
      </w:r>
      <w:r w:rsidR="00DD40CA">
        <w:t xml:space="preserve">for new and/or revised indicators backcast </w:t>
      </w:r>
      <w:r w:rsidR="00CA6B35">
        <w:t>to the baseline NA</w:t>
      </w:r>
      <w:r w:rsidR="00DD40CA">
        <w:t>SWD</w:t>
      </w:r>
      <w:r w:rsidR="00CA6B35">
        <w:t xml:space="preserve"> reporting period (2008 or most recent available data at the time of preparing the bas</w:t>
      </w:r>
      <w:r w:rsidR="00DD40CA">
        <w:t>eline NASWD performance report)</w:t>
      </w:r>
      <w:r w:rsidR="00CA6B35">
        <w:t>.</w:t>
      </w:r>
    </w:p>
    <w:p w:rsidR="0028355C" w:rsidRDefault="0028355C" w:rsidP="00D87377">
      <w:pPr>
        <w:pStyle w:val="BodyText"/>
      </w:pPr>
      <w:r>
        <w:t>Thi</w:t>
      </w:r>
      <w:r w:rsidR="00EC5CBB">
        <w:t>s report contains the original D</w:t>
      </w:r>
      <w:r>
        <w:t xml:space="preserve">ata </w:t>
      </w:r>
      <w:r w:rsidR="00EC5CBB">
        <w:t>Q</w:t>
      </w:r>
      <w:r>
        <w:t xml:space="preserve">uality </w:t>
      </w:r>
      <w:r w:rsidR="00EC5CBB">
        <w:t>S</w:t>
      </w:r>
      <w:r>
        <w:t>tatements (DQSs) completed by relevant data collection agencies</w:t>
      </w:r>
      <w:r w:rsidR="00433347">
        <w:t>, and</w:t>
      </w:r>
      <w:r w:rsidR="00DD40CA">
        <w:t xml:space="preserve"> comments by the Steering </w:t>
      </w:r>
      <w:r>
        <w:t xml:space="preserve">Committee on the quality of reported data </w:t>
      </w:r>
      <w:r w:rsidR="00433347">
        <w:t>(</w:t>
      </w:r>
      <w:r>
        <w:t>based on the</w:t>
      </w:r>
      <w:r w:rsidR="00DD40CA">
        <w:t xml:space="preserve"> DQSs</w:t>
      </w:r>
      <w:r w:rsidR="00433347">
        <w:t>)</w:t>
      </w:r>
      <w:r>
        <w:t>. This report also includes Steering Committee views on the key issues in reporting on the performance categories in the NASWD</w:t>
      </w:r>
      <w:r w:rsidR="00CB0AE4">
        <w:t xml:space="preserve"> (box 1)</w:t>
      </w:r>
      <w:r>
        <w:t>.</w:t>
      </w:r>
    </w:p>
    <w:p w:rsidR="003C4EDC" w:rsidRDefault="003C4EDC" w:rsidP="00583F18">
      <w:pPr>
        <w:pStyle w:val="BodyText"/>
        <w:keepNext/>
        <w:keepLines/>
      </w:pPr>
      <w:r>
        <w:t xml:space="preserve">A separate </w:t>
      </w:r>
      <w:r w:rsidRPr="00C70A34">
        <w:rPr>
          <w:i/>
        </w:rPr>
        <w:t>National Agreement Performance Information 201</w:t>
      </w:r>
      <w:r w:rsidR="00C00AFB">
        <w:rPr>
          <w:i/>
        </w:rPr>
        <w:t>2</w:t>
      </w:r>
      <w:r w:rsidR="00B9120C">
        <w:rPr>
          <w:i/>
        </w:rPr>
        <w:noBreakHyphen/>
      </w:r>
      <w:r w:rsidRPr="00C70A34">
        <w:rPr>
          <w:i/>
        </w:rPr>
        <w:t>1</w:t>
      </w:r>
      <w:r w:rsidR="00C00AFB">
        <w:rPr>
          <w:i/>
        </w:rPr>
        <w:t>3</w:t>
      </w:r>
      <w:r w:rsidRPr="00C70A34">
        <w:rPr>
          <w:i/>
        </w:rPr>
        <w:t>: Appendix</w:t>
      </w:r>
      <w:r>
        <w:t xml:space="preserve"> (NA Appendix) provides </w:t>
      </w:r>
      <w:r w:rsidR="00C70A34">
        <w:t>general contextual information about each jurisdiction, to assist with interpre</w:t>
      </w:r>
      <w:r w:rsidR="00C20F2F">
        <w:t>tation of the performance data.</w:t>
      </w:r>
    </w:p>
    <w:p w:rsidR="00C70A34" w:rsidRPr="00C70A34" w:rsidRDefault="00C70A34" w:rsidP="00583F18">
      <w:pPr>
        <w:keepNext/>
        <w:keepLines/>
        <w:spacing w:before="360" w:line="80" w:lineRule="exact"/>
        <w:rPr>
          <w:szCs w:val="20"/>
        </w:rPr>
      </w:pPr>
    </w:p>
    <w:tbl>
      <w:tblPr>
        <w:tblW w:w="0" w:type="auto"/>
        <w:tblInd w:w="164" w:type="dxa"/>
        <w:tblBorders>
          <w:top w:val="single" w:sz="6" w:space="0" w:color="auto"/>
          <w:left w:val="single" w:sz="6" w:space="0" w:color="auto"/>
          <w:bottom w:val="single" w:sz="6" w:space="0" w:color="auto"/>
          <w:right w:val="single" w:sz="6" w:space="0" w:color="auto"/>
        </w:tblBorders>
        <w:shd w:val="clear" w:color="auto" w:fill="E6E6E6"/>
        <w:tblLayout w:type="fixed"/>
        <w:tblCellMar>
          <w:left w:w="142" w:type="dxa"/>
          <w:right w:w="142" w:type="dxa"/>
        </w:tblCellMar>
        <w:tblLook w:val="0000" w:firstRow="0" w:lastRow="0" w:firstColumn="0" w:lastColumn="0" w:noHBand="0" w:noVBand="0"/>
      </w:tblPr>
      <w:tblGrid>
        <w:gridCol w:w="8771"/>
      </w:tblGrid>
      <w:tr w:rsidR="00C70A34" w:rsidRPr="00C70A34" w:rsidTr="00C70A34">
        <w:trPr>
          <w:trHeight w:val="811"/>
        </w:trPr>
        <w:tc>
          <w:tcPr>
            <w:tcW w:w="8771" w:type="dxa"/>
            <w:tcBorders>
              <w:top w:val="single" w:sz="6" w:space="0" w:color="auto"/>
            </w:tcBorders>
            <w:shd w:val="clear" w:color="auto" w:fill="E6E6E6"/>
          </w:tcPr>
          <w:p w:rsidR="00C70A34" w:rsidRPr="00C70A34" w:rsidRDefault="00C70A34" w:rsidP="00583F18">
            <w:pPr>
              <w:keepNext/>
              <w:keepLines/>
              <w:spacing w:before="120" w:line="280" w:lineRule="exact"/>
              <w:ind w:left="1304" w:hanging="1304"/>
              <w:rPr>
                <w:rFonts w:ascii="Arial" w:eastAsiaTheme="minorHAnsi" w:hAnsi="Arial" w:cstheme="minorBidi"/>
                <w:b/>
                <w:sz w:val="24"/>
                <w:szCs w:val="22"/>
                <w:lang w:eastAsia="en-US"/>
              </w:rPr>
            </w:pPr>
            <w:r w:rsidRPr="00C70A34">
              <w:rPr>
                <w:rFonts w:ascii="Arial" w:eastAsiaTheme="minorHAnsi" w:hAnsi="Arial" w:cstheme="minorBidi"/>
                <w:b/>
                <w:sz w:val="24"/>
                <w:szCs w:val="22"/>
                <w:lang w:eastAsia="en-US"/>
              </w:rPr>
              <w:t>Attachment tables</w:t>
            </w:r>
          </w:p>
          <w:p w:rsidR="00C70A34" w:rsidRPr="00C70A34" w:rsidRDefault="00C70A34" w:rsidP="00583F18">
            <w:pPr>
              <w:keepNext/>
              <w:keepLines/>
              <w:spacing w:before="120" w:line="280" w:lineRule="atLeast"/>
              <w:jc w:val="both"/>
              <w:rPr>
                <w:rFonts w:ascii="Arial" w:hAnsi="Arial"/>
                <w:sz w:val="22"/>
                <w:szCs w:val="20"/>
              </w:rPr>
            </w:pPr>
            <w:r w:rsidRPr="00C70A34">
              <w:rPr>
                <w:rFonts w:ascii="Arial" w:hAnsi="Arial"/>
                <w:sz w:val="22"/>
                <w:szCs w:val="20"/>
              </w:rPr>
              <w:t>Data for the performance indicators in this report are presented in a separate set of attachment tables. Attachment tables are identified in references throughout this report by a ‘</w:t>
            </w:r>
            <w:proofErr w:type="spellStart"/>
            <w:r w:rsidR="00256242">
              <w:rPr>
                <w:rFonts w:ascii="Arial" w:hAnsi="Arial"/>
                <w:sz w:val="22"/>
                <w:szCs w:val="20"/>
              </w:rPr>
              <w:t>SWD</w:t>
            </w:r>
            <w:proofErr w:type="spellEnd"/>
            <w:r w:rsidRPr="00C70A34">
              <w:rPr>
                <w:rFonts w:ascii="Arial" w:hAnsi="Arial"/>
                <w:sz w:val="22"/>
                <w:szCs w:val="20"/>
              </w:rPr>
              <w:t>’ prefix (for example, table </w:t>
            </w:r>
            <w:proofErr w:type="spellStart"/>
            <w:r w:rsidR="00256242">
              <w:rPr>
                <w:rFonts w:ascii="Arial" w:hAnsi="Arial"/>
                <w:sz w:val="22"/>
                <w:szCs w:val="20"/>
              </w:rPr>
              <w:t>SWD</w:t>
            </w:r>
            <w:r w:rsidRPr="00C70A34">
              <w:rPr>
                <w:rFonts w:ascii="Arial" w:hAnsi="Arial"/>
                <w:sz w:val="22"/>
                <w:szCs w:val="20"/>
              </w:rPr>
              <w:t>.3.1</w:t>
            </w:r>
            <w:proofErr w:type="spellEnd"/>
            <w:r w:rsidRPr="00C70A34">
              <w:rPr>
                <w:rFonts w:ascii="Arial" w:hAnsi="Arial"/>
                <w:sz w:val="22"/>
                <w:szCs w:val="20"/>
              </w:rPr>
              <w:t>).</w:t>
            </w:r>
          </w:p>
        </w:tc>
      </w:tr>
      <w:tr w:rsidR="00C70A34" w:rsidRPr="00C70A34" w:rsidTr="00C70A34">
        <w:trPr>
          <w:cantSplit/>
        </w:trPr>
        <w:tc>
          <w:tcPr>
            <w:tcW w:w="8771" w:type="dxa"/>
            <w:tcBorders>
              <w:top w:val="nil"/>
              <w:left w:val="single" w:sz="6" w:space="0" w:color="auto"/>
              <w:bottom w:val="single" w:sz="6" w:space="0" w:color="auto"/>
              <w:right w:val="single" w:sz="6" w:space="0" w:color="auto"/>
            </w:tcBorders>
            <w:shd w:val="clear" w:color="auto" w:fill="E6E6E6"/>
          </w:tcPr>
          <w:p w:rsidR="00C70A34" w:rsidRPr="00C70A34" w:rsidRDefault="00C70A34" w:rsidP="00583F18">
            <w:pPr>
              <w:keepNext/>
              <w:keepLines/>
              <w:spacing w:line="120" w:lineRule="exact"/>
              <w:jc w:val="both"/>
              <w:rPr>
                <w:rFonts w:ascii="Arial" w:hAnsi="Arial"/>
                <w:sz w:val="22"/>
                <w:szCs w:val="20"/>
              </w:rPr>
            </w:pPr>
          </w:p>
        </w:tc>
      </w:tr>
    </w:tbl>
    <w:p w:rsidR="00583F18" w:rsidRDefault="00583F18" w:rsidP="00583F18">
      <w:pPr>
        <w:pStyle w:val="BodyText"/>
      </w:pPr>
      <w:r>
        <w:br w:type="page"/>
      </w:r>
    </w:p>
    <w:p w:rsidR="00170238" w:rsidRDefault="00170238" w:rsidP="00D87377">
      <w:pPr>
        <w:pStyle w:val="BoxSpac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2E767C" w:rsidTr="00D87377">
        <w:tc>
          <w:tcPr>
            <w:tcW w:w="8771" w:type="dxa"/>
            <w:tcBorders>
              <w:top w:val="single" w:sz="6" w:space="0" w:color="auto"/>
              <w:left w:val="single" w:sz="4" w:space="0" w:color="auto"/>
              <w:bottom w:val="nil"/>
            </w:tcBorders>
            <w:shd w:val="clear" w:color="auto" w:fill="E6E6E6"/>
          </w:tcPr>
          <w:p w:rsidR="002E767C" w:rsidRDefault="002E767C" w:rsidP="00D87377">
            <w:pPr>
              <w:pStyle w:val="BoxTitle"/>
            </w:pPr>
            <w:r>
              <w:rPr>
                <w:b w:val="0"/>
              </w:rPr>
              <w:t xml:space="preserve">Box </w:t>
            </w:r>
            <w:bookmarkStart w:id="2" w:name="OLE_LINK10"/>
            <w:r w:rsidR="00503759">
              <w:rPr>
                <w:b w:val="0"/>
                <w:noProof/>
              </w:rPr>
              <w:t>1</w:t>
            </w:r>
            <w:bookmarkEnd w:id="2"/>
            <w:r>
              <w:tab/>
              <w:t>Key issues in reporting against the NASWD</w:t>
            </w:r>
          </w:p>
        </w:tc>
      </w:tr>
      <w:tr w:rsidR="002E767C" w:rsidTr="00D87377">
        <w:trPr>
          <w:cantSplit/>
        </w:trPr>
        <w:tc>
          <w:tcPr>
            <w:tcW w:w="8771" w:type="dxa"/>
            <w:tcBorders>
              <w:top w:val="nil"/>
              <w:left w:val="single" w:sz="4" w:space="0" w:color="auto"/>
              <w:bottom w:val="nil"/>
              <w:right w:val="single" w:sz="6" w:space="0" w:color="auto"/>
            </w:tcBorders>
            <w:shd w:val="clear" w:color="auto" w:fill="E6E6E6"/>
          </w:tcPr>
          <w:p w:rsidR="002E767C" w:rsidRDefault="002E767C" w:rsidP="00DB7F49">
            <w:pPr>
              <w:pStyle w:val="BoxHeading1"/>
            </w:pPr>
            <w:r>
              <w:t>General</w:t>
            </w:r>
          </w:p>
          <w:p w:rsidR="00811D2D" w:rsidRPr="00B06731" w:rsidRDefault="00811D2D" w:rsidP="00811D2D">
            <w:pPr>
              <w:pStyle w:val="BoxListBullet"/>
              <w:rPr>
                <w:b/>
              </w:rPr>
            </w:pPr>
            <w:r>
              <w:t>Previous Steering Committee reports were provided by end-June (six months after the end of the reporting period). For this report, the CRC requested data by end April 2014 (four months after th</w:t>
            </w:r>
            <w:r w:rsidR="00490068">
              <w:t>e end of the reporting period).</w:t>
            </w:r>
          </w:p>
          <w:p w:rsidR="00B06731" w:rsidRPr="00B06731" w:rsidRDefault="00B06731" w:rsidP="00811D2D">
            <w:pPr>
              <w:pStyle w:val="BoxListBullet"/>
              <w:rPr>
                <w:b/>
              </w:rPr>
            </w:pPr>
            <w:r>
              <w:t>Multiple sources have been used to provide data for the indicators in this report. Comments on comparability of different data sources within an indicator have</w:t>
            </w:r>
            <w:r w:rsidR="00065736">
              <w:t xml:space="preserve"> been provided where applicable.</w:t>
            </w:r>
          </w:p>
          <w:p w:rsidR="00B06731" w:rsidRPr="00C3266C" w:rsidRDefault="00B06731" w:rsidP="00811D2D">
            <w:pPr>
              <w:pStyle w:val="BoxListBullet"/>
            </w:pPr>
            <w:r>
              <w:t>The National Centre for Vocational Education and Research (NCVER) provides data from the Student Outcomes Survey</w:t>
            </w:r>
            <w:r w:rsidR="00AF2246">
              <w:t xml:space="preserve"> (SOS)</w:t>
            </w:r>
            <w:r>
              <w:t xml:space="preserve">. The current scope of the survey does not include non-government funded activity delivered by non-government providers. </w:t>
            </w:r>
            <w:r w:rsidR="00AB644A">
              <w:t>COAG has agreed to t</w:t>
            </w:r>
            <w:r w:rsidR="00C3266C">
              <w:t xml:space="preserve">he introduction of mandatory reporting of training activity by all </w:t>
            </w:r>
            <w:proofErr w:type="spellStart"/>
            <w:r w:rsidR="00C3266C">
              <w:t>RTOs</w:t>
            </w:r>
            <w:proofErr w:type="spellEnd"/>
            <w:r w:rsidR="00F86082">
              <w:t xml:space="preserve"> from 2014</w:t>
            </w:r>
            <w:r w:rsidR="00C3266C">
              <w:t>.</w:t>
            </w:r>
            <w:r w:rsidR="00E031DE">
              <w:t xml:space="preserve"> </w:t>
            </w:r>
          </w:p>
          <w:p w:rsidR="00B06731" w:rsidRPr="00CA0CB8" w:rsidRDefault="00B06731" w:rsidP="00811D2D">
            <w:pPr>
              <w:pStyle w:val="BoxListBullet"/>
              <w:rPr>
                <w:b/>
              </w:rPr>
            </w:pPr>
            <w:r>
              <w:t>Different definitions of ‘working age population’ are used in different reporting contexts. For the purpose of NASWD performance reporting, ‘working age population’ is defined as people aged 20</w:t>
            </w:r>
            <w:r w:rsidR="00AF2246">
              <w:t>–</w:t>
            </w:r>
            <w:r>
              <w:t>64 years, for consistency of reporting acros</w:t>
            </w:r>
            <w:r w:rsidR="00AC0DF1">
              <w:t>s NASWD targets and indicators.</w:t>
            </w:r>
          </w:p>
          <w:p w:rsidR="00AF2246" w:rsidRPr="00841343" w:rsidRDefault="00AF2246" w:rsidP="00811D2D">
            <w:pPr>
              <w:pStyle w:val="BoxListBullet"/>
              <w:rPr>
                <w:b/>
              </w:rPr>
            </w:pPr>
            <w:r>
              <w:t xml:space="preserve">Remoteness and SEIFA data </w:t>
            </w:r>
            <w:r w:rsidR="00AB644A">
              <w:t xml:space="preserve">(except for SEW remoteness) </w:t>
            </w:r>
            <w:r>
              <w:t>are derived using 2011 Census-based classifications for 2012 and 2013 data, with data for prior years based on the 2006 Census-based classifications.</w:t>
            </w:r>
            <w:r w:rsidR="00841343">
              <w:t xml:space="preserve"> </w:t>
            </w:r>
            <w:r w:rsidR="00AB644A">
              <w:t>Following the 2011 Census, t</w:t>
            </w:r>
            <w:r>
              <w:t xml:space="preserve">he ABS </w:t>
            </w:r>
            <w:r w:rsidR="00841343">
              <w:t xml:space="preserve">also </w:t>
            </w:r>
            <w:r w:rsidRPr="00E06277">
              <w:t>implemented a new standard geography</w:t>
            </w:r>
            <w:r w:rsidR="00AB644A">
              <w:t xml:space="preserve"> (changing </w:t>
            </w:r>
            <w:r w:rsidRPr="00E06277">
              <w:t>from the Australian Standard Geographical Classification (ASGC) to the Australian Statistical Geography Standard (ASGS)</w:t>
            </w:r>
            <w:r w:rsidR="00AB644A">
              <w:t>)</w:t>
            </w:r>
            <w:r w:rsidRPr="00E06277">
              <w:t>.</w:t>
            </w:r>
            <w:r>
              <w:t xml:space="preserve"> </w:t>
            </w:r>
            <w:r w:rsidR="00841343">
              <w:t>The combination of the new geography and remoteness and SEIFA classifications has impli</w:t>
            </w:r>
            <w:r w:rsidR="0056001E">
              <w:t>c</w:t>
            </w:r>
            <w:r w:rsidR="00841343">
              <w:t>ations for time series:</w:t>
            </w:r>
          </w:p>
          <w:p w:rsidR="00AF2246" w:rsidRPr="00CA0CB8" w:rsidRDefault="00AF2246" w:rsidP="00CA0CB8">
            <w:pPr>
              <w:pStyle w:val="BoxListBullet2"/>
              <w:rPr>
                <w:b/>
              </w:rPr>
            </w:pPr>
            <w:r>
              <w:t xml:space="preserve">For </w:t>
            </w:r>
            <w:r w:rsidR="00AB644A">
              <w:t xml:space="preserve">data from </w:t>
            </w:r>
            <w:r w:rsidR="00841343">
              <w:t xml:space="preserve">the </w:t>
            </w:r>
            <w:r>
              <w:t>SEW caution should be exercised in interpreting annual change over time</w:t>
            </w:r>
            <w:r w:rsidR="00EC300A">
              <w:t xml:space="preserve"> for SEIFA</w:t>
            </w:r>
          </w:p>
          <w:p w:rsidR="00AF2246" w:rsidRPr="00B503D8" w:rsidRDefault="00AF2246" w:rsidP="00CA0CB8">
            <w:pPr>
              <w:pStyle w:val="BoxListBullet2"/>
              <w:rPr>
                <w:b/>
              </w:rPr>
            </w:pPr>
            <w:r>
              <w:t xml:space="preserve">For </w:t>
            </w:r>
            <w:r w:rsidR="00AB644A">
              <w:t xml:space="preserve">data from </w:t>
            </w:r>
            <w:r>
              <w:t xml:space="preserve">the SOS and national VET provider </w:t>
            </w:r>
            <w:r w:rsidR="00841343">
              <w:t>collection</w:t>
            </w:r>
            <w:r>
              <w:t xml:space="preserve">, these changes have resulted in a break in series for </w:t>
            </w:r>
            <w:r w:rsidR="00841343">
              <w:t xml:space="preserve">both </w:t>
            </w:r>
            <w:r>
              <w:t>remoteness and SEIFA</w:t>
            </w:r>
            <w:r w:rsidR="00EC300A">
              <w:t xml:space="preserve"> from 2012.</w:t>
            </w:r>
            <w:r>
              <w:t xml:space="preserve"> </w:t>
            </w:r>
          </w:p>
          <w:p w:rsidR="00B503D8" w:rsidRPr="00B503D8" w:rsidRDefault="00B503D8" w:rsidP="00B503D8">
            <w:pPr>
              <w:pStyle w:val="BoxListBullet"/>
            </w:pPr>
            <w:r w:rsidRPr="00B503D8">
              <w:t>Prior</w:t>
            </w:r>
            <w:r>
              <w:t xml:space="preserve"> to the 2013 SEW, people who were permanently unable to work (PUW) were excluded from the in-scope population. In 2013, the scope was expanded to include the PUW population. However, to ensure that the indicator measure presented here is comparable over time, the PUW population has been excluded from these tables. This affects the following indicators: performance target (a), and performance indicators 1 and 4. The Steering Committee recommends that further analysis be conducted to determine whether future reports should inc</w:t>
            </w:r>
            <w:r w:rsidR="005611A3">
              <w:t>lude the PUW population for these</w:t>
            </w:r>
            <w:r>
              <w:t xml:space="preserve"> indicator</w:t>
            </w:r>
            <w:r w:rsidR="005611A3">
              <w:t>s</w:t>
            </w:r>
            <w:r>
              <w:t xml:space="preserve">. </w:t>
            </w:r>
          </w:p>
          <w:p w:rsidR="008B07EF" w:rsidRDefault="008B07EF" w:rsidP="00DB7F49">
            <w:pPr>
              <w:pStyle w:val="BoxHeading1"/>
            </w:pPr>
            <w:r>
              <w:t>Performance targets</w:t>
            </w:r>
          </w:p>
          <w:p w:rsidR="00490068" w:rsidRDefault="00B06731" w:rsidP="00490068">
            <w:pPr>
              <w:pStyle w:val="BoxListBullet"/>
            </w:pPr>
            <w:r>
              <w:t>The NASWD states that the performance targets are long term (out to 20</w:t>
            </w:r>
            <w:r w:rsidR="00606FC0">
              <w:t>20), national and aspirational.</w:t>
            </w:r>
          </w:p>
          <w:p w:rsidR="00B4036C" w:rsidRPr="00B06731" w:rsidRDefault="00B503D8" w:rsidP="00B4036C">
            <w:pPr>
              <w:pStyle w:val="Continued"/>
            </w:pPr>
            <w:r>
              <w:t xml:space="preserve"> </w:t>
            </w:r>
            <w:r w:rsidR="00B4036C">
              <w:t>(continued next page)</w:t>
            </w:r>
          </w:p>
        </w:tc>
      </w:tr>
      <w:tr w:rsidR="002E767C" w:rsidTr="00725CFC">
        <w:trPr>
          <w:cantSplit/>
        </w:trPr>
        <w:tc>
          <w:tcPr>
            <w:tcW w:w="8771" w:type="dxa"/>
            <w:tcBorders>
              <w:top w:val="nil"/>
              <w:left w:val="single" w:sz="4" w:space="0" w:color="auto"/>
              <w:bottom w:val="single" w:sz="6" w:space="0" w:color="auto"/>
              <w:right w:val="single" w:sz="6" w:space="0" w:color="auto"/>
            </w:tcBorders>
            <w:shd w:val="clear" w:color="auto" w:fill="E6E6E6"/>
          </w:tcPr>
          <w:p w:rsidR="002E767C" w:rsidRDefault="002E767C" w:rsidP="00DB7F49">
            <w:pPr>
              <w:pStyle w:val="Box"/>
              <w:spacing w:before="0" w:line="120" w:lineRule="exact"/>
            </w:pPr>
          </w:p>
        </w:tc>
      </w:tr>
      <w:tr w:rsidR="002E767C" w:rsidTr="00725CFC">
        <w:tc>
          <w:tcPr>
            <w:tcW w:w="8771" w:type="dxa"/>
            <w:tcBorders>
              <w:top w:val="single" w:sz="6" w:space="0" w:color="auto"/>
              <w:left w:val="nil"/>
              <w:bottom w:val="nil"/>
              <w:right w:val="nil"/>
            </w:tcBorders>
          </w:tcPr>
          <w:p w:rsidR="002E767C" w:rsidRDefault="002E767C" w:rsidP="00DB7F49">
            <w:pPr>
              <w:pStyle w:val="Box"/>
              <w:keepNext w:val="0"/>
              <w:spacing w:before="60" w:after="60" w:line="80" w:lineRule="exact"/>
              <w:rPr>
                <w:b/>
                <w:color w:val="FF00FF"/>
                <w:sz w:val="14"/>
              </w:rPr>
            </w:pPr>
          </w:p>
        </w:tc>
      </w:tr>
      <w:tr w:rsidR="00B4036C" w:rsidTr="00A14D35">
        <w:tc>
          <w:tcPr>
            <w:tcW w:w="8771" w:type="dxa"/>
            <w:tcBorders>
              <w:top w:val="single" w:sz="6" w:space="0" w:color="auto"/>
              <w:left w:val="single" w:sz="4" w:space="0" w:color="auto"/>
              <w:bottom w:val="nil"/>
            </w:tcBorders>
            <w:shd w:val="clear" w:color="auto" w:fill="E6E6E6"/>
          </w:tcPr>
          <w:p w:rsidR="00B4036C" w:rsidRDefault="00B4036C" w:rsidP="00B4036C">
            <w:pPr>
              <w:pStyle w:val="BoxTitle"/>
            </w:pPr>
            <w:r>
              <w:rPr>
                <w:b w:val="0"/>
              </w:rPr>
              <w:t xml:space="preserve">Box </w:t>
            </w:r>
            <w:r>
              <w:rPr>
                <w:b w:val="0"/>
                <w:noProof/>
              </w:rPr>
              <w:t>1</w:t>
            </w:r>
            <w:r>
              <w:tab/>
            </w:r>
            <w:r w:rsidRPr="00B85641">
              <w:rPr>
                <w:sz w:val="18"/>
                <w:szCs w:val="18"/>
              </w:rPr>
              <w:t>(continued)</w:t>
            </w:r>
          </w:p>
        </w:tc>
      </w:tr>
      <w:tr w:rsidR="00DA2D08" w:rsidTr="00B4036C">
        <w:tblPrEx>
          <w:tblBorders>
            <w:top w:val="single" w:sz="4" w:space="0" w:color="auto"/>
            <w:left w:val="single" w:sz="4" w:space="0" w:color="auto"/>
            <w:bottom w:val="single" w:sz="4" w:space="0" w:color="auto"/>
          </w:tblBorders>
        </w:tblPrEx>
        <w:trPr>
          <w:cantSplit/>
        </w:trPr>
        <w:tc>
          <w:tcPr>
            <w:tcW w:w="8771" w:type="dxa"/>
            <w:shd w:val="clear" w:color="auto" w:fill="E6E6E6"/>
          </w:tcPr>
          <w:p w:rsidR="00B503D8" w:rsidRDefault="00B503D8" w:rsidP="00B503D8">
            <w:pPr>
              <w:pStyle w:val="BoxListBullet"/>
            </w:pPr>
            <w:r>
              <w:t>Both performance targets can be reported against. However, no new data were available for this report for the following target:</w:t>
            </w:r>
          </w:p>
          <w:p w:rsidR="00B503D8" w:rsidRDefault="00B503D8" w:rsidP="00B503D8">
            <w:pPr>
              <w:pStyle w:val="BoxListBullet2"/>
            </w:pPr>
            <w:r>
              <w:t>Double the number of higher level qualification completions (Diploma and Advanced Diploma) nationally between 2009 and 2020.</w:t>
            </w:r>
          </w:p>
          <w:p w:rsidR="00B4036C" w:rsidRDefault="00B4036C" w:rsidP="00B4036C">
            <w:pPr>
              <w:pStyle w:val="BoxHeading1"/>
            </w:pPr>
            <w:r>
              <w:t>Performance indicators</w:t>
            </w:r>
          </w:p>
          <w:p w:rsidR="00B4036C" w:rsidRDefault="00B4036C" w:rsidP="00B4036C">
            <w:pPr>
              <w:pStyle w:val="BoxListBullet"/>
            </w:pPr>
            <w:r>
              <w:t xml:space="preserve">All seven </w:t>
            </w:r>
            <w:r w:rsidR="00841343">
              <w:t>relevant</w:t>
            </w:r>
            <w:r>
              <w:t xml:space="preserve"> performance indicators (</w:t>
            </w:r>
            <w:r w:rsidR="00EC300A">
              <w:t>six</w:t>
            </w:r>
            <w:r>
              <w:t xml:space="preserve"> NASWD and </w:t>
            </w:r>
            <w:r w:rsidR="00EC300A">
              <w:t>one</w:t>
            </w:r>
            <w:r w:rsidR="00E031DE">
              <w:t> </w:t>
            </w:r>
            <w:r>
              <w:t>NIRA) can be reported against. However</w:t>
            </w:r>
            <w:r w:rsidR="00EC300A">
              <w:t>,</w:t>
            </w:r>
            <w:r>
              <w:t xml:space="preserve"> </w:t>
            </w:r>
            <w:r w:rsidR="00841343">
              <w:t xml:space="preserve">no </w:t>
            </w:r>
            <w:r>
              <w:t xml:space="preserve">new data </w:t>
            </w:r>
            <w:r w:rsidR="00841343">
              <w:t xml:space="preserve">were available </w:t>
            </w:r>
            <w:r>
              <w:t xml:space="preserve">for this report for one </w:t>
            </w:r>
            <w:r w:rsidR="00EC300A">
              <w:t xml:space="preserve">NASWD </w:t>
            </w:r>
            <w:r>
              <w:t>indicator</w:t>
            </w:r>
            <w:r w:rsidR="009A4E33">
              <w:t>:</w:t>
            </w:r>
            <w:r>
              <w:t xml:space="preserve"> </w:t>
            </w:r>
          </w:p>
          <w:p w:rsidR="00B4036C" w:rsidRDefault="00B4036C" w:rsidP="00B4036C">
            <w:pPr>
              <w:pStyle w:val="BoxListBullet2"/>
            </w:pPr>
            <w:r>
              <w:t>Proportion of VET graduates with improved education/training status after training</w:t>
            </w:r>
            <w:r w:rsidR="00EC300A">
              <w:t xml:space="preserve"> (NASWD indicator 6)</w:t>
            </w:r>
            <w:r w:rsidR="00841343">
              <w:t>.</w:t>
            </w:r>
          </w:p>
          <w:p w:rsidR="00B4036C" w:rsidRDefault="00B4036C" w:rsidP="00B4036C">
            <w:pPr>
              <w:pStyle w:val="BoxListBullet"/>
            </w:pPr>
            <w:r>
              <w:t>In response to a CRC recommendation, additional disaggregations are reported for national data relating to level of qualification and educational attainment, remoteness, socioeconomic status, Indigenous status, age, industry type and field of study. Additional State and Territory data are reported for age, level of qualification and Indigenous status</w:t>
            </w:r>
            <w:r w:rsidR="009A4E33">
              <w:t xml:space="preserve">. </w:t>
            </w:r>
            <w:r w:rsidR="00EC300A">
              <w:t>D</w:t>
            </w:r>
            <w:r w:rsidR="009A4E33">
              <w:t>etail</w:t>
            </w:r>
            <w:r w:rsidR="00EC300A">
              <w:t>s</w:t>
            </w:r>
            <w:r w:rsidR="009A4E33">
              <w:t xml:space="preserve"> are provided in </w:t>
            </w:r>
            <w:r w:rsidR="00841343">
              <w:t xml:space="preserve">table </w:t>
            </w:r>
            <w:r>
              <w:t>1</w:t>
            </w:r>
            <w:r w:rsidR="00BE7BA9">
              <w:t>.</w:t>
            </w:r>
          </w:p>
          <w:p w:rsidR="009A4E33" w:rsidRPr="00A327B4" w:rsidRDefault="00BE7BA9" w:rsidP="009A4E33">
            <w:pPr>
              <w:pStyle w:val="BoxListBullet"/>
            </w:pPr>
            <w:r>
              <w:t>For one indicator</w:t>
            </w:r>
            <w:r w:rsidR="009A4E33">
              <w:t xml:space="preserve">, </w:t>
            </w:r>
            <w:r w:rsidR="00EC300A">
              <w:t xml:space="preserve">final </w:t>
            </w:r>
            <w:r w:rsidR="009A4E33">
              <w:t xml:space="preserve">data </w:t>
            </w:r>
            <w:r w:rsidR="00841343">
              <w:t xml:space="preserve">have been provided to </w:t>
            </w:r>
            <w:r w:rsidR="00EC300A">
              <w:t>replace preliminary data included in the 2012 NASWD performance report</w:t>
            </w:r>
            <w:r w:rsidR="00841343">
              <w:t>:</w:t>
            </w:r>
          </w:p>
          <w:p w:rsidR="00BE7BA9" w:rsidRPr="00B06731" w:rsidRDefault="009A4E33" w:rsidP="009A4E33">
            <w:pPr>
              <w:pStyle w:val="BoxListBullet2"/>
            </w:pPr>
            <w:r>
              <w:t>Proportion of working age population with adequate foundation skills (literacy level 3 or above)</w:t>
            </w:r>
            <w:r w:rsidR="00EC300A">
              <w:t xml:space="preserve"> (NASWD indicator 3)</w:t>
            </w:r>
            <w:r>
              <w:t>.</w:t>
            </w:r>
          </w:p>
        </w:tc>
      </w:tr>
      <w:tr w:rsidR="00B4036C" w:rsidTr="00B4036C">
        <w:tblPrEx>
          <w:tblBorders>
            <w:top w:val="single" w:sz="4" w:space="0" w:color="auto"/>
            <w:left w:val="single" w:sz="4" w:space="0" w:color="auto"/>
            <w:bottom w:val="single" w:sz="4" w:space="0" w:color="auto"/>
          </w:tblBorders>
        </w:tblPrEx>
        <w:trPr>
          <w:cantSplit/>
        </w:trPr>
        <w:tc>
          <w:tcPr>
            <w:tcW w:w="8771" w:type="dxa"/>
            <w:shd w:val="clear" w:color="auto" w:fill="E6E6E6"/>
          </w:tcPr>
          <w:p w:rsidR="00B4036C" w:rsidRDefault="00B4036C" w:rsidP="00B4036C">
            <w:pPr>
              <w:pStyle w:val="BoxSpaceBelow"/>
            </w:pPr>
          </w:p>
        </w:tc>
      </w:tr>
    </w:tbl>
    <w:p w:rsidR="00140741" w:rsidRDefault="00140741" w:rsidP="00C8294C">
      <w:pPr>
        <w:pStyle w:val="BodyText"/>
        <w:pBdr>
          <w:left w:val="single" w:sz="4" w:space="4" w:color="auto"/>
        </w:pBdr>
      </w:pPr>
      <w:r>
        <w:br w:type="page"/>
      </w:r>
    </w:p>
    <w:p w:rsidR="00140741" w:rsidRDefault="00140741" w:rsidP="00140741">
      <w:pPr>
        <w:pStyle w:val="Heading2"/>
      </w:pPr>
      <w:r>
        <w:t>Changes from the previous National Agreement for Skills and Workforce Development performance report</w:t>
      </w:r>
    </w:p>
    <w:p w:rsidR="00AB6465" w:rsidRPr="00A763D5" w:rsidRDefault="00170238" w:rsidP="00AB6465">
      <w:pPr>
        <w:pStyle w:val="Heading3"/>
        <w:rPr>
          <w:rStyle w:val="DraftingNote"/>
          <w:color w:val="auto"/>
        </w:rPr>
      </w:pPr>
      <w:bookmarkStart w:id="3" w:name="OLE_LINK2"/>
      <w:bookmarkStart w:id="4" w:name="OLE_LINK3"/>
      <w:r w:rsidRPr="00A763D5">
        <w:t xml:space="preserve">CRC </w:t>
      </w:r>
      <w:r w:rsidR="00CB0AE4">
        <w:t>recommendations</w:t>
      </w:r>
      <w:r w:rsidR="00CB0AE4" w:rsidRPr="00A763D5">
        <w:t xml:space="preserve"> </w:t>
      </w:r>
      <w:r w:rsidRPr="00A763D5">
        <w:t xml:space="preserve">on data </w:t>
      </w:r>
      <w:r w:rsidR="00256383" w:rsidRPr="00A763D5">
        <w:t xml:space="preserve">reporting </w:t>
      </w:r>
      <w:r w:rsidRPr="00A763D5">
        <w:t>requirements</w:t>
      </w:r>
    </w:p>
    <w:p w:rsidR="00FE034C" w:rsidRDefault="00170238" w:rsidP="00FE034C">
      <w:pPr>
        <w:pStyle w:val="BodyText"/>
        <w:keepNext/>
        <w:keepLines/>
      </w:pPr>
      <w:r w:rsidRPr="00CB45CA">
        <w:t xml:space="preserve">Under the IGA, the CRC ‘may advise on where changes might be made to the performance reporting framework’ [IGA para </w:t>
      </w:r>
      <w:proofErr w:type="spellStart"/>
      <w:r w:rsidRPr="00CB45CA">
        <w:t>C30</w:t>
      </w:r>
      <w:proofErr w:type="spellEnd"/>
      <w:r w:rsidRPr="00CB45CA">
        <w:t xml:space="preserve">]. </w:t>
      </w:r>
      <w:r w:rsidR="00CB45CA" w:rsidRPr="00CB45CA">
        <w:t>The CRC recommended changes to indicators in its f</w:t>
      </w:r>
      <w:r w:rsidR="0002448D">
        <w:t>ifth</w:t>
      </w:r>
      <w:r w:rsidR="00CB45CA" w:rsidRPr="00CB45CA">
        <w:t xml:space="preserve"> NASWD report to </w:t>
      </w:r>
      <w:r w:rsidR="00CB45CA" w:rsidRPr="00375068">
        <w:t xml:space="preserve">COAG </w:t>
      </w:r>
      <w:r w:rsidR="0002448D" w:rsidRPr="00375068">
        <w:t>(CRC 2013</w:t>
      </w:r>
      <w:r w:rsidR="00CB45CA" w:rsidRPr="00375068">
        <w:t>) and</w:t>
      </w:r>
      <w:r w:rsidR="00CB0AE4" w:rsidRPr="00375068">
        <w:t>,</w:t>
      </w:r>
      <w:r w:rsidR="00CB45CA" w:rsidRPr="00CB45CA">
        <w:t xml:space="preserve"> w</w:t>
      </w:r>
      <w:r w:rsidRPr="00CB45CA">
        <w:t>here practicable, the</w:t>
      </w:r>
      <w:r w:rsidR="0026218D" w:rsidRPr="00CB45CA">
        <w:t xml:space="preserve"> Steering Committee </w:t>
      </w:r>
      <w:r w:rsidR="00CB45CA" w:rsidRPr="00CB45CA">
        <w:t>has incorporated</w:t>
      </w:r>
      <w:r w:rsidRPr="00CB45CA">
        <w:t xml:space="preserve"> the CRC’s recommendat</w:t>
      </w:r>
      <w:r w:rsidR="00CB45CA" w:rsidRPr="00CB45CA">
        <w:t>ions in this report</w:t>
      </w:r>
      <w:r w:rsidRPr="00CB45CA">
        <w:t>.</w:t>
      </w:r>
      <w:r w:rsidR="002E329F">
        <w:t xml:space="preserve"> </w:t>
      </w:r>
      <w:r w:rsidR="00FE034C">
        <w:t>Table 1 summarises changes to indicator specifications, measures or data from the previous NASWD performance report.</w:t>
      </w:r>
    </w:p>
    <w:p w:rsidR="00932359" w:rsidRPr="002821BF" w:rsidRDefault="00932359" w:rsidP="00FE034C">
      <w:pPr>
        <w:pStyle w:val="Heading3"/>
        <w:keepLines/>
        <w:rPr>
          <w:color w:val="000000" w:themeColor="text1"/>
          <w:sz w:val="24"/>
          <w:u w:val="dotted"/>
        </w:rPr>
      </w:pPr>
      <w:r w:rsidRPr="007C3A5D">
        <w:rPr>
          <w:b w:val="0"/>
        </w:rPr>
        <w:t>Table </w:t>
      </w:r>
      <w:r w:rsidR="00503759">
        <w:rPr>
          <w:b w:val="0"/>
          <w:noProof/>
        </w:rPr>
        <w:t>1</w:t>
      </w:r>
      <w:r>
        <w:tab/>
        <w:t xml:space="preserve">Changes from the previous NASWD performance report </w:t>
      </w:r>
    </w:p>
    <w:tbl>
      <w:tblPr>
        <w:tblW w:w="5000" w:type="pct"/>
        <w:tblCellMar>
          <w:left w:w="0" w:type="dxa"/>
          <w:right w:w="0" w:type="dxa"/>
        </w:tblCellMar>
        <w:tblLook w:val="0000" w:firstRow="0" w:lastRow="0" w:firstColumn="0" w:lastColumn="0" w:noHBand="0" w:noVBand="0"/>
      </w:tblPr>
      <w:tblGrid>
        <w:gridCol w:w="3401"/>
        <w:gridCol w:w="5388"/>
      </w:tblGrid>
      <w:tr w:rsidR="00932359" w:rsidRPr="002278FA" w:rsidTr="006E0D1E">
        <w:tc>
          <w:tcPr>
            <w:tcW w:w="1935" w:type="pct"/>
            <w:tcBorders>
              <w:top w:val="single" w:sz="4" w:space="0" w:color="auto"/>
              <w:bottom w:val="single" w:sz="4" w:space="0" w:color="auto"/>
            </w:tcBorders>
          </w:tcPr>
          <w:p w:rsidR="00932359" w:rsidRPr="002278FA" w:rsidRDefault="00932359" w:rsidP="00FE034C">
            <w:pPr>
              <w:pStyle w:val="TableColumnHeading"/>
              <w:jc w:val="left"/>
            </w:pPr>
            <w:r w:rsidRPr="002278FA">
              <w:t>Performance information category</w:t>
            </w:r>
          </w:p>
        </w:tc>
        <w:tc>
          <w:tcPr>
            <w:tcW w:w="3065" w:type="pct"/>
            <w:tcBorders>
              <w:top w:val="single" w:sz="4" w:space="0" w:color="auto"/>
              <w:bottom w:val="single" w:sz="4" w:space="0" w:color="auto"/>
            </w:tcBorders>
          </w:tcPr>
          <w:p w:rsidR="00932359" w:rsidRPr="002278FA" w:rsidRDefault="00932359" w:rsidP="00FE034C">
            <w:pPr>
              <w:pStyle w:val="TableColumnHeading"/>
              <w:ind w:right="28"/>
              <w:jc w:val="left"/>
            </w:pPr>
            <w:r w:rsidRPr="002278FA">
              <w:t>Change</w:t>
            </w:r>
          </w:p>
        </w:tc>
      </w:tr>
      <w:tr w:rsidR="00932359" w:rsidRPr="002278FA" w:rsidTr="006E0D1E">
        <w:tc>
          <w:tcPr>
            <w:tcW w:w="1935" w:type="pct"/>
            <w:tcBorders>
              <w:top w:val="single" w:sz="4" w:space="0" w:color="auto"/>
              <w:bottom w:val="dotted" w:sz="4" w:space="0" w:color="auto"/>
            </w:tcBorders>
          </w:tcPr>
          <w:p w:rsidR="00932359" w:rsidRPr="002278FA" w:rsidRDefault="00C47744" w:rsidP="00FE034C">
            <w:pPr>
              <w:pStyle w:val="TableBodyText"/>
              <w:jc w:val="left"/>
            </w:pPr>
            <w:r>
              <w:t xml:space="preserve">NASWD indicator </w:t>
            </w:r>
            <w:r w:rsidR="00AB11F1" w:rsidRPr="002278FA">
              <w:t xml:space="preserve">1 – Proportion of working age population with higher level qualifications </w:t>
            </w:r>
          </w:p>
        </w:tc>
        <w:tc>
          <w:tcPr>
            <w:tcW w:w="3065" w:type="pct"/>
            <w:tcBorders>
              <w:top w:val="single" w:sz="4" w:space="0" w:color="auto"/>
              <w:bottom w:val="dotted" w:sz="4" w:space="0" w:color="auto"/>
            </w:tcBorders>
          </w:tcPr>
          <w:p w:rsidR="00F42101" w:rsidRDefault="00482B04" w:rsidP="00FE034C">
            <w:pPr>
              <w:pStyle w:val="TableBullet"/>
            </w:pPr>
            <w:r>
              <w:t xml:space="preserve">In response to a CRC </w:t>
            </w:r>
            <w:r w:rsidR="00872CBF">
              <w:t>recommendation, additional disaggregations are reported for</w:t>
            </w:r>
            <w:r w:rsidR="00811D2D">
              <w:t>:</w:t>
            </w:r>
            <w:r w:rsidR="00B10213">
              <w:t xml:space="preserve"> </w:t>
            </w:r>
            <w:r w:rsidR="00F844B9">
              <w:t>level of qualification by</w:t>
            </w:r>
            <w:r w:rsidR="00B12567" w:rsidRPr="002278FA">
              <w:t xml:space="preserve"> remoteness, </w:t>
            </w:r>
            <w:r w:rsidR="00793D7B">
              <w:t xml:space="preserve">socioeconomic status and </w:t>
            </w:r>
            <w:r w:rsidR="00B12567" w:rsidRPr="002278FA">
              <w:t xml:space="preserve">Indigenous </w:t>
            </w:r>
            <w:r w:rsidR="00BF6D7C">
              <w:t>status</w:t>
            </w:r>
            <w:r w:rsidR="00260961">
              <w:t>;</w:t>
            </w:r>
            <w:r w:rsidR="00333C89">
              <w:t xml:space="preserve"> </w:t>
            </w:r>
            <w:r w:rsidR="00811D2D">
              <w:t xml:space="preserve">by </w:t>
            </w:r>
            <w:r w:rsidR="00872CBF">
              <w:t>five year age group</w:t>
            </w:r>
            <w:r w:rsidR="00260961">
              <w:t>,</w:t>
            </w:r>
            <w:r w:rsidR="00872CBF">
              <w:t xml:space="preserve"> and </w:t>
            </w:r>
            <w:r w:rsidR="00811D2D">
              <w:t xml:space="preserve">by </w:t>
            </w:r>
            <w:r w:rsidR="00872CBF">
              <w:t>level of qualification</w:t>
            </w:r>
            <w:r w:rsidR="00B77593">
              <w:t>.</w:t>
            </w:r>
          </w:p>
          <w:p w:rsidR="00C47744" w:rsidRPr="002278FA" w:rsidRDefault="00872CBF" w:rsidP="00FE034C">
            <w:pPr>
              <w:pStyle w:val="TableBullet"/>
            </w:pPr>
            <w:r>
              <w:t>In response to a CRC recommendation</w:t>
            </w:r>
            <w:r w:rsidR="00811D2D">
              <w:t>,</w:t>
            </w:r>
            <w:r>
              <w:t xml:space="preserve"> additional historical data </w:t>
            </w:r>
            <w:r w:rsidR="00793D7B">
              <w:t xml:space="preserve">for </w:t>
            </w:r>
            <w:r w:rsidR="00F42101">
              <w:t xml:space="preserve">level of qualification by </w:t>
            </w:r>
            <w:r w:rsidR="00793D7B">
              <w:t xml:space="preserve">five year age groups </w:t>
            </w:r>
            <w:r w:rsidR="00BF6D7C">
              <w:t xml:space="preserve">are reported </w:t>
            </w:r>
            <w:r w:rsidR="00F42101">
              <w:t>to complete</w:t>
            </w:r>
            <w:r w:rsidR="00811D2D">
              <w:t xml:space="preserve"> the</w:t>
            </w:r>
            <w:r w:rsidR="00F42101">
              <w:t xml:space="preserve"> </w:t>
            </w:r>
            <w:r w:rsidR="00260961">
              <w:t>time series.</w:t>
            </w:r>
          </w:p>
        </w:tc>
      </w:tr>
      <w:tr w:rsidR="00932359" w:rsidRPr="002278FA" w:rsidTr="00F9048F">
        <w:tc>
          <w:tcPr>
            <w:tcW w:w="1935" w:type="pct"/>
            <w:tcBorders>
              <w:top w:val="dotted" w:sz="4" w:space="0" w:color="auto"/>
              <w:bottom w:val="dotted" w:sz="4" w:space="0" w:color="auto"/>
            </w:tcBorders>
          </w:tcPr>
          <w:p w:rsidR="00932359" w:rsidRPr="002278FA" w:rsidRDefault="00C47744" w:rsidP="00FE034C">
            <w:pPr>
              <w:pStyle w:val="TableBodyText"/>
              <w:jc w:val="left"/>
            </w:pPr>
            <w:r>
              <w:t xml:space="preserve">NASWD indicator </w:t>
            </w:r>
            <w:r w:rsidR="00B12567" w:rsidRPr="002278FA">
              <w:t>2 – Proportion of employers satisfied that training meets their needs</w:t>
            </w:r>
          </w:p>
        </w:tc>
        <w:tc>
          <w:tcPr>
            <w:tcW w:w="3065" w:type="pct"/>
            <w:tcBorders>
              <w:top w:val="dotted" w:sz="4" w:space="0" w:color="auto"/>
              <w:bottom w:val="dotted" w:sz="4" w:space="0" w:color="auto"/>
            </w:tcBorders>
          </w:tcPr>
          <w:p w:rsidR="00FA2DB3" w:rsidRPr="002278FA" w:rsidRDefault="00B12567" w:rsidP="00FE034C">
            <w:pPr>
              <w:pStyle w:val="TableBullet"/>
            </w:pPr>
            <w:r w:rsidRPr="002278FA">
              <w:t>In response to a CRC recommendation, additional</w:t>
            </w:r>
            <w:r w:rsidR="00260961">
              <w:t xml:space="preserve"> </w:t>
            </w:r>
            <w:r w:rsidRPr="002278FA">
              <w:t xml:space="preserve">disaggregations are reported </w:t>
            </w:r>
            <w:r w:rsidR="00B10213">
              <w:t xml:space="preserve">for </w:t>
            </w:r>
            <w:r w:rsidRPr="002278FA">
              <w:t>industry type</w:t>
            </w:r>
            <w:r w:rsidR="003A33DB" w:rsidRPr="002278FA">
              <w:t>.</w:t>
            </w:r>
          </w:p>
        </w:tc>
      </w:tr>
      <w:tr w:rsidR="003D146F" w:rsidRPr="002278FA" w:rsidTr="00F9048F">
        <w:tc>
          <w:tcPr>
            <w:tcW w:w="1935" w:type="pct"/>
            <w:tcBorders>
              <w:top w:val="dotted" w:sz="4" w:space="0" w:color="auto"/>
              <w:bottom w:val="dotted" w:sz="4" w:space="0" w:color="auto"/>
            </w:tcBorders>
          </w:tcPr>
          <w:p w:rsidR="003D146F" w:rsidRPr="002278FA" w:rsidRDefault="00C47744" w:rsidP="00FE034C">
            <w:pPr>
              <w:pStyle w:val="TableBodyText"/>
              <w:jc w:val="left"/>
            </w:pPr>
            <w:r>
              <w:t xml:space="preserve">NASWD indicator </w:t>
            </w:r>
            <w:r w:rsidR="00B12567" w:rsidRPr="002278FA">
              <w:t>3 – Proportion of working age population with adequate foundation skills (literacy level 3 or above)</w:t>
            </w:r>
          </w:p>
        </w:tc>
        <w:tc>
          <w:tcPr>
            <w:tcW w:w="3065" w:type="pct"/>
            <w:tcBorders>
              <w:top w:val="dotted" w:sz="4" w:space="0" w:color="auto"/>
              <w:bottom w:val="dotted" w:sz="4" w:space="0" w:color="auto"/>
            </w:tcBorders>
          </w:tcPr>
          <w:p w:rsidR="00610962" w:rsidRDefault="000C7189" w:rsidP="00FE034C">
            <w:pPr>
              <w:pStyle w:val="TableBullet"/>
            </w:pPr>
            <w:r>
              <w:t xml:space="preserve">Preliminary </w:t>
            </w:r>
            <w:r w:rsidR="00B10213">
              <w:t xml:space="preserve">PIAAC data </w:t>
            </w:r>
            <w:r w:rsidR="00811D2D">
              <w:t>included in pre</w:t>
            </w:r>
            <w:r w:rsidR="00B77593">
              <w:t>v</w:t>
            </w:r>
            <w:r w:rsidR="00811D2D">
              <w:t xml:space="preserve">ious reports </w:t>
            </w:r>
            <w:r w:rsidR="00B10213">
              <w:t xml:space="preserve">have been </w:t>
            </w:r>
            <w:r w:rsidR="00811D2D">
              <w:t xml:space="preserve">replaced with </w:t>
            </w:r>
            <w:r w:rsidR="00610962">
              <w:t>final data with amended levels of literacy and numeracy achievement.</w:t>
            </w:r>
          </w:p>
          <w:p w:rsidR="00D7078E" w:rsidRPr="002278FA" w:rsidRDefault="003A33DB" w:rsidP="00811D2D">
            <w:pPr>
              <w:pStyle w:val="TableBullet"/>
            </w:pPr>
            <w:r w:rsidRPr="002278FA">
              <w:t xml:space="preserve">In response to a CRC recommendation, additional disaggregations are </w:t>
            </w:r>
            <w:r w:rsidR="00610962">
              <w:t>reported by</w:t>
            </w:r>
            <w:r w:rsidR="00811D2D">
              <w:t>:</w:t>
            </w:r>
            <w:r w:rsidR="00610962">
              <w:t xml:space="preserve"> </w:t>
            </w:r>
            <w:r w:rsidR="00333C89">
              <w:t xml:space="preserve">five year </w:t>
            </w:r>
            <w:r w:rsidR="00610962">
              <w:t>age</w:t>
            </w:r>
            <w:r w:rsidR="00333C89">
              <w:t xml:space="preserve"> group</w:t>
            </w:r>
            <w:r w:rsidR="00811D2D">
              <w:t>;</w:t>
            </w:r>
            <w:r w:rsidR="00610962">
              <w:t xml:space="preserve"> remoteness</w:t>
            </w:r>
            <w:r w:rsidR="00811D2D">
              <w:t>;</w:t>
            </w:r>
            <w:r w:rsidR="00610962">
              <w:t xml:space="preserve"> socioeconomic status</w:t>
            </w:r>
            <w:r w:rsidR="00811D2D">
              <w:t>;</w:t>
            </w:r>
            <w:r w:rsidR="00D96D63">
              <w:t xml:space="preserve"> and </w:t>
            </w:r>
            <w:r w:rsidRPr="002278FA">
              <w:t>highest level of educational at</w:t>
            </w:r>
            <w:r w:rsidR="00610962">
              <w:t>tainment.</w:t>
            </w:r>
          </w:p>
        </w:tc>
      </w:tr>
      <w:tr w:rsidR="00932359" w:rsidRPr="002278FA" w:rsidTr="00F9048F">
        <w:tc>
          <w:tcPr>
            <w:tcW w:w="1935" w:type="pct"/>
            <w:tcBorders>
              <w:top w:val="dotted" w:sz="4" w:space="0" w:color="auto"/>
              <w:bottom w:val="dotted" w:sz="4" w:space="0" w:color="auto"/>
            </w:tcBorders>
          </w:tcPr>
          <w:p w:rsidR="00932359" w:rsidRPr="002278FA" w:rsidRDefault="00C47744" w:rsidP="00FE034C">
            <w:pPr>
              <w:pStyle w:val="TableBodyText"/>
              <w:jc w:val="left"/>
            </w:pPr>
            <w:r>
              <w:t xml:space="preserve">NASWD indicator </w:t>
            </w:r>
            <w:r w:rsidR="003A33DB" w:rsidRPr="002278FA">
              <w:t xml:space="preserve">4 – Proportion of working age population with or working towards a non-school </w:t>
            </w:r>
            <w:proofErr w:type="spellStart"/>
            <w:r w:rsidR="003A33DB" w:rsidRPr="002278FA">
              <w:t>AQF</w:t>
            </w:r>
            <w:proofErr w:type="spellEnd"/>
            <w:r w:rsidR="003A33DB" w:rsidRPr="002278FA">
              <w:t xml:space="preserve"> qualification</w:t>
            </w:r>
          </w:p>
        </w:tc>
        <w:tc>
          <w:tcPr>
            <w:tcW w:w="3065" w:type="pct"/>
            <w:tcBorders>
              <w:top w:val="dotted" w:sz="4" w:space="0" w:color="auto"/>
              <w:bottom w:val="dotted" w:sz="4" w:space="0" w:color="auto"/>
            </w:tcBorders>
          </w:tcPr>
          <w:p w:rsidR="004F7158" w:rsidRDefault="003A33DB" w:rsidP="00FE034C">
            <w:pPr>
              <w:pStyle w:val="TableBullet"/>
            </w:pPr>
            <w:r w:rsidRPr="002278FA">
              <w:t>In response to a CRC recommendation, additional disaggregations are reported for</w:t>
            </w:r>
            <w:r w:rsidR="00811D2D">
              <w:t>,</w:t>
            </w:r>
            <w:r w:rsidRPr="002278FA">
              <w:t xml:space="preserve"> </w:t>
            </w:r>
            <w:r w:rsidR="00811D2D">
              <w:t>‘</w:t>
            </w:r>
            <w:r w:rsidR="004F7158">
              <w:t>completions</w:t>
            </w:r>
            <w:r w:rsidR="00811D2D">
              <w:t>’</w:t>
            </w:r>
            <w:r w:rsidR="004F7158">
              <w:t xml:space="preserve"> and </w:t>
            </w:r>
            <w:r w:rsidR="00811D2D">
              <w:t>‘</w:t>
            </w:r>
            <w:r w:rsidR="004F7158">
              <w:t>currently studying</w:t>
            </w:r>
            <w:r w:rsidR="00811D2D">
              <w:t>’</w:t>
            </w:r>
            <w:r w:rsidR="004F7158">
              <w:t xml:space="preserve"> by</w:t>
            </w:r>
            <w:r w:rsidR="00811D2D">
              <w:t>:</w:t>
            </w:r>
            <w:r w:rsidR="004F7158">
              <w:t xml:space="preserve"> </w:t>
            </w:r>
            <w:r w:rsidR="00333C89">
              <w:t>remoteness</w:t>
            </w:r>
            <w:r w:rsidR="00811D2D">
              <w:t>;</w:t>
            </w:r>
            <w:r w:rsidR="00333C89">
              <w:t xml:space="preserve"> socioeconomic status</w:t>
            </w:r>
            <w:r w:rsidR="00811D2D">
              <w:t>;</w:t>
            </w:r>
            <w:r w:rsidR="004F7158">
              <w:t xml:space="preserve"> and </w:t>
            </w:r>
            <w:r w:rsidRPr="002278FA">
              <w:t>Indigenous status</w:t>
            </w:r>
            <w:r w:rsidR="00867CAB">
              <w:t>.</w:t>
            </w:r>
          </w:p>
          <w:p w:rsidR="00C47744" w:rsidRPr="002278FA" w:rsidRDefault="004F7158" w:rsidP="00811D2D">
            <w:pPr>
              <w:pStyle w:val="TableBullet"/>
            </w:pPr>
            <w:r>
              <w:t xml:space="preserve">In response to a CRC recommendation, additional data are reported </w:t>
            </w:r>
            <w:r w:rsidR="00811D2D">
              <w:t xml:space="preserve">for ‘currently studying’ </w:t>
            </w:r>
            <w:r>
              <w:t xml:space="preserve">on </w:t>
            </w:r>
            <w:r w:rsidR="003A33DB" w:rsidRPr="002278FA">
              <w:t>level of qualification</w:t>
            </w:r>
            <w:r w:rsidR="00867CAB">
              <w:t>.</w:t>
            </w:r>
          </w:p>
        </w:tc>
      </w:tr>
      <w:tr w:rsidR="00932359" w:rsidRPr="002278FA" w:rsidTr="00F9048F">
        <w:tc>
          <w:tcPr>
            <w:tcW w:w="1935" w:type="pct"/>
            <w:tcBorders>
              <w:top w:val="dotted" w:sz="4" w:space="0" w:color="auto"/>
              <w:bottom w:val="single" w:sz="4" w:space="0" w:color="auto"/>
            </w:tcBorders>
          </w:tcPr>
          <w:p w:rsidR="00932359" w:rsidRPr="002278FA" w:rsidRDefault="00C47744" w:rsidP="00FE034C">
            <w:pPr>
              <w:pStyle w:val="TableBodyText"/>
              <w:jc w:val="left"/>
            </w:pPr>
            <w:r>
              <w:t xml:space="preserve">NASWD indicator </w:t>
            </w:r>
            <w:r w:rsidR="003A33DB" w:rsidRPr="002278FA">
              <w:t>5 – Proportion of VET graduates with improved employment status after training</w:t>
            </w:r>
          </w:p>
        </w:tc>
        <w:tc>
          <w:tcPr>
            <w:tcW w:w="3065" w:type="pct"/>
            <w:tcBorders>
              <w:top w:val="dotted" w:sz="4" w:space="0" w:color="auto"/>
              <w:bottom w:val="single" w:sz="4" w:space="0" w:color="auto"/>
            </w:tcBorders>
          </w:tcPr>
          <w:p w:rsidR="001518C2" w:rsidRDefault="003A33DB" w:rsidP="00FE034C">
            <w:pPr>
              <w:pStyle w:val="TableBullet"/>
            </w:pPr>
            <w:r w:rsidRPr="002278FA">
              <w:t xml:space="preserve">In response to a CRC recommendation, additional </w:t>
            </w:r>
            <w:r w:rsidR="00AF10CA" w:rsidRPr="002278FA">
              <w:t xml:space="preserve">disaggregations are reported </w:t>
            </w:r>
            <w:r w:rsidR="00811D2D">
              <w:t xml:space="preserve">by: </w:t>
            </w:r>
            <w:r w:rsidR="00AF10CA" w:rsidRPr="002278FA">
              <w:t>level of qualification</w:t>
            </w:r>
            <w:r w:rsidR="00811D2D">
              <w:t>;</w:t>
            </w:r>
            <w:r w:rsidR="00AF10CA" w:rsidRPr="002278FA">
              <w:t xml:space="preserve"> </w:t>
            </w:r>
            <w:r w:rsidR="00333C89">
              <w:t xml:space="preserve">five year </w:t>
            </w:r>
            <w:r w:rsidR="00AF10CA" w:rsidRPr="002278FA">
              <w:t xml:space="preserve">age </w:t>
            </w:r>
            <w:r w:rsidR="00333C89">
              <w:t>group</w:t>
            </w:r>
            <w:r w:rsidR="00C71BA2">
              <w:t>;</w:t>
            </w:r>
            <w:r w:rsidR="00333C89">
              <w:t xml:space="preserve"> </w:t>
            </w:r>
            <w:r w:rsidR="00AF10CA" w:rsidRPr="002278FA">
              <w:t>and field of study.</w:t>
            </w:r>
          </w:p>
          <w:p w:rsidR="00867CAB" w:rsidRPr="002278FA" w:rsidRDefault="00C71BA2" w:rsidP="00C71BA2">
            <w:pPr>
              <w:pStyle w:val="TableBullet"/>
            </w:pPr>
            <w:r>
              <w:t xml:space="preserve">Backcast </w:t>
            </w:r>
            <w:r w:rsidR="00D81A12">
              <w:t xml:space="preserve">historical data for socioeconomic status and remoteness are reported </w:t>
            </w:r>
            <w:r>
              <w:t xml:space="preserve">to address a </w:t>
            </w:r>
            <w:r w:rsidR="00D81A12">
              <w:t xml:space="preserve">break in </w:t>
            </w:r>
            <w:r>
              <w:t>time series.</w:t>
            </w:r>
          </w:p>
        </w:tc>
      </w:tr>
      <w:tr w:rsidR="00D7078E" w:rsidRPr="00DC65AC" w:rsidTr="00F9048F">
        <w:tc>
          <w:tcPr>
            <w:tcW w:w="1935" w:type="pct"/>
            <w:tcBorders>
              <w:top w:val="single" w:sz="4" w:space="0" w:color="auto"/>
            </w:tcBorders>
          </w:tcPr>
          <w:p w:rsidR="00D7078E" w:rsidRPr="00DC65AC" w:rsidRDefault="00D7078E" w:rsidP="00FE034C">
            <w:pPr>
              <w:pStyle w:val="Continued"/>
              <w:keepNext/>
              <w:keepLines/>
              <w:rPr>
                <w:szCs w:val="18"/>
              </w:rPr>
            </w:pPr>
          </w:p>
        </w:tc>
        <w:tc>
          <w:tcPr>
            <w:tcW w:w="3065" w:type="pct"/>
            <w:tcBorders>
              <w:top w:val="single" w:sz="4" w:space="0" w:color="auto"/>
            </w:tcBorders>
          </w:tcPr>
          <w:p w:rsidR="00D7078E" w:rsidRPr="00DC65AC" w:rsidRDefault="00D7078E" w:rsidP="00B77593">
            <w:pPr>
              <w:pStyle w:val="Continued"/>
              <w:keepNext/>
              <w:keepLines/>
              <w:rPr>
                <w:szCs w:val="18"/>
              </w:rPr>
            </w:pPr>
            <w:r w:rsidRPr="00DC65AC">
              <w:rPr>
                <w:szCs w:val="18"/>
              </w:rPr>
              <w:t>(Continued next page)</w:t>
            </w:r>
          </w:p>
        </w:tc>
      </w:tr>
    </w:tbl>
    <w:bookmarkEnd w:id="3"/>
    <w:bookmarkEnd w:id="4"/>
    <w:p w:rsidR="00DC65AC" w:rsidRPr="00DC65AC" w:rsidRDefault="00DC65AC" w:rsidP="00DC65AC">
      <w:pPr>
        <w:pStyle w:val="Heading3"/>
        <w:keepLines/>
        <w:rPr>
          <w:color w:val="000000" w:themeColor="text1"/>
          <w:sz w:val="18"/>
          <w:szCs w:val="18"/>
          <w:u w:val="dotted"/>
        </w:rPr>
      </w:pPr>
      <w:r w:rsidRPr="007C3A5D">
        <w:rPr>
          <w:b w:val="0"/>
        </w:rPr>
        <w:t>Table </w:t>
      </w:r>
      <w:r>
        <w:rPr>
          <w:b w:val="0"/>
          <w:noProof/>
        </w:rPr>
        <w:t>1</w:t>
      </w:r>
      <w:r>
        <w:tab/>
      </w:r>
      <w:r w:rsidRPr="00DC65AC">
        <w:rPr>
          <w:sz w:val="18"/>
          <w:szCs w:val="18"/>
        </w:rPr>
        <w:t xml:space="preserve">(continued) </w:t>
      </w:r>
    </w:p>
    <w:tbl>
      <w:tblPr>
        <w:tblW w:w="5000" w:type="pct"/>
        <w:tblCellMar>
          <w:left w:w="0" w:type="dxa"/>
          <w:right w:w="0" w:type="dxa"/>
        </w:tblCellMar>
        <w:tblLook w:val="0000" w:firstRow="0" w:lastRow="0" w:firstColumn="0" w:lastColumn="0" w:noHBand="0" w:noVBand="0"/>
      </w:tblPr>
      <w:tblGrid>
        <w:gridCol w:w="3401"/>
        <w:gridCol w:w="5388"/>
      </w:tblGrid>
      <w:tr w:rsidR="00DC65AC" w:rsidRPr="002278FA" w:rsidTr="00A1566E">
        <w:tc>
          <w:tcPr>
            <w:tcW w:w="1935" w:type="pct"/>
            <w:tcBorders>
              <w:top w:val="single" w:sz="6" w:space="0" w:color="auto"/>
              <w:bottom w:val="single" w:sz="4" w:space="0" w:color="auto"/>
            </w:tcBorders>
          </w:tcPr>
          <w:p w:rsidR="00DC65AC" w:rsidRPr="002278FA" w:rsidRDefault="00DC65AC" w:rsidP="00811D2D">
            <w:pPr>
              <w:pStyle w:val="TableColumnHeading"/>
              <w:jc w:val="left"/>
            </w:pPr>
            <w:r w:rsidRPr="002278FA">
              <w:t>Performance information category</w:t>
            </w:r>
          </w:p>
        </w:tc>
        <w:tc>
          <w:tcPr>
            <w:tcW w:w="3065" w:type="pct"/>
            <w:tcBorders>
              <w:top w:val="single" w:sz="6" w:space="0" w:color="auto"/>
              <w:bottom w:val="single" w:sz="4" w:space="0" w:color="auto"/>
            </w:tcBorders>
          </w:tcPr>
          <w:p w:rsidR="00DC65AC" w:rsidRPr="002278FA" w:rsidRDefault="00DC65AC" w:rsidP="00811D2D">
            <w:pPr>
              <w:pStyle w:val="TableColumnHeading"/>
              <w:ind w:right="28"/>
              <w:jc w:val="left"/>
            </w:pPr>
            <w:r w:rsidRPr="002278FA">
              <w:t>Change</w:t>
            </w:r>
          </w:p>
        </w:tc>
      </w:tr>
      <w:tr w:rsidR="00DC65AC" w:rsidRPr="002278FA" w:rsidTr="00A1566E">
        <w:tc>
          <w:tcPr>
            <w:tcW w:w="1935" w:type="pct"/>
            <w:tcBorders>
              <w:top w:val="single" w:sz="4" w:space="0" w:color="auto"/>
              <w:bottom w:val="dotted" w:sz="4" w:space="0" w:color="auto"/>
            </w:tcBorders>
          </w:tcPr>
          <w:p w:rsidR="00DC65AC" w:rsidRPr="002278FA" w:rsidRDefault="00DC65AC" w:rsidP="00811D2D">
            <w:pPr>
              <w:pStyle w:val="TableBodyText"/>
              <w:jc w:val="left"/>
            </w:pPr>
            <w:r>
              <w:t>NASWD indicator 6 – Proportion of VET graduates with improved education/training status after training</w:t>
            </w:r>
          </w:p>
        </w:tc>
        <w:tc>
          <w:tcPr>
            <w:tcW w:w="3065" w:type="pct"/>
            <w:tcBorders>
              <w:top w:val="single" w:sz="4" w:space="0" w:color="auto"/>
              <w:bottom w:val="dotted" w:sz="4" w:space="0" w:color="auto"/>
            </w:tcBorders>
          </w:tcPr>
          <w:p w:rsidR="00DC65AC" w:rsidRDefault="00DC65AC" w:rsidP="00DC65AC">
            <w:pPr>
              <w:pStyle w:val="TableBullet"/>
            </w:pPr>
            <w:r>
              <w:t xml:space="preserve">In response to a CRC recommendation, additional disaggregations are reported </w:t>
            </w:r>
            <w:r w:rsidR="00C71BA2">
              <w:t xml:space="preserve">by: </w:t>
            </w:r>
            <w:r>
              <w:t>Indigenous status</w:t>
            </w:r>
            <w:r w:rsidR="00C71BA2">
              <w:t>;</w:t>
            </w:r>
            <w:r>
              <w:t xml:space="preserve"> five year age groups</w:t>
            </w:r>
            <w:r w:rsidR="00C71BA2">
              <w:t>;</w:t>
            </w:r>
            <w:r>
              <w:t xml:space="preserve"> and level of qualification.</w:t>
            </w:r>
          </w:p>
          <w:p w:rsidR="00DC65AC" w:rsidRPr="002278FA" w:rsidRDefault="00DC65AC" w:rsidP="00DC65AC">
            <w:pPr>
              <w:pStyle w:val="TableBullet"/>
              <w:numPr>
                <w:ilvl w:val="0"/>
                <w:numId w:val="0"/>
              </w:numPr>
              <w:ind w:left="170"/>
            </w:pPr>
          </w:p>
        </w:tc>
      </w:tr>
      <w:tr w:rsidR="00DC65AC" w:rsidRPr="002278FA" w:rsidTr="00F9048F">
        <w:tc>
          <w:tcPr>
            <w:tcW w:w="1935" w:type="pct"/>
            <w:tcBorders>
              <w:top w:val="dotted" w:sz="4" w:space="0" w:color="auto"/>
              <w:bottom w:val="single" w:sz="4" w:space="0" w:color="auto"/>
            </w:tcBorders>
          </w:tcPr>
          <w:p w:rsidR="00DC65AC" w:rsidRPr="002278FA" w:rsidRDefault="00DC65AC" w:rsidP="00B77593">
            <w:pPr>
              <w:pStyle w:val="TableBodyText"/>
              <w:jc w:val="left"/>
            </w:pPr>
            <w:r>
              <w:t>NASWD indicator 7 – Proportion of Indigenous 20</w:t>
            </w:r>
            <w:r w:rsidR="00B77593">
              <w:rPr>
                <w:rFonts w:cs="Arial"/>
              </w:rPr>
              <w:t>−</w:t>
            </w:r>
            <w:r>
              <w:t xml:space="preserve">64 year olds with or working towards post school qualification in </w:t>
            </w:r>
            <w:proofErr w:type="spellStart"/>
            <w:r>
              <w:t>AQF</w:t>
            </w:r>
            <w:proofErr w:type="spellEnd"/>
            <w:r>
              <w:t xml:space="preserve"> Certificate III or above</w:t>
            </w:r>
          </w:p>
        </w:tc>
        <w:tc>
          <w:tcPr>
            <w:tcW w:w="3065" w:type="pct"/>
            <w:tcBorders>
              <w:top w:val="dotted" w:sz="4" w:space="0" w:color="auto"/>
              <w:bottom w:val="single" w:sz="4" w:space="0" w:color="auto"/>
            </w:tcBorders>
          </w:tcPr>
          <w:p w:rsidR="00DC65AC" w:rsidRPr="002278FA" w:rsidRDefault="00DC65AC" w:rsidP="00811D2D">
            <w:pPr>
              <w:pStyle w:val="TableBullet"/>
            </w:pPr>
            <w:r>
              <w:t>Historical data are reported for disaggregations by remoteness.</w:t>
            </w:r>
          </w:p>
        </w:tc>
      </w:tr>
    </w:tbl>
    <w:p w:rsidR="00E269D6" w:rsidRDefault="00E269D6" w:rsidP="00E269D6">
      <w:pPr>
        <w:pStyle w:val="BodyText"/>
      </w:pPr>
    </w:p>
    <w:p w:rsidR="00E269D6" w:rsidRDefault="00E269D6" w:rsidP="00E269D6">
      <w:pPr>
        <w:pStyle w:val="BodyText"/>
        <w:rPr>
          <w:rFonts w:ascii="Arial" w:hAnsi="Arial"/>
          <w:sz w:val="32"/>
        </w:rPr>
      </w:pPr>
      <w:r>
        <w:br w:type="page"/>
      </w:r>
    </w:p>
    <w:p w:rsidR="00932359" w:rsidRPr="00E269D6" w:rsidRDefault="00932359" w:rsidP="00E269D6">
      <w:pPr>
        <w:pStyle w:val="Heading2"/>
      </w:pPr>
      <w:bookmarkStart w:id="5" w:name="_Toc290470556"/>
      <w:r w:rsidRPr="00E269D6">
        <w:t>Context for National Agreement for Skills and Workforce Development performance reporting</w:t>
      </w:r>
      <w:bookmarkEnd w:id="5"/>
    </w:p>
    <w:p w:rsidR="00932359" w:rsidRDefault="00932359" w:rsidP="00932359">
      <w:pPr>
        <w:pStyle w:val="BodyText"/>
      </w:pPr>
      <w:r>
        <w:t>The objective of the NASWD is:</w:t>
      </w:r>
    </w:p>
    <w:p w:rsidR="00932359" w:rsidRDefault="00932359" w:rsidP="002821BF">
      <w:pPr>
        <w:pStyle w:val="Quote"/>
      </w:pPr>
      <w:r>
        <w:t>A VET system that delivers a productive and highly skilled workforce and which enables all working age Australians to develop the skills and qualifications needed to participate effectively in the labour market and contribute to Australia’s economic future; and supports the achievement of increased rates of workforce participation. [NASWD para. 18]</w:t>
      </w:r>
    </w:p>
    <w:p w:rsidR="00932359" w:rsidRDefault="00932359" w:rsidP="00932359">
      <w:pPr>
        <w:pStyle w:val="BodyText"/>
      </w:pPr>
      <w:r>
        <w:t xml:space="preserve">The NASWD </w:t>
      </w:r>
      <w:r w:rsidR="00985CA6">
        <w:t xml:space="preserve">is intended to </w:t>
      </w:r>
      <w:r>
        <w:t>contribute to the following outcomes:</w:t>
      </w:r>
    </w:p>
    <w:p w:rsidR="00932359" w:rsidRDefault="00932359" w:rsidP="00932359">
      <w:pPr>
        <w:pStyle w:val="ListBullet"/>
      </w:pPr>
      <w:r>
        <w:t>the skill levels of the working age population are increased to meet the changing needs of the economy</w:t>
      </w:r>
    </w:p>
    <w:p w:rsidR="00F75B7B" w:rsidRDefault="00F75B7B" w:rsidP="00932359">
      <w:pPr>
        <w:pStyle w:val="ListBullet"/>
      </w:pPr>
      <w:r>
        <w:t>all working age Australians have the opportunity to develop skills</w:t>
      </w:r>
    </w:p>
    <w:p w:rsidR="00932359" w:rsidRDefault="00F75B7B" w:rsidP="00932359">
      <w:pPr>
        <w:pStyle w:val="ListBullet"/>
      </w:pPr>
      <w:r>
        <w:t>training delivers the skills and capabilities needed for improved economic participation for working age Australians</w:t>
      </w:r>
      <w:r w:rsidR="00932359">
        <w:t>. [NASWD para. </w:t>
      </w:r>
      <w:r>
        <w:t>1</w:t>
      </w:r>
      <w:r w:rsidR="00932359">
        <w:t>9]</w:t>
      </w:r>
    </w:p>
    <w:p w:rsidR="00F056FC" w:rsidRDefault="00932359" w:rsidP="00932359">
      <w:pPr>
        <w:pStyle w:val="Heading3"/>
      </w:pPr>
      <w:r>
        <w:t>Skills and workforce development</w:t>
      </w:r>
    </w:p>
    <w:p w:rsidR="00317762" w:rsidRDefault="00CB0AE4" w:rsidP="00932359">
      <w:pPr>
        <w:pStyle w:val="BodyText"/>
      </w:pPr>
      <w:r>
        <w:t>Skills are developed both formally and informally through lifelong education, training and experience.</w:t>
      </w:r>
      <w:r w:rsidR="00317762">
        <w:t xml:space="preserve"> Adult literacy and numeracy programs, VET and higher education play important roles in the formal acquisition of skills </w:t>
      </w:r>
      <w:r w:rsidR="00317762" w:rsidRPr="00B40B6B">
        <w:t>(</w:t>
      </w:r>
      <w:proofErr w:type="spellStart"/>
      <w:r w:rsidR="00317762" w:rsidRPr="00B40B6B">
        <w:t>NCVER</w:t>
      </w:r>
      <w:proofErr w:type="spellEnd"/>
      <w:r w:rsidR="00317762" w:rsidRPr="00B40B6B">
        <w:t xml:space="preserve"> </w:t>
      </w:r>
      <w:proofErr w:type="spellStart"/>
      <w:r w:rsidR="00317762" w:rsidRPr="00B40B6B">
        <w:t>2012a</w:t>
      </w:r>
      <w:proofErr w:type="spellEnd"/>
      <w:r w:rsidR="00317762" w:rsidRPr="00B40B6B">
        <w:t xml:space="preserve">). A recent </w:t>
      </w:r>
      <w:r w:rsidR="008627BE">
        <w:t xml:space="preserve">emphasis </w:t>
      </w:r>
      <w:r w:rsidR="00317762" w:rsidRPr="00B40B6B">
        <w:t>on the provision of more streamlined</w:t>
      </w:r>
      <w:r w:rsidR="00317762">
        <w:t xml:space="preserve"> educational pathways has led to a revised Australian Qualifications Framework (</w:t>
      </w:r>
      <w:proofErr w:type="spellStart"/>
      <w:r w:rsidR="00317762">
        <w:t>AQF</w:t>
      </w:r>
      <w:proofErr w:type="spellEnd"/>
      <w:r w:rsidR="00317762">
        <w:t xml:space="preserve">), which acknowledges and strengthens pathways between foundation studies, VET and higher </w:t>
      </w:r>
      <w:r w:rsidR="00317762" w:rsidRPr="00B9703B">
        <w:t>education (Australian Qualifications Framework Council 2013).</w:t>
      </w:r>
    </w:p>
    <w:p w:rsidR="000206F6" w:rsidRDefault="00932359" w:rsidP="00F9048F">
      <w:pPr>
        <w:pStyle w:val="BodyText"/>
      </w:pPr>
      <w:r>
        <w:t>Skills are important for individuals and the economy, as they increase the capacity of individuals to participate effectively in the workforce and encourage innovation and development in the way work is done (Buchanan 2008</w:t>
      </w:r>
      <w:r w:rsidR="00E2432C">
        <w:t xml:space="preserve">; </w:t>
      </w:r>
      <w:proofErr w:type="spellStart"/>
      <w:r w:rsidR="00E2432C">
        <w:t>AWPA</w:t>
      </w:r>
      <w:proofErr w:type="spellEnd"/>
      <w:r w:rsidR="0031116C" w:rsidRPr="0031116C">
        <w:t xml:space="preserve"> </w:t>
      </w:r>
      <w:r w:rsidR="0031116C">
        <w:t>2012</w:t>
      </w:r>
      <w:r>
        <w:t>).</w:t>
      </w:r>
      <w:r w:rsidR="00017EB5">
        <w:t xml:space="preserve"> Skill development is </w:t>
      </w:r>
      <w:r w:rsidR="008627BE">
        <w:t xml:space="preserve">central </w:t>
      </w:r>
      <w:r w:rsidR="00017EB5">
        <w:t>to</w:t>
      </w:r>
      <w:r w:rsidR="004109B5">
        <w:t xml:space="preserve"> improved p</w:t>
      </w:r>
      <w:r w:rsidR="008809AF">
        <w:t>roductivity and economic growth as</w:t>
      </w:r>
      <w:r w:rsidR="00017EB5">
        <w:t xml:space="preserve"> </w:t>
      </w:r>
      <w:r w:rsidR="001D78E1">
        <w:t>w</w:t>
      </w:r>
      <w:r w:rsidR="004109B5">
        <w:t xml:space="preserve">ithout the </w:t>
      </w:r>
      <w:r w:rsidR="001D78E1">
        <w:t xml:space="preserve">right </w:t>
      </w:r>
      <w:r w:rsidR="004109B5">
        <w:t>skills, people are kept at the margins of society and b</w:t>
      </w:r>
      <w:r w:rsidR="007A4819">
        <w:t xml:space="preserve">usiness and countries are unable to </w:t>
      </w:r>
      <w:r w:rsidR="008627BE">
        <w:t xml:space="preserve">compete </w:t>
      </w:r>
      <w:r w:rsidR="004109B5">
        <w:t xml:space="preserve">in </w:t>
      </w:r>
      <w:r w:rsidR="003C3F3C">
        <w:t>an increasingly complex globally connected world (OECD 2013)</w:t>
      </w:r>
      <w:r w:rsidR="001D78E1">
        <w:t>.</w:t>
      </w:r>
    </w:p>
    <w:p w:rsidR="00531006" w:rsidRDefault="00932359" w:rsidP="00F9048F">
      <w:pPr>
        <w:pStyle w:val="BodyText"/>
      </w:pPr>
      <w:r>
        <w:t>People</w:t>
      </w:r>
      <w:r w:rsidR="0014028A">
        <w:t xml:space="preserve"> </w:t>
      </w:r>
      <w:r>
        <w:t>with higher literacy and numeracy skills are more likely to participate in the workforce, be employed in more highly skilled jobs and earn more</w:t>
      </w:r>
      <w:r w:rsidR="00985CA6">
        <w:t>,</w:t>
      </w:r>
      <w:r>
        <w:t xml:space="preserve"> compared with people who have lower skills (Industry Skills Council 2011</w:t>
      </w:r>
      <w:r w:rsidR="00811697">
        <w:t xml:space="preserve">; </w:t>
      </w:r>
      <w:proofErr w:type="spellStart"/>
      <w:r w:rsidR="00811697">
        <w:t>AWPA</w:t>
      </w:r>
      <w:proofErr w:type="spellEnd"/>
      <w:r w:rsidR="00811697">
        <w:t xml:space="preserve"> 2013</w:t>
      </w:r>
      <w:r w:rsidR="0006101E">
        <w:t xml:space="preserve">; </w:t>
      </w:r>
      <w:proofErr w:type="spellStart"/>
      <w:r w:rsidR="0006101E">
        <w:t>Chesters</w:t>
      </w:r>
      <w:proofErr w:type="spellEnd"/>
      <w:r w:rsidR="00874439">
        <w:t>, Ryan and Shining,</w:t>
      </w:r>
      <w:r w:rsidR="0006101E">
        <w:t xml:space="preserve"> 2013</w:t>
      </w:r>
      <w:r>
        <w:t>).</w:t>
      </w:r>
      <w:r w:rsidR="00531006">
        <w:t xml:space="preserve"> Information on levels of literacy and numeracy</w:t>
      </w:r>
      <w:r w:rsidR="00BA2F69">
        <w:t xml:space="preserve"> of the working age population</w:t>
      </w:r>
      <w:r w:rsidR="00531006">
        <w:t xml:space="preserve"> is reported under NASWD indicator 3.</w:t>
      </w:r>
    </w:p>
    <w:p w:rsidR="00AD4B06" w:rsidRDefault="00AD4B06" w:rsidP="00932359">
      <w:pPr>
        <w:pStyle w:val="BodyText"/>
      </w:pPr>
      <w:r>
        <w:t>People with non-school qualifications have higher labour force participation than people without non-school qualification</w:t>
      </w:r>
      <w:r w:rsidR="00317762">
        <w:t>s</w:t>
      </w:r>
      <w:r>
        <w:t xml:space="preserve">, and this gap is greatest for those who have a school qualification of year 10 or lower (ABS 2012 cited in </w:t>
      </w:r>
      <w:proofErr w:type="spellStart"/>
      <w:r>
        <w:t>AWPA</w:t>
      </w:r>
      <w:proofErr w:type="spellEnd"/>
      <w:r>
        <w:t xml:space="preserve"> 2013). Information on the proportion of the working age population with or working towards a non-school </w:t>
      </w:r>
      <w:proofErr w:type="spellStart"/>
      <w:r>
        <w:t>AQF</w:t>
      </w:r>
      <w:proofErr w:type="spellEnd"/>
      <w:r>
        <w:t xml:space="preserve"> qualification is reported under NASWD indicator 4.</w:t>
      </w:r>
    </w:p>
    <w:p w:rsidR="009949F2" w:rsidRDefault="00D63D34" w:rsidP="00877AB4">
      <w:pPr>
        <w:pStyle w:val="BodyText"/>
      </w:pPr>
      <w:r>
        <w:t>While there may be costs for individuals in obtaining more education or training, the investment can be worthwhile because life-time earnings can be increase</w:t>
      </w:r>
      <w:r w:rsidR="00812CA5">
        <w:t>d</w:t>
      </w:r>
      <w:r>
        <w:t xml:space="preserve"> through greater earning capacity (Watson 2011).</w:t>
      </w:r>
      <w:r w:rsidR="008627BE">
        <w:t xml:space="preserve"> A</w:t>
      </w:r>
      <w:r w:rsidR="00874439">
        <w:t xml:space="preserve">ustralian </w:t>
      </w:r>
      <w:r w:rsidR="00932359">
        <w:t>B</w:t>
      </w:r>
      <w:r w:rsidR="00874439">
        <w:t xml:space="preserve">ureau of </w:t>
      </w:r>
      <w:r w:rsidR="00932359">
        <w:t>S</w:t>
      </w:r>
      <w:r w:rsidR="00874439">
        <w:t>tatistics (ABS)</w:t>
      </w:r>
      <w:r w:rsidR="00932359">
        <w:t xml:space="preserve"> data show that employment rates improve with higher levels of qualifications (a proxy for skill levels). Figure 2 shows that</w:t>
      </w:r>
      <w:r w:rsidR="00985CA6">
        <w:t>,</w:t>
      </w:r>
      <w:r w:rsidR="00932359">
        <w:t xml:space="preserve"> in 201</w:t>
      </w:r>
      <w:r w:rsidR="00AD4852">
        <w:t>3</w:t>
      </w:r>
      <w:r w:rsidR="00985CA6">
        <w:t>,</w:t>
      </w:r>
      <w:r w:rsidR="00932359">
        <w:t xml:space="preserve"> the proportion of the </w:t>
      </w:r>
      <w:r w:rsidR="00E569BF">
        <w:t>15</w:t>
      </w:r>
      <w:r w:rsidR="00CC356C">
        <w:t>–</w:t>
      </w:r>
      <w:r w:rsidR="00E569BF">
        <w:t xml:space="preserve">64 year </w:t>
      </w:r>
      <w:r w:rsidR="005F05DB">
        <w:t xml:space="preserve">old </w:t>
      </w:r>
      <w:r w:rsidR="00932359">
        <w:t xml:space="preserve">population that </w:t>
      </w:r>
      <w:r w:rsidR="00CC356C">
        <w:t xml:space="preserve">was </w:t>
      </w:r>
      <w:r w:rsidR="00932359">
        <w:t xml:space="preserve">employed increased with higher levels of qualification. In something of a ‘virtuous’ cycle, well-educated individuals are more likely to obtain further education and update their competencies and develop new skills </w:t>
      </w:r>
      <w:r w:rsidR="00017EB5">
        <w:t>over their lifetime (OECD 2010).</w:t>
      </w:r>
      <w:r w:rsidR="00AD4B06">
        <w:t xml:space="preserve"> Information on improved employment status of VET graduates after training is reported under NASWD indicator 5. </w:t>
      </w:r>
      <w:r w:rsidR="008C16B8">
        <w:t xml:space="preserve">Industry demand </w:t>
      </w:r>
      <w:r w:rsidR="00BE7E23">
        <w:t>for qualifications is anticipated to be strongest for diploma, advanced diploma, bachelor degrees and above</w:t>
      </w:r>
      <w:r w:rsidR="005F05DB">
        <w:t>,</w:t>
      </w:r>
      <w:r w:rsidR="00BE7E23">
        <w:t xml:space="preserve"> relative to </w:t>
      </w:r>
      <w:r w:rsidR="00600E52">
        <w:t xml:space="preserve">certificate level I–IV </w:t>
      </w:r>
      <w:r w:rsidR="00BE7E23">
        <w:t>qualifications (</w:t>
      </w:r>
      <w:proofErr w:type="spellStart"/>
      <w:r w:rsidR="00BE7E23">
        <w:t>AWPA</w:t>
      </w:r>
      <w:proofErr w:type="spellEnd"/>
      <w:r w:rsidR="00BE7E23">
        <w:t xml:space="preserve"> 2013).</w:t>
      </w:r>
      <w:r w:rsidR="00AD4B06">
        <w:t xml:space="preserve"> Information on the proportion of the working age population with higher level qualifications (</w:t>
      </w:r>
      <w:proofErr w:type="spellStart"/>
      <w:r w:rsidR="00AD4B06">
        <w:t>AQF</w:t>
      </w:r>
      <w:proofErr w:type="spellEnd"/>
      <w:r w:rsidR="00AD4B06">
        <w:t xml:space="preserve"> certificate level III or above) is reported under NASWD indicator 1, </w:t>
      </w:r>
      <w:r w:rsidR="005F05DB">
        <w:t xml:space="preserve">and </w:t>
      </w:r>
      <w:r w:rsidR="00AD4B06">
        <w:t>the proportion of employers satisfied that training meets their needs is reported under NASWD indicator 2.</w:t>
      </w:r>
    </w:p>
    <w:p w:rsidR="00932359" w:rsidRDefault="00932359" w:rsidP="00F9048F">
      <w:pPr>
        <w:pStyle w:val="FigureTitle"/>
      </w:pPr>
      <w:r>
        <w:rPr>
          <w:b w:val="0"/>
        </w:rPr>
        <w:t xml:space="preserve">Figure </w:t>
      </w:r>
      <w:r w:rsidR="00503759">
        <w:rPr>
          <w:b w:val="0"/>
          <w:noProof/>
        </w:rPr>
        <w:t>2</w:t>
      </w:r>
      <w:r>
        <w:tab/>
        <w:t xml:space="preserve">Proportion of persons aged 15–64 years that are employed, by </w:t>
      </w:r>
      <w:r w:rsidR="00A36E04">
        <w:t>level of highest education, 201</w:t>
      </w:r>
      <w:r w:rsidR="00EF6565">
        <w:t>3</w:t>
      </w:r>
      <w:r w:rsidRPr="00932359">
        <w:rPr>
          <w:rStyle w:val="NoteLabel"/>
          <w:b/>
        </w:rPr>
        <w:t>a, b</w:t>
      </w:r>
      <w:r w:rsidR="00EF775D">
        <w:rPr>
          <w:rStyle w:val="NoteLabel"/>
          <w:b/>
        </w:rPr>
        <w:t>, c</w:t>
      </w:r>
    </w:p>
    <w:tbl>
      <w:tblPr>
        <w:tblW w:w="0" w:type="auto"/>
        <w:tblInd w:w="119" w:type="dxa"/>
        <w:tblBorders>
          <w:top w:val="single" w:sz="4" w:space="0" w:color="auto"/>
          <w:bottom w:val="single" w:sz="4" w:space="0" w:color="auto"/>
        </w:tblBorders>
        <w:tblLayout w:type="fixed"/>
        <w:tblLook w:val="0000" w:firstRow="0" w:lastRow="0" w:firstColumn="0" w:lastColumn="0" w:noHBand="0" w:noVBand="0"/>
      </w:tblPr>
      <w:tblGrid>
        <w:gridCol w:w="8777"/>
      </w:tblGrid>
      <w:tr w:rsidR="00932359" w:rsidTr="00DE38A1">
        <w:tc>
          <w:tcPr>
            <w:tcW w:w="8777" w:type="dxa"/>
            <w:shd w:val="clear" w:color="auto" w:fill="auto"/>
          </w:tcPr>
          <w:p w:rsidR="00932359" w:rsidRPr="00FB38BD" w:rsidRDefault="00F306A6" w:rsidP="00974195">
            <w:pPr>
              <w:pStyle w:val="Figure"/>
              <w:pBdr>
                <w:left w:val="single" w:sz="4" w:space="4" w:color="auto"/>
              </w:pBdr>
              <w:jc w:val="left"/>
              <w:rPr>
                <w:rStyle w:val="DraftingNote"/>
                <w:color w:val="auto"/>
              </w:rPr>
            </w:pPr>
            <w:r>
              <w:rPr>
                <w:noProof/>
              </w:rPr>
              <w:drawing>
                <wp:inline distT="0" distB="0" distL="0" distR="0" wp14:anchorId="1A78822F" wp14:editId="1C270FA1">
                  <wp:extent cx="5314950" cy="2476500"/>
                  <wp:effectExtent l="0" t="0" r="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rsidR="00416227" w:rsidRPr="00A26C79" w:rsidRDefault="00EF775D" w:rsidP="00A2151C">
      <w:pPr>
        <w:pStyle w:val="Source"/>
        <w:rPr>
          <w:szCs w:val="18"/>
        </w:rPr>
      </w:pPr>
      <w:proofErr w:type="spellStart"/>
      <w:r w:rsidRPr="00EB3292">
        <w:rPr>
          <w:rStyle w:val="NoteLabel"/>
        </w:rPr>
        <w:t>a</w:t>
      </w:r>
      <w:proofErr w:type="spellEnd"/>
      <w:r>
        <w:rPr>
          <w:b/>
          <w:bCs/>
          <w:szCs w:val="18"/>
        </w:rPr>
        <w:t xml:space="preserve"> </w:t>
      </w:r>
      <w:r>
        <w:rPr>
          <w:rFonts w:ascii="ArialMT" w:hAnsi="ArialMT" w:cs="ArialMT"/>
          <w:szCs w:val="18"/>
        </w:rPr>
        <w:t>Error bars represent the 95 per cent confidence interval associated with each point estimate</w:t>
      </w:r>
      <w:r w:rsidR="00A2151C">
        <w:rPr>
          <w:rFonts w:ascii="ArialMT" w:hAnsi="ArialMT" w:cs="ArialMT"/>
          <w:szCs w:val="18"/>
        </w:rPr>
        <w:t>.</w:t>
      </w:r>
      <w:r>
        <w:rPr>
          <w:szCs w:val="18"/>
        </w:rPr>
        <w:t xml:space="preserve"> Refer to the Survey of Education and Work Collection Data Quality Statement for information on data quality. </w:t>
      </w:r>
      <w:r>
        <w:rPr>
          <w:rStyle w:val="NoteLabel"/>
        </w:rPr>
        <w:t>b</w:t>
      </w:r>
      <w:r w:rsidR="00416227">
        <w:rPr>
          <w:b/>
          <w:bCs/>
          <w:szCs w:val="18"/>
        </w:rPr>
        <w:t xml:space="preserve"> </w:t>
      </w:r>
      <w:r w:rsidR="00416227">
        <w:rPr>
          <w:szCs w:val="18"/>
        </w:rPr>
        <w:t xml:space="preserve">Data for this figure are provided at table </w:t>
      </w:r>
      <w:proofErr w:type="spellStart"/>
      <w:r w:rsidR="00416227">
        <w:rPr>
          <w:szCs w:val="18"/>
        </w:rPr>
        <w:t>SWD.C.1</w:t>
      </w:r>
      <w:proofErr w:type="spellEnd"/>
      <w:r w:rsidR="00416227">
        <w:rPr>
          <w:szCs w:val="18"/>
        </w:rPr>
        <w:t xml:space="preserve">. Table </w:t>
      </w:r>
      <w:proofErr w:type="spellStart"/>
      <w:r w:rsidR="00416227">
        <w:rPr>
          <w:szCs w:val="18"/>
        </w:rPr>
        <w:t>SWD.C.2</w:t>
      </w:r>
      <w:proofErr w:type="spellEnd"/>
      <w:r w:rsidR="00416227">
        <w:rPr>
          <w:szCs w:val="18"/>
        </w:rPr>
        <w:t xml:space="preserve"> provides data for the proportion of persons aged 25 to 44 years that are employed, by highest level of education. </w:t>
      </w:r>
      <w:r>
        <w:rPr>
          <w:rStyle w:val="NoteLabel"/>
        </w:rPr>
        <w:t>c</w:t>
      </w:r>
      <w:r w:rsidR="00416227">
        <w:rPr>
          <w:b/>
          <w:bCs/>
          <w:szCs w:val="18"/>
        </w:rPr>
        <w:t xml:space="preserve"> </w:t>
      </w:r>
      <w:r w:rsidR="00416227">
        <w:rPr>
          <w:szCs w:val="18"/>
        </w:rPr>
        <w:t xml:space="preserve">SEW excludes persons in Indigenous communities in very remote areas. The current exclusion has only a minor impact on national estimates or estimates by state/territory except for the Northern Territory where such persons account for about 15 per cent of the population. </w:t>
      </w:r>
      <w:r>
        <w:rPr>
          <w:rStyle w:val="NoteLabel"/>
        </w:rPr>
        <w:t>d</w:t>
      </w:r>
      <w:r w:rsidR="00416227">
        <w:rPr>
          <w:b/>
          <w:bCs/>
          <w:szCs w:val="18"/>
        </w:rPr>
        <w:t xml:space="preserve"> </w:t>
      </w:r>
      <w:r w:rsidR="00416227">
        <w:rPr>
          <w:szCs w:val="18"/>
        </w:rPr>
        <w:t>Includes p</w:t>
      </w:r>
      <w:r w:rsidR="00A26C79">
        <w:rPr>
          <w:szCs w:val="18"/>
        </w:rPr>
        <w:t>e</w:t>
      </w:r>
      <w:r w:rsidR="00416227">
        <w:rPr>
          <w:szCs w:val="18"/>
        </w:rPr>
        <w:t xml:space="preserve">ople whose highest level of </w:t>
      </w:r>
      <w:r w:rsidR="00F306A6">
        <w:rPr>
          <w:szCs w:val="18"/>
        </w:rPr>
        <w:t>educational a</w:t>
      </w:r>
      <w:r w:rsidR="005E31E2">
        <w:rPr>
          <w:szCs w:val="18"/>
        </w:rPr>
        <w:t>ttainment is Certificate III/IV,</w:t>
      </w:r>
      <w:r w:rsidR="00F306A6">
        <w:rPr>
          <w:szCs w:val="18"/>
        </w:rPr>
        <w:t xml:space="preserve"> Advanced diploma/Diploma</w:t>
      </w:r>
      <w:r w:rsidR="005E31E2">
        <w:rPr>
          <w:szCs w:val="18"/>
        </w:rPr>
        <w:t xml:space="preserve"> and Associate degree</w:t>
      </w:r>
      <w:r w:rsidR="00F306A6">
        <w:rPr>
          <w:szCs w:val="18"/>
        </w:rPr>
        <w:t>.</w:t>
      </w:r>
      <w:r w:rsidR="00416227">
        <w:rPr>
          <w:szCs w:val="18"/>
        </w:rPr>
        <w:t xml:space="preserve"> </w:t>
      </w:r>
      <w:r>
        <w:rPr>
          <w:rStyle w:val="NoteLabel"/>
        </w:rPr>
        <w:t>e</w:t>
      </w:r>
      <w:r w:rsidR="00416227">
        <w:rPr>
          <w:b/>
          <w:bCs/>
          <w:szCs w:val="18"/>
        </w:rPr>
        <w:t xml:space="preserve"> </w:t>
      </w:r>
      <w:r w:rsidR="00F306A6">
        <w:rPr>
          <w:szCs w:val="18"/>
        </w:rPr>
        <w:t xml:space="preserve">Includes people whose highest education attainment is </w:t>
      </w:r>
      <w:r w:rsidR="006F30D0">
        <w:rPr>
          <w:szCs w:val="18"/>
        </w:rPr>
        <w:t>‘</w:t>
      </w:r>
      <w:r w:rsidR="00F306A6">
        <w:rPr>
          <w:szCs w:val="18"/>
        </w:rPr>
        <w:t>Certificate I/II</w:t>
      </w:r>
      <w:r w:rsidR="006F30D0">
        <w:rPr>
          <w:szCs w:val="18"/>
        </w:rPr>
        <w:t xml:space="preserve"> not further defined’</w:t>
      </w:r>
      <w:r w:rsidR="00F306A6">
        <w:rPr>
          <w:szCs w:val="18"/>
        </w:rPr>
        <w:t xml:space="preserve">, </w:t>
      </w:r>
      <w:r w:rsidR="006F30D0">
        <w:rPr>
          <w:szCs w:val="18"/>
        </w:rPr>
        <w:t>or ‘</w:t>
      </w:r>
      <w:r w:rsidR="00F306A6">
        <w:rPr>
          <w:szCs w:val="18"/>
        </w:rPr>
        <w:t>Certificate not further defined</w:t>
      </w:r>
      <w:r w:rsidR="006F30D0">
        <w:rPr>
          <w:szCs w:val="18"/>
        </w:rPr>
        <w:t>’</w:t>
      </w:r>
      <w:r w:rsidR="00F306A6">
        <w:rPr>
          <w:szCs w:val="18"/>
        </w:rPr>
        <w:t>,</w:t>
      </w:r>
      <w:r w:rsidR="006F30D0">
        <w:rPr>
          <w:szCs w:val="18"/>
        </w:rPr>
        <w:t xml:space="preserve"> and also includes people whose highest level of school attainment could </w:t>
      </w:r>
      <w:r w:rsidR="00F306A6">
        <w:rPr>
          <w:szCs w:val="18"/>
        </w:rPr>
        <w:t xml:space="preserve">not </w:t>
      </w:r>
      <w:r w:rsidR="006F30D0">
        <w:rPr>
          <w:szCs w:val="18"/>
        </w:rPr>
        <w:t xml:space="preserve">be </w:t>
      </w:r>
      <w:r w:rsidR="00F306A6">
        <w:rPr>
          <w:szCs w:val="18"/>
        </w:rPr>
        <w:t xml:space="preserve">determined, </w:t>
      </w:r>
      <w:r w:rsidR="006F30D0">
        <w:rPr>
          <w:szCs w:val="18"/>
        </w:rPr>
        <w:t xml:space="preserve">or </w:t>
      </w:r>
      <w:r w:rsidR="00F306A6">
        <w:rPr>
          <w:szCs w:val="18"/>
        </w:rPr>
        <w:t>people who have no educational attainment</w:t>
      </w:r>
      <w:r w:rsidR="00416227">
        <w:rPr>
          <w:szCs w:val="18"/>
        </w:rPr>
        <w:t>.</w:t>
      </w:r>
    </w:p>
    <w:p w:rsidR="00932359" w:rsidRDefault="00A76B8A" w:rsidP="00AA3506">
      <w:pPr>
        <w:pStyle w:val="Source"/>
      </w:pPr>
      <w:r>
        <w:rPr>
          <w:i/>
        </w:rPr>
        <w:t>S</w:t>
      </w:r>
      <w:r w:rsidR="00932359">
        <w:rPr>
          <w:i/>
        </w:rPr>
        <w:t>ource</w:t>
      </w:r>
      <w:r w:rsidR="00932359" w:rsidRPr="00167F06">
        <w:t>:</w:t>
      </w:r>
      <w:r>
        <w:t xml:space="preserve"> ABS (unpublished) Survey of Education and Work; table </w:t>
      </w:r>
      <w:proofErr w:type="spellStart"/>
      <w:r>
        <w:t>SWD.C.1</w:t>
      </w:r>
      <w:proofErr w:type="spellEnd"/>
      <w:r>
        <w:t>.</w:t>
      </w:r>
    </w:p>
    <w:p w:rsidR="00A76B8A" w:rsidRDefault="00A76B8A" w:rsidP="00A76B8A">
      <w:pPr>
        <w:pStyle w:val="BodyText"/>
      </w:pPr>
      <w:r>
        <w:t xml:space="preserve">There are limitations </w:t>
      </w:r>
      <w:r w:rsidR="00985CA6">
        <w:t xml:space="preserve">to </w:t>
      </w:r>
      <w:r>
        <w:t xml:space="preserve">using qualifications as a proxy for skills (Lowry, Molloy and </w:t>
      </w:r>
      <w:proofErr w:type="spellStart"/>
      <w:r>
        <w:t>McGlennon</w:t>
      </w:r>
      <w:proofErr w:type="spellEnd"/>
      <w:r>
        <w:t xml:space="preserve"> 2008</w:t>
      </w:r>
      <w:r w:rsidR="00812CA5">
        <w:t>;</w:t>
      </w:r>
      <w:r>
        <w:t xml:space="preserve"> Scottish </w:t>
      </w:r>
      <w:r w:rsidR="00DC5FA0">
        <w:t xml:space="preserve">Government </w:t>
      </w:r>
      <w:r>
        <w:t>Social Research 2008). Measuring the ‘output’ of education and training (that is, qualifications) does not identify whether, or to what extent, those qualifications reflect skills that are subsequently utilised in the workplace (Payne 2010).</w:t>
      </w:r>
      <w:r w:rsidR="00C36EB3">
        <w:t xml:space="preserve"> </w:t>
      </w:r>
      <w:r>
        <w:t>Research into skills utilisation endeavours to look beyond qualifications at how well skills are matched to work an</w:t>
      </w:r>
      <w:r w:rsidR="001D2206">
        <w:t>d how well skills are utilised.</w:t>
      </w:r>
    </w:p>
    <w:p w:rsidR="00932359" w:rsidRDefault="00A76B8A" w:rsidP="00A76B8A">
      <w:pPr>
        <w:pStyle w:val="BodyText"/>
      </w:pPr>
      <w:r>
        <w:t>Research suggests that how skills are utilised within workplaces is crucial to achieving good economic and social outcomes (Watson 2008). When workers</w:t>
      </w:r>
      <w:r w:rsidR="00531006">
        <w:t>’</w:t>
      </w:r>
      <w:r>
        <w:t xml:space="preserve"> skills do not match job requirements, a number of negative labour market outcomes can occur, including productivity and efficiency losses, lowered earnings and reduced job satisfaction (</w:t>
      </w:r>
      <w:proofErr w:type="spellStart"/>
      <w:r>
        <w:t>Mavromaras</w:t>
      </w:r>
      <w:proofErr w:type="spellEnd"/>
      <w:r>
        <w:t xml:space="preserve">, McGuinness and </w:t>
      </w:r>
      <w:proofErr w:type="spellStart"/>
      <w:r>
        <w:t>Fok</w:t>
      </w:r>
      <w:proofErr w:type="spellEnd"/>
      <w:r>
        <w:t xml:space="preserve"> 2010).</w:t>
      </w:r>
    </w:p>
    <w:p w:rsidR="009E0152" w:rsidRDefault="009E0152" w:rsidP="009E0152">
      <w:pPr>
        <w:pStyle w:val="Heading3"/>
      </w:pPr>
      <w:r>
        <w:t>Government roles and responsibilities</w:t>
      </w:r>
    </w:p>
    <w:p w:rsidR="008A3466" w:rsidRDefault="009E0152" w:rsidP="008D6E74">
      <w:pPr>
        <w:pStyle w:val="BodyText"/>
      </w:pPr>
      <w:r>
        <w:t xml:space="preserve">The Australian Government’s </w:t>
      </w:r>
      <w:r w:rsidRPr="002821BF">
        <w:rPr>
          <w:i/>
        </w:rPr>
        <w:t>Review of Australian Higher Education Final Report</w:t>
      </w:r>
      <w:r>
        <w:t xml:space="preserve"> (Bradley </w:t>
      </w:r>
      <w:r w:rsidR="000B71E5">
        <w:t xml:space="preserve">et al </w:t>
      </w:r>
      <w:r>
        <w:t>2008) found that the nation need</w:t>
      </w:r>
      <w:r w:rsidR="00A80978">
        <w:t>s</w:t>
      </w:r>
      <w:r>
        <w:t xml:space="preserve"> more well-qualified people if it is to anticipate and meet the demands of a rapidly moving global economy.</w:t>
      </w:r>
      <w:r w:rsidR="00C25B1D">
        <w:t xml:space="preserve"> Economic modelling of skills demand </w:t>
      </w:r>
      <w:r w:rsidR="00821379">
        <w:t>by Access Economics (</w:t>
      </w:r>
      <w:r w:rsidR="00C25B1D">
        <w:t>2009) found that</w:t>
      </w:r>
      <w:r w:rsidR="008A3466">
        <w:t>,</w:t>
      </w:r>
      <w:r w:rsidR="00C25B1D">
        <w:t xml:space="preserve"> </w:t>
      </w:r>
      <w:r w:rsidR="008A3466">
        <w:t xml:space="preserve">under a high growth scenario, </w:t>
      </w:r>
      <w:r w:rsidR="00C25B1D">
        <w:t>an additional 2.1 million people with VET qualifications will be needed in the workforce by 2015.</w:t>
      </w:r>
      <w:r>
        <w:t xml:space="preserve"> Investment in providing the highly skilled workforce necessary for the future is a shared responsibility across all governments, industry, businesses and communities.</w:t>
      </w:r>
    </w:p>
    <w:p w:rsidR="007E2DC9" w:rsidRDefault="00366CCF" w:rsidP="008D6E74">
      <w:pPr>
        <w:pStyle w:val="BodyText"/>
      </w:pPr>
      <w:r>
        <w:t>The Productivity Commission</w:t>
      </w:r>
      <w:r w:rsidR="00874439">
        <w:t xml:space="preserve"> (PC 2012)</w:t>
      </w:r>
      <w:r>
        <w:t xml:space="preserve"> has projected that a</w:t>
      </w:r>
      <w:r w:rsidR="00FC785C">
        <w:t>ttainment of the COAG VET target</w:t>
      </w:r>
      <w:r w:rsidR="007E2DC9">
        <w:t xml:space="preserve"> of halving the proportion of Australians aged 20 to 64 years without qualifications at Certificate III level or above between 2009 and 2020 </w:t>
      </w:r>
      <w:r>
        <w:t>would raise</w:t>
      </w:r>
      <w:r w:rsidR="007E2DC9">
        <w:t>:</w:t>
      </w:r>
    </w:p>
    <w:p w:rsidR="007E2DC9" w:rsidRDefault="007E2DC9" w:rsidP="00D87377">
      <w:pPr>
        <w:pStyle w:val="ListBullet"/>
      </w:pPr>
      <w:r>
        <w:t>the number of completions by about 1.29 million over the period 2010 to 2020</w:t>
      </w:r>
    </w:p>
    <w:p w:rsidR="007E2DC9" w:rsidRDefault="007E2DC9" w:rsidP="00D87377">
      <w:pPr>
        <w:pStyle w:val="ListBullet"/>
      </w:pPr>
      <w:r>
        <w:t>employment by 1.04 per cent by 2020</w:t>
      </w:r>
    </w:p>
    <w:p w:rsidR="007E2DC9" w:rsidRDefault="007E2DC9" w:rsidP="00D87377">
      <w:pPr>
        <w:pStyle w:val="ListBullet"/>
      </w:pPr>
      <w:r>
        <w:t>labou</w:t>
      </w:r>
      <w:r w:rsidR="001D2206">
        <w:t>r productivity by 0.35 per cent</w:t>
      </w:r>
    </w:p>
    <w:p w:rsidR="009E0152" w:rsidRDefault="007E2DC9" w:rsidP="00D87377">
      <w:pPr>
        <w:pStyle w:val="ListBullet"/>
      </w:pPr>
      <w:r>
        <w:t>GDP by 1.95 per cent.</w:t>
      </w:r>
    </w:p>
    <w:p w:rsidR="009E0152" w:rsidRDefault="009E0152" w:rsidP="009E0152">
      <w:pPr>
        <w:pStyle w:val="BodyText"/>
      </w:pPr>
      <w:r>
        <w:t>The NASWD sets out the commitment of the Commonwealth and the State and Territory governments to work towards increasing the skill levels of all Australians, including Indigenous Australians. The roles of the Australian Government under the NASWD are detailed at para. 26 of the Agreement. The roles of the State and Territory governments are detailed at para. 27. Shared responsibilities are detailed at para. 28.</w:t>
      </w:r>
    </w:p>
    <w:p w:rsidR="00812CA5" w:rsidRDefault="00812CA5" w:rsidP="00812CA5">
      <w:pPr>
        <w:pStyle w:val="BodyText"/>
      </w:pPr>
      <w:r>
        <w:t>The Australian Government:</w:t>
      </w:r>
    </w:p>
    <w:p w:rsidR="00812CA5" w:rsidRDefault="00812CA5" w:rsidP="00812CA5">
      <w:pPr>
        <w:pStyle w:val="ListBullet"/>
      </w:pPr>
      <w:r>
        <w:t>has primary responsibility for public funding of higher education</w:t>
      </w:r>
    </w:p>
    <w:p w:rsidR="00812CA5" w:rsidRDefault="00812CA5" w:rsidP="00812CA5">
      <w:pPr>
        <w:pStyle w:val="ListBullet"/>
      </w:pPr>
      <w:r>
        <w:t>provides funding contributions to states and territories to support their training systems, and provides specific interventions and assistance to support industry investment in training; Australian Apprenticeships; literacy and numeracy; and those seeking to enter the workforce.</w:t>
      </w:r>
    </w:p>
    <w:p w:rsidR="00812CA5" w:rsidRDefault="00812CA5" w:rsidP="00812CA5">
      <w:pPr>
        <w:pStyle w:val="BodyText"/>
      </w:pPr>
      <w:r>
        <w:t>Responsibility for decision making, regulation and governance for higher education is shared among the Australian Government, the State and Territory governments and the institutions themselves.</w:t>
      </w:r>
    </w:p>
    <w:p w:rsidR="00812CA5" w:rsidRDefault="00812CA5" w:rsidP="00812CA5">
      <w:pPr>
        <w:pStyle w:val="BodyText"/>
      </w:pPr>
      <w:r>
        <w:t>State and Territory governments oversee the expenditure of public funds for, and delivery of, training within states and territories</w:t>
      </w:r>
      <w:r w:rsidR="00A33F3F">
        <w:t>,</w:t>
      </w:r>
      <w:r>
        <w:t xml:space="preserve"> and determine resource allocation within their State </w:t>
      </w:r>
      <w:r w:rsidR="00A33F3F">
        <w:t xml:space="preserve">or </w:t>
      </w:r>
      <w:r>
        <w:t>Territory. State and Territory governments also ensure the effective operation of the training market.</w:t>
      </w:r>
    </w:p>
    <w:p w:rsidR="00812CA5" w:rsidRDefault="00812CA5" w:rsidP="00812CA5">
      <w:pPr>
        <w:pStyle w:val="BodyText"/>
      </w:pPr>
      <w:r>
        <w:t>The Australian Government and the State and Territory governments share the responsibility for developing and maintain</w:t>
      </w:r>
      <w:r w:rsidR="00DC7C37">
        <w:t>ing</w:t>
      </w:r>
      <w:r>
        <w:t xml:space="preserve"> the national training system.</w:t>
      </w:r>
    </w:p>
    <w:p w:rsidR="009E0152" w:rsidRDefault="009E0152" w:rsidP="009E0152">
      <w:pPr>
        <w:pStyle w:val="Heading3"/>
      </w:pPr>
      <w:r>
        <w:t>VET and NASWD reporting</w:t>
      </w:r>
    </w:p>
    <w:p w:rsidR="009E0152" w:rsidRDefault="009E0152" w:rsidP="009E0152">
      <w:pPr>
        <w:pStyle w:val="BodyText"/>
      </w:pPr>
      <w:r>
        <w:t>The VET sector plays a key role in skills and workforce development. Its strong links to industry provide opportunities for the working age population to acquire new or improved competencies that are recognised and relevant to the workforce, and which can make them more valued, produc</w:t>
      </w:r>
      <w:r w:rsidR="006C2559">
        <w:t>tive and innovative workers (PC </w:t>
      </w:r>
      <w:r>
        <w:t>2011).</w:t>
      </w:r>
    </w:p>
    <w:p w:rsidR="009E0152" w:rsidRDefault="009E0152" w:rsidP="009E0152">
      <w:pPr>
        <w:pStyle w:val="BodyText"/>
      </w:pPr>
      <w:r>
        <w:t>The majority of the indicators in the NASWD currently report on the delivery of qualifications in the education and training environment (and in many cases the delivery of VET qualifications in particular), rather than skills more broadly (which can be acquired through a range of on the job activities, including informal training, and learning by doing). Therefore, the remainder of th</w:t>
      </w:r>
      <w:r w:rsidR="00A33F3F">
        <w:t>is</w:t>
      </w:r>
      <w:r>
        <w:t xml:space="preserve"> context section focuses on VET.</w:t>
      </w:r>
    </w:p>
    <w:p w:rsidR="0060283E" w:rsidRDefault="0060283E" w:rsidP="00877AB4">
      <w:pPr>
        <w:pStyle w:val="Heading3"/>
      </w:pPr>
      <w:r>
        <w:t>Natio</w:t>
      </w:r>
      <w:r w:rsidR="00F01DD5">
        <w:t>na</w:t>
      </w:r>
      <w:r w:rsidR="00687164">
        <w:t xml:space="preserve">l </w:t>
      </w:r>
      <w:r w:rsidR="009506C3">
        <w:t xml:space="preserve">Vocational Education and </w:t>
      </w:r>
      <w:r w:rsidR="00687164">
        <w:t>Training Environment in 201</w:t>
      </w:r>
      <w:r w:rsidR="00E67FA3">
        <w:t>3</w:t>
      </w:r>
    </w:p>
    <w:p w:rsidR="001B2084" w:rsidRDefault="00884183" w:rsidP="00F9048F">
      <w:pPr>
        <w:pStyle w:val="BodyText"/>
      </w:pPr>
      <w:r w:rsidRPr="007F0D75">
        <w:t>During 2013</w:t>
      </w:r>
      <w:r w:rsidR="00993EFC">
        <w:t>,</w:t>
      </w:r>
      <w:r w:rsidRPr="007F0D75">
        <w:t xml:space="preserve"> </w:t>
      </w:r>
      <w:r w:rsidR="00613BEB">
        <w:t>the Standing Council on Tertiary Education, Skills and Employment (</w:t>
      </w:r>
      <w:r w:rsidR="001B2084" w:rsidRPr="007F0D75">
        <w:t>SCOTESE</w:t>
      </w:r>
      <w:r w:rsidR="00613BEB">
        <w:t>)</w:t>
      </w:r>
      <w:r w:rsidR="00BD2C5D" w:rsidRPr="007F0D75">
        <w:t xml:space="preserve"> </w:t>
      </w:r>
      <w:r w:rsidRPr="007F0D75">
        <w:t xml:space="preserve">was </w:t>
      </w:r>
      <w:r w:rsidR="00107E0E" w:rsidRPr="007F0D75">
        <w:t>the key decision-making body with overall responsibility for tertiary e</w:t>
      </w:r>
      <w:r w:rsidR="00993EFC">
        <w:t>ducation, skills and employment.</w:t>
      </w:r>
      <w:r w:rsidR="00107E0E" w:rsidRPr="007F0D75">
        <w:t xml:space="preserve"> </w:t>
      </w:r>
      <w:r w:rsidR="00993EFC">
        <w:t xml:space="preserve">SCOTESE comprised </w:t>
      </w:r>
      <w:r w:rsidR="001B2084" w:rsidRPr="007F0D75">
        <w:t>Commonwealth, State, Territory and New Zealand Ministers.</w:t>
      </w:r>
      <w:r w:rsidR="00107E0E" w:rsidRPr="007F0D75">
        <w:t xml:space="preserve"> </w:t>
      </w:r>
      <w:r w:rsidR="001B2084" w:rsidRPr="007F0D75">
        <w:t xml:space="preserve">SCOTESE </w:t>
      </w:r>
      <w:r w:rsidRPr="007F0D75">
        <w:t>was</w:t>
      </w:r>
      <w:r>
        <w:t xml:space="preserve"> </w:t>
      </w:r>
      <w:r w:rsidR="001B2084">
        <w:t>supported by a number of committees, councils and groups:</w:t>
      </w:r>
    </w:p>
    <w:p w:rsidR="001B2084" w:rsidRDefault="002F3D00" w:rsidP="001B2084">
      <w:pPr>
        <w:pStyle w:val="ListBullet"/>
      </w:pPr>
      <w:r>
        <w:t>t</w:t>
      </w:r>
      <w:r w:rsidR="001B2084">
        <w:t>he National Senior Officials Committee (</w:t>
      </w:r>
      <w:proofErr w:type="spellStart"/>
      <w:r w:rsidR="001B2084">
        <w:t>NSOC</w:t>
      </w:r>
      <w:proofErr w:type="spellEnd"/>
      <w:r w:rsidR="004C6554">
        <w:t>) — the administrative arm of SCOTESE</w:t>
      </w:r>
      <w:r w:rsidR="00B9120C">
        <w:t xml:space="preserve"> </w:t>
      </w:r>
      <w:r w:rsidR="004C6554">
        <w:t>— is responsible for implementing SCOTESE decisions, driving national collaboration and monitoring the effectiveness of the national tertiary education, skills and employment syste</w:t>
      </w:r>
      <w:r>
        <w:t>m</w:t>
      </w:r>
    </w:p>
    <w:p w:rsidR="004C6554" w:rsidRDefault="002F3D00" w:rsidP="001B2084">
      <w:pPr>
        <w:pStyle w:val="ListBullet"/>
      </w:pPr>
      <w:r>
        <w:t>t</w:t>
      </w:r>
      <w:r w:rsidR="00D04382">
        <w:t xml:space="preserve">he </w:t>
      </w:r>
      <w:r w:rsidR="004C6554">
        <w:t xml:space="preserve">National Skills Standards Council (NSSC) </w:t>
      </w:r>
      <w:r w:rsidR="00BD2C5D">
        <w:t xml:space="preserve">provides </w:t>
      </w:r>
      <w:r w:rsidR="004C6554">
        <w:t>advice to SCOTESE on national standards for regulation of vo</w:t>
      </w:r>
      <w:r>
        <w:t>cational education and training</w:t>
      </w:r>
    </w:p>
    <w:p w:rsidR="004C6554" w:rsidRDefault="002F3D00" w:rsidP="001B2084">
      <w:pPr>
        <w:pStyle w:val="ListBullet"/>
      </w:pPr>
      <w:r>
        <w:t>t</w:t>
      </w:r>
      <w:r w:rsidR="00D04382">
        <w:t xml:space="preserve">he </w:t>
      </w:r>
      <w:r w:rsidR="004C6554">
        <w:t>National Advisory for Tertiary Education, Skills and Employment (</w:t>
      </w:r>
      <w:proofErr w:type="spellStart"/>
      <w:r w:rsidR="004C6554">
        <w:t>NATESE</w:t>
      </w:r>
      <w:proofErr w:type="spellEnd"/>
      <w:r w:rsidR="004C6554">
        <w:t>) provides policy advice and su</w:t>
      </w:r>
      <w:r>
        <w:t>pport services for SCOTESE</w:t>
      </w:r>
    </w:p>
    <w:p w:rsidR="004C6554" w:rsidRDefault="002F3D00" w:rsidP="001B2084">
      <w:pPr>
        <w:pStyle w:val="ListBullet"/>
      </w:pPr>
      <w:r>
        <w:t>t</w:t>
      </w:r>
      <w:r w:rsidR="004C6554">
        <w:t xml:space="preserve">he Flexible Learning Advisory Group (FLAG) </w:t>
      </w:r>
      <w:r w:rsidR="00D04382">
        <w:t xml:space="preserve">is </w:t>
      </w:r>
      <w:r w:rsidR="004C6554">
        <w:t>the key policy advisory group on national directions and priorities for information and communication technologies in VET and</w:t>
      </w:r>
      <w:r w:rsidR="00D04382">
        <w:t xml:space="preserve"> </w:t>
      </w:r>
      <w:r w:rsidR="004C6554">
        <w:t>Adult and Community Education (ACE), and is responsible for implementing the N</w:t>
      </w:r>
      <w:r>
        <w:t>ational VET E-learning Strategy</w:t>
      </w:r>
    </w:p>
    <w:p w:rsidR="00355EDE" w:rsidRPr="00355EDE" w:rsidRDefault="002F3D00" w:rsidP="00355EDE">
      <w:pPr>
        <w:pStyle w:val="ListBullet"/>
      </w:pPr>
      <w:r>
        <w:t>t</w:t>
      </w:r>
      <w:r w:rsidR="00355EDE">
        <w:t>he National VET Equity Advisory Council (</w:t>
      </w:r>
      <w:proofErr w:type="spellStart"/>
      <w:r w:rsidR="004C6554">
        <w:t>NVEAC</w:t>
      </w:r>
      <w:proofErr w:type="spellEnd"/>
      <w:r w:rsidR="00355EDE">
        <w:t xml:space="preserve">) </w:t>
      </w:r>
      <w:r w:rsidR="00355EDE" w:rsidRPr="00355EDE">
        <w:t xml:space="preserve">advises </w:t>
      </w:r>
      <w:proofErr w:type="spellStart"/>
      <w:r w:rsidR="00355EDE">
        <w:t>SCOTESE</w:t>
      </w:r>
      <w:proofErr w:type="spellEnd"/>
      <w:r w:rsidR="00355EDE" w:rsidRPr="00355EDE">
        <w:t xml:space="preserve"> on how </w:t>
      </w:r>
      <w:r w:rsidR="00355EDE">
        <w:t>disadvantaged learners can achieve better outcomes from VET</w:t>
      </w:r>
      <w:r w:rsidR="001D2206">
        <w:t>.</w:t>
      </w:r>
    </w:p>
    <w:p w:rsidR="0060283E" w:rsidRDefault="0060283E" w:rsidP="00F9048F">
      <w:pPr>
        <w:pStyle w:val="BodyText"/>
      </w:pPr>
      <w:r>
        <w:t>Other bodies that provided advice and input to the national training environment in 201</w:t>
      </w:r>
      <w:r w:rsidR="00E67FA3">
        <w:t>3</w:t>
      </w:r>
      <w:r>
        <w:t xml:space="preserve"> included:</w:t>
      </w:r>
    </w:p>
    <w:p w:rsidR="0060283E" w:rsidRDefault="00B06A60" w:rsidP="007A34DD">
      <w:pPr>
        <w:pStyle w:val="ListBullet"/>
      </w:pPr>
      <w:r>
        <w:t>the Australian Workforce and Productivity Agen</w:t>
      </w:r>
      <w:r w:rsidR="00EF61D5">
        <w:t>cy</w:t>
      </w:r>
      <w:r>
        <w:t xml:space="preserve"> (</w:t>
      </w:r>
      <w:proofErr w:type="spellStart"/>
      <w:r w:rsidR="00EF61D5">
        <w:t>AWPA</w:t>
      </w:r>
      <w:proofErr w:type="spellEnd"/>
      <w:r>
        <w:t>)</w:t>
      </w:r>
      <w:r w:rsidR="0060283E">
        <w:t xml:space="preserve">, an independent statutory </w:t>
      </w:r>
      <w:r>
        <w:t>body</w:t>
      </w:r>
      <w:r w:rsidR="0060283E">
        <w:t xml:space="preserve">, which provides advice to the Federal Minister </w:t>
      </w:r>
      <w:r w:rsidR="00EF61D5">
        <w:t xml:space="preserve">for Tertiary Education, Skills, Science and Research </w:t>
      </w:r>
      <w:r w:rsidR="0060283E">
        <w:t>on Australia’s current, emerging and future workforce skills and workforce development needs</w:t>
      </w:r>
    </w:p>
    <w:p w:rsidR="0060283E" w:rsidRDefault="004C6554" w:rsidP="004C6554">
      <w:pPr>
        <w:pStyle w:val="ListBullet"/>
      </w:pPr>
      <w:r>
        <w:t>t</w:t>
      </w:r>
      <w:r w:rsidR="0060283E">
        <w:t>he Australian Qualifications Framework Council, which oversees the standards and pathways between competency ba</w:t>
      </w:r>
      <w:r w:rsidR="0050570E">
        <w:t>sed and academic qualifications</w:t>
      </w:r>
    </w:p>
    <w:p w:rsidR="0050570E" w:rsidRDefault="0050570E" w:rsidP="00877AB4">
      <w:pPr>
        <w:pStyle w:val="ListBullet"/>
      </w:pPr>
      <w:r>
        <w:t>the National Centre for Vocational Education and Research (N</w:t>
      </w:r>
      <w:r w:rsidR="0023174D">
        <w:t>C</w:t>
      </w:r>
      <w:r>
        <w:t xml:space="preserve">VER), an independent body </w:t>
      </w:r>
      <w:r w:rsidR="00E031DE">
        <w:t xml:space="preserve">owned by Commonwealth and State and Territory ministers, </w:t>
      </w:r>
      <w:r>
        <w:t>responsible for VET research and statistics</w:t>
      </w:r>
      <w:r w:rsidR="00E031DE">
        <w:t xml:space="preserve"> and </w:t>
      </w:r>
      <w:r>
        <w:t>custodian of national VET administrative collections.</w:t>
      </w:r>
    </w:p>
    <w:p w:rsidR="00884183" w:rsidRPr="007F0D75" w:rsidRDefault="00884183" w:rsidP="00F9048F">
      <w:pPr>
        <w:pStyle w:val="BodyText"/>
      </w:pPr>
      <w:r w:rsidRPr="007F0D75">
        <w:t xml:space="preserve">On 13 December 2013, </w:t>
      </w:r>
      <w:r w:rsidR="00993EFC">
        <w:t xml:space="preserve">following the change of Commonwealth Government, </w:t>
      </w:r>
      <w:r w:rsidRPr="007F0D75">
        <w:t xml:space="preserve">COAG considered its Council arrangements </w:t>
      </w:r>
      <w:r w:rsidR="002944E6">
        <w:t xml:space="preserve">and announced that SCOTESE would be replaced by </w:t>
      </w:r>
      <w:r w:rsidRPr="007F0D75">
        <w:t>a new Council for Industry and Skills (COAG 2013).</w:t>
      </w:r>
    </w:p>
    <w:p w:rsidR="0060283E" w:rsidRDefault="0060283E" w:rsidP="004C6554">
      <w:pPr>
        <w:pStyle w:val="Heading3"/>
      </w:pPr>
      <w:r w:rsidRPr="007F0D75">
        <w:t>Vocational educa</w:t>
      </w:r>
      <w:r w:rsidR="001D2206" w:rsidRPr="007F0D75">
        <w:t>tion and training funding flows</w:t>
      </w:r>
    </w:p>
    <w:p w:rsidR="0060283E" w:rsidRDefault="0060283E" w:rsidP="0060283E">
      <w:pPr>
        <w:pStyle w:val="BodyText"/>
      </w:pPr>
      <w:r>
        <w:t>State and Territory governments provide funding to VET providers (Reg</w:t>
      </w:r>
      <w:r w:rsidR="000B5441">
        <w:t>istered Training Organisations [</w:t>
      </w:r>
      <w:proofErr w:type="spellStart"/>
      <w:r>
        <w:t>RTOs</w:t>
      </w:r>
      <w:proofErr w:type="spellEnd"/>
      <w:r w:rsidR="000B5441">
        <w:t>]</w:t>
      </w:r>
      <w:r>
        <w:t xml:space="preserve">), students and employers through State and Territory training authorities, to support the delivery of training, improve student services and provide incentives for employers and apprentices. </w:t>
      </w:r>
      <w:proofErr w:type="spellStart"/>
      <w:r>
        <w:t>RTOs</w:t>
      </w:r>
      <w:proofErr w:type="spellEnd"/>
      <w:r>
        <w:t xml:space="preserve"> also receive revenue from individuals and organisations for fee-for-service programs, ancillary trading revenu</w:t>
      </w:r>
      <w:r w:rsidR="001D2206">
        <w:t>e, and other operating revenue.</w:t>
      </w:r>
    </w:p>
    <w:p w:rsidR="0060283E" w:rsidRDefault="0060283E" w:rsidP="0060283E">
      <w:pPr>
        <w:pStyle w:val="BodyText"/>
      </w:pPr>
      <w:r>
        <w:t>The Australian Government provides funding for Australian Apprenticeship Centres</w:t>
      </w:r>
      <w:r w:rsidR="00E6771E">
        <w:t>, personal benefits to Australian Apprentices</w:t>
      </w:r>
      <w:r>
        <w:t xml:space="preserve"> and incentives </w:t>
      </w:r>
      <w:r w:rsidR="00E6771E">
        <w:t>to their employers</w:t>
      </w:r>
      <w:r>
        <w:t xml:space="preserve">. The </w:t>
      </w:r>
      <w:r w:rsidR="00E6771E">
        <w:t>Australian Government also funded</w:t>
      </w:r>
      <w:r>
        <w:t xml:space="preserve"> the Productivity Places Program (PPP) (the job seeker component of the PPP </w:t>
      </w:r>
      <w:r w:rsidR="00E6771E">
        <w:t xml:space="preserve">was fully </w:t>
      </w:r>
      <w:r>
        <w:t xml:space="preserve">funded by the Australian Government, whilst the existing worker component of the PPP </w:t>
      </w:r>
      <w:r w:rsidR="00E6771E">
        <w:t xml:space="preserve">was </w:t>
      </w:r>
      <w:r>
        <w:t>jointly funded by the Australian and State and Territory gove</w:t>
      </w:r>
      <w:r w:rsidR="001D2206">
        <w:t>rnments).</w:t>
      </w:r>
      <w:r w:rsidR="00906F0D">
        <w:t xml:space="preserve"> </w:t>
      </w:r>
      <w:r>
        <w:t>Responsibility for the delivery of</w:t>
      </w:r>
      <w:r w:rsidR="004F2160">
        <w:t xml:space="preserve"> the</w:t>
      </w:r>
      <w:r>
        <w:t xml:space="preserve"> PPP </w:t>
      </w:r>
      <w:r w:rsidR="00157946">
        <w:t xml:space="preserve">was </w:t>
      </w:r>
      <w:r>
        <w:t>shared between the Australian Government and the states and territories.</w:t>
      </w:r>
      <w:r w:rsidR="00B93E97">
        <w:t xml:space="preserve"> </w:t>
      </w:r>
      <w:r w:rsidRPr="001B090C">
        <w:t>The Australian Government delivered mainstream PPP from April 2008 until 30 June 2009. From 30 June 2009, the states and territories became primarily responsible for the delivery of mainstream PPP, while the Australian Government retained responsibility for the Structural Adjustment Places sub-program, the New Enterprise Incentive Schem</w:t>
      </w:r>
      <w:r w:rsidR="001D2206" w:rsidRPr="001B090C">
        <w:t>e and the Enterprise Based PPP.</w:t>
      </w:r>
      <w:r w:rsidR="00906F0D" w:rsidRPr="001B090C">
        <w:t xml:space="preserve"> The PPP ceased at 30</w:t>
      </w:r>
      <w:r w:rsidR="00570D3D" w:rsidRPr="001B090C">
        <w:t> </w:t>
      </w:r>
      <w:r w:rsidR="00906F0D" w:rsidRPr="001B090C">
        <w:t>June 2012.</w:t>
      </w:r>
    </w:p>
    <w:p w:rsidR="0060283E" w:rsidRDefault="0060283E" w:rsidP="0060283E">
      <w:pPr>
        <w:pStyle w:val="BodyText"/>
      </w:pPr>
      <w:r>
        <w:t xml:space="preserve">The main funding flows in the VET system </w:t>
      </w:r>
      <w:r w:rsidR="00821379">
        <w:t>in 2013</w:t>
      </w:r>
      <w:r w:rsidR="00E46BF2">
        <w:t xml:space="preserve"> </w:t>
      </w:r>
      <w:r>
        <w:t>are shown in figure 3.</w:t>
      </w:r>
    </w:p>
    <w:p w:rsidR="0060283E" w:rsidRPr="00420DBB" w:rsidRDefault="0060283E" w:rsidP="0060283E">
      <w:pPr>
        <w:pStyle w:val="FigureTitle"/>
      </w:pPr>
      <w:bookmarkStart w:id="6" w:name="_Hlk292266631"/>
      <w:r>
        <w:rPr>
          <w:b w:val="0"/>
        </w:rPr>
        <w:t>Figure </w:t>
      </w:r>
      <w:r w:rsidR="00503759">
        <w:rPr>
          <w:b w:val="0"/>
          <w:noProof/>
        </w:rPr>
        <w:t>3</w:t>
      </w:r>
      <w:bookmarkEnd w:id="6"/>
      <w:r>
        <w:tab/>
      </w:r>
      <w:r w:rsidRPr="00420DBB">
        <w:t>Major funding flows within the VET system</w:t>
      </w:r>
      <w:r w:rsidR="00E46BF2">
        <w:t>, 201</w:t>
      </w:r>
      <w:r w:rsidR="00441A40">
        <w:t>3</w:t>
      </w:r>
    </w:p>
    <w:tbl>
      <w:tblPr>
        <w:tblW w:w="0" w:type="auto"/>
        <w:tblInd w:w="11" w:type="dxa"/>
        <w:tblBorders>
          <w:top w:val="single" w:sz="6" w:space="0" w:color="auto"/>
          <w:bottom w:val="single" w:sz="6" w:space="0" w:color="auto"/>
        </w:tblBorders>
        <w:tblLayout w:type="fixed"/>
        <w:tblCellMar>
          <w:left w:w="0" w:type="dxa"/>
          <w:right w:w="0" w:type="dxa"/>
        </w:tblCellMar>
        <w:tblLook w:val="0000" w:firstRow="0" w:lastRow="0" w:firstColumn="0" w:lastColumn="0" w:noHBand="0" w:noVBand="0"/>
        <w:tblDescription w:val="diagram of the major funding flows within the VET system in 2011"/>
      </w:tblPr>
      <w:tblGrid>
        <w:gridCol w:w="8777"/>
      </w:tblGrid>
      <w:tr w:rsidR="0060283E" w:rsidRPr="00420DBB" w:rsidTr="0060283E">
        <w:tc>
          <w:tcPr>
            <w:tcW w:w="8777" w:type="dxa"/>
            <w:tcBorders>
              <w:top w:val="single" w:sz="6" w:space="0" w:color="auto"/>
              <w:bottom w:val="single" w:sz="6" w:space="0" w:color="auto"/>
            </w:tcBorders>
          </w:tcPr>
          <w:p w:rsidR="0060283E" w:rsidRPr="00420DBB" w:rsidRDefault="002D2AD1" w:rsidP="0060283E">
            <w:pPr>
              <w:pStyle w:val="Figure"/>
            </w:pPr>
            <w:r>
              <w:rPr>
                <w:noProof/>
              </w:rPr>
              <w:drawing>
                <wp:inline distT="0" distB="0" distL="0" distR="0" wp14:anchorId="33A9E1DF" wp14:editId="174AF6D7">
                  <wp:extent cx="5359400" cy="3967480"/>
                  <wp:effectExtent l="0" t="0" r="0" b="0"/>
                  <wp:docPr id="12" name="Picture 12" descr="Shows the funding flows for the VET system in 2011 at a broad l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59400" cy="3967480"/>
                          </a:xfrm>
                          <a:prstGeom prst="rect">
                            <a:avLst/>
                          </a:prstGeom>
                          <a:noFill/>
                          <a:ln>
                            <a:noFill/>
                          </a:ln>
                        </pic:spPr>
                      </pic:pic>
                    </a:graphicData>
                  </a:graphic>
                </wp:inline>
              </w:drawing>
            </w:r>
          </w:p>
        </w:tc>
      </w:tr>
    </w:tbl>
    <w:p w:rsidR="0060283E" w:rsidRDefault="0060283E" w:rsidP="0060283E">
      <w:pPr>
        <w:pStyle w:val="Source"/>
      </w:pPr>
      <w:r>
        <w:rPr>
          <w:i/>
        </w:rPr>
        <w:t>Source</w:t>
      </w:r>
      <w:r w:rsidR="00B93E97">
        <w:t>: SCRGSP (2014</w:t>
      </w:r>
      <w:r>
        <w:t xml:space="preserve">) </w:t>
      </w:r>
      <w:r w:rsidRPr="000B42F6">
        <w:rPr>
          <w:i/>
        </w:rPr>
        <w:t>Report on Government Services 201</w:t>
      </w:r>
      <w:r w:rsidR="00441A40">
        <w:rPr>
          <w:i/>
        </w:rPr>
        <w:t>4</w:t>
      </w:r>
      <w:r>
        <w:t>, Productivity Commission, Canberra.</w:t>
      </w:r>
    </w:p>
    <w:p w:rsidR="0060283E" w:rsidRDefault="0060283E" w:rsidP="0060283E">
      <w:pPr>
        <w:pStyle w:val="BodyText"/>
      </w:pPr>
      <w:r>
        <w:t xml:space="preserve">Data on the funding that flows from the Australian Government to </w:t>
      </w:r>
      <w:r w:rsidR="00971C27">
        <w:t>i</w:t>
      </w:r>
      <w:r>
        <w:t>ndustry</w:t>
      </w:r>
      <w:r w:rsidR="00971C27">
        <w:t xml:space="preserve"> and</w:t>
      </w:r>
      <w:r>
        <w:t xml:space="preserve"> Australian Apprentices </w:t>
      </w:r>
      <w:r w:rsidR="003420AD">
        <w:t>can</w:t>
      </w:r>
      <w:r>
        <w:t>not be fully captured for reporting and are likely to be understated in the data tables in this report.</w:t>
      </w:r>
    </w:p>
    <w:p w:rsidR="00F75B7B" w:rsidRPr="00F75B7B" w:rsidRDefault="00017EB5" w:rsidP="00F75B7B">
      <w:pPr>
        <w:pStyle w:val="Heading3"/>
      </w:pPr>
      <w:r>
        <w:br w:type="page"/>
      </w:r>
      <w:r w:rsidR="00F75B7B" w:rsidRPr="00F75B7B">
        <w:t>Profile of VET</w:t>
      </w:r>
    </w:p>
    <w:p w:rsidR="004859E6" w:rsidRDefault="00F75B7B" w:rsidP="00F9048F">
      <w:pPr>
        <w:spacing w:before="240" w:line="320" w:lineRule="atLeast"/>
        <w:jc w:val="both"/>
        <w:rPr>
          <w:szCs w:val="20"/>
        </w:rPr>
      </w:pPr>
      <w:r w:rsidRPr="00F75B7B">
        <w:rPr>
          <w:szCs w:val="20"/>
        </w:rPr>
        <w:t xml:space="preserve">This profile of VET is informed by data from the NCVER </w:t>
      </w:r>
      <w:r w:rsidRPr="00F75B7B">
        <w:rPr>
          <w:i/>
          <w:szCs w:val="20"/>
        </w:rPr>
        <w:t>National VET Provider Collection</w:t>
      </w:r>
      <w:r w:rsidRPr="00F75B7B">
        <w:rPr>
          <w:szCs w:val="20"/>
        </w:rPr>
        <w:t>. Student participation and training activity in this collection does not include information from private or community providers where students are not</w:t>
      </w:r>
      <w:r w:rsidR="00E46BF2">
        <w:rPr>
          <w:szCs w:val="20"/>
        </w:rPr>
        <w:t xml:space="preserve"> currently</w:t>
      </w:r>
      <w:r w:rsidRPr="00F75B7B">
        <w:rPr>
          <w:szCs w:val="20"/>
        </w:rPr>
        <w:t xml:space="preserve"> government funded or whe</w:t>
      </w:r>
      <w:r w:rsidR="00D25DF7">
        <w:rPr>
          <w:szCs w:val="20"/>
        </w:rPr>
        <w:t>re the training is recreational/</w:t>
      </w:r>
      <w:r w:rsidRPr="00F75B7B">
        <w:rPr>
          <w:szCs w:val="20"/>
        </w:rPr>
        <w:t>leisure programs (figure 4).</w:t>
      </w:r>
      <w:r w:rsidR="00906F0D">
        <w:rPr>
          <w:szCs w:val="20"/>
        </w:rPr>
        <w:t xml:space="preserve"> </w:t>
      </w:r>
    </w:p>
    <w:p w:rsidR="00F75B7B" w:rsidRPr="00F75B7B" w:rsidRDefault="00F75B7B" w:rsidP="00F75B7B">
      <w:pPr>
        <w:spacing w:before="240" w:line="320" w:lineRule="atLeast"/>
        <w:jc w:val="both"/>
        <w:rPr>
          <w:szCs w:val="20"/>
        </w:rPr>
      </w:pPr>
      <w:r w:rsidRPr="00F75B7B">
        <w:rPr>
          <w:rFonts w:ascii="Arial" w:hAnsi="Arial"/>
        </w:rPr>
        <w:t>Figure </w:t>
      </w:r>
      <w:r w:rsidR="00503759">
        <w:rPr>
          <w:rFonts w:ascii="Arial" w:hAnsi="Arial"/>
          <w:noProof/>
        </w:rPr>
        <w:t>4</w:t>
      </w:r>
      <w:r w:rsidRPr="00F75B7B">
        <w:rPr>
          <w:rFonts w:ascii="Arial" w:hAnsi="Arial"/>
          <w:b/>
        </w:rPr>
        <w:tab/>
        <w:t>Scope of VET profile reporting</w:t>
      </w:r>
    </w:p>
    <w:p w:rsidR="009F167A" w:rsidRPr="00201144" w:rsidRDefault="009F167A" w:rsidP="009F167A">
      <w:pPr>
        <w:pStyle w:val="Figure"/>
        <w:rPr>
          <w:b/>
        </w:rPr>
      </w:pPr>
      <w:r>
        <w:rPr>
          <w:b/>
          <w:noProof/>
        </w:rPr>
        <w:drawing>
          <wp:inline distT="0" distB="0" distL="0" distR="0" wp14:anchorId="5505A2B7" wp14:editId="544039F2">
            <wp:extent cx="5572125" cy="2095500"/>
            <wp:effectExtent l="0" t="0" r="9525" b="0"/>
            <wp:docPr id="11" name="Picture 11" descr="Figure 5.1 - Scope of reporting. &#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72125" cy="2095500"/>
                    </a:xfrm>
                    <a:prstGeom prst="rect">
                      <a:avLst/>
                    </a:prstGeom>
                    <a:noFill/>
                    <a:ln>
                      <a:noFill/>
                    </a:ln>
                  </pic:spPr>
                </pic:pic>
              </a:graphicData>
            </a:graphic>
          </wp:inline>
        </w:drawing>
      </w:r>
    </w:p>
    <w:p w:rsidR="004E7A15" w:rsidRDefault="004E7A15" w:rsidP="004E7A15">
      <w:pPr>
        <w:keepLines/>
        <w:pBdr>
          <w:bottom w:val="single" w:sz="4" w:space="1" w:color="auto"/>
        </w:pBdr>
        <w:spacing w:before="80" w:after="120" w:line="220" w:lineRule="exact"/>
        <w:jc w:val="both"/>
        <w:rPr>
          <w:rFonts w:ascii="Arial" w:hAnsi="Arial"/>
          <w:i/>
          <w:sz w:val="18"/>
          <w:szCs w:val="20"/>
        </w:rPr>
      </w:pPr>
    </w:p>
    <w:p w:rsidR="00A763D5" w:rsidRDefault="00A763D5" w:rsidP="00A763D5">
      <w:pPr>
        <w:pStyle w:val="Source"/>
      </w:pPr>
      <w:r>
        <w:rPr>
          <w:i/>
        </w:rPr>
        <w:t>Source</w:t>
      </w:r>
      <w:r w:rsidR="00B93E97">
        <w:t>: SCRGSP (2014</w:t>
      </w:r>
      <w:r>
        <w:t xml:space="preserve">) </w:t>
      </w:r>
      <w:r w:rsidRPr="000B42F6">
        <w:rPr>
          <w:i/>
        </w:rPr>
        <w:t>Report on Government Services 201</w:t>
      </w:r>
      <w:r w:rsidR="00B93E97">
        <w:rPr>
          <w:i/>
        </w:rPr>
        <w:t>4</w:t>
      </w:r>
      <w:r>
        <w:t>, Productivity Commission, Canberra.</w:t>
      </w:r>
    </w:p>
    <w:p w:rsidR="004859E6" w:rsidRDefault="005F05DB" w:rsidP="00877AB4">
      <w:pPr>
        <w:spacing w:before="240" w:line="320" w:lineRule="atLeast"/>
        <w:jc w:val="both"/>
        <w:rPr>
          <w:szCs w:val="20"/>
        </w:rPr>
      </w:pPr>
      <w:r>
        <w:rPr>
          <w:szCs w:val="20"/>
        </w:rPr>
        <w:t xml:space="preserve">In </w:t>
      </w:r>
      <w:r w:rsidR="00D2368B">
        <w:rPr>
          <w:szCs w:val="20"/>
        </w:rPr>
        <w:t>2013</w:t>
      </w:r>
      <w:r>
        <w:rPr>
          <w:szCs w:val="20"/>
        </w:rPr>
        <w:t xml:space="preserve">, </w:t>
      </w:r>
      <w:r w:rsidR="004859E6">
        <w:rPr>
          <w:szCs w:val="20"/>
        </w:rPr>
        <w:t xml:space="preserve">SCOTESE agreed to arrangements for the introduction of mandatory reporting of training activity by all </w:t>
      </w:r>
      <w:proofErr w:type="spellStart"/>
      <w:r w:rsidR="004859E6">
        <w:rPr>
          <w:szCs w:val="20"/>
        </w:rPr>
        <w:t>RTOs</w:t>
      </w:r>
      <w:proofErr w:type="spellEnd"/>
      <w:r w:rsidRPr="005F05DB">
        <w:rPr>
          <w:szCs w:val="20"/>
        </w:rPr>
        <w:t xml:space="preserve"> </w:t>
      </w:r>
      <w:r>
        <w:rPr>
          <w:szCs w:val="20"/>
        </w:rPr>
        <w:t>from 2014,</w:t>
      </w:r>
      <w:r w:rsidR="004859E6">
        <w:rPr>
          <w:szCs w:val="20"/>
        </w:rPr>
        <w:t xml:space="preserve"> </w:t>
      </w:r>
      <w:r>
        <w:rPr>
          <w:szCs w:val="20"/>
        </w:rPr>
        <w:t xml:space="preserve">which </w:t>
      </w:r>
      <w:r w:rsidR="004859E6">
        <w:rPr>
          <w:szCs w:val="20"/>
        </w:rPr>
        <w:t>will be reflected in future NASWD performance reporting.</w:t>
      </w:r>
    </w:p>
    <w:p w:rsidR="00771B74" w:rsidRDefault="00771B74" w:rsidP="00E12842">
      <w:pPr>
        <w:pStyle w:val="BodyText"/>
      </w:pPr>
      <w:r>
        <w:t>The NASWD [para. 21] states that</w:t>
      </w:r>
      <w:r w:rsidR="008A3207">
        <w:t xml:space="preserve"> performance </w:t>
      </w:r>
      <w:r>
        <w:t>report</w:t>
      </w:r>
      <w:r w:rsidR="008A3207">
        <w:t xml:space="preserve">ing </w:t>
      </w:r>
      <w:r>
        <w:t>will reflect trends in training activity, including by qualifications. The information below is reported in three sections:</w:t>
      </w:r>
    </w:p>
    <w:p w:rsidR="00771B74" w:rsidRDefault="00771B74" w:rsidP="00771B74">
      <w:pPr>
        <w:pStyle w:val="ListBullet"/>
      </w:pPr>
      <w:r>
        <w:t>institutions</w:t>
      </w:r>
    </w:p>
    <w:p w:rsidR="00771B74" w:rsidRDefault="001D2206" w:rsidP="00771B74">
      <w:pPr>
        <w:pStyle w:val="ListBullet"/>
      </w:pPr>
      <w:r>
        <w:t>courses</w:t>
      </w:r>
    </w:p>
    <w:p w:rsidR="00771B74" w:rsidRDefault="001D2206" w:rsidP="00771B74">
      <w:pPr>
        <w:pStyle w:val="ListBullet"/>
      </w:pPr>
      <w:r>
        <w:t>students.</w:t>
      </w:r>
    </w:p>
    <w:p w:rsidR="00140E5B" w:rsidRDefault="00140E5B" w:rsidP="00C51819">
      <w:pPr>
        <w:pStyle w:val="BodyText"/>
      </w:pPr>
      <w:r>
        <w:t xml:space="preserve">The most recent collection of VET provider data for this report relates to activity in 2012, and </w:t>
      </w:r>
      <w:r w:rsidR="002944E6">
        <w:t xml:space="preserve">the following </w:t>
      </w:r>
      <w:r>
        <w:t xml:space="preserve">data were previously reported in the 2012 </w:t>
      </w:r>
      <w:r w:rsidR="000B17E4">
        <w:t xml:space="preserve">NASWD </w:t>
      </w:r>
      <w:r>
        <w:t>performance report.</w:t>
      </w:r>
    </w:p>
    <w:p w:rsidR="00017EB5" w:rsidRDefault="00D63AAA" w:rsidP="00D63AAA">
      <w:pPr>
        <w:pStyle w:val="Heading4"/>
      </w:pPr>
      <w:r>
        <w:t>Institutions</w:t>
      </w:r>
    </w:p>
    <w:p w:rsidR="00D63AAA" w:rsidRDefault="004177E0" w:rsidP="00A2151C">
      <w:pPr>
        <w:pStyle w:val="BodyText"/>
      </w:pPr>
      <w:r w:rsidRPr="006045C8">
        <w:t>In 201</w:t>
      </w:r>
      <w:r w:rsidR="00D41538">
        <w:t>2</w:t>
      </w:r>
      <w:r w:rsidRPr="00227D25">
        <w:t xml:space="preserve">, </w:t>
      </w:r>
      <w:r w:rsidR="006F7AB1">
        <w:t>2</w:t>
      </w:r>
      <w:r w:rsidR="00247342" w:rsidRPr="00247342">
        <w:t>889</w:t>
      </w:r>
      <w:r w:rsidRPr="00247342">
        <w:t xml:space="preserve"> </w:t>
      </w:r>
      <w:r w:rsidR="00D63AAA" w:rsidRPr="00247342">
        <w:t>VET</w:t>
      </w:r>
      <w:r w:rsidR="00D63AAA" w:rsidRPr="00227D25">
        <w:t xml:space="preserve"> providers received government funding (that is, T</w:t>
      </w:r>
      <w:r w:rsidR="006045C8" w:rsidRPr="00227D25">
        <w:t>echnical</w:t>
      </w:r>
      <w:r w:rsidR="00D63AAA" w:rsidRPr="00227D25">
        <w:t xml:space="preserve"> and Further Education (TAFE) and other government providers, and </w:t>
      </w:r>
      <w:r w:rsidR="00AD73F1">
        <w:t xml:space="preserve">non-government or private </w:t>
      </w:r>
      <w:proofErr w:type="spellStart"/>
      <w:r w:rsidR="001B13DF">
        <w:t>RTOs</w:t>
      </w:r>
      <w:proofErr w:type="spellEnd"/>
      <w:r w:rsidR="00D63AAA" w:rsidRPr="00227D25">
        <w:t xml:space="preserve"> that received government recurrent funding for VET delivery). </w:t>
      </w:r>
      <w:r w:rsidR="004F2160" w:rsidRPr="00227D25">
        <w:t>S</w:t>
      </w:r>
      <w:r w:rsidR="00D63AAA" w:rsidRPr="00227D25">
        <w:t xml:space="preserve">ome providers have more than one outlet, </w:t>
      </w:r>
      <w:r w:rsidR="004F2160" w:rsidRPr="00227D25">
        <w:t xml:space="preserve">and </w:t>
      </w:r>
      <w:r w:rsidR="00D63AAA" w:rsidRPr="00227D25">
        <w:t>government fu</w:t>
      </w:r>
      <w:r w:rsidR="00753126" w:rsidRPr="00227D25">
        <w:t xml:space="preserve">nded programs were delivered at </w:t>
      </w:r>
      <w:r w:rsidR="00247342">
        <w:t>22 759</w:t>
      </w:r>
      <w:r w:rsidR="00753126" w:rsidRPr="00227D25">
        <w:t xml:space="preserve"> </w:t>
      </w:r>
      <w:r w:rsidR="00D63AAA" w:rsidRPr="00227D25">
        <w:t>locations around Australia. The numbers of government funded VET providers and</w:t>
      </w:r>
      <w:r w:rsidR="00D63AAA" w:rsidRPr="00D63AAA">
        <w:t xml:space="preserve"> delivery locations across jurisdictions are shown in table 2 (disaggregation by type of provider </w:t>
      </w:r>
      <w:r w:rsidR="00595A0C">
        <w:t>for 2008–2012 are</w:t>
      </w:r>
      <w:r w:rsidR="00D63AAA" w:rsidRPr="00D63AAA">
        <w:t xml:space="preserve"> avail</w:t>
      </w:r>
      <w:r w:rsidR="00320091">
        <w:t>able in attachment table</w:t>
      </w:r>
      <w:r w:rsidR="00595A0C">
        <w:t>s</w:t>
      </w:r>
      <w:r w:rsidR="00320091">
        <w:t xml:space="preserve"> </w:t>
      </w:r>
      <w:proofErr w:type="spellStart"/>
      <w:r w:rsidR="00320091">
        <w:t>SWD.C.3</w:t>
      </w:r>
      <w:proofErr w:type="spellEnd"/>
      <w:r w:rsidR="002E73F3">
        <w:t>–4</w:t>
      </w:r>
      <w:r w:rsidR="00D63AAA" w:rsidRPr="00D63AAA">
        <w:t>).</w:t>
      </w:r>
    </w:p>
    <w:p w:rsidR="00D63AAA" w:rsidRPr="00EF00E5" w:rsidRDefault="00D63AAA" w:rsidP="00247342">
      <w:pPr>
        <w:pStyle w:val="TableTitle"/>
        <w:rPr>
          <w:rStyle w:val="NoteLabel"/>
        </w:rPr>
      </w:pPr>
      <w:r>
        <w:rPr>
          <w:b w:val="0"/>
        </w:rPr>
        <w:t xml:space="preserve">Table </w:t>
      </w:r>
      <w:r w:rsidR="00503759">
        <w:rPr>
          <w:b w:val="0"/>
          <w:noProof/>
        </w:rPr>
        <w:t>2</w:t>
      </w:r>
      <w:r>
        <w:tab/>
        <w:t>Number of VET providers and locations (number)</w:t>
      </w:r>
      <w:r w:rsidR="006F7AB1">
        <w:t xml:space="preserve">, </w:t>
      </w:r>
      <w:r w:rsidR="006F7AB1" w:rsidRPr="00EF00E5">
        <w:t>2012</w:t>
      </w:r>
      <w:r w:rsidR="00EF00E5" w:rsidRPr="002559E2">
        <w:rPr>
          <w:rStyle w:val="NoteLabel"/>
          <w:b/>
        </w:rPr>
        <w:t>a</w:t>
      </w:r>
    </w:p>
    <w:tbl>
      <w:tblPr>
        <w:tblW w:w="5000" w:type="pct"/>
        <w:tblCellMar>
          <w:left w:w="0" w:type="dxa"/>
          <w:right w:w="0" w:type="dxa"/>
        </w:tblCellMar>
        <w:tblLook w:val="0000" w:firstRow="0" w:lastRow="0" w:firstColumn="0" w:lastColumn="0" w:noHBand="0" w:noVBand="0"/>
      </w:tblPr>
      <w:tblGrid>
        <w:gridCol w:w="2502"/>
        <w:gridCol w:w="695"/>
        <w:gridCol w:w="695"/>
        <w:gridCol w:w="696"/>
        <w:gridCol w:w="694"/>
        <w:gridCol w:w="694"/>
        <w:gridCol w:w="696"/>
        <w:gridCol w:w="694"/>
        <w:gridCol w:w="694"/>
        <w:gridCol w:w="729"/>
      </w:tblGrid>
      <w:tr w:rsidR="00B80439" w:rsidRPr="007039E5" w:rsidTr="006F7AB1">
        <w:tc>
          <w:tcPr>
            <w:tcW w:w="1423" w:type="pct"/>
            <w:tcBorders>
              <w:top w:val="single" w:sz="6" w:space="0" w:color="auto"/>
              <w:bottom w:val="single" w:sz="6" w:space="0" w:color="auto"/>
            </w:tcBorders>
          </w:tcPr>
          <w:p w:rsidR="00B80439" w:rsidRPr="007039E5" w:rsidRDefault="00B80439" w:rsidP="00247342">
            <w:pPr>
              <w:pStyle w:val="TableColumnHeading"/>
            </w:pPr>
          </w:p>
        </w:tc>
        <w:tc>
          <w:tcPr>
            <w:tcW w:w="395" w:type="pct"/>
            <w:tcBorders>
              <w:top w:val="single" w:sz="6" w:space="0" w:color="auto"/>
              <w:bottom w:val="single" w:sz="6" w:space="0" w:color="auto"/>
            </w:tcBorders>
            <w:vAlign w:val="bottom"/>
          </w:tcPr>
          <w:p w:rsidR="00B80439" w:rsidRPr="007039E5" w:rsidRDefault="00B80439" w:rsidP="00247342">
            <w:pPr>
              <w:pStyle w:val="TableColumnHeading"/>
            </w:pPr>
            <w:r w:rsidRPr="007039E5">
              <w:t>NSW</w:t>
            </w:r>
          </w:p>
        </w:tc>
        <w:tc>
          <w:tcPr>
            <w:tcW w:w="395" w:type="pct"/>
            <w:tcBorders>
              <w:top w:val="single" w:sz="6" w:space="0" w:color="auto"/>
              <w:bottom w:val="single" w:sz="6" w:space="0" w:color="auto"/>
            </w:tcBorders>
            <w:vAlign w:val="bottom"/>
          </w:tcPr>
          <w:p w:rsidR="00B80439" w:rsidRPr="007039E5" w:rsidRDefault="00B80439" w:rsidP="00247342">
            <w:pPr>
              <w:pStyle w:val="TableColumnHeading"/>
            </w:pPr>
            <w:r w:rsidRPr="007039E5">
              <w:t>Vic</w:t>
            </w:r>
          </w:p>
        </w:tc>
        <w:tc>
          <w:tcPr>
            <w:tcW w:w="396" w:type="pct"/>
            <w:tcBorders>
              <w:top w:val="single" w:sz="6" w:space="0" w:color="auto"/>
              <w:bottom w:val="single" w:sz="6" w:space="0" w:color="auto"/>
            </w:tcBorders>
            <w:vAlign w:val="bottom"/>
          </w:tcPr>
          <w:p w:rsidR="00B80439" w:rsidRPr="007039E5" w:rsidRDefault="00B80439" w:rsidP="00247342">
            <w:pPr>
              <w:pStyle w:val="TableColumnHeading"/>
            </w:pPr>
            <w:r w:rsidRPr="007039E5">
              <w:t>Qld</w:t>
            </w:r>
          </w:p>
        </w:tc>
        <w:tc>
          <w:tcPr>
            <w:tcW w:w="395" w:type="pct"/>
            <w:tcBorders>
              <w:top w:val="single" w:sz="6" w:space="0" w:color="auto"/>
              <w:bottom w:val="single" w:sz="6" w:space="0" w:color="auto"/>
            </w:tcBorders>
            <w:vAlign w:val="bottom"/>
          </w:tcPr>
          <w:p w:rsidR="00B80439" w:rsidRPr="007039E5" w:rsidRDefault="00B80439" w:rsidP="00247342">
            <w:pPr>
              <w:pStyle w:val="TableColumnHeading"/>
            </w:pPr>
            <w:r>
              <w:t>WA</w:t>
            </w:r>
          </w:p>
        </w:tc>
        <w:tc>
          <w:tcPr>
            <w:tcW w:w="395" w:type="pct"/>
            <w:tcBorders>
              <w:top w:val="single" w:sz="6" w:space="0" w:color="auto"/>
              <w:bottom w:val="single" w:sz="6" w:space="0" w:color="auto"/>
            </w:tcBorders>
            <w:vAlign w:val="bottom"/>
          </w:tcPr>
          <w:p w:rsidR="00B80439" w:rsidRPr="007039E5" w:rsidRDefault="00B80439" w:rsidP="00247342">
            <w:pPr>
              <w:pStyle w:val="TableColumnHeading"/>
            </w:pPr>
            <w:r w:rsidRPr="007039E5">
              <w:t>SA</w:t>
            </w:r>
          </w:p>
        </w:tc>
        <w:tc>
          <w:tcPr>
            <w:tcW w:w="396" w:type="pct"/>
            <w:tcBorders>
              <w:top w:val="single" w:sz="6" w:space="0" w:color="auto"/>
              <w:bottom w:val="single" w:sz="6" w:space="0" w:color="auto"/>
            </w:tcBorders>
            <w:vAlign w:val="bottom"/>
          </w:tcPr>
          <w:p w:rsidR="00B80439" w:rsidRPr="007039E5" w:rsidRDefault="00B80439" w:rsidP="00247342">
            <w:pPr>
              <w:pStyle w:val="TableColumnHeading"/>
            </w:pPr>
            <w:r w:rsidRPr="007039E5">
              <w:t>Tas</w:t>
            </w:r>
          </w:p>
        </w:tc>
        <w:tc>
          <w:tcPr>
            <w:tcW w:w="395" w:type="pct"/>
            <w:tcBorders>
              <w:top w:val="single" w:sz="6" w:space="0" w:color="auto"/>
              <w:bottom w:val="single" w:sz="6" w:space="0" w:color="auto"/>
            </w:tcBorders>
            <w:vAlign w:val="bottom"/>
          </w:tcPr>
          <w:p w:rsidR="00B80439" w:rsidRPr="007039E5" w:rsidRDefault="00B80439" w:rsidP="00247342">
            <w:pPr>
              <w:pStyle w:val="TableColumnHeading"/>
            </w:pPr>
            <w:r w:rsidRPr="007039E5">
              <w:t>ACT</w:t>
            </w:r>
          </w:p>
        </w:tc>
        <w:tc>
          <w:tcPr>
            <w:tcW w:w="395" w:type="pct"/>
            <w:tcBorders>
              <w:top w:val="single" w:sz="6" w:space="0" w:color="auto"/>
              <w:bottom w:val="single" w:sz="6" w:space="0" w:color="auto"/>
            </w:tcBorders>
            <w:vAlign w:val="bottom"/>
          </w:tcPr>
          <w:p w:rsidR="00B80439" w:rsidRPr="007039E5" w:rsidRDefault="00B80439" w:rsidP="00247342">
            <w:pPr>
              <w:pStyle w:val="TableColumnHeading"/>
            </w:pPr>
            <w:r w:rsidRPr="007039E5">
              <w:t>NT</w:t>
            </w:r>
          </w:p>
        </w:tc>
        <w:tc>
          <w:tcPr>
            <w:tcW w:w="416" w:type="pct"/>
            <w:tcBorders>
              <w:top w:val="single" w:sz="6" w:space="0" w:color="auto"/>
              <w:bottom w:val="single" w:sz="6" w:space="0" w:color="auto"/>
            </w:tcBorders>
            <w:vAlign w:val="bottom"/>
          </w:tcPr>
          <w:p w:rsidR="00B80439" w:rsidRPr="007039E5" w:rsidRDefault="00B80439" w:rsidP="00247342">
            <w:pPr>
              <w:pStyle w:val="TableColumnHeading"/>
              <w:ind w:right="0"/>
            </w:pPr>
            <w:proofErr w:type="spellStart"/>
            <w:r w:rsidRPr="007039E5">
              <w:t>Aust</w:t>
            </w:r>
            <w:proofErr w:type="spellEnd"/>
          </w:p>
        </w:tc>
      </w:tr>
      <w:tr w:rsidR="00DB7814" w:rsidRPr="00227D25" w:rsidTr="006F7AB1">
        <w:tc>
          <w:tcPr>
            <w:tcW w:w="1423" w:type="pct"/>
          </w:tcPr>
          <w:p w:rsidR="00DB7814" w:rsidRPr="00227D25" w:rsidRDefault="00DF2594" w:rsidP="00140E5B">
            <w:pPr>
              <w:pStyle w:val="TableBodyText"/>
              <w:ind w:left="0"/>
              <w:jc w:val="both"/>
            </w:pPr>
            <w:r w:rsidRPr="00227D25">
              <w:t>Total providers</w:t>
            </w:r>
          </w:p>
        </w:tc>
        <w:tc>
          <w:tcPr>
            <w:tcW w:w="395" w:type="pct"/>
            <w:vAlign w:val="center"/>
          </w:tcPr>
          <w:p w:rsidR="00DB7814" w:rsidRPr="00247342" w:rsidRDefault="00247342" w:rsidP="00247342">
            <w:pPr>
              <w:pStyle w:val="TableUnitsRow"/>
              <w:rPr>
                <w:rStyle w:val="DraftingNote"/>
                <w:b w:val="0"/>
                <w:color w:val="auto"/>
                <w:sz w:val="20"/>
                <w:u w:val="none"/>
              </w:rPr>
            </w:pPr>
            <w:r w:rsidRPr="00247342">
              <w:rPr>
                <w:rStyle w:val="DraftingNote"/>
                <w:b w:val="0"/>
                <w:color w:val="auto"/>
                <w:sz w:val="20"/>
                <w:u w:val="none"/>
              </w:rPr>
              <w:t>628</w:t>
            </w:r>
          </w:p>
        </w:tc>
        <w:tc>
          <w:tcPr>
            <w:tcW w:w="395" w:type="pct"/>
            <w:vAlign w:val="center"/>
          </w:tcPr>
          <w:p w:rsidR="00DB7814" w:rsidRPr="00247342" w:rsidRDefault="00247342" w:rsidP="00247342">
            <w:pPr>
              <w:pStyle w:val="TableUnitsRow"/>
              <w:rPr>
                <w:rStyle w:val="DraftingNote"/>
                <w:b w:val="0"/>
                <w:color w:val="auto"/>
                <w:sz w:val="20"/>
                <w:u w:val="none"/>
              </w:rPr>
            </w:pPr>
            <w:r w:rsidRPr="00247342">
              <w:rPr>
                <w:rStyle w:val="DraftingNote"/>
                <w:b w:val="0"/>
                <w:color w:val="auto"/>
                <w:sz w:val="20"/>
                <w:u w:val="none"/>
              </w:rPr>
              <w:t>598</w:t>
            </w:r>
          </w:p>
        </w:tc>
        <w:tc>
          <w:tcPr>
            <w:tcW w:w="396" w:type="pct"/>
            <w:vAlign w:val="center"/>
          </w:tcPr>
          <w:p w:rsidR="00DB7814" w:rsidRPr="00247342" w:rsidRDefault="00247342" w:rsidP="00247342">
            <w:pPr>
              <w:pStyle w:val="TableUnitsRow"/>
              <w:rPr>
                <w:rStyle w:val="DraftingNote"/>
                <w:b w:val="0"/>
                <w:color w:val="auto"/>
                <w:sz w:val="20"/>
                <w:u w:val="none"/>
              </w:rPr>
            </w:pPr>
            <w:r w:rsidRPr="00247342">
              <w:rPr>
                <w:rStyle w:val="DraftingNote"/>
                <w:b w:val="0"/>
                <w:color w:val="auto"/>
                <w:sz w:val="20"/>
                <w:u w:val="none"/>
              </w:rPr>
              <w:t>606</w:t>
            </w:r>
          </w:p>
        </w:tc>
        <w:tc>
          <w:tcPr>
            <w:tcW w:w="395" w:type="pct"/>
            <w:vAlign w:val="center"/>
          </w:tcPr>
          <w:p w:rsidR="00DB7814" w:rsidRPr="00247342" w:rsidRDefault="00247342" w:rsidP="00247342">
            <w:pPr>
              <w:pStyle w:val="TableUnitsRow"/>
              <w:rPr>
                <w:rStyle w:val="DraftingNote"/>
                <w:b w:val="0"/>
                <w:color w:val="auto"/>
                <w:sz w:val="20"/>
                <w:u w:val="none"/>
              </w:rPr>
            </w:pPr>
            <w:r w:rsidRPr="00247342">
              <w:rPr>
                <w:rStyle w:val="DraftingNote"/>
                <w:b w:val="0"/>
                <w:color w:val="auto"/>
                <w:sz w:val="20"/>
                <w:u w:val="none"/>
              </w:rPr>
              <w:t>365</w:t>
            </w:r>
          </w:p>
        </w:tc>
        <w:tc>
          <w:tcPr>
            <w:tcW w:w="395" w:type="pct"/>
            <w:vAlign w:val="center"/>
          </w:tcPr>
          <w:p w:rsidR="00DB7814" w:rsidRPr="00247342" w:rsidRDefault="00247342" w:rsidP="00247342">
            <w:pPr>
              <w:pStyle w:val="TableUnitsRow"/>
              <w:rPr>
                <w:rStyle w:val="DraftingNote"/>
                <w:b w:val="0"/>
                <w:color w:val="auto"/>
                <w:sz w:val="20"/>
                <w:u w:val="none"/>
              </w:rPr>
            </w:pPr>
            <w:r w:rsidRPr="00247342">
              <w:rPr>
                <w:rStyle w:val="DraftingNote"/>
                <w:b w:val="0"/>
                <w:color w:val="auto"/>
                <w:sz w:val="20"/>
                <w:u w:val="none"/>
              </w:rPr>
              <w:t>384</w:t>
            </w:r>
          </w:p>
        </w:tc>
        <w:tc>
          <w:tcPr>
            <w:tcW w:w="396" w:type="pct"/>
            <w:vAlign w:val="center"/>
          </w:tcPr>
          <w:p w:rsidR="00DB7814" w:rsidRPr="00247342" w:rsidRDefault="00247342" w:rsidP="00247342">
            <w:pPr>
              <w:pStyle w:val="TableUnitsRow"/>
              <w:rPr>
                <w:rStyle w:val="DraftingNote"/>
                <w:b w:val="0"/>
                <w:color w:val="auto"/>
                <w:sz w:val="20"/>
                <w:u w:val="none"/>
              </w:rPr>
            </w:pPr>
            <w:r w:rsidRPr="00247342">
              <w:rPr>
                <w:rStyle w:val="DraftingNote"/>
                <w:b w:val="0"/>
                <w:color w:val="auto"/>
                <w:sz w:val="20"/>
                <w:u w:val="none"/>
              </w:rPr>
              <w:t>123</w:t>
            </w:r>
          </w:p>
        </w:tc>
        <w:tc>
          <w:tcPr>
            <w:tcW w:w="395" w:type="pct"/>
            <w:vAlign w:val="center"/>
          </w:tcPr>
          <w:p w:rsidR="00DB7814" w:rsidRPr="00247342" w:rsidRDefault="00247342" w:rsidP="00247342">
            <w:pPr>
              <w:pStyle w:val="TableUnitsRow"/>
              <w:rPr>
                <w:rStyle w:val="DraftingNote"/>
                <w:b w:val="0"/>
                <w:color w:val="auto"/>
                <w:sz w:val="20"/>
                <w:u w:val="none"/>
              </w:rPr>
            </w:pPr>
            <w:r w:rsidRPr="00247342">
              <w:rPr>
                <w:rStyle w:val="DraftingNote"/>
                <w:b w:val="0"/>
                <w:color w:val="auto"/>
                <w:sz w:val="20"/>
                <w:u w:val="none"/>
              </w:rPr>
              <w:t>81</w:t>
            </w:r>
          </w:p>
        </w:tc>
        <w:tc>
          <w:tcPr>
            <w:tcW w:w="395" w:type="pct"/>
            <w:vAlign w:val="center"/>
          </w:tcPr>
          <w:p w:rsidR="00DB7814" w:rsidRPr="00247342" w:rsidRDefault="00247342" w:rsidP="00247342">
            <w:pPr>
              <w:pStyle w:val="TableUnitsRow"/>
              <w:rPr>
                <w:rStyle w:val="DraftingNote"/>
                <w:b w:val="0"/>
                <w:color w:val="auto"/>
                <w:sz w:val="20"/>
                <w:u w:val="none"/>
              </w:rPr>
            </w:pPr>
            <w:r w:rsidRPr="00247342">
              <w:rPr>
                <w:rStyle w:val="DraftingNote"/>
                <w:b w:val="0"/>
                <w:color w:val="auto"/>
                <w:sz w:val="20"/>
                <w:u w:val="none"/>
              </w:rPr>
              <w:t>104</w:t>
            </w:r>
          </w:p>
        </w:tc>
        <w:tc>
          <w:tcPr>
            <w:tcW w:w="416" w:type="pct"/>
            <w:vAlign w:val="center"/>
          </w:tcPr>
          <w:p w:rsidR="00DB7814" w:rsidRPr="00247342" w:rsidRDefault="00247342" w:rsidP="00140E5B">
            <w:pPr>
              <w:pStyle w:val="TableUnitsRow"/>
              <w:ind w:right="0"/>
              <w:rPr>
                <w:rStyle w:val="DraftingNote"/>
                <w:b w:val="0"/>
                <w:color w:val="auto"/>
                <w:sz w:val="20"/>
                <w:u w:val="none"/>
              </w:rPr>
            </w:pPr>
            <w:r w:rsidRPr="00247342">
              <w:rPr>
                <w:rStyle w:val="DraftingNote"/>
                <w:b w:val="0"/>
                <w:color w:val="auto"/>
                <w:sz w:val="20"/>
                <w:u w:val="none"/>
              </w:rPr>
              <w:t>2</w:t>
            </w:r>
            <w:r w:rsidR="00577D60">
              <w:rPr>
                <w:rStyle w:val="DraftingNote"/>
                <w:b w:val="0"/>
                <w:color w:val="auto"/>
                <w:sz w:val="20"/>
                <w:u w:val="none"/>
              </w:rPr>
              <w:t> </w:t>
            </w:r>
            <w:r w:rsidRPr="00247342">
              <w:rPr>
                <w:rStyle w:val="DraftingNote"/>
                <w:b w:val="0"/>
                <w:color w:val="auto"/>
                <w:sz w:val="20"/>
                <w:u w:val="none"/>
              </w:rPr>
              <w:t>889</w:t>
            </w:r>
          </w:p>
        </w:tc>
      </w:tr>
      <w:tr w:rsidR="00DB7814" w:rsidRPr="00227D25" w:rsidTr="006F7AB1">
        <w:tc>
          <w:tcPr>
            <w:tcW w:w="1423" w:type="pct"/>
            <w:tcBorders>
              <w:bottom w:val="single" w:sz="6" w:space="0" w:color="auto"/>
            </w:tcBorders>
          </w:tcPr>
          <w:p w:rsidR="00DB7814" w:rsidRPr="00227D25" w:rsidRDefault="00DF2594" w:rsidP="00140E5B">
            <w:pPr>
              <w:pStyle w:val="TableBodyText"/>
              <w:ind w:left="0"/>
              <w:jc w:val="both"/>
            </w:pPr>
            <w:r w:rsidRPr="00227D25">
              <w:t>Total locations</w:t>
            </w:r>
          </w:p>
        </w:tc>
        <w:tc>
          <w:tcPr>
            <w:tcW w:w="395" w:type="pct"/>
            <w:tcBorders>
              <w:bottom w:val="single" w:sz="6" w:space="0" w:color="auto"/>
            </w:tcBorders>
            <w:vAlign w:val="center"/>
          </w:tcPr>
          <w:p w:rsidR="00DB7814" w:rsidRPr="00247342" w:rsidRDefault="00247342" w:rsidP="00247342">
            <w:pPr>
              <w:pStyle w:val="TableUnitsRow"/>
              <w:rPr>
                <w:rStyle w:val="DraftingNote"/>
                <w:b w:val="0"/>
                <w:color w:val="auto"/>
                <w:sz w:val="20"/>
                <w:u w:val="none"/>
              </w:rPr>
            </w:pPr>
            <w:r w:rsidRPr="00247342">
              <w:rPr>
                <w:rStyle w:val="DraftingNote"/>
                <w:b w:val="0"/>
                <w:color w:val="auto"/>
                <w:sz w:val="20"/>
                <w:u w:val="none"/>
              </w:rPr>
              <w:t>3</w:t>
            </w:r>
            <w:r w:rsidR="00577D60">
              <w:rPr>
                <w:rStyle w:val="DraftingNote"/>
                <w:b w:val="0"/>
                <w:color w:val="auto"/>
                <w:sz w:val="20"/>
                <w:u w:val="none"/>
              </w:rPr>
              <w:t> </w:t>
            </w:r>
            <w:r w:rsidRPr="00247342">
              <w:rPr>
                <w:rStyle w:val="DraftingNote"/>
                <w:b w:val="0"/>
                <w:color w:val="auto"/>
                <w:sz w:val="20"/>
                <w:u w:val="none"/>
              </w:rPr>
              <w:t>923</w:t>
            </w:r>
          </w:p>
        </w:tc>
        <w:tc>
          <w:tcPr>
            <w:tcW w:w="395" w:type="pct"/>
            <w:tcBorders>
              <w:bottom w:val="single" w:sz="6" w:space="0" w:color="auto"/>
            </w:tcBorders>
            <w:vAlign w:val="center"/>
          </w:tcPr>
          <w:p w:rsidR="00DB7814" w:rsidRPr="00247342" w:rsidRDefault="00247342" w:rsidP="00247342">
            <w:pPr>
              <w:pStyle w:val="TableUnitsRow"/>
              <w:rPr>
                <w:rStyle w:val="DraftingNote"/>
                <w:b w:val="0"/>
                <w:color w:val="auto"/>
                <w:sz w:val="20"/>
                <w:u w:val="none"/>
              </w:rPr>
            </w:pPr>
            <w:r w:rsidRPr="00247342">
              <w:rPr>
                <w:rStyle w:val="DraftingNote"/>
                <w:b w:val="0"/>
                <w:color w:val="auto"/>
                <w:sz w:val="20"/>
                <w:u w:val="none"/>
              </w:rPr>
              <w:t>5</w:t>
            </w:r>
            <w:r w:rsidR="00577D60">
              <w:rPr>
                <w:rStyle w:val="DraftingNote"/>
                <w:b w:val="0"/>
                <w:color w:val="auto"/>
                <w:sz w:val="20"/>
                <w:u w:val="none"/>
              </w:rPr>
              <w:t> </w:t>
            </w:r>
            <w:r w:rsidRPr="00247342">
              <w:rPr>
                <w:rStyle w:val="DraftingNote"/>
                <w:b w:val="0"/>
                <w:color w:val="auto"/>
                <w:sz w:val="20"/>
                <w:u w:val="none"/>
              </w:rPr>
              <w:t>654</w:t>
            </w:r>
          </w:p>
        </w:tc>
        <w:tc>
          <w:tcPr>
            <w:tcW w:w="396" w:type="pct"/>
            <w:tcBorders>
              <w:bottom w:val="single" w:sz="6" w:space="0" w:color="auto"/>
            </w:tcBorders>
            <w:vAlign w:val="center"/>
          </w:tcPr>
          <w:p w:rsidR="00DB7814" w:rsidRPr="00247342" w:rsidRDefault="00247342" w:rsidP="00247342">
            <w:pPr>
              <w:pStyle w:val="TableUnitsRow"/>
              <w:rPr>
                <w:rStyle w:val="DraftingNote"/>
                <w:b w:val="0"/>
                <w:color w:val="auto"/>
                <w:sz w:val="20"/>
                <w:u w:val="none"/>
              </w:rPr>
            </w:pPr>
            <w:r w:rsidRPr="00247342">
              <w:rPr>
                <w:rStyle w:val="DraftingNote"/>
                <w:b w:val="0"/>
                <w:color w:val="auto"/>
                <w:sz w:val="20"/>
                <w:u w:val="none"/>
              </w:rPr>
              <w:t>8</w:t>
            </w:r>
            <w:r w:rsidR="00577D60">
              <w:rPr>
                <w:rStyle w:val="DraftingNote"/>
                <w:b w:val="0"/>
                <w:color w:val="auto"/>
                <w:sz w:val="20"/>
                <w:u w:val="none"/>
              </w:rPr>
              <w:t> </w:t>
            </w:r>
            <w:r w:rsidRPr="00247342">
              <w:rPr>
                <w:rStyle w:val="DraftingNote"/>
                <w:b w:val="0"/>
                <w:color w:val="auto"/>
                <w:sz w:val="20"/>
                <w:u w:val="none"/>
              </w:rPr>
              <w:t>025</w:t>
            </w:r>
          </w:p>
        </w:tc>
        <w:tc>
          <w:tcPr>
            <w:tcW w:w="395" w:type="pct"/>
            <w:tcBorders>
              <w:bottom w:val="single" w:sz="6" w:space="0" w:color="auto"/>
            </w:tcBorders>
            <w:vAlign w:val="center"/>
          </w:tcPr>
          <w:p w:rsidR="00DB7814" w:rsidRPr="00247342" w:rsidRDefault="00247342" w:rsidP="00247342">
            <w:pPr>
              <w:pStyle w:val="TableUnitsRow"/>
              <w:rPr>
                <w:rStyle w:val="DraftingNote"/>
                <w:b w:val="0"/>
                <w:color w:val="auto"/>
                <w:sz w:val="20"/>
                <w:u w:val="none"/>
              </w:rPr>
            </w:pPr>
            <w:r w:rsidRPr="00247342">
              <w:rPr>
                <w:rStyle w:val="DraftingNote"/>
                <w:b w:val="0"/>
                <w:color w:val="auto"/>
                <w:sz w:val="20"/>
                <w:u w:val="none"/>
              </w:rPr>
              <w:t>2</w:t>
            </w:r>
            <w:r w:rsidR="00577D60">
              <w:rPr>
                <w:rStyle w:val="DraftingNote"/>
                <w:b w:val="0"/>
                <w:color w:val="auto"/>
                <w:sz w:val="20"/>
                <w:u w:val="none"/>
              </w:rPr>
              <w:t> </w:t>
            </w:r>
            <w:r w:rsidRPr="00247342">
              <w:rPr>
                <w:rStyle w:val="DraftingNote"/>
                <w:b w:val="0"/>
                <w:color w:val="auto"/>
                <w:sz w:val="20"/>
                <w:u w:val="none"/>
              </w:rPr>
              <w:t>251</w:t>
            </w:r>
          </w:p>
        </w:tc>
        <w:tc>
          <w:tcPr>
            <w:tcW w:w="395" w:type="pct"/>
            <w:tcBorders>
              <w:bottom w:val="single" w:sz="6" w:space="0" w:color="auto"/>
            </w:tcBorders>
            <w:vAlign w:val="center"/>
          </w:tcPr>
          <w:p w:rsidR="00DB7814" w:rsidRPr="00247342" w:rsidRDefault="00247342" w:rsidP="00247342">
            <w:pPr>
              <w:pStyle w:val="TableUnitsRow"/>
              <w:rPr>
                <w:rStyle w:val="DraftingNote"/>
                <w:b w:val="0"/>
                <w:color w:val="auto"/>
                <w:sz w:val="20"/>
                <w:u w:val="none"/>
              </w:rPr>
            </w:pPr>
            <w:r w:rsidRPr="00247342">
              <w:rPr>
                <w:rStyle w:val="DraftingNote"/>
                <w:b w:val="0"/>
                <w:color w:val="auto"/>
                <w:sz w:val="20"/>
                <w:u w:val="none"/>
              </w:rPr>
              <w:t>1</w:t>
            </w:r>
            <w:r w:rsidR="00577D60">
              <w:rPr>
                <w:rStyle w:val="DraftingNote"/>
                <w:b w:val="0"/>
                <w:color w:val="auto"/>
                <w:sz w:val="20"/>
                <w:u w:val="none"/>
              </w:rPr>
              <w:t> </w:t>
            </w:r>
            <w:r w:rsidRPr="00247342">
              <w:rPr>
                <w:rStyle w:val="DraftingNote"/>
                <w:b w:val="0"/>
                <w:color w:val="auto"/>
                <w:sz w:val="20"/>
                <w:u w:val="none"/>
              </w:rPr>
              <w:t>559</w:t>
            </w:r>
          </w:p>
        </w:tc>
        <w:tc>
          <w:tcPr>
            <w:tcW w:w="396" w:type="pct"/>
            <w:tcBorders>
              <w:bottom w:val="single" w:sz="6" w:space="0" w:color="auto"/>
            </w:tcBorders>
            <w:vAlign w:val="center"/>
          </w:tcPr>
          <w:p w:rsidR="00DB7814" w:rsidRPr="00247342" w:rsidRDefault="00247342" w:rsidP="00247342">
            <w:pPr>
              <w:pStyle w:val="TableUnitsRow"/>
              <w:rPr>
                <w:rStyle w:val="DraftingNote"/>
                <w:b w:val="0"/>
                <w:color w:val="auto"/>
                <w:sz w:val="20"/>
                <w:u w:val="none"/>
              </w:rPr>
            </w:pPr>
            <w:r w:rsidRPr="00247342">
              <w:rPr>
                <w:rStyle w:val="DraftingNote"/>
                <w:b w:val="0"/>
                <w:color w:val="auto"/>
                <w:sz w:val="20"/>
                <w:u w:val="none"/>
              </w:rPr>
              <w:t>502</w:t>
            </w:r>
          </w:p>
        </w:tc>
        <w:tc>
          <w:tcPr>
            <w:tcW w:w="395" w:type="pct"/>
            <w:tcBorders>
              <w:bottom w:val="single" w:sz="6" w:space="0" w:color="auto"/>
            </w:tcBorders>
            <w:vAlign w:val="center"/>
          </w:tcPr>
          <w:p w:rsidR="00DB7814" w:rsidRPr="00247342" w:rsidRDefault="00247342" w:rsidP="00247342">
            <w:pPr>
              <w:pStyle w:val="TableUnitsRow"/>
              <w:rPr>
                <w:rStyle w:val="DraftingNote"/>
                <w:b w:val="0"/>
                <w:color w:val="auto"/>
                <w:sz w:val="20"/>
                <w:u w:val="none"/>
              </w:rPr>
            </w:pPr>
            <w:r w:rsidRPr="00247342">
              <w:rPr>
                <w:rStyle w:val="DraftingNote"/>
                <w:b w:val="0"/>
                <w:color w:val="auto"/>
                <w:sz w:val="20"/>
                <w:u w:val="none"/>
              </w:rPr>
              <w:t>145</w:t>
            </w:r>
          </w:p>
        </w:tc>
        <w:tc>
          <w:tcPr>
            <w:tcW w:w="395" w:type="pct"/>
            <w:tcBorders>
              <w:bottom w:val="single" w:sz="6" w:space="0" w:color="auto"/>
            </w:tcBorders>
            <w:vAlign w:val="center"/>
          </w:tcPr>
          <w:p w:rsidR="00DB7814" w:rsidRPr="00247342" w:rsidRDefault="00247342" w:rsidP="00247342">
            <w:pPr>
              <w:pStyle w:val="TableUnitsRow"/>
              <w:rPr>
                <w:rStyle w:val="DraftingNote"/>
                <w:b w:val="0"/>
                <w:color w:val="auto"/>
                <w:sz w:val="20"/>
                <w:u w:val="none"/>
              </w:rPr>
            </w:pPr>
            <w:r w:rsidRPr="00247342">
              <w:rPr>
                <w:rStyle w:val="DraftingNote"/>
                <w:b w:val="0"/>
                <w:color w:val="auto"/>
                <w:sz w:val="20"/>
                <w:u w:val="none"/>
              </w:rPr>
              <w:t>700</w:t>
            </w:r>
          </w:p>
        </w:tc>
        <w:tc>
          <w:tcPr>
            <w:tcW w:w="416" w:type="pct"/>
            <w:tcBorders>
              <w:bottom w:val="single" w:sz="6" w:space="0" w:color="auto"/>
            </w:tcBorders>
            <w:vAlign w:val="center"/>
          </w:tcPr>
          <w:p w:rsidR="00DB7814" w:rsidRPr="00247342" w:rsidRDefault="00247342" w:rsidP="00140E5B">
            <w:pPr>
              <w:pStyle w:val="TableUnitsRow"/>
              <w:ind w:right="0"/>
              <w:rPr>
                <w:rStyle w:val="DraftingNote"/>
                <w:b w:val="0"/>
                <w:color w:val="auto"/>
                <w:sz w:val="20"/>
                <w:u w:val="none"/>
              </w:rPr>
            </w:pPr>
            <w:r w:rsidRPr="00247342">
              <w:rPr>
                <w:rStyle w:val="DraftingNote"/>
                <w:b w:val="0"/>
                <w:color w:val="auto"/>
                <w:sz w:val="20"/>
                <w:u w:val="none"/>
              </w:rPr>
              <w:t>22</w:t>
            </w:r>
            <w:r w:rsidR="00577D60">
              <w:rPr>
                <w:rStyle w:val="DraftingNote"/>
                <w:b w:val="0"/>
                <w:color w:val="auto"/>
                <w:sz w:val="20"/>
                <w:u w:val="none"/>
              </w:rPr>
              <w:t> </w:t>
            </w:r>
            <w:r w:rsidRPr="00247342">
              <w:rPr>
                <w:rStyle w:val="DraftingNote"/>
                <w:b w:val="0"/>
                <w:color w:val="auto"/>
                <w:sz w:val="20"/>
                <w:u w:val="none"/>
              </w:rPr>
              <w:t>759</w:t>
            </w:r>
          </w:p>
        </w:tc>
      </w:tr>
    </w:tbl>
    <w:p w:rsidR="00EF00E5" w:rsidRPr="00EF00E5" w:rsidRDefault="00EF00E5" w:rsidP="00A2151C">
      <w:pPr>
        <w:pStyle w:val="Note"/>
        <w:rPr>
          <w:rStyle w:val="NoteLabel"/>
          <w:b w:val="0"/>
          <w:position w:val="0"/>
        </w:rPr>
      </w:pPr>
      <w:r w:rsidRPr="00EF00E5">
        <w:rPr>
          <w:rStyle w:val="NoteLabel"/>
        </w:rPr>
        <w:t>a</w:t>
      </w:r>
      <w:r>
        <w:rPr>
          <w:rStyle w:val="NoteLabel"/>
        </w:rPr>
        <w:t xml:space="preserve"> </w:t>
      </w:r>
      <w:r w:rsidRPr="00EF00E5">
        <w:t xml:space="preserve">Refer </w:t>
      </w:r>
      <w:r>
        <w:t>to the National VET Provider Collection Data Quality Statement for information on data quality.</w:t>
      </w:r>
    </w:p>
    <w:p w:rsidR="00D63AAA" w:rsidRPr="00227D25" w:rsidRDefault="00D63AAA" w:rsidP="00D87377">
      <w:pPr>
        <w:pStyle w:val="Source"/>
      </w:pPr>
      <w:r w:rsidRPr="00227D25">
        <w:rPr>
          <w:i/>
        </w:rPr>
        <w:t>Source</w:t>
      </w:r>
      <w:r w:rsidRPr="00227D25">
        <w:t xml:space="preserve">: </w:t>
      </w:r>
      <w:r w:rsidR="00B80439" w:rsidRPr="00227D25">
        <w:t>NCVER (unpublished) N</w:t>
      </w:r>
      <w:r w:rsidR="00E2570B" w:rsidRPr="00227D25">
        <w:t>ational VET pr</w:t>
      </w:r>
      <w:r w:rsidR="00320091" w:rsidRPr="00227D25">
        <w:t xml:space="preserve">ovider collection; table </w:t>
      </w:r>
      <w:proofErr w:type="spellStart"/>
      <w:r w:rsidR="00320091" w:rsidRPr="00227D25">
        <w:t>SWD.C.3</w:t>
      </w:r>
      <w:proofErr w:type="spellEnd"/>
      <w:r w:rsidR="00E2570B" w:rsidRPr="00227D25">
        <w:t>.</w:t>
      </w:r>
    </w:p>
    <w:p w:rsidR="003A0B0A" w:rsidRPr="00227D25" w:rsidRDefault="003A0B0A" w:rsidP="003A0B0A">
      <w:pPr>
        <w:pStyle w:val="Heading4"/>
      </w:pPr>
      <w:r w:rsidRPr="00227D25">
        <w:t>Courses</w:t>
      </w:r>
    </w:p>
    <w:p w:rsidR="003A0B0A" w:rsidRDefault="003A0B0A" w:rsidP="007A34DD">
      <w:pPr>
        <w:pStyle w:val="BodyText"/>
      </w:pPr>
      <w:r w:rsidRPr="00227D25">
        <w:t xml:space="preserve">The VET sector is large and varied. Qualifications vary significantly in length, level and field, and range from non-award courses to </w:t>
      </w:r>
      <w:proofErr w:type="spellStart"/>
      <w:r w:rsidRPr="00227D25">
        <w:t>AQF</w:t>
      </w:r>
      <w:proofErr w:type="spellEnd"/>
      <w:r w:rsidRPr="00227D25">
        <w:t xml:space="preserve"> Certificates (levels I–IV), Diplomas</w:t>
      </w:r>
      <w:r w:rsidR="001B13DF">
        <w:t xml:space="preserve">, </w:t>
      </w:r>
      <w:r w:rsidRPr="00227D25">
        <w:t xml:space="preserve">Advanced Diplomas and above. </w:t>
      </w:r>
      <w:r w:rsidR="008D78E9" w:rsidRPr="00227D25">
        <w:t>N</w:t>
      </w:r>
      <w:r w:rsidRPr="00227D25">
        <w:t>ationally in 201</w:t>
      </w:r>
      <w:r w:rsidR="00D41538" w:rsidRPr="00227D25">
        <w:t>2</w:t>
      </w:r>
      <w:r w:rsidRPr="00227D25">
        <w:t xml:space="preserve">, </w:t>
      </w:r>
      <w:r w:rsidR="00247342">
        <w:t>13.8</w:t>
      </w:r>
      <w:r w:rsidR="00B12EC5" w:rsidRPr="00227D25">
        <w:t xml:space="preserve"> </w:t>
      </w:r>
      <w:r w:rsidRPr="00227D25">
        <w:t xml:space="preserve">per cent of all VET students were </w:t>
      </w:r>
      <w:r w:rsidR="00247342">
        <w:t>undertaking a Diploma or above, 51.4</w:t>
      </w:r>
      <w:r w:rsidRPr="00227D25">
        <w:t xml:space="preserve"> per cent were enrolled in an </w:t>
      </w:r>
      <w:proofErr w:type="spellStart"/>
      <w:r w:rsidRPr="00227D25">
        <w:t>AQF</w:t>
      </w:r>
      <w:proofErr w:type="spellEnd"/>
      <w:r w:rsidRPr="00227D25">
        <w:t xml:space="preserve"> Certificate level III or IV, </w:t>
      </w:r>
      <w:r w:rsidR="00247342">
        <w:t>20.7</w:t>
      </w:r>
      <w:r w:rsidR="00B12EC5" w:rsidRPr="00227D25">
        <w:t xml:space="preserve"> </w:t>
      </w:r>
      <w:r w:rsidRPr="00227D25">
        <w:t xml:space="preserve">per cent were enrolled in an </w:t>
      </w:r>
      <w:proofErr w:type="spellStart"/>
      <w:r w:rsidRPr="00227D25">
        <w:t>AQF</w:t>
      </w:r>
      <w:proofErr w:type="spellEnd"/>
      <w:r w:rsidRPr="00227D25">
        <w:t xml:space="preserve"> Certificate level I or II or lower, and </w:t>
      </w:r>
      <w:r w:rsidR="00247342" w:rsidRPr="00247342">
        <w:t>14.1</w:t>
      </w:r>
      <w:r w:rsidR="00B12EC5" w:rsidRPr="00247342">
        <w:t xml:space="preserve"> </w:t>
      </w:r>
      <w:r w:rsidRPr="00247342">
        <w:t>per</w:t>
      </w:r>
      <w:r w:rsidRPr="00227D25">
        <w:t xml:space="preserve"> cent were enrolled in a course that did not lead directly to a qualification. The proportions of VET students, by course level, across jurisdictions, </w:t>
      </w:r>
      <w:r w:rsidR="000159BC" w:rsidRPr="00227D25">
        <w:t xml:space="preserve">for </w:t>
      </w:r>
      <w:r w:rsidR="005B5A39" w:rsidRPr="00227D25">
        <w:t>2012</w:t>
      </w:r>
      <w:r w:rsidR="000159BC" w:rsidRPr="00227D25">
        <w:t xml:space="preserve"> </w:t>
      </w:r>
      <w:r w:rsidRPr="00227D25">
        <w:t>are shown in figure 5 (data are available in table</w:t>
      </w:r>
      <w:r w:rsidR="0044624E" w:rsidRPr="00227D25">
        <w:t> </w:t>
      </w:r>
      <w:proofErr w:type="spellStart"/>
      <w:r w:rsidRPr="00227D25">
        <w:t>SWD.C.</w:t>
      </w:r>
      <w:r w:rsidR="00C83B08">
        <w:t>5</w:t>
      </w:r>
      <w:proofErr w:type="spellEnd"/>
      <w:r w:rsidRPr="00227D25">
        <w:t>).</w:t>
      </w:r>
    </w:p>
    <w:p w:rsidR="003A0B0A" w:rsidRDefault="003A0B0A" w:rsidP="00A2151C">
      <w:pPr>
        <w:pStyle w:val="FigureTitle"/>
      </w:pPr>
      <w:r>
        <w:rPr>
          <w:b w:val="0"/>
        </w:rPr>
        <w:t xml:space="preserve">Figure </w:t>
      </w:r>
      <w:r w:rsidR="00503759">
        <w:rPr>
          <w:b w:val="0"/>
          <w:noProof/>
        </w:rPr>
        <w:t>5</w:t>
      </w:r>
      <w:r>
        <w:tab/>
        <w:t xml:space="preserve">Proportion of VET students, by course </w:t>
      </w:r>
      <w:r w:rsidR="008A0CB8">
        <w:t>leve</w:t>
      </w:r>
      <w:r w:rsidR="005C2A2A">
        <w:t>l</w:t>
      </w:r>
      <w:r w:rsidR="00CD4CC5">
        <w:t>, 2012</w:t>
      </w:r>
      <w:r w:rsidR="00554FEE">
        <w:t xml:space="preserve"> (per cent)</w:t>
      </w:r>
      <w:r w:rsidRPr="003A0B0A">
        <w:rPr>
          <w:rStyle w:val="NoteLabel"/>
          <w:b/>
        </w:rPr>
        <w:t>a, b, c, d, e</w:t>
      </w:r>
    </w:p>
    <w:tbl>
      <w:tblPr>
        <w:tblW w:w="0" w:type="auto"/>
        <w:tblInd w:w="119" w:type="dxa"/>
        <w:tblBorders>
          <w:top w:val="single" w:sz="6" w:space="0" w:color="auto"/>
          <w:bottom w:val="single" w:sz="6" w:space="0" w:color="auto"/>
        </w:tblBorders>
        <w:tblLayout w:type="fixed"/>
        <w:tblLook w:val="0000" w:firstRow="0" w:lastRow="0" w:firstColumn="0" w:lastColumn="0" w:noHBand="0" w:noVBand="0"/>
      </w:tblPr>
      <w:tblGrid>
        <w:gridCol w:w="8777"/>
      </w:tblGrid>
      <w:tr w:rsidR="003A0B0A" w:rsidTr="003D14FC">
        <w:tc>
          <w:tcPr>
            <w:tcW w:w="8777" w:type="dxa"/>
          </w:tcPr>
          <w:p w:rsidR="003A0B0A" w:rsidRPr="00FB38BD" w:rsidRDefault="003D14FC" w:rsidP="00D87377">
            <w:pPr>
              <w:pStyle w:val="Figure"/>
              <w:rPr>
                <w:rStyle w:val="DraftingNote"/>
                <w:color w:val="auto"/>
              </w:rPr>
            </w:pPr>
            <w:r>
              <w:rPr>
                <w:noProof/>
              </w:rPr>
              <w:drawing>
                <wp:inline distT="0" distB="0" distL="0" distR="0" wp14:anchorId="409720DC" wp14:editId="00D47643">
                  <wp:extent cx="5305425" cy="2409825"/>
                  <wp:effectExtent l="0" t="0" r="0" b="0"/>
                  <wp:docPr id="22" name="Chart 22" descr="Stacked bar chart adding to 100 per cent by State and Territory, with two years of data. proportion of VET students at each course level is stacked to 10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rsidR="003A0B0A" w:rsidRDefault="003A0B0A" w:rsidP="00D87377">
      <w:pPr>
        <w:pStyle w:val="Note"/>
      </w:pPr>
      <w:r>
        <w:rPr>
          <w:rStyle w:val="NoteLabel"/>
        </w:rPr>
        <w:t>a</w:t>
      </w:r>
      <w:r>
        <w:sym w:font="Symbol" w:char="F020"/>
      </w:r>
      <w:r w:rsidRPr="003A0B0A">
        <w:t xml:space="preserve"> </w:t>
      </w:r>
      <w:r>
        <w:t xml:space="preserve">Refer to the National VET Provider Collection Data Quality Statement for information on data quality. </w:t>
      </w:r>
      <w:r w:rsidRPr="003A0B0A">
        <w:rPr>
          <w:rStyle w:val="NoteLabel"/>
        </w:rPr>
        <w:t>b</w:t>
      </w:r>
      <w:r w:rsidR="00771B74">
        <w:rPr>
          <w:rStyle w:val="NoteLabel"/>
        </w:rPr>
        <w:t> </w:t>
      </w:r>
      <w:r>
        <w:t xml:space="preserve">‘Course level’ denotes the highest qualification attempted by a student in a reporting year. </w:t>
      </w:r>
      <w:r w:rsidRPr="003A0B0A">
        <w:rPr>
          <w:rStyle w:val="NoteLabel"/>
        </w:rPr>
        <w:t>c</w:t>
      </w:r>
      <w:r>
        <w:t xml:space="preserve"> ‘Diploma or above’ qualifications include diploma, associate degree, advanced diploma, bachelor degree, graduate certificate and graduate diploma qualifications. </w:t>
      </w:r>
      <w:r w:rsidRPr="003A0B0A">
        <w:rPr>
          <w:rStyle w:val="NoteLabel"/>
        </w:rPr>
        <w:t>d</w:t>
      </w:r>
      <w:r>
        <w:t xml:space="preserve"> ‘</w:t>
      </w:r>
      <w:proofErr w:type="spellStart"/>
      <w:r>
        <w:t>AQF</w:t>
      </w:r>
      <w:proofErr w:type="spellEnd"/>
      <w:r>
        <w:t xml:space="preserve"> Certificate I, II or lower’ includes Certificate I, II, and years 11 and 12 where students are participating in VET training with a nationally accredited outcome. </w:t>
      </w:r>
      <w:r w:rsidRPr="003A0B0A">
        <w:rPr>
          <w:rStyle w:val="NoteLabel"/>
        </w:rPr>
        <w:t>e</w:t>
      </w:r>
      <w:r w:rsidR="00771B74">
        <w:rPr>
          <w:rStyle w:val="NoteLabel"/>
        </w:rPr>
        <w:t> </w:t>
      </w:r>
      <w:r>
        <w:t>‘Other’ includes training programs that do not directly lead to a qualification</w:t>
      </w:r>
      <w:r w:rsidR="00731095">
        <w:t>; t</w:t>
      </w:r>
      <w:r>
        <w:t>hat is, non-award courses, subject only enrolments, statement of attainment, and bridging and enabling courses.</w:t>
      </w:r>
    </w:p>
    <w:p w:rsidR="003A0B0A" w:rsidRDefault="003A0B0A" w:rsidP="00D87377">
      <w:pPr>
        <w:pStyle w:val="Note"/>
      </w:pPr>
      <w:r w:rsidRPr="003A0B0A">
        <w:rPr>
          <w:i/>
        </w:rPr>
        <w:t>Source:</w:t>
      </w:r>
      <w:r>
        <w:t xml:space="preserve"> NCVER (unpublished) N</w:t>
      </w:r>
      <w:r w:rsidR="00E2570B">
        <w:t>ational VET pr</w:t>
      </w:r>
      <w:r w:rsidR="005C2A2A">
        <w:t xml:space="preserve">ovider collection; table </w:t>
      </w:r>
      <w:proofErr w:type="spellStart"/>
      <w:r w:rsidR="005C2A2A">
        <w:t>SWD.C.</w:t>
      </w:r>
      <w:r w:rsidR="00C83B08">
        <w:t>5</w:t>
      </w:r>
      <w:proofErr w:type="spellEnd"/>
      <w:r w:rsidR="00E2570B">
        <w:t>.</w:t>
      </w:r>
    </w:p>
    <w:p w:rsidR="00724A07" w:rsidRDefault="00724A07" w:rsidP="00D87377">
      <w:pPr>
        <w:pStyle w:val="Heading5"/>
      </w:pPr>
      <w:r>
        <w:t>Enrolments</w:t>
      </w:r>
    </w:p>
    <w:p w:rsidR="00724A07" w:rsidRDefault="00724A07" w:rsidP="00D87377">
      <w:pPr>
        <w:pStyle w:val="BodyText"/>
      </w:pPr>
      <w:r>
        <w:t>Government funded c</w:t>
      </w:r>
      <w:r w:rsidR="005C2A2A">
        <w:t>ourse enrolments in VET for 2012</w:t>
      </w:r>
      <w:r>
        <w:t xml:space="preserve"> </w:t>
      </w:r>
      <w:r w:rsidR="00E2570B">
        <w:t xml:space="preserve">by Indigenous status </w:t>
      </w:r>
      <w:r w:rsidR="005C2A2A">
        <w:t>are shown in table 3</w:t>
      </w:r>
      <w:r w:rsidR="00687DCC">
        <w:t>.</w:t>
      </w:r>
    </w:p>
    <w:p w:rsidR="00724A07" w:rsidRPr="00140F2D" w:rsidRDefault="00724A07" w:rsidP="00A2151C">
      <w:pPr>
        <w:pStyle w:val="TableTitle"/>
        <w:rPr>
          <w:rStyle w:val="NoteLabel"/>
        </w:rPr>
      </w:pPr>
      <w:r>
        <w:rPr>
          <w:b w:val="0"/>
        </w:rPr>
        <w:t xml:space="preserve">Table </w:t>
      </w:r>
      <w:bookmarkStart w:id="7" w:name="OLE_LINK1"/>
      <w:r w:rsidR="00503759">
        <w:rPr>
          <w:b w:val="0"/>
          <w:noProof/>
        </w:rPr>
        <w:t>3</w:t>
      </w:r>
      <w:bookmarkEnd w:id="7"/>
      <w:r>
        <w:tab/>
        <w:t>Number of government funded course enrolments in VET,</w:t>
      </w:r>
      <w:r w:rsidR="00E2570B">
        <w:t xml:space="preserve"> by </w:t>
      </w:r>
      <w:r w:rsidR="00C92ADB">
        <w:t xml:space="preserve">total and </w:t>
      </w:r>
      <w:r w:rsidR="00E2570B">
        <w:t>Indigenous</w:t>
      </w:r>
      <w:r w:rsidR="00C92ADB">
        <w:t xml:space="preserve"> students</w:t>
      </w:r>
      <w:r w:rsidR="00E83C5B">
        <w:t>,</w:t>
      </w:r>
      <w:r w:rsidR="00F96DA9">
        <w:t xml:space="preserve"> 2012</w:t>
      </w:r>
      <w:r w:rsidR="00140F2D" w:rsidRPr="00140F2D">
        <w:rPr>
          <w:rStyle w:val="NoteLabel"/>
          <w:b/>
        </w:rPr>
        <w:t>a</w:t>
      </w:r>
    </w:p>
    <w:tbl>
      <w:tblPr>
        <w:tblW w:w="5000" w:type="pct"/>
        <w:tblCellMar>
          <w:left w:w="0" w:type="dxa"/>
          <w:right w:w="0" w:type="dxa"/>
        </w:tblCellMar>
        <w:tblLook w:val="0000" w:firstRow="0" w:lastRow="0" w:firstColumn="0" w:lastColumn="0" w:noHBand="0" w:noVBand="0"/>
      </w:tblPr>
      <w:tblGrid>
        <w:gridCol w:w="1239"/>
        <w:gridCol w:w="842"/>
        <w:gridCol w:w="842"/>
        <w:gridCol w:w="842"/>
        <w:gridCol w:w="842"/>
        <w:gridCol w:w="842"/>
        <w:gridCol w:w="800"/>
        <w:gridCol w:w="800"/>
        <w:gridCol w:w="731"/>
        <w:gridCol w:w="1009"/>
      </w:tblGrid>
      <w:tr w:rsidR="00724A07" w:rsidRPr="00227D25" w:rsidTr="00EF00E5">
        <w:tc>
          <w:tcPr>
            <w:tcW w:w="705" w:type="pct"/>
            <w:tcBorders>
              <w:top w:val="single" w:sz="6" w:space="0" w:color="auto"/>
              <w:bottom w:val="single" w:sz="6" w:space="0" w:color="auto"/>
            </w:tcBorders>
            <w:shd w:val="clear" w:color="auto" w:fill="auto"/>
          </w:tcPr>
          <w:p w:rsidR="00724A07" w:rsidRDefault="00724A07" w:rsidP="00D87377">
            <w:pPr>
              <w:pStyle w:val="TableColumnHeading"/>
              <w:jc w:val="left"/>
            </w:pPr>
          </w:p>
        </w:tc>
        <w:tc>
          <w:tcPr>
            <w:tcW w:w="479" w:type="pct"/>
            <w:tcBorders>
              <w:top w:val="single" w:sz="6" w:space="0" w:color="auto"/>
              <w:bottom w:val="single" w:sz="6" w:space="0" w:color="auto"/>
            </w:tcBorders>
            <w:shd w:val="clear" w:color="auto" w:fill="auto"/>
          </w:tcPr>
          <w:p w:rsidR="00724A07" w:rsidRPr="00227D25" w:rsidRDefault="00724A07" w:rsidP="00AA3506">
            <w:pPr>
              <w:pStyle w:val="TableColumnHeading"/>
              <w:ind w:right="0"/>
            </w:pPr>
            <w:r w:rsidRPr="00227D25">
              <w:t>NSW</w:t>
            </w:r>
          </w:p>
        </w:tc>
        <w:tc>
          <w:tcPr>
            <w:tcW w:w="479" w:type="pct"/>
            <w:tcBorders>
              <w:top w:val="single" w:sz="6" w:space="0" w:color="auto"/>
              <w:bottom w:val="single" w:sz="6" w:space="0" w:color="auto"/>
            </w:tcBorders>
            <w:shd w:val="clear" w:color="auto" w:fill="auto"/>
          </w:tcPr>
          <w:p w:rsidR="00724A07" w:rsidRPr="00227D25" w:rsidRDefault="00724A07" w:rsidP="00AA3506">
            <w:pPr>
              <w:pStyle w:val="TableColumnHeading"/>
              <w:ind w:right="0"/>
            </w:pPr>
            <w:r w:rsidRPr="00227D25">
              <w:t>Vic</w:t>
            </w:r>
          </w:p>
        </w:tc>
        <w:tc>
          <w:tcPr>
            <w:tcW w:w="479" w:type="pct"/>
            <w:tcBorders>
              <w:top w:val="single" w:sz="6" w:space="0" w:color="auto"/>
              <w:bottom w:val="single" w:sz="6" w:space="0" w:color="auto"/>
            </w:tcBorders>
            <w:shd w:val="clear" w:color="auto" w:fill="auto"/>
          </w:tcPr>
          <w:p w:rsidR="00724A07" w:rsidRPr="00227D25" w:rsidRDefault="00724A07" w:rsidP="00AA3506">
            <w:pPr>
              <w:pStyle w:val="TableColumnHeading"/>
              <w:ind w:right="0"/>
            </w:pPr>
            <w:r w:rsidRPr="00227D25">
              <w:t>Qld</w:t>
            </w:r>
          </w:p>
        </w:tc>
        <w:tc>
          <w:tcPr>
            <w:tcW w:w="479" w:type="pct"/>
            <w:tcBorders>
              <w:top w:val="single" w:sz="6" w:space="0" w:color="auto"/>
              <w:bottom w:val="single" w:sz="6" w:space="0" w:color="auto"/>
            </w:tcBorders>
            <w:shd w:val="clear" w:color="auto" w:fill="auto"/>
          </w:tcPr>
          <w:p w:rsidR="00724A07" w:rsidRPr="00227D25" w:rsidRDefault="00724A07" w:rsidP="00AA3506">
            <w:pPr>
              <w:pStyle w:val="TableColumnHeading"/>
              <w:ind w:right="0"/>
            </w:pPr>
            <w:r w:rsidRPr="00227D25">
              <w:t>WA</w:t>
            </w:r>
          </w:p>
        </w:tc>
        <w:tc>
          <w:tcPr>
            <w:tcW w:w="479" w:type="pct"/>
            <w:tcBorders>
              <w:top w:val="single" w:sz="6" w:space="0" w:color="auto"/>
              <w:bottom w:val="single" w:sz="6" w:space="0" w:color="auto"/>
            </w:tcBorders>
            <w:shd w:val="clear" w:color="auto" w:fill="auto"/>
          </w:tcPr>
          <w:p w:rsidR="00724A07" w:rsidRPr="00227D25" w:rsidRDefault="00724A07" w:rsidP="00AA3506">
            <w:pPr>
              <w:pStyle w:val="TableColumnHeading"/>
              <w:ind w:right="0"/>
            </w:pPr>
            <w:r w:rsidRPr="00227D25">
              <w:t>SA</w:t>
            </w:r>
          </w:p>
        </w:tc>
        <w:tc>
          <w:tcPr>
            <w:tcW w:w="455" w:type="pct"/>
            <w:tcBorders>
              <w:top w:val="single" w:sz="6" w:space="0" w:color="auto"/>
              <w:bottom w:val="single" w:sz="6" w:space="0" w:color="auto"/>
            </w:tcBorders>
            <w:shd w:val="clear" w:color="auto" w:fill="auto"/>
          </w:tcPr>
          <w:p w:rsidR="00724A07" w:rsidRPr="00227D25" w:rsidRDefault="00724A07" w:rsidP="00AA3506">
            <w:pPr>
              <w:pStyle w:val="TableColumnHeading"/>
              <w:ind w:right="0"/>
            </w:pPr>
            <w:r w:rsidRPr="00227D25">
              <w:t>Tas</w:t>
            </w:r>
          </w:p>
        </w:tc>
        <w:tc>
          <w:tcPr>
            <w:tcW w:w="455" w:type="pct"/>
            <w:tcBorders>
              <w:top w:val="single" w:sz="6" w:space="0" w:color="auto"/>
              <w:bottom w:val="single" w:sz="6" w:space="0" w:color="auto"/>
            </w:tcBorders>
            <w:shd w:val="clear" w:color="auto" w:fill="auto"/>
          </w:tcPr>
          <w:p w:rsidR="00724A07" w:rsidRPr="00227D25" w:rsidRDefault="00724A07" w:rsidP="00AA3506">
            <w:pPr>
              <w:pStyle w:val="TableColumnHeading"/>
              <w:ind w:right="0"/>
            </w:pPr>
            <w:r w:rsidRPr="00227D25">
              <w:t>ACT</w:t>
            </w:r>
          </w:p>
        </w:tc>
        <w:tc>
          <w:tcPr>
            <w:tcW w:w="416" w:type="pct"/>
            <w:tcBorders>
              <w:top w:val="single" w:sz="6" w:space="0" w:color="auto"/>
              <w:bottom w:val="single" w:sz="6" w:space="0" w:color="auto"/>
            </w:tcBorders>
            <w:shd w:val="clear" w:color="auto" w:fill="auto"/>
          </w:tcPr>
          <w:p w:rsidR="00724A07" w:rsidRPr="00227D25" w:rsidRDefault="00724A07" w:rsidP="00AA3506">
            <w:pPr>
              <w:pStyle w:val="TableColumnHeading"/>
              <w:ind w:right="0"/>
            </w:pPr>
            <w:r w:rsidRPr="00227D25">
              <w:t>NT</w:t>
            </w:r>
          </w:p>
        </w:tc>
        <w:tc>
          <w:tcPr>
            <w:tcW w:w="574" w:type="pct"/>
            <w:tcBorders>
              <w:top w:val="single" w:sz="6" w:space="0" w:color="auto"/>
              <w:bottom w:val="single" w:sz="6" w:space="0" w:color="auto"/>
            </w:tcBorders>
            <w:shd w:val="clear" w:color="auto" w:fill="auto"/>
          </w:tcPr>
          <w:p w:rsidR="00724A07" w:rsidRPr="00227D25" w:rsidRDefault="00724A07" w:rsidP="00D87377">
            <w:pPr>
              <w:pStyle w:val="TableColumnHeading"/>
              <w:ind w:right="28"/>
            </w:pPr>
            <w:proofErr w:type="spellStart"/>
            <w:r w:rsidRPr="00227D25">
              <w:t>Aust</w:t>
            </w:r>
            <w:proofErr w:type="spellEnd"/>
          </w:p>
        </w:tc>
      </w:tr>
      <w:tr w:rsidR="009A0AA3" w:rsidRPr="00E2635C" w:rsidTr="00EF00E5">
        <w:tc>
          <w:tcPr>
            <w:tcW w:w="705" w:type="pct"/>
            <w:tcBorders>
              <w:top w:val="single" w:sz="6" w:space="0" w:color="auto"/>
            </w:tcBorders>
          </w:tcPr>
          <w:p w:rsidR="009A0AA3" w:rsidRPr="00227D25" w:rsidRDefault="009A0AA3" w:rsidP="00D87377">
            <w:pPr>
              <w:pStyle w:val="TableUnitsRow"/>
              <w:jc w:val="left"/>
            </w:pPr>
            <w:r w:rsidRPr="00227D25">
              <w:t>Enrolments</w:t>
            </w:r>
          </w:p>
        </w:tc>
        <w:tc>
          <w:tcPr>
            <w:tcW w:w="479" w:type="pct"/>
            <w:tcBorders>
              <w:top w:val="single" w:sz="6" w:space="0" w:color="auto"/>
            </w:tcBorders>
            <w:vAlign w:val="center"/>
          </w:tcPr>
          <w:p w:rsidR="00E70CFD" w:rsidRPr="00E70CFD" w:rsidRDefault="00E70CFD" w:rsidP="002559E2">
            <w:pPr>
              <w:pStyle w:val="TableUnitsRow"/>
              <w:tabs>
                <w:tab w:val="left" w:pos="842"/>
              </w:tabs>
              <w:ind w:right="0"/>
              <w:rPr>
                <w:rStyle w:val="DraftingNote"/>
                <w:b w:val="0"/>
                <w:color w:val="auto"/>
                <w:sz w:val="20"/>
                <w:u w:val="none"/>
              </w:rPr>
            </w:pPr>
            <w:r w:rsidRPr="00E70CFD">
              <w:rPr>
                <w:rStyle w:val="DraftingNote"/>
                <w:b w:val="0"/>
                <w:color w:val="auto"/>
                <w:sz w:val="20"/>
                <w:u w:val="none"/>
              </w:rPr>
              <w:t>543</w:t>
            </w:r>
            <w:r w:rsidR="006F7AB1">
              <w:rPr>
                <w:rStyle w:val="DraftingNote"/>
                <w:b w:val="0"/>
                <w:color w:val="auto"/>
                <w:sz w:val="20"/>
                <w:u w:val="none"/>
              </w:rPr>
              <w:t> </w:t>
            </w:r>
            <w:r w:rsidRPr="00E70CFD">
              <w:rPr>
                <w:rStyle w:val="DraftingNote"/>
                <w:b w:val="0"/>
                <w:color w:val="auto"/>
                <w:sz w:val="20"/>
                <w:u w:val="none"/>
              </w:rPr>
              <w:t>675</w:t>
            </w:r>
          </w:p>
        </w:tc>
        <w:tc>
          <w:tcPr>
            <w:tcW w:w="479" w:type="pct"/>
            <w:tcBorders>
              <w:top w:val="single" w:sz="6" w:space="0" w:color="auto"/>
            </w:tcBorders>
            <w:vAlign w:val="center"/>
          </w:tcPr>
          <w:p w:rsidR="009A0AA3" w:rsidRPr="00E70CFD" w:rsidRDefault="00E70CFD" w:rsidP="002559E2">
            <w:pPr>
              <w:pStyle w:val="TableUnitsRow"/>
              <w:ind w:right="0"/>
              <w:rPr>
                <w:rStyle w:val="DraftingNote"/>
                <w:b w:val="0"/>
                <w:color w:val="auto"/>
                <w:sz w:val="20"/>
                <w:u w:val="none"/>
              </w:rPr>
            </w:pPr>
            <w:r w:rsidRPr="00E70CFD">
              <w:rPr>
                <w:rStyle w:val="DraftingNote"/>
                <w:b w:val="0"/>
                <w:color w:val="auto"/>
                <w:sz w:val="20"/>
                <w:u w:val="none"/>
              </w:rPr>
              <w:t>629</w:t>
            </w:r>
            <w:r w:rsidR="006F7AB1">
              <w:rPr>
                <w:rStyle w:val="DraftingNote"/>
                <w:b w:val="0"/>
                <w:color w:val="auto"/>
                <w:sz w:val="20"/>
                <w:u w:val="none"/>
              </w:rPr>
              <w:t> </w:t>
            </w:r>
            <w:r w:rsidRPr="00E70CFD">
              <w:rPr>
                <w:rStyle w:val="DraftingNote"/>
                <w:b w:val="0"/>
                <w:color w:val="auto"/>
                <w:sz w:val="20"/>
                <w:u w:val="none"/>
              </w:rPr>
              <w:t>029</w:t>
            </w:r>
          </w:p>
        </w:tc>
        <w:tc>
          <w:tcPr>
            <w:tcW w:w="479" w:type="pct"/>
            <w:tcBorders>
              <w:top w:val="single" w:sz="6" w:space="0" w:color="auto"/>
            </w:tcBorders>
            <w:vAlign w:val="center"/>
          </w:tcPr>
          <w:p w:rsidR="009A0AA3" w:rsidRPr="00E70CFD" w:rsidRDefault="00E70CFD" w:rsidP="002559E2">
            <w:pPr>
              <w:pStyle w:val="TableUnitsRow"/>
              <w:ind w:right="0"/>
              <w:rPr>
                <w:rStyle w:val="DraftingNote"/>
                <w:b w:val="0"/>
                <w:color w:val="auto"/>
                <w:sz w:val="20"/>
                <w:u w:val="none"/>
              </w:rPr>
            </w:pPr>
            <w:r w:rsidRPr="00E70CFD">
              <w:rPr>
                <w:rStyle w:val="DraftingNote"/>
                <w:b w:val="0"/>
                <w:color w:val="auto"/>
                <w:sz w:val="20"/>
                <w:u w:val="none"/>
              </w:rPr>
              <w:t>324</w:t>
            </w:r>
            <w:r w:rsidR="006F7AB1">
              <w:rPr>
                <w:rStyle w:val="DraftingNote"/>
                <w:b w:val="0"/>
                <w:color w:val="auto"/>
                <w:sz w:val="20"/>
                <w:u w:val="none"/>
              </w:rPr>
              <w:t> </w:t>
            </w:r>
            <w:r w:rsidRPr="00E70CFD">
              <w:rPr>
                <w:rStyle w:val="DraftingNote"/>
                <w:b w:val="0"/>
                <w:color w:val="auto"/>
                <w:sz w:val="20"/>
                <w:u w:val="none"/>
              </w:rPr>
              <w:t>693</w:t>
            </w:r>
          </w:p>
        </w:tc>
        <w:tc>
          <w:tcPr>
            <w:tcW w:w="479" w:type="pct"/>
            <w:tcBorders>
              <w:top w:val="single" w:sz="6" w:space="0" w:color="auto"/>
            </w:tcBorders>
            <w:vAlign w:val="center"/>
          </w:tcPr>
          <w:p w:rsidR="009A0AA3" w:rsidRPr="00E70CFD" w:rsidRDefault="00E70CFD" w:rsidP="002559E2">
            <w:pPr>
              <w:pStyle w:val="TableUnitsRow"/>
              <w:ind w:right="0"/>
              <w:rPr>
                <w:rStyle w:val="DraftingNote"/>
                <w:b w:val="0"/>
                <w:color w:val="auto"/>
                <w:sz w:val="20"/>
                <w:u w:val="none"/>
              </w:rPr>
            </w:pPr>
            <w:r w:rsidRPr="00E70CFD">
              <w:rPr>
                <w:rStyle w:val="DraftingNote"/>
                <w:b w:val="0"/>
                <w:color w:val="auto"/>
                <w:sz w:val="20"/>
                <w:u w:val="none"/>
              </w:rPr>
              <w:t>182</w:t>
            </w:r>
            <w:r w:rsidR="006F7AB1">
              <w:rPr>
                <w:rStyle w:val="DraftingNote"/>
                <w:b w:val="0"/>
                <w:color w:val="auto"/>
                <w:sz w:val="20"/>
                <w:u w:val="none"/>
              </w:rPr>
              <w:t> </w:t>
            </w:r>
            <w:r w:rsidRPr="00E70CFD">
              <w:rPr>
                <w:rStyle w:val="DraftingNote"/>
                <w:b w:val="0"/>
                <w:color w:val="auto"/>
                <w:sz w:val="20"/>
                <w:u w:val="none"/>
              </w:rPr>
              <w:t>206</w:t>
            </w:r>
          </w:p>
        </w:tc>
        <w:tc>
          <w:tcPr>
            <w:tcW w:w="479" w:type="pct"/>
            <w:tcBorders>
              <w:top w:val="single" w:sz="6" w:space="0" w:color="auto"/>
            </w:tcBorders>
            <w:vAlign w:val="center"/>
          </w:tcPr>
          <w:p w:rsidR="009A0AA3" w:rsidRPr="00E70CFD" w:rsidRDefault="00E70CFD" w:rsidP="002559E2">
            <w:pPr>
              <w:pStyle w:val="TableUnitsRow"/>
              <w:ind w:right="0"/>
              <w:rPr>
                <w:rStyle w:val="DraftingNote"/>
                <w:b w:val="0"/>
                <w:color w:val="auto"/>
                <w:sz w:val="20"/>
                <w:u w:val="none"/>
              </w:rPr>
            </w:pPr>
            <w:r w:rsidRPr="00E70CFD">
              <w:rPr>
                <w:rStyle w:val="DraftingNote"/>
                <w:b w:val="0"/>
                <w:color w:val="auto"/>
                <w:sz w:val="20"/>
                <w:u w:val="none"/>
              </w:rPr>
              <w:t>145</w:t>
            </w:r>
            <w:r w:rsidR="00247953">
              <w:rPr>
                <w:rStyle w:val="DraftingNote"/>
                <w:b w:val="0"/>
                <w:color w:val="auto"/>
                <w:sz w:val="20"/>
                <w:u w:val="none"/>
              </w:rPr>
              <w:t> </w:t>
            </w:r>
            <w:r w:rsidRPr="00E70CFD">
              <w:rPr>
                <w:rStyle w:val="DraftingNote"/>
                <w:b w:val="0"/>
                <w:color w:val="auto"/>
                <w:sz w:val="20"/>
                <w:u w:val="none"/>
              </w:rPr>
              <w:t>155</w:t>
            </w:r>
          </w:p>
        </w:tc>
        <w:tc>
          <w:tcPr>
            <w:tcW w:w="455" w:type="pct"/>
            <w:tcBorders>
              <w:top w:val="single" w:sz="6" w:space="0" w:color="auto"/>
            </w:tcBorders>
            <w:vAlign w:val="center"/>
          </w:tcPr>
          <w:p w:rsidR="009A0AA3" w:rsidRPr="00E70CFD" w:rsidRDefault="00E70CFD" w:rsidP="002559E2">
            <w:pPr>
              <w:pStyle w:val="TableUnitsRow"/>
              <w:ind w:right="0"/>
              <w:rPr>
                <w:rStyle w:val="DraftingNote"/>
                <w:b w:val="0"/>
                <w:color w:val="auto"/>
                <w:sz w:val="20"/>
                <w:u w:val="none"/>
              </w:rPr>
            </w:pPr>
            <w:r w:rsidRPr="00E70CFD">
              <w:rPr>
                <w:rStyle w:val="DraftingNote"/>
                <w:b w:val="0"/>
                <w:color w:val="auto"/>
                <w:sz w:val="20"/>
                <w:u w:val="none"/>
              </w:rPr>
              <w:t>39</w:t>
            </w:r>
            <w:r w:rsidR="00247953">
              <w:rPr>
                <w:rStyle w:val="DraftingNote"/>
                <w:b w:val="0"/>
                <w:color w:val="auto"/>
                <w:sz w:val="20"/>
                <w:u w:val="none"/>
              </w:rPr>
              <w:t> </w:t>
            </w:r>
            <w:r w:rsidRPr="00E70CFD">
              <w:rPr>
                <w:rStyle w:val="DraftingNote"/>
                <w:b w:val="0"/>
                <w:color w:val="auto"/>
                <w:sz w:val="20"/>
                <w:u w:val="none"/>
              </w:rPr>
              <w:t>794</w:t>
            </w:r>
          </w:p>
        </w:tc>
        <w:tc>
          <w:tcPr>
            <w:tcW w:w="455" w:type="pct"/>
            <w:tcBorders>
              <w:top w:val="single" w:sz="6" w:space="0" w:color="auto"/>
            </w:tcBorders>
            <w:vAlign w:val="center"/>
          </w:tcPr>
          <w:p w:rsidR="009A0AA3" w:rsidRPr="00E70CFD" w:rsidRDefault="00E70CFD" w:rsidP="002559E2">
            <w:pPr>
              <w:pStyle w:val="TableUnitsRow"/>
              <w:ind w:right="0"/>
              <w:rPr>
                <w:rStyle w:val="DraftingNote"/>
                <w:b w:val="0"/>
                <w:color w:val="auto"/>
                <w:sz w:val="20"/>
                <w:u w:val="none"/>
              </w:rPr>
            </w:pPr>
            <w:r w:rsidRPr="00E70CFD">
              <w:rPr>
                <w:rStyle w:val="DraftingNote"/>
                <w:b w:val="0"/>
                <w:color w:val="auto"/>
                <w:sz w:val="20"/>
                <w:u w:val="none"/>
              </w:rPr>
              <w:t>32</w:t>
            </w:r>
            <w:r w:rsidR="00247953">
              <w:rPr>
                <w:rStyle w:val="DraftingNote"/>
                <w:b w:val="0"/>
                <w:color w:val="auto"/>
                <w:sz w:val="20"/>
                <w:u w:val="none"/>
              </w:rPr>
              <w:t> </w:t>
            </w:r>
            <w:r w:rsidRPr="00E70CFD">
              <w:rPr>
                <w:rStyle w:val="DraftingNote"/>
                <w:b w:val="0"/>
                <w:color w:val="auto"/>
                <w:sz w:val="20"/>
                <w:u w:val="none"/>
              </w:rPr>
              <w:t>012</w:t>
            </w:r>
          </w:p>
        </w:tc>
        <w:tc>
          <w:tcPr>
            <w:tcW w:w="416" w:type="pct"/>
            <w:tcBorders>
              <w:top w:val="single" w:sz="6" w:space="0" w:color="auto"/>
            </w:tcBorders>
            <w:vAlign w:val="center"/>
          </w:tcPr>
          <w:p w:rsidR="009A0AA3" w:rsidRPr="00E70CFD" w:rsidRDefault="00E70CFD" w:rsidP="002559E2">
            <w:pPr>
              <w:pStyle w:val="TableUnitsRow"/>
              <w:ind w:right="0"/>
              <w:rPr>
                <w:rStyle w:val="DraftingNote"/>
                <w:b w:val="0"/>
                <w:color w:val="auto"/>
                <w:sz w:val="20"/>
                <w:u w:val="none"/>
              </w:rPr>
            </w:pPr>
            <w:r w:rsidRPr="00E70CFD">
              <w:rPr>
                <w:rStyle w:val="DraftingNote"/>
                <w:b w:val="0"/>
                <w:color w:val="auto"/>
                <w:sz w:val="20"/>
                <w:u w:val="none"/>
              </w:rPr>
              <w:t>22</w:t>
            </w:r>
            <w:r w:rsidR="00247953">
              <w:rPr>
                <w:rStyle w:val="DraftingNote"/>
                <w:b w:val="0"/>
                <w:color w:val="auto"/>
                <w:sz w:val="20"/>
                <w:u w:val="none"/>
              </w:rPr>
              <w:t> </w:t>
            </w:r>
            <w:r w:rsidRPr="00E70CFD">
              <w:rPr>
                <w:rStyle w:val="DraftingNote"/>
                <w:b w:val="0"/>
                <w:color w:val="auto"/>
                <w:sz w:val="20"/>
                <w:u w:val="none"/>
              </w:rPr>
              <w:t>854</w:t>
            </w:r>
          </w:p>
        </w:tc>
        <w:tc>
          <w:tcPr>
            <w:tcW w:w="574" w:type="pct"/>
            <w:tcBorders>
              <w:top w:val="single" w:sz="6" w:space="0" w:color="auto"/>
            </w:tcBorders>
            <w:vAlign w:val="center"/>
          </w:tcPr>
          <w:p w:rsidR="009A0AA3" w:rsidRPr="00E70CFD" w:rsidRDefault="00E70CFD" w:rsidP="002559E2">
            <w:pPr>
              <w:pStyle w:val="TableUnitsRow"/>
              <w:ind w:right="0"/>
              <w:rPr>
                <w:rStyle w:val="DraftingNote"/>
                <w:b w:val="0"/>
                <w:color w:val="auto"/>
                <w:sz w:val="20"/>
                <w:u w:val="none"/>
              </w:rPr>
            </w:pPr>
            <w:r w:rsidRPr="00E70CFD">
              <w:rPr>
                <w:rStyle w:val="DraftingNote"/>
                <w:b w:val="0"/>
                <w:color w:val="auto"/>
                <w:sz w:val="20"/>
                <w:u w:val="none"/>
              </w:rPr>
              <w:t>1</w:t>
            </w:r>
            <w:r w:rsidR="00247953">
              <w:rPr>
                <w:rStyle w:val="DraftingNote"/>
                <w:b w:val="0"/>
                <w:color w:val="auto"/>
                <w:sz w:val="20"/>
                <w:u w:val="none"/>
              </w:rPr>
              <w:t> </w:t>
            </w:r>
            <w:r w:rsidRPr="00E70CFD">
              <w:rPr>
                <w:rStyle w:val="DraftingNote"/>
                <w:b w:val="0"/>
                <w:color w:val="auto"/>
                <w:sz w:val="20"/>
                <w:u w:val="none"/>
              </w:rPr>
              <w:t>919</w:t>
            </w:r>
            <w:r w:rsidR="00247953">
              <w:rPr>
                <w:rStyle w:val="DraftingNote"/>
                <w:b w:val="0"/>
                <w:color w:val="auto"/>
                <w:sz w:val="20"/>
                <w:u w:val="none"/>
              </w:rPr>
              <w:t> </w:t>
            </w:r>
            <w:r w:rsidRPr="00E70CFD">
              <w:rPr>
                <w:rStyle w:val="DraftingNote"/>
                <w:b w:val="0"/>
                <w:color w:val="auto"/>
                <w:sz w:val="20"/>
                <w:u w:val="none"/>
              </w:rPr>
              <w:t>418</w:t>
            </w:r>
          </w:p>
        </w:tc>
      </w:tr>
      <w:tr w:rsidR="009A0AA3" w:rsidRPr="00E2635C" w:rsidTr="00EF00E5">
        <w:tc>
          <w:tcPr>
            <w:tcW w:w="705" w:type="pct"/>
            <w:tcBorders>
              <w:bottom w:val="single" w:sz="6" w:space="0" w:color="auto"/>
            </w:tcBorders>
            <w:shd w:val="clear" w:color="auto" w:fill="auto"/>
          </w:tcPr>
          <w:p w:rsidR="009A0AA3" w:rsidRPr="00227D25" w:rsidRDefault="009A0AA3" w:rsidP="00D87377">
            <w:pPr>
              <w:pStyle w:val="TableBodyText"/>
              <w:ind w:left="119" w:hanging="113"/>
              <w:jc w:val="left"/>
            </w:pPr>
            <w:r w:rsidRPr="00227D25">
              <w:t>Indigenous enrolments</w:t>
            </w:r>
          </w:p>
        </w:tc>
        <w:tc>
          <w:tcPr>
            <w:tcW w:w="479" w:type="pct"/>
            <w:tcBorders>
              <w:bottom w:val="single" w:sz="6" w:space="0" w:color="auto"/>
            </w:tcBorders>
            <w:shd w:val="clear" w:color="auto" w:fill="auto"/>
            <w:vAlign w:val="center"/>
          </w:tcPr>
          <w:p w:rsidR="009A0AA3" w:rsidRPr="00E70CFD" w:rsidRDefault="00E70CFD" w:rsidP="002559E2">
            <w:pPr>
              <w:pStyle w:val="TableUnitsRow"/>
              <w:ind w:right="0"/>
              <w:rPr>
                <w:rStyle w:val="DraftingNote"/>
                <w:b w:val="0"/>
                <w:color w:val="auto"/>
                <w:sz w:val="20"/>
                <w:u w:val="none"/>
              </w:rPr>
            </w:pPr>
            <w:r w:rsidRPr="00E70CFD">
              <w:rPr>
                <w:rStyle w:val="DraftingNote"/>
                <w:b w:val="0"/>
                <w:color w:val="auto"/>
                <w:sz w:val="20"/>
                <w:u w:val="none"/>
              </w:rPr>
              <w:t>37</w:t>
            </w:r>
            <w:r w:rsidR="00247953">
              <w:rPr>
                <w:rStyle w:val="DraftingNote"/>
                <w:b w:val="0"/>
                <w:color w:val="auto"/>
                <w:sz w:val="20"/>
                <w:u w:val="none"/>
              </w:rPr>
              <w:t> </w:t>
            </w:r>
            <w:r w:rsidRPr="00E70CFD">
              <w:rPr>
                <w:rStyle w:val="DraftingNote"/>
                <w:b w:val="0"/>
                <w:color w:val="auto"/>
                <w:sz w:val="20"/>
                <w:u w:val="none"/>
              </w:rPr>
              <w:t>400</w:t>
            </w:r>
          </w:p>
        </w:tc>
        <w:tc>
          <w:tcPr>
            <w:tcW w:w="479" w:type="pct"/>
            <w:tcBorders>
              <w:bottom w:val="single" w:sz="6" w:space="0" w:color="auto"/>
            </w:tcBorders>
            <w:shd w:val="clear" w:color="auto" w:fill="auto"/>
            <w:vAlign w:val="center"/>
          </w:tcPr>
          <w:p w:rsidR="009A0AA3" w:rsidRPr="00E70CFD" w:rsidRDefault="00E70CFD" w:rsidP="002559E2">
            <w:pPr>
              <w:pStyle w:val="TableUnitsRow"/>
              <w:ind w:right="0"/>
              <w:rPr>
                <w:rStyle w:val="DraftingNote"/>
                <w:b w:val="0"/>
                <w:color w:val="auto"/>
                <w:sz w:val="20"/>
                <w:u w:val="none"/>
              </w:rPr>
            </w:pPr>
            <w:r w:rsidRPr="00E70CFD">
              <w:rPr>
                <w:rStyle w:val="DraftingNote"/>
                <w:b w:val="0"/>
                <w:color w:val="auto"/>
                <w:sz w:val="20"/>
                <w:u w:val="none"/>
              </w:rPr>
              <w:t>8</w:t>
            </w:r>
            <w:r w:rsidR="00247953">
              <w:rPr>
                <w:rStyle w:val="DraftingNote"/>
                <w:b w:val="0"/>
                <w:color w:val="auto"/>
                <w:sz w:val="20"/>
                <w:u w:val="none"/>
              </w:rPr>
              <w:t> </w:t>
            </w:r>
            <w:r w:rsidRPr="00E70CFD">
              <w:rPr>
                <w:rStyle w:val="DraftingNote"/>
                <w:b w:val="0"/>
                <w:color w:val="auto"/>
                <w:sz w:val="20"/>
                <w:u w:val="none"/>
              </w:rPr>
              <w:t>104</w:t>
            </w:r>
          </w:p>
        </w:tc>
        <w:tc>
          <w:tcPr>
            <w:tcW w:w="479" w:type="pct"/>
            <w:tcBorders>
              <w:bottom w:val="single" w:sz="6" w:space="0" w:color="auto"/>
            </w:tcBorders>
            <w:shd w:val="clear" w:color="auto" w:fill="auto"/>
            <w:vAlign w:val="center"/>
          </w:tcPr>
          <w:p w:rsidR="009A0AA3" w:rsidRPr="00E70CFD" w:rsidRDefault="00E70CFD" w:rsidP="002559E2">
            <w:pPr>
              <w:pStyle w:val="TableUnitsRow"/>
              <w:ind w:right="0"/>
              <w:rPr>
                <w:rStyle w:val="DraftingNote"/>
                <w:b w:val="0"/>
                <w:color w:val="auto"/>
                <w:sz w:val="20"/>
                <w:u w:val="none"/>
              </w:rPr>
            </w:pPr>
            <w:r w:rsidRPr="00E70CFD">
              <w:rPr>
                <w:rStyle w:val="DraftingNote"/>
                <w:b w:val="0"/>
                <w:color w:val="auto"/>
                <w:sz w:val="20"/>
                <w:u w:val="none"/>
              </w:rPr>
              <w:t>23</w:t>
            </w:r>
            <w:r w:rsidR="00247953">
              <w:rPr>
                <w:rStyle w:val="DraftingNote"/>
                <w:b w:val="0"/>
                <w:color w:val="auto"/>
                <w:sz w:val="20"/>
                <w:u w:val="none"/>
              </w:rPr>
              <w:t> </w:t>
            </w:r>
            <w:r w:rsidRPr="00E70CFD">
              <w:rPr>
                <w:rStyle w:val="DraftingNote"/>
                <w:b w:val="0"/>
                <w:color w:val="auto"/>
                <w:sz w:val="20"/>
                <w:u w:val="none"/>
              </w:rPr>
              <w:t>435</w:t>
            </w:r>
          </w:p>
        </w:tc>
        <w:tc>
          <w:tcPr>
            <w:tcW w:w="479" w:type="pct"/>
            <w:tcBorders>
              <w:bottom w:val="single" w:sz="6" w:space="0" w:color="auto"/>
            </w:tcBorders>
            <w:shd w:val="clear" w:color="auto" w:fill="auto"/>
            <w:vAlign w:val="center"/>
          </w:tcPr>
          <w:p w:rsidR="009A0AA3" w:rsidRPr="00E70CFD" w:rsidRDefault="00E70CFD" w:rsidP="002559E2">
            <w:pPr>
              <w:pStyle w:val="TableUnitsRow"/>
              <w:ind w:right="0"/>
              <w:rPr>
                <w:rStyle w:val="DraftingNote"/>
                <w:b w:val="0"/>
                <w:color w:val="auto"/>
                <w:sz w:val="20"/>
                <w:u w:val="none"/>
              </w:rPr>
            </w:pPr>
            <w:r w:rsidRPr="00E70CFD">
              <w:rPr>
                <w:rStyle w:val="DraftingNote"/>
                <w:b w:val="0"/>
                <w:color w:val="auto"/>
                <w:sz w:val="20"/>
                <w:u w:val="none"/>
              </w:rPr>
              <w:t>18</w:t>
            </w:r>
            <w:r w:rsidR="00247953">
              <w:rPr>
                <w:rStyle w:val="DraftingNote"/>
                <w:b w:val="0"/>
                <w:color w:val="auto"/>
                <w:sz w:val="20"/>
                <w:u w:val="none"/>
              </w:rPr>
              <w:t> </w:t>
            </w:r>
            <w:r w:rsidRPr="00E70CFD">
              <w:rPr>
                <w:rStyle w:val="DraftingNote"/>
                <w:b w:val="0"/>
                <w:color w:val="auto"/>
                <w:sz w:val="20"/>
                <w:u w:val="none"/>
              </w:rPr>
              <w:t>135</w:t>
            </w:r>
          </w:p>
        </w:tc>
        <w:tc>
          <w:tcPr>
            <w:tcW w:w="479" w:type="pct"/>
            <w:tcBorders>
              <w:bottom w:val="single" w:sz="6" w:space="0" w:color="auto"/>
            </w:tcBorders>
            <w:shd w:val="clear" w:color="auto" w:fill="auto"/>
            <w:vAlign w:val="center"/>
          </w:tcPr>
          <w:p w:rsidR="009A0AA3" w:rsidRPr="00E70CFD" w:rsidRDefault="00E70CFD" w:rsidP="002559E2">
            <w:pPr>
              <w:pStyle w:val="TableUnitsRow"/>
              <w:ind w:right="62"/>
              <w:rPr>
                <w:rStyle w:val="DraftingNote"/>
                <w:b w:val="0"/>
                <w:color w:val="auto"/>
                <w:sz w:val="20"/>
                <w:u w:val="none"/>
              </w:rPr>
            </w:pPr>
            <w:r w:rsidRPr="00E70CFD">
              <w:rPr>
                <w:rStyle w:val="DraftingNote"/>
                <w:b w:val="0"/>
                <w:color w:val="auto"/>
                <w:sz w:val="20"/>
                <w:u w:val="none"/>
              </w:rPr>
              <w:t>7</w:t>
            </w:r>
            <w:r w:rsidR="00247953">
              <w:rPr>
                <w:rStyle w:val="DraftingNote"/>
                <w:b w:val="0"/>
                <w:color w:val="auto"/>
                <w:sz w:val="20"/>
                <w:u w:val="none"/>
              </w:rPr>
              <w:t> </w:t>
            </w:r>
            <w:r w:rsidRPr="00E70CFD">
              <w:rPr>
                <w:rStyle w:val="DraftingNote"/>
                <w:b w:val="0"/>
                <w:color w:val="auto"/>
                <w:sz w:val="20"/>
                <w:u w:val="none"/>
              </w:rPr>
              <w:t>430</w:t>
            </w:r>
          </w:p>
        </w:tc>
        <w:tc>
          <w:tcPr>
            <w:tcW w:w="455" w:type="pct"/>
            <w:tcBorders>
              <w:bottom w:val="single" w:sz="6" w:space="0" w:color="auto"/>
            </w:tcBorders>
            <w:shd w:val="clear" w:color="auto" w:fill="auto"/>
            <w:vAlign w:val="center"/>
          </w:tcPr>
          <w:p w:rsidR="009A0AA3" w:rsidRPr="00E70CFD" w:rsidRDefault="00E70CFD" w:rsidP="002559E2">
            <w:pPr>
              <w:pStyle w:val="TableUnitsRow"/>
              <w:ind w:right="0"/>
              <w:rPr>
                <w:rStyle w:val="DraftingNote"/>
                <w:b w:val="0"/>
                <w:color w:val="auto"/>
                <w:sz w:val="20"/>
                <w:u w:val="none"/>
              </w:rPr>
            </w:pPr>
            <w:r w:rsidRPr="00E70CFD">
              <w:rPr>
                <w:rStyle w:val="DraftingNote"/>
                <w:b w:val="0"/>
                <w:color w:val="auto"/>
                <w:sz w:val="20"/>
                <w:u w:val="none"/>
              </w:rPr>
              <w:t>2</w:t>
            </w:r>
            <w:r w:rsidR="00247953">
              <w:rPr>
                <w:rStyle w:val="DraftingNote"/>
                <w:b w:val="0"/>
                <w:color w:val="auto"/>
                <w:sz w:val="20"/>
                <w:u w:val="none"/>
              </w:rPr>
              <w:t> </w:t>
            </w:r>
            <w:r w:rsidRPr="00E70CFD">
              <w:rPr>
                <w:rStyle w:val="DraftingNote"/>
                <w:b w:val="0"/>
                <w:color w:val="auto"/>
                <w:sz w:val="20"/>
                <w:u w:val="none"/>
              </w:rPr>
              <w:t>169</w:t>
            </w:r>
          </w:p>
        </w:tc>
        <w:tc>
          <w:tcPr>
            <w:tcW w:w="455" w:type="pct"/>
            <w:tcBorders>
              <w:bottom w:val="single" w:sz="6" w:space="0" w:color="auto"/>
            </w:tcBorders>
            <w:shd w:val="clear" w:color="auto" w:fill="auto"/>
            <w:vAlign w:val="center"/>
          </w:tcPr>
          <w:p w:rsidR="009A0AA3" w:rsidRPr="00E70CFD" w:rsidRDefault="00E70CFD" w:rsidP="002559E2">
            <w:pPr>
              <w:pStyle w:val="TableUnitsRow"/>
              <w:ind w:right="0"/>
              <w:rPr>
                <w:rStyle w:val="DraftingNote"/>
                <w:b w:val="0"/>
                <w:color w:val="auto"/>
                <w:sz w:val="20"/>
                <w:u w:val="none"/>
              </w:rPr>
            </w:pPr>
            <w:r w:rsidRPr="00E70CFD">
              <w:rPr>
                <w:rStyle w:val="DraftingNote"/>
                <w:b w:val="0"/>
                <w:color w:val="auto"/>
                <w:sz w:val="20"/>
                <w:u w:val="none"/>
              </w:rPr>
              <w:t>1</w:t>
            </w:r>
            <w:r w:rsidR="00247953">
              <w:rPr>
                <w:rStyle w:val="DraftingNote"/>
                <w:b w:val="0"/>
                <w:color w:val="auto"/>
                <w:sz w:val="20"/>
                <w:u w:val="none"/>
              </w:rPr>
              <w:t> </w:t>
            </w:r>
            <w:r w:rsidRPr="00E70CFD">
              <w:rPr>
                <w:rStyle w:val="DraftingNote"/>
                <w:b w:val="0"/>
                <w:color w:val="auto"/>
                <w:sz w:val="20"/>
                <w:u w:val="none"/>
              </w:rPr>
              <w:t>168</w:t>
            </w:r>
          </w:p>
        </w:tc>
        <w:tc>
          <w:tcPr>
            <w:tcW w:w="416" w:type="pct"/>
            <w:tcBorders>
              <w:bottom w:val="single" w:sz="6" w:space="0" w:color="auto"/>
            </w:tcBorders>
            <w:shd w:val="clear" w:color="auto" w:fill="auto"/>
            <w:vAlign w:val="center"/>
          </w:tcPr>
          <w:p w:rsidR="009A0AA3" w:rsidRPr="00E70CFD" w:rsidRDefault="00E70CFD" w:rsidP="002559E2">
            <w:pPr>
              <w:pStyle w:val="TableUnitsRow"/>
              <w:ind w:right="0"/>
              <w:rPr>
                <w:rStyle w:val="DraftingNote"/>
                <w:b w:val="0"/>
                <w:color w:val="auto"/>
                <w:sz w:val="20"/>
                <w:u w:val="none"/>
              </w:rPr>
            </w:pPr>
            <w:r w:rsidRPr="00E70CFD">
              <w:rPr>
                <w:rStyle w:val="DraftingNote"/>
                <w:b w:val="0"/>
                <w:color w:val="auto"/>
                <w:sz w:val="20"/>
                <w:u w:val="none"/>
              </w:rPr>
              <w:t>9</w:t>
            </w:r>
            <w:r w:rsidR="00247953">
              <w:rPr>
                <w:rStyle w:val="DraftingNote"/>
                <w:b w:val="0"/>
                <w:color w:val="auto"/>
                <w:sz w:val="20"/>
                <w:u w:val="none"/>
              </w:rPr>
              <w:t> </w:t>
            </w:r>
            <w:r w:rsidRPr="00E70CFD">
              <w:rPr>
                <w:rStyle w:val="DraftingNote"/>
                <w:b w:val="0"/>
                <w:color w:val="auto"/>
                <w:sz w:val="20"/>
                <w:u w:val="none"/>
              </w:rPr>
              <w:t>799</w:t>
            </w:r>
          </w:p>
        </w:tc>
        <w:tc>
          <w:tcPr>
            <w:tcW w:w="574" w:type="pct"/>
            <w:tcBorders>
              <w:bottom w:val="single" w:sz="6" w:space="0" w:color="auto"/>
            </w:tcBorders>
            <w:shd w:val="clear" w:color="auto" w:fill="auto"/>
            <w:vAlign w:val="center"/>
          </w:tcPr>
          <w:p w:rsidR="009A0AA3" w:rsidRPr="00E70CFD" w:rsidRDefault="00E70CFD" w:rsidP="002559E2">
            <w:pPr>
              <w:pStyle w:val="TableUnitsRow"/>
              <w:ind w:right="0"/>
              <w:rPr>
                <w:rStyle w:val="DraftingNote"/>
                <w:b w:val="0"/>
                <w:color w:val="auto"/>
                <w:sz w:val="20"/>
                <w:u w:val="none"/>
              </w:rPr>
            </w:pPr>
            <w:r w:rsidRPr="00E70CFD">
              <w:rPr>
                <w:rStyle w:val="DraftingNote"/>
                <w:b w:val="0"/>
                <w:color w:val="auto"/>
                <w:sz w:val="20"/>
                <w:u w:val="none"/>
              </w:rPr>
              <w:t>107</w:t>
            </w:r>
            <w:r w:rsidR="00247953">
              <w:rPr>
                <w:rStyle w:val="DraftingNote"/>
                <w:b w:val="0"/>
                <w:color w:val="auto"/>
                <w:sz w:val="20"/>
                <w:u w:val="none"/>
              </w:rPr>
              <w:t> </w:t>
            </w:r>
            <w:r w:rsidRPr="00E70CFD">
              <w:rPr>
                <w:rStyle w:val="DraftingNote"/>
                <w:b w:val="0"/>
                <w:color w:val="auto"/>
                <w:sz w:val="20"/>
                <w:u w:val="none"/>
              </w:rPr>
              <w:t>640</w:t>
            </w:r>
          </w:p>
        </w:tc>
      </w:tr>
    </w:tbl>
    <w:p w:rsidR="00EF00E5" w:rsidRPr="00EF00E5" w:rsidRDefault="00EF00E5" w:rsidP="00A2151C">
      <w:pPr>
        <w:pStyle w:val="Note"/>
        <w:rPr>
          <w:rStyle w:val="NoteLabel"/>
          <w:b w:val="0"/>
          <w:position w:val="0"/>
        </w:rPr>
      </w:pPr>
      <w:r w:rsidRPr="00EF00E5">
        <w:rPr>
          <w:rStyle w:val="NoteLabel"/>
        </w:rPr>
        <w:t>a</w:t>
      </w:r>
      <w:r>
        <w:rPr>
          <w:rStyle w:val="NoteLabel"/>
        </w:rPr>
        <w:t xml:space="preserve"> </w:t>
      </w:r>
      <w:r w:rsidRPr="00EF00E5">
        <w:t xml:space="preserve">Refer </w:t>
      </w:r>
      <w:r>
        <w:t>to the National VET Provider Collection Data Quality Statement for information on data quality.</w:t>
      </w:r>
    </w:p>
    <w:p w:rsidR="00724A07" w:rsidRPr="00D4060A" w:rsidRDefault="00724A07" w:rsidP="00D87377">
      <w:pPr>
        <w:pStyle w:val="Source"/>
      </w:pPr>
      <w:r>
        <w:rPr>
          <w:i/>
        </w:rPr>
        <w:t>Source</w:t>
      </w:r>
      <w:r>
        <w:t>: NCVER (unpublished) National VET p</w:t>
      </w:r>
      <w:r w:rsidR="003319FA">
        <w:t>ro</w:t>
      </w:r>
      <w:r w:rsidR="000A0229">
        <w:t xml:space="preserve">vider collection; table </w:t>
      </w:r>
      <w:proofErr w:type="spellStart"/>
      <w:r w:rsidR="000A0229">
        <w:t>SWD.C.</w:t>
      </w:r>
      <w:r w:rsidR="00E70CFD">
        <w:t>6</w:t>
      </w:r>
      <w:proofErr w:type="spellEnd"/>
      <w:r w:rsidR="000A0229">
        <w:t>.</w:t>
      </w:r>
    </w:p>
    <w:p w:rsidR="00E70CFD" w:rsidRDefault="008414C7" w:rsidP="00E70CFD">
      <w:pPr>
        <w:pStyle w:val="BodyText"/>
      </w:pPr>
      <w:r>
        <w:t xml:space="preserve">Government funded course enrolments in VET by Indigenous status for 2008–2011 are reported in table </w:t>
      </w:r>
      <w:proofErr w:type="spellStart"/>
      <w:r>
        <w:t>SWD.C.7</w:t>
      </w:r>
      <w:proofErr w:type="spellEnd"/>
      <w:r>
        <w:t>.</w:t>
      </w:r>
    </w:p>
    <w:p w:rsidR="00724A07" w:rsidRDefault="00724A07" w:rsidP="00D87377">
      <w:pPr>
        <w:pStyle w:val="Heading5"/>
      </w:pPr>
      <w:r>
        <w:t>Completions</w:t>
      </w:r>
    </w:p>
    <w:p w:rsidR="00724A07" w:rsidRDefault="00724A07" w:rsidP="00877AB4">
      <w:pPr>
        <w:pStyle w:val="BodyText"/>
      </w:pPr>
      <w:r>
        <w:t xml:space="preserve">The number of qualifications completed may include some non-government funded VET students. Completion of a qualification may span several years and comprise many units/modules, with funding from different sources. However, funding source information </w:t>
      </w:r>
      <w:r w:rsidR="00140E5B">
        <w:t xml:space="preserve">is </w:t>
      </w:r>
      <w:r>
        <w:t>currentl</w:t>
      </w:r>
      <w:r w:rsidR="004859E6">
        <w:t>y only collected on enrolments.</w:t>
      </w:r>
    </w:p>
    <w:p w:rsidR="00724A07" w:rsidRDefault="00724A07" w:rsidP="002560DB">
      <w:pPr>
        <w:pStyle w:val="BodyText"/>
      </w:pPr>
      <w:r>
        <w:t>Number of VET course completions in 201</w:t>
      </w:r>
      <w:r w:rsidR="00D41538">
        <w:t>1</w:t>
      </w:r>
      <w:r>
        <w:t xml:space="preserve"> are shown in table 4.</w:t>
      </w:r>
    </w:p>
    <w:p w:rsidR="00724A07" w:rsidRPr="00EA4244" w:rsidRDefault="00724A07" w:rsidP="002560DB">
      <w:pPr>
        <w:pStyle w:val="TableTitle"/>
        <w:rPr>
          <w:rStyle w:val="NoteLabel"/>
        </w:rPr>
      </w:pPr>
      <w:r>
        <w:rPr>
          <w:b w:val="0"/>
        </w:rPr>
        <w:t xml:space="preserve">Table </w:t>
      </w:r>
      <w:bookmarkStart w:id="8" w:name="OLE_LINK4"/>
      <w:r w:rsidR="00503759">
        <w:rPr>
          <w:b w:val="0"/>
          <w:noProof/>
        </w:rPr>
        <w:t>4</w:t>
      </w:r>
      <w:bookmarkEnd w:id="8"/>
      <w:r>
        <w:tab/>
        <w:t>Number of VET qualifications completed</w:t>
      </w:r>
      <w:r w:rsidR="00774591">
        <w:t xml:space="preserve"> by students</w:t>
      </w:r>
      <w:r w:rsidR="00525EE0">
        <w:t>, by course level, 2011</w:t>
      </w:r>
      <w:r w:rsidR="00140E5B">
        <w:rPr>
          <w:rStyle w:val="NoteLabel"/>
          <w:b/>
        </w:rPr>
        <w:t>a, b</w:t>
      </w:r>
    </w:p>
    <w:tbl>
      <w:tblPr>
        <w:tblW w:w="5000" w:type="pct"/>
        <w:tblCellMar>
          <w:left w:w="0" w:type="dxa"/>
          <w:right w:w="0" w:type="dxa"/>
        </w:tblCellMar>
        <w:tblLook w:val="0000" w:firstRow="0" w:lastRow="0" w:firstColumn="0" w:lastColumn="0" w:noHBand="0" w:noVBand="0"/>
      </w:tblPr>
      <w:tblGrid>
        <w:gridCol w:w="1409"/>
        <w:gridCol w:w="842"/>
        <w:gridCol w:w="870"/>
        <w:gridCol w:w="842"/>
        <w:gridCol w:w="838"/>
        <w:gridCol w:w="840"/>
        <w:gridCol w:w="840"/>
        <w:gridCol w:w="731"/>
        <w:gridCol w:w="735"/>
        <w:gridCol w:w="842"/>
      </w:tblGrid>
      <w:tr w:rsidR="00AA3506" w:rsidRPr="00227D25" w:rsidTr="00EA4244">
        <w:tc>
          <w:tcPr>
            <w:tcW w:w="801" w:type="pct"/>
            <w:tcBorders>
              <w:top w:val="single" w:sz="6" w:space="0" w:color="auto"/>
              <w:bottom w:val="single" w:sz="6" w:space="0" w:color="auto"/>
            </w:tcBorders>
            <w:shd w:val="clear" w:color="auto" w:fill="auto"/>
          </w:tcPr>
          <w:p w:rsidR="00724A07" w:rsidRDefault="00724A07" w:rsidP="00D87377">
            <w:pPr>
              <w:pStyle w:val="TableColumnHeading"/>
              <w:jc w:val="left"/>
            </w:pPr>
          </w:p>
        </w:tc>
        <w:tc>
          <w:tcPr>
            <w:tcW w:w="479" w:type="pct"/>
            <w:tcBorders>
              <w:top w:val="single" w:sz="6" w:space="0" w:color="auto"/>
              <w:bottom w:val="single" w:sz="6" w:space="0" w:color="auto"/>
            </w:tcBorders>
            <w:shd w:val="clear" w:color="auto" w:fill="auto"/>
          </w:tcPr>
          <w:p w:rsidR="00724A07" w:rsidRPr="00227D25" w:rsidRDefault="00724A07" w:rsidP="000159BC">
            <w:pPr>
              <w:pStyle w:val="TableColumnHeading"/>
              <w:pBdr>
                <w:left w:val="single" w:sz="4" w:space="1" w:color="auto"/>
              </w:pBdr>
            </w:pPr>
            <w:r w:rsidRPr="00227D25">
              <w:t>NSW</w:t>
            </w:r>
          </w:p>
        </w:tc>
        <w:tc>
          <w:tcPr>
            <w:tcW w:w="495" w:type="pct"/>
            <w:tcBorders>
              <w:top w:val="single" w:sz="6" w:space="0" w:color="auto"/>
              <w:bottom w:val="single" w:sz="6" w:space="0" w:color="auto"/>
            </w:tcBorders>
            <w:shd w:val="clear" w:color="auto" w:fill="auto"/>
          </w:tcPr>
          <w:p w:rsidR="00724A07" w:rsidRPr="00227D25" w:rsidRDefault="00724A07" w:rsidP="000159BC">
            <w:pPr>
              <w:pStyle w:val="TableColumnHeading"/>
              <w:pBdr>
                <w:left w:val="single" w:sz="4" w:space="1" w:color="auto"/>
              </w:pBdr>
            </w:pPr>
            <w:r w:rsidRPr="00227D25">
              <w:t>Vic</w:t>
            </w:r>
          </w:p>
        </w:tc>
        <w:tc>
          <w:tcPr>
            <w:tcW w:w="479" w:type="pct"/>
            <w:tcBorders>
              <w:top w:val="single" w:sz="6" w:space="0" w:color="auto"/>
              <w:bottom w:val="single" w:sz="6" w:space="0" w:color="auto"/>
            </w:tcBorders>
            <w:shd w:val="clear" w:color="auto" w:fill="auto"/>
          </w:tcPr>
          <w:p w:rsidR="00724A07" w:rsidRPr="00227D25" w:rsidRDefault="00724A07" w:rsidP="000159BC">
            <w:pPr>
              <w:pStyle w:val="TableColumnHeading"/>
              <w:pBdr>
                <w:left w:val="single" w:sz="4" w:space="1" w:color="auto"/>
              </w:pBdr>
            </w:pPr>
            <w:r w:rsidRPr="00227D25">
              <w:t>Qld</w:t>
            </w:r>
          </w:p>
        </w:tc>
        <w:tc>
          <w:tcPr>
            <w:tcW w:w="477" w:type="pct"/>
            <w:tcBorders>
              <w:top w:val="single" w:sz="6" w:space="0" w:color="auto"/>
              <w:bottom w:val="single" w:sz="6" w:space="0" w:color="auto"/>
            </w:tcBorders>
            <w:shd w:val="clear" w:color="auto" w:fill="auto"/>
          </w:tcPr>
          <w:p w:rsidR="00724A07" w:rsidRPr="00227D25" w:rsidRDefault="00724A07" w:rsidP="000159BC">
            <w:pPr>
              <w:pStyle w:val="TableColumnHeading"/>
              <w:pBdr>
                <w:left w:val="single" w:sz="4" w:space="1" w:color="auto"/>
              </w:pBdr>
            </w:pPr>
            <w:r w:rsidRPr="00227D25">
              <w:t>WA</w:t>
            </w:r>
          </w:p>
        </w:tc>
        <w:tc>
          <w:tcPr>
            <w:tcW w:w="478" w:type="pct"/>
            <w:tcBorders>
              <w:top w:val="single" w:sz="6" w:space="0" w:color="auto"/>
              <w:bottom w:val="single" w:sz="6" w:space="0" w:color="auto"/>
            </w:tcBorders>
            <w:shd w:val="clear" w:color="auto" w:fill="auto"/>
          </w:tcPr>
          <w:p w:rsidR="00724A07" w:rsidRPr="00227D25" w:rsidRDefault="00724A07" w:rsidP="000159BC">
            <w:pPr>
              <w:pStyle w:val="TableColumnHeading"/>
              <w:pBdr>
                <w:left w:val="single" w:sz="4" w:space="1" w:color="auto"/>
              </w:pBdr>
            </w:pPr>
            <w:r w:rsidRPr="00227D25">
              <w:t>SA</w:t>
            </w:r>
          </w:p>
        </w:tc>
        <w:tc>
          <w:tcPr>
            <w:tcW w:w="478" w:type="pct"/>
            <w:tcBorders>
              <w:top w:val="single" w:sz="6" w:space="0" w:color="auto"/>
              <w:bottom w:val="single" w:sz="6" w:space="0" w:color="auto"/>
            </w:tcBorders>
            <w:shd w:val="clear" w:color="auto" w:fill="auto"/>
          </w:tcPr>
          <w:p w:rsidR="00724A07" w:rsidRPr="00227D25" w:rsidRDefault="00724A07" w:rsidP="000159BC">
            <w:pPr>
              <w:pStyle w:val="TableColumnHeading"/>
              <w:pBdr>
                <w:left w:val="single" w:sz="4" w:space="1" w:color="auto"/>
              </w:pBdr>
            </w:pPr>
            <w:r w:rsidRPr="00227D25">
              <w:t>Tas</w:t>
            </w:r>
          </w:p>
        </w:tc>
        <w:tc>
          <w:tcPr>
            <w:tcW w:w="416" w:type="pct"/>
            <w:tcBorders>
              <w:top w:val="single" w:sz="6" w:space="0" w:color="auto"/>
              <w:bottom w:val="single" w:sz="6" w:space="0" w:color="auto"/>
            </w:tcBorders>
            <w:shd w:val="clear" w:color="auto" w:fill="auto"/>
          </w:tcPr>
          <w:p w:rsidR="00724A07" w:rsidRPr="00227D25" w:rsidRDefault="00724A07" w:rsidP="000159BC">
            <w:pPr>
              <w:pStyle w:val="TableColumnHeading"/>
              <w:pBdr>
                <w:left w:val="single" w:sz="4" w:space="1" w:color="auto"/>
              </w:pBdr>
            </w:pPr>
            <w:r w:rsidRPr="00227D25">
              <w:t>ACT</w:t>
            </w:r>
          </w:p>
        </w:tc>
        <w:tc>
          <w:tcPr>
            <w:tcW w:w="418" w:type="pct"/>
            <w:tcBorders>
              <w:top w:val="single" w:sz="6" w:space="0" w:color="auto"/>
              <w:bottom w:val="single" w:sz="6" w:space="0" w:color="auto"/>
            </w:tcBorders>
            <w:shd w:val="clear" w:color="auto" w:fill="auto"/>
          </w:tcPr>
          <w:p w:rsidR="00724A07" w:rsidRPr="00227D25" w:rsidRDefault="00724A07" w:rsidP="000159BC">
            <w:pPr>
              <w:pStyle w:val="TableColumnHeading"/>
              <w:pBdr>
                <w:left w:val="single" w:sz="4" w:space="1" w:color="auto"/>
              </w:pBdr>
            </w:pPr>
            <w:r w:rsidRPr="00227D25">
              <w:t>NT</w:t>
            </w:r>
          </w:p>
        </w:tc>
        <w:tc>
          <w:tcPr>
            <w:tcW w:w="479" w:type="pct"/>
            <w:tcBorders>
              <w:top w:val="single" w:sz="6" w:space="0" w:color="auto"/>
              <w:bottom w:val="single" w:sz="6" w:space="0" w:color="auto"/>
            </w:tcBorders>
            <w:shd w:val="clear" w:color="auto" w:fill="auto"/>
          </w:tcPr>
          <w:p w:rsidR="00724A07" w:rsidRPr="00227D25" w:rsidRDefault="00724A07" w:rsidP="000159BC">
            <w:pPr>
              <w:pStyle w:val="TableColumnHeading"/>
              <w:pBdr>
                <w:left w:val="single" w:sz="4" w:space="1" w:color="auto"/>
              </w:pBdr>
              <w:ind w:right="28"/>
            </w:pPr>
            <w:proofErr w:type="spellStart"/>
            <w:r w:rsidRPr="00227D25">
              <w:t>Aust</w:t>
            </w:r>
            <w:proofErr w:type="spellEnd"/>
          </w:p>
        </w:tc>
      </w:tr>
      <w:tr w:rsidR="00AA3506" w:rsidRPr="00227D25" w:rsidTr="00EA4244">
        <w:tc>
          <w:tcPr>
            <w:tcW w:w="801" w:type="pct"/>
            <w:tcBorders>
              <w:top w:val="single" w:sz="6" w:space="0" w:color="auto"/>
            </w:tcBorders>
          </w:tcPr>
          <w:p w:rsidR="007249FB" w:rsidRPr="00227D25" w:rsidRDefault="007249FB" w:rsidP="00867CA1">
            <w:pPr>
              <w:pStyle w:val="TableUnitsRow"/>
              <w:ind w:left="119" w:hanging="113"/>
              <w:jc w:val="left"/>
              <w:rPr>
                <w:sz w:val="18"/>
                <w:szCs w:val="18"/>
              </w:rPr>
            </w:pPr>
            <w:r w:rsidRPr="00227D25">
              <w:rPr>
                <w:sz w:val="18"/>
                <w:szCs w:val="18"/>
              </w:rPr>
              <w:t>Diploma or above</w:t>
            </w:r>
            <w:r w:rsidR="00140E5B">
              <w:rPr>
                <w:rStyle w:val="NoteLabel"/>
                <w:szCs w:val="18"/>
              </w:rPr>
              <w:t>c</w:t>
            </w:r>
          </w:p>
        </w:tc>
        <w:tc>
          <w:tcPr>
            <w:tcW w:w="479" w:type="pct"/>
            <w:tcBorders>
              <w:top w:val="single" w:sz="6" w:space="0" w:color="auto"/>
            </w:tcBorders>
          </w:tcPr>
          <w:p w:rsidR="008414C7" w:rsidRPr="008414C7" w:rsidRDefault="008414C7" w:rsidP="008414C7">
            <w:pPr>
              <w:pStyle w:val="TableUnitsRow"/>
              <w:rPr>
                <w:rStyle w:val="DraftingNote"/>
                <w:b w:val="0"/>
                <w:color w:val="auto"/>
                <w:sz w:val="20"/>
                <w:u w:val="none"/>
              </w:rPr>
            </w:pPr>
            <w:r w:rsidRPr="008414C7">
              <w:rPr>
                <w:rStyle w:val="DraftingNote"/>
                <w:b w:val="0"/>
                <w:color w:val="auto"/>
                <w:sz w:val="20"/>
                <w:u w:val="none"/>
              </w:rPr>
              <w:t>25</w:t>
            </w:r>
            <w:r w:rsidR="00247953">
              <w:rPr>
                <w:rStyle w:val="DraftingNote"/>
                <w:b w:val="0"/>
                <w:color w:val="auto"/>
                <w:sz w:val="20"/>
                <w:u w:val="none"/>
              </w:rPr>
              <w:t> </w:t>
            </w:r>
            <w:r w:rsidRPr="008414C7">
              <w:rPr>
                <w:rStyle w:val="DraftingNote"/>
                <w:b w:val="0"/>
                <w:color w:val="auto"/>
                <w:sz w:val="20"/>
                <w:u w:val="none"/>
              </w:rPr>
              <w:t>683</w:t>
            </w:r>
          </w:p>
        </w:tc>
        <w:tc>
          <w:tcPr>
            <w:tcW w:w="495" w:type="pct"/>
            <w:tcBorders>
              <w:top w:val="single" w:sz="6" w:space="0" w:color="auto"/>
            </w:tcBorders>
          </w:tcPr>
          <w:p w:rsidR="007249FB" w:rsidRPr="008414C7" w:rsidRDefault="008414C7" w:rsidP="008414C7">
            <w:pPr>
              <w:pStyle w:val="TableUnitsRow"/>
              <w:rPr>
                <w:rStyle w:val="DraftingNote"/>
                <w:b w:val="0"/>
                <w:color w:val="auto"/>
                <w:sz w:val="20"/>
                <w:u w:val="none"/>
              </w:rPr>
            </w:pPr>
            <w:r>
              <w:rPr>
                <w:rStyle w:val="DraftingNote"/>
                <w:b w:val="0"/>
                <w:color w:val="auto"/>
                <w:sz w:val="20"/>
                <w:u w:val="none"/>
              </w:rPr>
              <w:t>28</w:t>
            </w:r>
            <w:r w:rsidR="00247953">
              <w:rPr>
                <w:rStyle w:val="DraftingNote"/>
                <w:b w:val="0"/>
                <w:color w:val="auto"/>
                <w:sz w:val="20"/>
                <w:u w:val="none"/>
              </w:rPr>
              <w:t> </w:t>
            </w:r>
            <w:r>
              <w:rPr>
                <w:rStyle w:val="DraftingNote"/>
                <w:b w:val="0"/>
                <w:color w:val="auto"/>
                <w:sz w:val="20"/>
                <w:u w:val="none"/>
              </w:rPr>
              <w:t>440</w:t>
            </w:r>
          </w:p>
        </w:tc>
        <w:tc>
          <w:tcPr>
            <w:tcW w:w="479" w:type="pct"/>
            <w:tcBorders>
              <w:top w:val="single" w:sz="6" w:space="0" w:color="auto"/>
            </w:tcBorders>
          </w:tcPr>
          <w:p w:rsidR="007249FB" w:rsidRPr="008414C7" w:rsidRDefault="008414C7" w:rsidP="008414C7">
            <w:pPr>
              <w:pStyle w:val="TableUnitsRow"/>
              <w:rPr>
                <w:rStyle w:val="DraftingNote"/>
                <w:b w:val="0"/>
                <w:color w:val="auto"/>
                <w:sz w:val="20"/>
                <w:u w:val="none"/>
              </w:rPr>
            </w:pPr>
            <w:r>
              <w:rPr>
                <w:rStyle w:val="DraftingNote"/>
                <w:b w:val="0"/>
                <w:color w:val="auto"/>
                <w:sz w:val="20"/>
                <w:u w:val="none"/>
              </w:rPr>
              <w:t>14</w:t>
            </w:r>
            <w:r w:rsidR="00247953">
              <w:rPr>
                <w:rStyle w:val="DraftingNote"/>
                <w:b w:val="0"/>
                <w:color w:val="auto"/>
                <w:sz w:val="20"/>
                <w:u w:val="none"/>
              </w:rPr>
              <w:t> </w:t>
            </w:r>
            <w:r>
              <w:rPr>
                <w:rStyle w:val="DraftingNote"/>
                <w:b w:val="0"/>
                <w:color w:val="auto"/>
                <w:sz w:val="20"/>
                <w:u w:val="none"/>
              </w:rPr>
              <w:t>504</w:t>
            </w:r>
          </w:p>
        </w:tc>
        <w:tc>
          <w:tcPr>
            <w:tcW w:w="477" w:type="pct"/>
            <w:tcBorders>
              <w:top w:val="single" w:sz="6" w:space="0" w:color="auto"/>
            </w:tcBorders>
          </w:tcPr>
          <w:p w:rsidR="007249FB" w:rsidRPr="008414C7" w:rsidRDefault="008414C7" w:rsidP="008414C7">
            <w:pPr>
              <w:pStyle w:val="TableUnitsRow"/>
              <w:rPr>
                <w:rStyle w:val="DraftingNote"/>
                <w:b w:val="0"/>
                <w:color w:val="auto"/>
                <w:sz w:val="20"/>
                <w:u w:val="none"/>
              </w:rPr>
            </w:pPr>
            <w:r>
              <w:rPr>
                <w:rStyle w:val="DraftingNote"/>
                <w:b w:val="0"/>
                <w:color w:val="auto"/>
                <w:sz w:val="20"/>
                <w:u w:val="none"/>
              </w:rPr>
              <w:t>7</w:t>
            </w:r>
            <w:r w:rsidR="00247953">
              <w:rPr>
                <w:rStyle w:val="DraftingNote"/>
                <w:b w:val="0"/>
                <w:color w:val="auto"/>
                <w:sz w:val="20"/>
                <w:u w:val="none"/>
              </w:rPr>
              <w:t> </w:t>
            </w:r>
            <w:r>
              <w:rPr>
                <w:rStyle w:val="DraftingNote"/>
                <w:b w:val="0"/>
                <w:color w:val="auto"/>
                <w:sz w:val="20"/>
                <w:u w:val="none"/>
              </w:rPr>
              <w:t>141</w:t>
            </w:r>
          </w:p>
        </w:tc>
        <w:tc>
          <w:tcPr>
            <w:tcW w:w="478" w:type="pct"/>
            <w:tcBorders>
              <w:top w:val="single" w:sz="6" w:space="0" w:color="auto"/>
            </w:tcBorders>
          </w:tcPr>
          <w:p w:rsidR="007249FB" w:rsidRPr="008414C7" w:rsidRDefault="008414C7" w:rsidP="008414C7">
            <w:pPr>
              <w:pStyle w:val="TableUnitsRow"/>
              <w:rPr>
                <w:rStyle w:val="DraftingNote"/>
                <w:b w:val="0"/>
                <w:color w:val="auto"/>
                <w:sz w:val="20"/>
                <w:u w:val="none"/>
              </w:rPr>
            </w:pPr>
            <w:r>
              <w:rPr>
                <w:rStyle w:val="DraftingNote"/>
                <w:b w:val="0"/>
                <w:color w:val="auto"/>
                <w:sz w:val="20"/>
                <w:u w:val="none"/>
              </w:rPr>
              <w:t>6</w:t>
            </w:r>
            <w:r w:rsidR="00247953">
              <w:rPr>
                <w:rStyle w:val="DraftingNote"/>
                <w:b w:val="0"/>
                <w:color w:val="auto"/>
                <w:sz w:val="20"/>
                <w:u w:val="none"/>
              </w:rPr>
              <w:t> </w:t>
            </w:r>
            <w:r>
              <w:rPr>
                <w:rStyle w:val="DraftingNote"/>
                <w:b w:val="0"/>
                <w:color w:val="auto"/>
                <w:sz w:val="20"/>
                <w:u w:val="none"/>
              </w:rPr>
              <w:t>118</w:t>
            </w:r>
          </w:p>
        </w:tc>
        <w:tc>
          <w:tcPr>
            <w:tcW w:w="478" w:type="pct"/>
            <w:tcBorders>
              <w:top w:val="single" w:sz="6" w:space="0" w:color="auto"/>
            </w:tcBorders>
          </w:tcPr>
          <w:p w:rsidR="007249FB" w:rsidRPr="008414C7" w:rsidRDefault="008414C7" w:rsidP="008414C7">
            <w:pPr>
              <w:pStyle w:val="TableUnitsRow"/>
              <w:rPr>
                <w:rStyle w:val="DraftingNote"/>
                <w:b w:val="0"/>
                <w:color w:val="auto"/>
                <w:sz w:val="20"/>
                <w:u w:val="none"/>
              </w:rPr>
            </w:pPr>
            <w:r>
              <w:rPr>
                <w:rStyle w:val="DraftingNote"/>
                <w:b w:val="0"/>
                <w:color w:val="auto"/>
                <w:sz w:val="20"/>
                <w:u w:val="none"/>
              </w:rPr>
              <w:t>1</w:t>
            </w:r>
            <w:r w:rsidR="00247953">
              <w:rPr>
                <w:rStyle w:val="DraftingNote"/>
                <w:b w:val="0"/>
                <w:color w:val="auto"/>
                <w:sz w:val="20"/>
                <w:u w:val="none"/>
              </w:rPr>
              <w:t> </w:t>
            </w:r>
            <w:r>
              <w:rPr>
                <w:rStyle w:val="DraftingNote"/>
                <w:b w:val="0"/>
                <w:color w:val="auto"/>
                <w:sz w:val="20"/>
                <w:u w:val="none"/>
              </w:rPr>
              <w:t>105</w:t>
            </w:r>
          </w:p>
        </w:tc>
        <w:tc>
          <w:tcPr>
            <w:tcW w:w="416" w:type="pct"/>
            <w:tcBorders>
              <w:top w:val="single" w:sz="6" w:space="0" w:color="auto"/>
            </w:tcBorders>
          </w:tcPr>
          <w:p w:rsidR="007249FB" w:rsidRPr="008414C7" w:rsidRDefault="008414C7" w:rsidP="008414C7">
            <w:pPr>
              <w:pStyle w:val="TableUnitsRow"/>
              <w:rPr>
                <w:rStyle w:val="DraftingNote"/>
                <w:b w:val="0"/>
                <w:color w:val="auto"/>
                <w:sz w:val="20"/>
                <w:u w:val="none"/>
              </w:rPr>
            </w:pPr>
            <w:r>
              <w:rPr>
                <w:rStyle w:val="DraftingNote"/>
                <w:b w:val="0"/>
                <w:color w:val="auto"/>
                <w:sz w:val="20"/>
                <w:u w:val="none"/>
              </w:rPr>
              <w:t>2</w:t>
            </w:r>
            <w:r w:rsidR="00247953">
              <w:rPr>
                <w:rStyle w:val="DraftingNote"/>
                <w:b w:val="0"/>
                <w:color w:val="auto"/>
                <w:sz w:val="20"/>
                <w:u w:val="none"/>
              </w:rPr>
              <w:t> </w:t>
            </w:r>
            <w:r>
              <w:rPr>
                <w:rStyle w:val="DraftingNote"/>
                <w:b w:val="0"/>
                <w:color w:val="auto"/>
                <w:sz w:val="20"/>
                <w:u w:val="none"/>
              </w:rPr>
              <w:t>302</w:t>
            </w:r>
          </w:p>
        </w:tc>
        <w:tc>
          <w:tcPr>
            <w:tcW w:w="418" w:type="pct"/>
            <w:tcBorders>
              <w:top w:val="single" w:sz="6" w:space="0" w:color="auto"/>
            </w:tcBorders>
          </w:tcPr>
          <w:p w:rsidR="007249FB" w:rsidRPr="008414C7" w:rsidRDefault="008414C7" w:rsidP="008414C7">
            <w:pPr>
              <w:pStyle w:val="TableUnitsRow"/>
              <w:rPr>
                <w:rStyle w:val="DraftingNote"/>
                <w:b w:val="0"/>
                <w:color w:val="auto"/>
                <w:sz w:val="20"/>
                <w:u w:val="none"/>
              </w:rPr>
            </w:pPr>
            <w:r>
              <w:rPr>
                <w:rStyle w:val="DraftingNote"/>
                <w:b w:val="0"/>
                <w:color w:val="auto"/>
                <w:sz w:val="20"/>
                <w:u w:val="none"/>
              </w:rPr>
              <w:t>281</w:t>
            </w:r>
          </w:p>
        </w:tc>
        <w:tc>
          <w:tcPr>
            <w:tcW w:w="479" w:type="pct"/>
            <w:tcBorders>
              <w:top w:val="single" w:sz="6" w:space="0" w:color="auto"/>
            </w:tcBorders>
          </w:tcPr>
          <w:p w:rsidR="007249FB" w:rsidRPr="008414C7" w:rsidRDefault="008414C7" w:rsidP="002559E2">
            <w:pPr>
              <w:pStyle w:val="TableUnitsRow"/>
              <w:ind w:right="0"/>
              <w:rPr>
                <w:rStyle w:val="DraftingNote"/>
                <w:b w:val="0"/>
                <w:color w:val="auto"/>
                <w:sz w:val="20"/>
                <w:u w:val="none"/>
              </w:rPr>
            </w:pPr>
            <w:r>
              <w:rPr>
                <w:rStyle w:val="DraftingNote"/>
                <w:b w:val="0"/>
                <w:color w:val="auto"/>
                <w:sz w:val="20"/>
                <w:u w:val="none"/>
              </w:rPr>
              <w:t>85</w:t>
            </w:r>
            <w:r w:rsidR="00247953">
              <w:rPr>
                <w:rStyle w:val="DraftingNote"/>
                <w:b w:val="0"/>
                <w:color w:val="auto"/>
                <w:sz w:val="20"/>
                <w:u w:val="none"/>
              </w:rPr>
              <w:t> </w:t>
            </w:r>
            <w:r>
              <w:rPr>
                <w:rStyle w:val="DraftingNote"/>
                <w:b w:val="0"/>
                <w:color w:val="auto"/>
                <w:sz w:val="20"/>
                <w:u w:val="none"/>
              </w:rPr>
              <w:t>574</w:t>
            </w:r>
          </w:p>
        </w:tc>
      </w:tr>
      <w:tr w:rsidR="00AA3506" w:rsidRPr="00227D25" w:rsidTr="00EA4244">
        <w:tc>
          <w:tcPr>
            <w:tcW w:w="801" w:type="pct"/>
          </w:tcPr>
          <w:p w:rsidR="007249FB" w:rsidRPr="00227D25" w:rsidRDefault="007249FB" w:rsidP="00867CA1">
            <w:pPr>
              <w:pStyle w:val="TableBodyText"/>
              <w:ind w:left="119" w:hanging="113"/>
              <w:jc w:val="left"/>
              <w:rPr>
                <w:sz w:val="18"/>
                <w:szCs w:val="18"/>
              </w:rPr>
            </w:pPr>
            <w:r w:rsidRPr="00227D25">
              <w:rPr>
                <w:sz w:val="18"/>
                <w:szCs w:val="18"/>
              </w:rPr>
              <w:t>Certificate III or IV</w:t>
            </w:r>
          </w:p>
        </w:tc>
        <w:tc>
          <w:tcPr>
            <w:tcW w:w="479" w:type="pct"/>
          </w:tcPr>
          <w:p w:rsidR="007249FB" w:rsidRPr="008414C7" w:rsidRDefault="008414C7" w:rsidP="008414C7">
            <w:pPr>
              <w:pStyle w:val="TableUnitsRow"/>
              <w:rPr>
                <w:rStyle w:val="DraftingNote"/>
                <w:b w:val="0"/>
                <w:color w:val="auto"/>
                <w:sz w:val="20"/>
                <w:u w:val="none"/>
              </w:rPr>
            </w:pPr>
            <w:r>
              <w:rPr>
                <w:rStyle w:val="DraftingNote"/>
                <w:b w:val="0"/>
                <w:color w:val="auto"/>
                <w:sz w:val="20"/>
                <w:u w:val="none"/>
              </w:rPr>
              <w:t>86</w:t>
            </w:r>
            <w:r w:rsidR="00247953">
              <w:rPr>
                <w:rStyle w:val="DraftingNote"/>
                <w:b w:val="0"/>
                <w:color w:val="auto"/>
                <w:sz w:val="20"/>
                <w:u w:val="none"/>
              </w:rPr>
              <w:t> </w:t>
            </w:r>
            <w:r>
              <w:rPr>
                <w:rStyle w:val="DraftingNote"/>
                <w:b w:val="0"/>
                <w:color w:val="auto"/>
                <w:sz w:val="20"/>
                <w:u w:val="none"/>
              </w:rPr>
              <w:t>234</w:t>
            </w:r>
          </w:p>
        </w:tc>
        <w:tc>
          <w:tcPr>
            <w:tcW w:w="495" w:type="pct"/>
          </w:tcPr>
          <w:p w:rsidR="007249FB" w:rsidRPr="008414C7" w:rsidRDefault="008414C7" w:rsidP="008414C7">
            <w:pPr>
              <w:pStyle w:val="TableUnitsRow"/>
              <w:rPr>
                <w:rStyle w:val="DraftingNote"/>
                <w:b w:val="0"/>
                <w:color w:val="auto"/>
                <w:sz w:val="20"/>
                <w:u w:val="none"/>
              </w:rPr>
            </w:pPr>
            <w:r>
              <w:rPr>
                <w:rStyle w:val="DraftingNote"/>
                <w:b w:val="0"/>
                <w:color w:val="auto"/>
                <w:sz w:val="20"/>
                <w:u w:val="none"/>
              </w:rPr>
              <w:t>95</w:t>
            </w:r>
            <w:r w:rsidR="00247953">
              <w:rPr>
                <w:rStyle w:val="DraftingNote"/>
                <w:b w:val="0"/>
                <w:color w:val="auto"/>
                <w:sz w:val="20"/>
                <w:u w:val="none"/>
              </w:rPr>
              <w:t> </w:t>
            </w:r>
            <w:r>
              <w:rPr>
                <w:rStyle w:val="DraftingNote"/>
                <w:b w:val="0"/>
                <w:color w:val="auto"/>
                <w:sz w:val="20"/>
                <w:u w:val="none"/>
              </w:rPr>
              <w:t>750</w:t>
            </w:r>
          </w:p>
        </w:tc>
        <w:tc>
          <w:tcPr>
            <w:tcW w:w="479" w:type="pct"/>
          </w:tcPr>
          <w:p w:rsidR="007249FB" w:rsidRPr="008414C7" w:rsidRDefault="008414C7" w:rsidP="008414C7">
            <w:pPr>
              <w:pStyle w:val="TableUnitsRow"/>
              <w:rPr>
                <w:rStyle w:val="DraftingNote"/>
                <w:b w:val="0"/>
                <w:color w:val="auto"/>
                <w:sz w:val="20"/>
                <w:u w:val="none"/>
              </w:rPr>
            </w:pPr>
            <w:r>
              <w:rPr>
                <w:rStyle w:val="DraftingNote"/>
                <w:b w:val="0"/>
                <w:color w:val="auto"/>
                <w:sz w:val="20"/>
                <w:u w:val="none"/>
              </w:rPr>
              <w:t>63</w:t>
            </w:r>
            <w:r w:rsidR="00247953">
              <w:rPr>
                <w:rStyle w:val="DraftingNote"/>
                <w:b w:val="0"/>
                <w:color w:val="auto"/>
                <w:sz w:val="20"/>
                <w:u w:val="none"/>
              </w:rPr>
              <w:t> </w:t>
            </w:r>
            <w:r>
              <w:rPr>
                <w:rStyle w:val="DraftingNote"/>
                <w:b w:val="0"/>
                <w:color w:val="auto"/>
                <w:sz w:val="20"/>
                <w:u w:val="none"/>
              </w:rPr>
              <w:t>627</w:t>
            </w:r>
          </w:p>
        </w:tc>
        <w:tc>
          <w:tcPr>
            <w:tcW w:w="477" w:type="pct"/>
          </w:tcPr>
          <w:p w:rsidR="007249FB" w:rsidRPr="008414C7" w:rsidRDefault="008414C7" w:rsidP="008414C7">
            <w:pPr>
              <w:pStyle w:val="TableUnitsRow"/>
              <w:rPr>
                <w:rStyle w:val="DraftingNote"/>
                <w:b w:val="0"/>
                <w:color w:val="auto"/>
                <w:sz w:val="20"/>
                <w:u w:val="none"/>
              </w:rPr>
            </w:pPr>
            <w:r>
              <w:rPr>
                <w:rStyle w:val="DraftingNote"/>
                <w:b w:val="0"/>
                <w:color w:val="auto"/>
                <w:sz w:val="20"/>
                <w:u w:val="none"/>
              </w:rPr>
              <w:t>29</w:t>
            </w:r>
            <w:r w:rsidR="00247953">
              <w:rPr>
                <w:rStyle w:val="DraftingNote"/>
                <w:b w:val="0"/>
                <w:color w:val="auto"/>
                <w:sz w:val="20"/>
                <w:u w:val="none"/>
              </w:rPr>
              <w:t> </w:t>
            </w:r>
            <w:r>
              <w:rPr>
                <w:rStyle w:val="DraftingNote"/>
                <w:b w:val="0"/>
                <w:color w:val="auto"/>
                <w:sz w:val="20"/>
                <w:u w:val="none"/>
              </w:rPr>
              <w:t>743</w:t>
            </w:r>
          </w:p>
        </w:tc>
        <w:tc>
          <w:tcPr>
            <w:tcW w:w="478" w:type="pct"/>
          </w:tcPr>
          <w:p w:rsidR="007249FB" w:rsidRPr="008414C7" w:rsidRDefault="008414C7" w:rsidP="008414C7">
            <w:pPr>
              <w:pStyle w:val="TableUnitsRow"/>
              <w:rPr>
                <w:rStyle w:val="DraftingNote"/>
                <w:b w:val="0"/>
                <w:color w:val="auto"/>
                <w:sz w:val="20"/>
                <w:u w:val="none"/>
              </w:rPr>
            </w:pPr>
            <w:r>
              <w:rPr>
                <w:rStyle w:val="DraftingNote"/>
                <w:b w:val="0"/>
                <w:color w:val="auto"/>
                <w:sz w:val="20"/>
                <w:u w:val="none"/>
              </w:rPr>
              <w:t>21</w:t>
            </w:r>
            <w:r w:rsidR="00247953">
              <w:rPr>
                <w:rStyle w:val="DraftingNote"/>
                <w:b w:val="0"/>
                <w:color w:val="auto"/>
                <w:sz w:val="20"/>
                <w:u w:val="none"/>
              </w:rPr>
              <w:t> </w:t>
            </w:r>
            <w:r>
              <w:rPr>
                <w:rStyle w:val="DraftingNote"/>
                <w:b w:val="0"/>
                <w:color w:val="auto"/>
                <w:sz w:val="20"/>
                <w:u w:val="none"/>
              </w:rPr>
              <w:t>532</w:t>
            </w:r>
          </w:p>
        </w:tc>
        <w:tc>
          <w:tcPr>
            <w:tcW w:w="478" w:type="pct"/>
          </w:tcPr>
          <w:p w:rsidR="007249FB" w:rsidRPr="008414C7" w:rsidRDefault="008414C7" w:rsidP="008414C7">
            <w:pPr>
              <w:pStyle w:val="TableUnitsRow"/>
              <w:rPr>
                <w:rStyle w:val="DraftingNote"/>
                <w:b w:val="0"/>
                <w:color w:val="auto"/>
                <w:sz w:val="20"/>
                <w:u w:val="none"/>
              </w:rPr>
            </w:pPr>
            <w:r>
              <w:rPr>
                <w:rStyle w:val="DraftingNote"/>
                <w:b w:val="0"/>
                <w:color w:val="auto"/>
                <w:sz w:val="20"/>
                <w:u w:val="none"/>
              </w:rPr>
              <w:t>6</w:t>
            </w:r>
            <w:r w:rsidR="00247953">
              <w:rPr>
                <w:rStyle w:val="DraftingNote"/>
                <w:b w:val="0"/>
                <w:color w:val="auto"/>
                <w:sz w:val="20"/>
                <w:u w:val="none"/>
              </w:rPr>
              <w:t> </w:t>
            </w:r>
            <w:r>
              <w:rPr>
                <w:rStyle w:val="DraftingNote"/>
                <w:b w:val="0"/>
                <w:color w:val="auto"/>
                <w:sz w:val="20"/>
                <w:u w:val="none"/>
              </w:rPr>
              <w:t>575</w:t>
            </w:r>
          </w:p>
        </w:tc>
        <w:tc>
          <w:tcPr>
            <w:tcW w:w="416" w:type="pct"/>
          </w:tcPr>
          <w:p w:rsidR="007249FB" w:rsidRPr="008414C7" w:rsidRDefault="008414C7" w:rsidP="008414C7">
            <w:pPr>
              <w:pStyle w:val="TableUnitsRow"/>
              <w:rPr>
                <w:rStyle w:val="DraftingNote"/>
                <w:b w:val="0"/>
                <w:color w:val="auto"/>
                <w:sz w:val="20"/>
                <w:u w:val="none"/>
              </w:rPr>
            </w:pPr>
            <w:r>
              <w:rPr>
                <w:rStyle w:val="DraftingNote"/>
                <w:b w:val="0"/>
                <w:color w:val="auto"/>
                <w:sz w:val="20"/>
                <w:u w:val="none"/>
              </w:rPr>
              <w:t>5</w:t>
            </w:r>
            <w:r w:rsidR="00247953">
              <w:rPr>
                <w:rStyle w:val="DraftingNote"/>
                <w:b w:val="0"/>
                <w:color w:val="auto"/>
                <w:sz w:val="20"/>
                <w:u w:val="none"/>
              </w:rPr>
              <w:t> </w:t>
            </w:r>
            <w:r>
              <w:rPr>
                <w:rStyle w:val="DraftingNote"/>
                <w:b w:val="0"/>
                <w:color w:val="auto"/>
                <w:sz w:val="20"/>
                <w:u w:val="none"/>
              </w:rPr>
              <w:t>956</w:t>
            </w:r>
          </w:p>
        </w:tc>
        <w:tc>
          <w:tcPr>
            <w:tcW w:w="418" w:type="pct"/>
          </w:tcPr>
          <w:p w:rsidR="007249FB" w:rsidRPr="008414C7" w:rsidRDefault="008414C7" w:rsidP="008414C7">
            <w:pPr>
              <w:pStyle w:val="TableUnitsRow"/>
              <w:rPr>
                <w:rStyle w:val="DraftingNote"/>
                <w:b w:val="0"/>
                <w:color w:val="auto"/>
                <w:sz w:val="20"/>
                <w:u w:val="none"/>
              </w:rPr>
            </w:pPr>
            <w:r>
              <w:rPr>
                <w:rStyle w:val="DraftingNote"/>
                <w:b w:val="0"/>
                <w:color w:val="auto"/>
                <w:sz w:val="20"/>
                <w:u w:val="none"/>
              </w:rPr>
              <w:t>3</w:t>
            </w:r>
            <w:r w:rsidR="00247953">
              <w:rPr>
                <w:rStyle w:val="DraftingNote"/>
                <w:b w:val="0"/>
                <w:color w:val="auto"/>
                <w:sz w:val="20"/>
                <w:u w:val="none"/>
              </w:rPr>
              <w:t> </w:t>
            </w:r>
            <w:r>
              <w:rPr>
                <w:rStyle w:val="DraftingNote"/>
                <w:b w:val="0"/>
                <w:color w:val="auto"/>
                <w:sz w:val="20"/>
                <w:u w:val="none"/>
              </w:rPr>
              <w:t>119</w:t>
            </w:r>
          </w:p>
        </w:tc>
        <w:tc>
          <w:tcPr>
            <w:tcW w:w="479" w:type="pct"/>
          </w:tcPr>
          <w:p w:rsidR="007249FB" w:rsidRPr="008414C7" w:rsidRDefault="008414C7" w:rsidP="002559E2">
            <w:pPr>
              <w:pStyle w:val="TableUnitsRow"/>
              <w:ind w:right="0"/>
              <w:rPr>
                <w:rStyle w:val="DraftingNote"/>
                <w:b w:val="0"/>
                <w:color w:val="auto"/>
                <w:sz w:val="20"/>
                <w:u w:val="none"/>
              </w:rPr>
            </w:pPr>
            <w:r>
              <w:rPr>
                <w:rStyle w:val="DraftingNote"/>
                <w:b w:val="0"/>
                <w:color w:val="auto"/>
                <w:sz w:val="20"/>
                <w:u w:val="none"/>
              </w:rPr>
              <w:t>312</w:t>
            </w:r>
            <w:r w:rsidR="00247953">
              <w:rPr>
                <w:rStyle w:val="DraftingNote"/>
                <w:b w:val="0"/>
                <w:color w:val="auto"/>
                <w:sz w:val="20"/>
                <w:u w:val="none"/>
              </w:rPr>
              <w:t> </w:t>
            </w:r>
            <w:r>
              <w:rPr>
                <w:rStyle w:val="DraftingNote"/>
                <w:b w:val="0"/>
                <w:color w:val="auto"/>
                <w:sz w:val="20"/>
                <w:u w:val="none"/>
              </w:rPr>
              <w:t>536</w:t>
            </w:r>
          </w:p>
        </w:tc>
      </w:tr>
      <w:tr w:rsidR="00AA3506" w:rsidRPr="00227D25" w:rsidTr="00EA4244">
        <w:tc>
          <w:tcPr>
            <w:tcW w:w="801" w:type="pct"/>
            <w:shd w:val="clear" w:color="auto" w:fill="auto"/>
          </w:tcPr>
          <w:p w:rsidR="007249FB" w:rsidRPr="00227D25" w:rsidRDefault="007249FB" w:rsidP="00867CA1">
            <w:pPr>
              <w:pStyle w:val="TableBodyText"/>
              <w:ind w:left="119" w:hanging="113"/>
              <w:jc w:val="left"/>
              <w:rPr>
                <w:sz w:val="18"/>
                <w:szCs w:val="18"/>
              </w:rPr>
            </w:pPr>
            <w:r w:rsidRPr="00227D25">
              <w:rPr>
                <w:sz w:val="18"/>
                <w:szCs w:val="18"/>
              </w:rPr>
              <w:t>Certificate I or II or lower</w:t>
            </w:r>
            <w:r w:rsidR="00140E5B">
              <w:rPr>
                <w:rStyle w:val="NoteLabel"/>
                <w:szCs w:val="18"/>
              </w:rPr>
              <w:t>d</w:t>
            </w:r>
          </w:p>
        </w:tc>
        <w:tc>
          <w:tcPr>
            <w:tcW w:w="479" w:type="pct"/>
            <w:shd w:val="clear" w:color="auto" w:fill="auto"/>
          </w:tcPr>
          <w:p w:rsidR="007249FB" w:rsidRPr="008414C7" w:rsidRDefault="008414C7" w:rsidP="008414C7">
            <w:pPr>
              <w:pStyle w:val="TableUnitsRow"/>
              <w:rPr>
                <w:rStyle w:val="DraftingNote"/>
                <w:b w:val="0"/>
                <w:color w:val="auto"/>
                <w:sz w:val="20"/>
                <w:u w:val="none"/>
              </w:rPr>
            </w:pPr>
            <w:r>
              <w:rPr>
                <w:rStyle w:val="DraftingNote"/>
                <w:b w:val="0"/>
                <w:color w:val="auto"/>
                <w:sz w:val="20"/>
                <w:u w:val="none"/>
              </w:rPr>
              <w:t>26</w:t>
            </w:r>
            <w:r w:rsidR="00247953">
              <w:rPr>
                <w:rStyle w:val="DraftingNote"/>
                <w:b w:val="0"/>
                <w:color w:val="auto"/>
                <w:sz w:val="20"/>
                <w:u w:val="none"/>
              </w:rPr>
              <w:t> </w:t>
            </w:r>
            <w:r>
              <w:rPr>
                <w:rStyle w:val="DraftingNote"/>
                <w:b w:val="0"/>
                <w:color w:val="auto"/>
                <w:sz w:val="20"/>
                <w:u w:val="none"/>
              </w:rPr>
              <w:t>902</w:t>
            </w:r>
          </w:p>
        </w:tc>
        <w:tc>
          <w:tcPr>
            <w:tcW w:w="495" w:type="pct"/>
            <w:shd w:val="clear" w:color="auto" w:fill="auto"/>
          </w:tcPr>
          <w:p w:rsidR="007249FB" w:rsidRPr="008414C7" w:rsidRDefault="008414C7" w:rsidP="008414C7">
            <w:pPr>
              <w:pStyle w:val="TableUnitsRow"/>
              <w:rPr>
                <w:rStyle w:val="DraftingNote"/>
                <w:b w:val="0"/>
                <w:color w:val="auto"/>
                <w:sz w:val="20"/>
                <w:u w:val="none"/>
              </w:rPr>
            </w:pPr>
            <w:r>
              <w:rPr>
                <w:rStyle w:val="DraftingNote"/>
                <w:b w:val="0"/>
                <w:color w:val="auto"/>
                <w:sz w:val="20"/>
                <w:u w:val="none"/>
              </w:rPr>
              <w:t>35</w:t>
            </w:r>
            <w:r w:rsidR="00247953">
              <w:rPr>
                <w:rStyle w:val="DraftingNote"/>
                <w:b w:val="0"/>
                <w:color w:val="auto"/>
                <w:sz w:val="20"/>
                <w:u w:val="none"/>
              </w:rPr>
              <w:t> </w:t>
            </w:r>
            <w:r>
              <w:rPr>
                <w:rStyle w:val="DraftingNote"/>
                <w:b w:val="0"/>
                <w:color w:val="auto"/>
                <w:sz w:val="20"/>
                <w:u w:val="none"/>
              </w:rPr>
              <w:t>534</w:t>
            </w:r>
          </w:p>
        </w:tc>
        <w:tc>
          <w:tcPr>
            <w:tcW w:w="479" w:type="pct"/>
            <w:shd w:val="clear" w:color="auto" w:fill="auto"/>
          </w:tcPr>
          <w:p w:rsidR="007249FB" w:rsidRPr="008414C7" w:rsidRDefault="008414C7" w:rsidP="008414C7">
            <w:pPr>
              <w:pStyle w:val="TableUnitsRow"/>
              <w:rPr>
                <w:rStyle w:val="DraftingNote"/>
                <w:b w:val="0"/>
                <w:color w:val="auto"/>
                <w:sz w:val="20"/>
                <w:u w:val="none"/>
              </w:rPr>
            </w:pPr>
            <w:r>
              <w:rPr>
                <w:rStyle w:val="DraftingNote"/>
                <w:b w:val="0"/>
                <w:color w:val="auto"/>
                <w:sz w:val="20"/>
                <w:u w:val="none"/>
              </w:rPr>
              <w:t>30</w:t>
            </w:r>
            <w:r w:rsidR="00247953">
              <w:rPr>
                <w:rStyle w:val="DraftingNote"/>
                <w:b w:val="0"/>
                <w:color w:val="auto"/>
                <w:sz w:val="20"/>
                <w:u w:val="none"/>
              </w:rPr>
              <w:t> </w:t>
            </w:r>
            <w:r>
              <w:rPr>
                <w:rStyle w:val="DraftingNote"/>
                <w:b w:val="0"/>
                <w:color w:val="auto"/>
                <w:sz w:val="20"/>
                <w:u w:val="none"/>
              </w:rPr>
              <w:t>357</w:t>
            </w:r>
          </w:p>
        </w:tc>
        <w:tc>
          <w:tcPr>
            <w:tcW w:w="477" w:type="pct"/>
            <w:shd w:val="clear" w:color="auto" w:fill="auto"/>
          </w:tcPr>
          <w:p w:rsidR="007249FB" w:rsidRPr="008414C7" w:rsidRDefault="008414C7" w:rsidP="008414C7">
            <w:pPr>
              <w:pStyle w:val="TableUnitsRow"/>
              <w:rPr>
                <w:rStyle w:val="DraftingNote"/>
                <w:b w:val="0"/>
                <w:color w:val="auto"/>
                <w:sz w:val="20"/>
                <w:u w:val="none"/>
              </w:rPr>
            </w:pPr>
            <w:r>
              <w:rPr>
                <w:rStyle w:val="DraftingNote"/>
                <w:b w:val="0"/>
                <w:color w:val="auto"/>
                <w:sz w:val="20"/>
                <w:u w:val="none"/>
              </w:rPr>
              <w:t>15</w:t>
            </w:r>
            <w:r w:rsidR="00247953">
              <w:rPr>
                <w:rStyle w:val="DraftingNote"/>
                <w:b w:val="0"/>
                <w:color w:val="auto"/>
                <w:sz w:val="20"/>
                <w:u w:val="none"/>
              </w:rPr>
              <w:t> </w:t>
            </w:r>
            <w:r>
              <w:rPr>
                <w:rStyle w:val="DraftingNote"/>
                <w:b w:val="0"/>
                <w:color w:val="auto"/>
                <w:sz w:val="20"/>
                <w:u w:val="none"/>
              </w:rPr>
              <w:t>116</w:t>
            </w:r>
          </w:p>
        </w:tc>
        <w:tc>
          <w:tcPr>
            <w:tcW w:w="478" w:type="pct"/>
            <w:shd w:val="clear" w:color="auto" w:fill="auto"/>
          </w:tcPr>
          <w:p w:rsidR="007249FB" w:rsidRPr="008414C7" w:rsidRDefault="008414C7" w:rsidP="008414C7">
            <w:pPr>
              <w:pStyle w:val="TableUnitsRow"/>
              <w:rPr>
                <w:rStyle w:val="DraftingNote"/>
                <w:b w:val="0"/>
                <w:color w:val="auto"/>
                <w:sz w:val="20"/>
                <w:u w:val="none"/>
              </w:rPr>
            </w:pPr>
            <w:r>
              <w:rPr>
                <w:rStyle w:val="DraftingNote"/>
                <w:b w:val="0"/>
                <w:color w:val="auto"/>
                <w:sz w:val="20"/>
                <w:u w:val="none"/>
              </w:rPr>
              <w:t>8</w:t>
            </w:r>
            <w:r w:rsidR="00247953">
              <w:rPr>
                <w:rStyle w:val="DraftingNote"/>
                <w:b w:val="0"/>
                <w:color w:val="auto"/>
                <w:sz w:val="20"/>
                <w:u w:val="none"/>
              </w:rPr>
              <w:t> </w:t>
            </w:r>
            <w:r>
              <w:rPr>
                <w:rStyle w:val="DraftingNote"/>
                <w:b w:val="0"/>
                <w:color w:val="auto"/>
                <w:sz w:val="20"/>
                <w:u w:val="none"/>
              </w:rPr>
              <w:t>090</w:t>
            </w:r>
          </w:p>
        </w:tc>
        <w:tc>
          <w:tcPr>
            <w:tcW w:w="478" w:type="pct"/>
            <w:shd w:val="clear" w:color="auto" w:fill="auto"/>
          </w:tcPr>
          <w:p w:rsidR="007249FB" w:rsidRPr="008414C7" w:rsidRDefault="008414C7" w:rsidP="008414C7">
            <w:pPr>
              <w:pStyle w:val="TableUnitsRow"/>
              <w:rPr>
                <w:rStyle w:val="DraftingNote"/>
                <w:b w:val="0"/>
                <w:color w:val="auto"/>
                <w:sz w:val="20"/>
                <w:u w:val="none"/>
              </w:rPr>
            </w:pPr>
            <w:r>
              <w:rPr>
                <w:rStyle w:val="DraftingNote"/>
                <w:b w:val="0"/>
                <w:color w:val="auto"/>
                <w:sz w:val="20"/>
                <w:u w:val="none"/>
              </w:rPr>
              <w:t>3</w:t>
            </w:r>
            <w:r w:rsidR="00247953">
              <w:rPr>
                <w:rStyle w:val="DraftingNote"/>
                <w:b w:val="0"/>
                <w:color w:val="auto"/>
                <w:sz w:val="20"/>
                <w:u w:val="none"/>
              </w:rPr>
              <w:t> </w:t>
            </w:r>
            <w:r>
              <w:rPr>
                <w:rStyle w:val="DraftingNote"/>
                <w:b w:val="0"/>
                <w:color w:val="auto"/>
                <w:sz w:val="20"/>
                <w:u w:val="none"/>
              </w:rPr>
              <w:t>174</w:t>
            </w:r>
          </w:p>
        </w:tc>
        <w:tc>
          <w:tcPr>
            <w:tcW w:w="416" w:type="pct"/>
            <w:shd w:val="clear" w:color="auto" w:fill="auto"/>
          </w:tcPr>
          <w:p w:rsidR="007249FB" w:rsidRPr="008414C7" w:rsidRDefault="008414C7" w:rsidP="008414C7">
            <w:pPr>
              <w:pStyle w:val="TableUnitsRow"/>
              <w:rPr>
                <w:rStyle w:val="DraftingNote"/>
                <w:b w:val="0"/>
                <w:color w:val="auto"/>
                <w:sz w:val="20"/>
                <w:u w:val="none"/>
              </w:rPr>
            </w:pPr>
            <w:r>
              <w:rPr>
                <w:rStyle w:val="DraftingNote"/>
                <w:b w:val="0"/>
                <w:color w:val="auto"/>
                <w:sz w:val="20"/>
                <w:u w:val="none"/>
              </w:rPr>
              <w:t>1</w:t>
            </w:r>
            <w:r w:rsidR="00247953">
              <w:rPr>
                <w:rStyle w:val="DraftingNote"/>
                <w:b w:val="0"/>
                <w:color w:val="auto"/>
                <w:sz w:val="20"/>
                <w:u w:val="none"/>
              </w:rPr>
              <w:t> </w:t>
            </w:r>
            <w:r>
              <w:rPr>
                <w:rStyle w:val="DraftingNote"/>
                <w:b w:val="0"/>
                <w:color w:val="auto"/>
                <w:sz w:val="20"/>
                <w:u w:val="none"/>
              </w:rPr>
              <w:t>820</w:t>
            </w:r>
          </w:p>
        </w:tc>
        <w:tc>
          <w:tcPr>
            <w:tcW w:w="418" w:type="pct"/>
            <w:shd w:val="clear" w:color="auto" w:fill="auto"/>
          </w:tcPr>
          <w:p w:rsidR="007249FB" w:rsidRPr="008414C7" w:rsidRDefault="008414C7" w:rsidP="008414C7">
            <w:pPr>
              <w:pStyle w:val="TableUnitsRow"/>
              <w:rPr>
                <w:rStyle w:val="DraftingNote"/>
                <w:b w:val="0"/>
                <w:color w:val="auto"/>
                <w:sz w:val="20"/>
                <w:u w:val="none"/>
              </w:rPr>
            </w:pPr>
            <w:r>
              <w:rPr>
                <w:rStyle w:val="DraftingNote"/>
                <w:b w:val="0"/>
                <w:color w:val="auto"/>
                <w:sz w:val="20"/>
                <w:u w:val="none"/>
              </w:rPr>
              <w:t>2</w:t>
            </w:r>
            <w:r w:rsidR="00247953">
              <w:rPr>
                <w:rStyle w:val="DraftingNote"/>
                <w:b w:val="0"/>
                <w:color w:val="auto"/>
                <w:sz w:val="20"/>
                <w:u w:val="none"/>
              </w:rPr>
              <w:t> </w:t>
            </w:r>
            <w:r>
              <w:rPr>
                <w:rStyle w:val="DraftingNote"/>
                <w:b w:val="0"/>
                <w:color w:val="auto"/>
                <w:sz w:val="20"/>
                <w:u w:val="none"/>
              </w:rPr>
              <w:t>452</w:t>
            </w:r>
          </w:p>
        </w:tc>
        <w:tc>
          <w:tcPr>
            <w:tcW w:w="479" w:type="pct"/>
            <w:shd w:val="clear" w:color="auto" w:fill="auto"/>
          </w:tcPr>
          <w:p w:rsidR="007249FB" w:rsidRPr="008414C7" w:rsidRDefault="008414C7" w:rsidP="002559E2">
            <w:pPr>
              <w:pStyle w:val="TableUnitsRow"/>
              <w:ind w:right="0"/>
              <w:rPr>
                <w:rStyle w:val="DraftingNote"/>
                <w:b w:val="0"/>
                <w:color w:val="auto"/>
                <w:sz w:val="20"/>
                <w:u w:val="none"/>
              </w:rPr>
            </w:pPr>
            <w:r>
              <w:rPr>
                <w:rStyle w:val="DraftingNote"/>
                <w:b w:val="0"/>
                <w:color w:val="auto"/>
                <w:sz w:val="20"/>
                <w:u w:val="none"/>
              </w:rPr>
              <w:t>123</w:t>
            </w:r>
            <w:r w:rsidR="00247953">
              <w:rPr>
                <w:rStyle w:val="DraftingNote"/>
                <w:b w:val="0"/>
                <w:color w:val="auto"/>
                <w:sz w:val="20"/>
                <w:u w:val="none"/>
              </w:rPr>
              <w:t> </w:t>
            </w:r>
            <w:r>
              <w:rPr>
                <w:rStyle w:val="DraftingNote"/>
                <w:b w:val="0"/>
                <w:color w:val="auto"/>
                <w:sz w:val="20"/>
                <w:u w:val="none"/>
              </w:rPr>
              <w:t>445</w:t>
            </w:r>
          </w:p>
        </w:tc>
      </w:tr>
      <w:tr w:rsidR="00AA3506" w:rsidRPr="00227D25" w:rsidTr="00EA4244">
        <w:tc>
          <w:tcPr>
            <w:tcW w:w="801" w:type="pct"/>
            <w:tcBorders>
              <w:bottom w:val="single" w:sz="6" w:space="0" w:color="auto"/>
            </w:tcBorders>
            <w:shd w:val="clear" w:color="auto" w:fill="auto"/>
          </w:tcPr>
          <w:p w:rsidR="007249FB" w:rsidRPr="00227D25" w:rsidRDefault="007249FB" w:rsidP="00867CA1">
            <w:pPr>
              <w:pStyle w:val="TableBodyText"/>
              <w:ind w:left="119" w:hanging="113"/>
              <w:jc w:val="left"/>
              <w:rPr>
                <w:sz w:val="18"/>
                <w:szCs w:val="18"/>
              </w:rPr>
            </w:pPr>
            <w:r w:rsidRPr="00227D25">
              <w:rPr>
                <w:sz w:val="18"/>
                <w:szCs w:val="18"/>
              </w:rPr>
              <w:t xml:space="preserve">All qualifications </w:t>
            </w:r>
          </w:p>
        </w:tc>
        <w:tc>
          <w:tcPr>
            <w:tcW w:w="479" w:type="pct"/>
            <w:tcBorders>
              <w:bottom w:val="single" w:sz="6" w:space="0" w:color="auto"/>
            </w:tcBorders>
            <w:shd w:val="clear" w:color="auto" w:fill="auto"/>
          </w:tcPr>
          <w:p w:rsidR="007249FB" w:rsidRPr="008414C7" w:rsidRDefault="008414C7" w:rsidP="008414C7">
            <w:pPr>
              <w:pStyle w:val="TableUnitsRow"/>
              <w:rPr>
                <w:rStyle w:val="DraftingNote"/>
                <w:b w:val="0"/>
                <w:color w:val="auto"/>
                <w:sz w:val="20"/>
                <w:u w:val="none"/>
              </w:rPr>
            </w:pPr>
            <w:r>
              <w:rPr>
                <w:rStyle w:val="DraftingNote"/>
                <w:b w:val="0"/>
                <w:color w:val="auto"/>
                <w:sz w:val="20"/>
                <w:u w:val="none"/>
              </w:rPr>
              <w:t>138</w:t>
            </w:r>
            <w:r w:rsidR="00247953">
              <w:rPr>
                <w:rStyle w:val="DraftingNote"/>
                <w:b w:val="0"/>
                <w:color w:val="auto"/>
                <w:sz w:val="20"/>
                <w:u w:val="none"/>
              </w:rPr>
              <w:t> </w:t>
            </w:r>
            <w:r>
              <w:rPr>
                <w:rStyle w:val="DraftingNote"/>
                <w:b w:val="0"/>
                <w:color w:val="auto"/>
                <w:sz w:val="20"/>
                <w:u w:val="none"/>
              </w:rPr>
              <w:t>819</w:t>
            </w:r>
          </w:p>
        </w:tc>
        <w:tc>
          <w:tcPr>
            <w:tcW w:w="495" w:type="pct"/>
            <w:tcBorders>
              <w:bottom w:val="single" w:sz="6" w:space="0" w:color="auto"/>
            </w:tcBorders>
            <w:shd w:val="clear" w:color="auto" w:fill="auto"/>
          </w:tcPr>
          <w:p w:rsidR="007249FB" w:rsidRPr="008414C7" w:rsidRDefault="008414C7" w:rsidP="008414C7">
            <w:pPr>
              <w:pStyle w:val="TableUnitsRow"/>
              <w:rPr>
                <w:rStyle w:val="DraftingNote"/>
                <w:b w:val="0"/>
                <w:color w:val="auto"/>
                <w:sz w:val="20"/>
                <w:u w:val="none"/>
              </w:rPr>
            </w:pPr>
            <w:r>
              <w:rPr>
                <w:rStyle w:val="DraftingNote"/>
                <w:b w:val="0"/>
                <w:color w:val="auto"/>
                <w:sz w:val="20"/>
                <w:u w:val="none"/>
              </w:rPr>
              <w:t>159</w:t>
            </w:r>
            <w:r w:rsidR="00247953">
              <w:rPr>
                <w:rStyle w:val="DraftingNote"/>
                <w:b w:val="0"/>
                <w:color w:val="auto"/>
                <w:sz w:val="20"/>
                <w:u w:val="none"/>
              </w:rPr>
              <w:t> </w:t>
            </w:r>
            <w:r>
              <w:rPr>
                <w:rStyle w:val="DraftingNote"/>
                <w:b w:val="0"/>
                <w:color w:val="auto"/>
                <w:sz w:val="20"/>
                <w:u w:val="none"/>
              </w:rPr>
              <w:t>724</w:t>
            </w:r>
          </w:p>
        </w:tc>
        <w:tc>
          <w:tcPr>
            <w:tcW w:w="479" w:type="pct"/>
            <w:tcBorders>
              <w:bottom w:val="single" w:sz="6" w:space="0" w:color="auto"/>
            </w:tcBorders>
            <w:shd w:val="clear" w:color="auto" w:fill="auto"/>
          </w:tcPr>
          <w:p w:rsidR="007249FB" w:rsidRPr="008414C7" w:rsidRDefault="008414C7" w:rsidP="008414C7">
            <w:pPr>
              <w:pStyle w:val="TableUnitsRow"/>
              <w:rPr>
                <w:rStyle w:val="DraftingNote"/>
                <w:b w:val="0"/>
                <w:color w:val="auto"/>
                <w:sz w:val="20"/>
                <w:u w:val="none"/>
              </w:rPr>
            </w:pPr>
            <w:r>
              <w:rPr>
                <w:rStyle w:val="DraftingNote"/>
                <w:b w:val="0"/>
                <w:color w:val="auto"/>
                <w:sz w:val="20"/>
                <w:u w:val="none"/>
              </w:rPr>
              <w:t>108</w:t>
            </w:r>
            <w:r w:rsidR="00247953">
              <w:rPr>
                <w:rStyle w:val="DraftingNote"/>
                <w:b w:val="0"/>
                <w:color w:val="auto"/>
                <w:sz w:val="20"/>
                <w:u w:val="none"/>
              </w:rPr>
              <w:t> </w:t>
            </w:r>
            <w:r>
              <w:rPr>
                <w:rStyle w:val="DraftingNote"/>
                <w:b w:val="0"/>
                <w:color w:val="auto"/>
                <w:sz w:val="20"/>
                <w:u w:val="none"/>
              </w:rPr>
              <w:t>488</w:t>
            </w:r>
          </w:p>
        </w:tc>
        <w:tc>
          <w:tcPr>
            <w:tcW w:w="477" w:type="pct"/>
            <w:tcBorders>
              <w:bottom w:val="single" w:sz="6" w:space="0" w:color="auto"/>
            </w:tcBorders>
            <w:shd w:val="clear" w:color="auto" w:fill="auto"/>
          </w:tcPr>
          <w:p w:rsidR="007249FB" w:rsidRPr="008414C7" w:rsidRDefault="008414C7" w:rsidP="008414C7">
            <w:pPr>
              <w:pStyle w:val="TableUnitsRow"/>
              <w:rPr>
                <w:rStyle w:val="DraftingNote"/>
                <w:b w:val="0"/>
                <w:color w:val="auto"/>
                <w:sz w:val="20"/>
                <w:u w:val="none"/>
              </w:rPr>
            </w:pPr>
            <w:r>
              <w:rPr>
                <w:rStyle w:val="DraftingNote"/>
                <w:b w:val="0"/>
                <w:color w:val="auto"/>
                <w:sz w:val="20"/>
                <w:u w:val="none"/>
              </w:rPr>
              <w:t>52</w:t>
            </w:r>
            <w:r w:rsidR="00247953">
              <w:rPr>
                <w:rStyle w:val="DraftingNote"/>
                <w:b w:val="0"/>
                <w:color w:val="auto"/>
                <w:sz w:val="20"/>
                <w:u w:val="none"/>
              </w:rPr>
              <w:t> </w:t>
            </w:r>
            <w:r>
              <w:rPr>
                <w:rStyle w:val="DraftingNote"/>
                <w:b w:val="0"/>
                <w:color w:val="auto"/>
                <w:sz w:val="20"/>
                <w:u w:val="none"/>
              </w:rPr>
              <w:t>000</w:t>
            </w:r>
          </w:p>
        </w:tc>
        <w:tc>
          <w:tcPr>
            <w:tcW w:w="478" w:type="pct"/>
            <w:tcBorders>
              <w:bottom w:val="single" w:sz="6" w:space="0" w:color="auto"/>
            </w:tcBorders>
            <w:shd w:val="clear" w:color="auto" w:fill="auto"/>
          </w:tcPr>
          <w:p w:rsidR="007249FB" w:rsidRPr="008414C7" w:rsidRDefault="008414C7" w:rsidP="008414C7">
            <w:pPr>
              <w:pStyle w:val="TableUnitsRow"/>
              <w:rPr>
                <w:rStyle w:val="DraftingNote"/>
                <w:b w:val="0"/>
                <w:color w:val="auto"/>
                <w:sz w:val="20"/>
                <w:u w:val="none"/>
              </w:rPr>
            </w:pPr>
            <w:r>
              <w:rPr>
                <w:rStyle w:val="DraftingNote"/>
                <w:b w:val="0"/>
                <w:color w:val="auto"/>
                <w:sz w:val="20"/>
                <w:u w:val="none"/>
              </w:rPr>
              <w:t>35</w:t>
            </w:r>
            <w:r w:rsidR="00247953">
              <w:rPr>
                <w:rStyle w:val="DraftingNote"/>
                <w:b w:val="0"/>
                <w:color w:val="auto"/>
                <w:sz w:val="20"/>
                <w:u w:val="none"/>
              </w:rPr>
              <w:t> </w:t>
            </w:r>
            <w:r>
              <w:rPr>
                <w:rStyle w:val="DraftingNote"/>
                <w:b w:val="0"/>
                <w:color w:val="auto"/>
                <w:sz w:val="20"/>
                <w:u w:val="none"/>
              </w:rPr>
              <w:t>740</w:t>
            </w:r>
          </w:p>
        </w:tc>
        <w:tc>
          <w:tcPr>
            <w:tcW w:w="478" w:type="pct"/>
            <w:tcBorders>
              <w:bottom w:val="single" w:sz="6" w:space="0" w:color="auto"/>
            </w:tcBorders>
            <w:shd w:val="clear" w:color="auto" w:fill="auto"/>
          </w:tcPr>
          <w:p w:rsidR="007249FB" w:rsidRPr="008414C7" w:rsidRDefault="008414C7" w:rsidP="008414C7">
            <w:pPr>
              <w:pStyle w:val="TableUnitsRow"/>
              <w:rPr>
                <w:rStyle w:val="DraftingNote"/>
                <w:b w:val="0"/>
                <w:color w:val="auto"/>
                <w:sz w:val="20"/>
                <w:u w:val="none"/>
              </w:rPr>
            </w:pPr>
            <w:r>
              <w:rPr>
                <w:rStyle w:val="DraftingNote"/>
                <w:b w:val="0"/>
                <w:color w:val="auto"/>
                <w:sz w:val="20"/>
                <w:u w:val="none"/>
              </w:rPr>
              <w:t>10</w:t>
            </w:r>
            <w:r w:rsidR="00247953">
              <w:rPr>
                <w:rStyle w:val="DraftingNote"/>
                <w:b w:val="0"/>
                <w:color w:val="auto"/>
                <w:sz w:val="20"/>
                <w:u w:val="none"/>
              </w:rPr>
              <w:t> </w:t>
            </w:r>
            <w:r>
              <w:rPr>
                <w:rStyle w:val="DraftingNote"/>
                <w:b w:val="0"/>
                <w:color w:val="auto"/>
                <w:sz w:val="20"/>
                <w:u w:val="none"/>
              </w:rPr>
              <w:t>854</w:t>
            </w:r>
          </w:p>
        </w:tc>
        <w:tc>
          <w:tcPr>
            <w:tcW w:w="416" w:type="pct"/>
            <w:tcBorders>
              <w:bottom w:val="single" w:sz="6" w:space="0" w:color="auto"/>
            </w:tcBorders>
            <w:shd w:val="clear" w:color="auto" w:fill="auto"/>
          </w:tcPr>
          <w:p w:rsidR="007249FB" w:rsidRPr="008414C7" w:rsidRDefault="008414C7" w:rsidP="008414C7">
            <w:pPr>
              <w:pStyle w:val="TableUnitsRow"/>
              <w:rPr>
                <w:rStyle w:val="DraftingNote"/>
                <w:b w:val="0"/>
                <w:color w:val="auto"/>
                <w:sz w:val="20"/>
                <w:u w:val="none"/>
              </w:rPr>
            </w:pPr>
            <w:r>
              <w:rPr>
                <w:rStyle w:val="DraftingNote"/>
                <w:b w:val="0"/>
                <w:color w:val="auto"/>
                <w:sz w:val="20"/>
                <w:u w:val="none"/>
              </w:rPr>
              <w:t>10</w:t>
            </w:r>
            <w:r w:rsidR="00247953">
              <w:rPr>
                <w:rStyle w:val="DraftingNote"/>
                <w:b w:val="0"/>
                <w:color w:val="auto"/>
                <w:sz w:val="20"/>
                <w:u w:val="none"/>
              </w:rPr>
              <w:t> </w:t>
            </w:r>
            <w:r>
              <w:rPr>
                <w:rStyle w:val="DraftingNote"/>
                <w:b w:val="0"/>
                <w:color w:val="auto"/>
                <w:sz w:val="20"/>
                <w:u w:val="none"/>
              </w:rPr>
              <w:t>078</w:t>
            </w:r>
          </w:p>
        </w:tc>
        <w:tc>
          <w:tcPr>
            <w:tcW w:w="418" w:type="pct"/>
            <w:tcBorders>
              <w:bottom w:val="single" w:sz="6" w:space="0" w:color="auto"/>
            </w:tcBorders>
            <w:shd w:val="clear" w:color="auto" w:fill="auto"/>
          </w:tcPr>
          <w:p w:rsidR="007249FB" w:rsidRPr="008414C7" w:rsidRDefault="008414C7" w:rsidP="008414C7">
            <w:pPr>
              <w:pStyle w:val="TableUnitsRow"/>
              <w:rPr>
                <w:rStyle w:val="DraftingNote"/>
                <w:b w:val="0"/>
                <w:color w:val="auto"/>
                <w:sz w:val="20"/>
                <w:u w:val="none"/>
              </w:rPr>
            </w:pPr>
            <w:r>
              <w:rPr>
                <w:rStyle w:val="DraftingNote"/>
                <w:b w:val="0"/>
                <w:color w:val="auto"/>
                <w:sz w:val="20"/>
                <w:u w:val="none"/>
              </w:rPr>
              <w:t>5</w:t>
            </w:r>
            <w:r w:rsidR="00247953">
              <w:rPr>
                <w:rStyle w:val="DraftingNote"/>
                <w:b w:val="0"/>
                <w:color w:val="auto"/>
                <w:sz w:val="20"/>
                <w:u w:val="none"/>
              </w:rPr>
              <w:t> </w:t>
            </w:r>
            <w:r>
              <w:rPr>
                <w:rStyle w:val="DraftingNote"/>
                <w:b w:val="0"/>
                <w:color w:val="auto"/>
                <w:sz w:val="20"/>
                <w:u w:val="none"/>
              </w:rPr>
              <w:t>852</w:t>
            </w:r>
          </w:p>
        </w:tc>
        <w:tc>
          <w:tcPr>
            <w:tcW w:w="479" w:type="pct"/>
            <w:tcBorders>
              <w:bottom w:val="single" w:sz="6" w:space="0" w:color="auto"/>
            </w:tcBorders>
            <w:shd w:val="clear" w:color="auto" w:fill="auto"/>
          </w:tcPr>
          <w:p w:rsidR="007249FB" w:rsidRPr="008414C7" w:rsidRDefault="008414C7" w:rsidP="002559E2">
            <w:pPr>
              <w:pStyle w:val="TableUnitsRow"/>
              <w:ind w:right="0"/>
              <w:rPr>
                <w:rStyle w:val="DraftingNote"/>
                <w:b w:val="0"/>
                <w:color w:val="auto"/>
                <w:sz w:val="20"/>
                <w:u w:val="none"/>
              </w:rPr>
            </w:pPr>
            <w:r>
              <w:rPr>
                <w:rStyle w:val="DraftingNote"/>
                <w:b w:val="0"/>
                <w:color w:val="auto"/>
                <w:sz w:val="20"/>
                <w:u w:val="none"/>
              </w:rPr>
              <w:t>521</w:t>
            </w:r>
            <w:r w:rsidR="00247953">
              <w:rPr>
                <w:rStyle w:val="DraftingNote"/>
                <w:b w:val="0"/>
                <w:color w:val="auto"/>
                <w:sz w:val="20"/>
                <w:u w:val="none"/>
              </w:rPr>
              <w:t> </w:t>
            </w:r>
            <w:r>
              <w:rPr>
                <w:rStyle w:val="DraftingNote"/>
                <w:b w:val="0"/>
                <w:color w:val="auto"/>
                <w:sz w:val="20"/>
                <w:u w:val="none"/>
              </w:rPr>
              <w:t>555</w:t>
            </w:r>
          </w:p>
        </w:tc>
      </w:tr>
    </w:tbl>
    <w:p w:rsidR="00EA4244" w:rsidRDefault="00EA4244" w:rsidP="00A2151C">
      <w:pPr>
        <w:pStyle w:val="Source"/>
        <w:rPr>
          <w:i/>
        </w:rPr>
      </w:pPr>
      <w:r w:rsidRPr="00EA4244">
        <w:rPr>
          <w:rStyle w:val="NoteLabel"/>
        </w:rPr>
        <w:t>a</w:t>
      </w:r>
      <w:r>
        <w:rPr>
          <w:b/>
          <w:bCs/>
          <w:szCs w:val="18"/>
        </w:rPr>
        <w:t xml:space="preserve"> </w:t>
      </w:r>
      <w:r>
        <w:rPr>
          <w:szCs w:val="18"/>
        </w:rPr>
        <w:t xml:space="preserve">Refer to the National VET Provider Collection Data Quality Statement for information on data quality. </w:t>
      </w:r>
      <w:r w:rsidR="00140E5B">
        <w:rPr>
          <w:rStyle w:val="NoteLabel"/>
        </w:rPr>
        <w:t>b</w:t>
      </w:r>
      <w:r>
        <w:rPr>
          <w:b/>
          <w:bCs/>
          <w:szCs w:val="18"/>
        </w:rPr>
        <w:t xml:space="preserve"> </w:t>
      </w:r>
      <w:r>
        <w:rPr>
          <w:szCs w:val="18"/>
        </w:rPr>
        <w:t xml:space="preserve">’Qualifications completed’ includes courses accredited or approved by a local State/Territory authority and represents students eligible to be awarded a qualification. </w:t>
      </w:r>
      <w:r w:rsidR="00140E5B">
        <w:rPr>
          <w:rStyle w:val="NoteLabel"/>
        </w:rPr>
        <w:t>c</w:t>
      </w:r>
      <w:r>
        <w:rPr>
          <w:b/>
          <w:bCs/>
          <w:szCs w:val="18"/>
        </w:rPr>
        <w:t xml:space="preserve"> </w:t>
      </w:r>
      <w:r>
        <w:rPr>
          <w:szCs w:val="18"/>
        </w:rPr>
        <w:t>‘Diploma or above’ qualifications include diploma, associate degree, advanced diploma, bachelor degree, graduate certificate and graduate diploma qualifications.</w:t>
      </w:r>
      <w:r w:rsidR="00140E5B" w:rsidRPr="00140E5B">
        <w:rPr>
          <w:rStyle w:val="NoteLabel"/>
        </w:rPr>
        <w:t xml:space="preserve"> </w:t>
      </w:r>
      <w:r w:rsidR="00140E5B">
        <w:rPr>
          <w:rStyle w:val="NoteLabel"/>
        </w:rPr>
        <w:t>d</w:t>
      </w:r>
      <w:r w:rsidR="00140E5B">
        <w:rPr>
          <w:b/>
          <w:bCs/>
          <w:szCs w:val="18"/>
        </w:rPr>
        <w:t> </w:t>
      </w:r>
      <w:r w:rsidR="00140E5B">
        <w:rPr>
          <w:szCs w:val="18"/>
        </w:rPr>
        <w:t>Certificate I, II or lower’ includes Certificate I, II, and years 11 and 12.</w:t>
      </w:r>
    </w:p>
    <w:p w:rsidR="00724A07" w:rsidRPr="00227D25" w:rsidRDefault="00724A07" w:rsidP="00A2151C">
      <w:pPr>
        <w:pStyle w:val="Source"/>
      </w:pPr>
      <w:r w:rsidRPr="00227D25">
        <w:rPr>
          <w:i/>
        </w:rPr>
        <w:t>Source</w:t>
      </w:r>
      <w:r w:rsidRPr="00227D25">
        <w:t xml:space="preserve">: NCVER (unpublished) National </w:t>
      </w:r>
      <w:r w:rsidR="000A0229" w:rsidRPr="00227D25">
        <w:t>VET pr</w:t>
      </w:r>
      <w:r w:rsidR="00687DCC" w:rsidRPr="00227D25">
        <w:t>o</w:t>
      </w:r>
      <w:r w:rsidR="00D33CBC" w:rsidRPr="00227D25">
        <w:t xml:space="preserve">vider collection; table </w:t>
      </w:r>
      <w:proofErr w:type="spellStart"/>
      <w:r w:rsidR="00D33CBC" w:rsidRPr="00227D25">
        <w:t>SWD.C.</w:t>
      </w:r>
      <w:r w:rsidR="008414C7">
        <w:t>8</w:t>
      </w:r>
      <w:proofErr w:type="spellEnd"/>
      <w:r w:rsidRPr="00227D25">
        <w:t>.</w:t>
      </w:r>
    </w:p>
    <w:p w:rsidR="00724A07" w:rsidRPr="00227D25" w:rsidRDefault="00724A07" w:rsidP="00867CA1">
      <w:pPr>
        <w:pStyle w:val="BodyText"/>
      </w:pPr>
      <w:r w:rsidRPr="00227D25">
        <w:t>The numbers of government funded unit/module completions in VET for 201</w:t>
      </w:r>
      <w:r w:rsidR="00E83C5B" w:rsidRPr="00227D25">
        <w:t>2</w:t>
      </w:r>
      <w:r w:rsidRPr="00227D25">
        <w:t xml:space="preserve"> are show</w:t>
      </w:r>
      <w:r w:rsidR="005C2A2A" w:rsidRPr="00227D25">
        <w:t>n</w:t>
      </w:r>
      <w:r w:rsidRPr="00227D25">
        <w:t xml:space="preserve"> in table 5.</w:t>
      </w:r>
      <w:r w:rsidR="00F95ACF" w:rsidRPr="00227D25">
        <w:t xml:space="preserve"> </w:t>
      </w:r>
      <w:r w:rsidRPr="00227D25">
        <w:t xml:space="preserve">Module/unit completions are based on a student’s major funding source, rather than the funding source for a specific module/unit (this is the counting method used in the </w:t>
      </w:r>
      <w:r w:rsidRPr="00227D25">
        <w:rPr>
          <w:i/>
        </w:rPr>
        <w:t>Annual National Report on VET</w:t>
      </w:r>
      <w:r w:rsidRPr="00227D25">
        <w:t>).</w:t>
      </w:r>
    </w:p>
    <w:p w:rsidR="00724A07" w:rsidRPr="00140F2D" w:rsidRDefault="00724A07" w:rsidP="00A2151C">
      <w:pPr>
        <w:pStyle w:val="TableTitle"/>
        <w:rPr>
          <w:rStyle w:val="NoteLabel"/>
        </w:rPr>
      </w:pPr>
      <w:r w:rsidRPr="00227D25">
        <w:rPr>
          <w:b w:val="0"/>
        </w:rPr>
        <w:t xml:space="preserve">Table </w:t>
      </w:r>
      <w:bookmarkStart w:id="9" w:name="OLE_LINK5"/>
      <w:r w:rsidR="00503759" w:rsidRPr="00227D25">
        <w:rPr>
          <w:b w:val="0"/>
          <w:noProof/>
        </w:rPr>
        <w:t>5</w:t>
      </w:r>
      <w:bookmarkEnd w:id="9"/>
      <w:r w:rsidRPr="00227D25">
        <w:tab/>
      </w:r>
      <w:r w:rsidR="00140F2D">
        <w:t>Number of g</w:t>
      </w:r>
      <w:r w:rsidRPr="00227D25">
        <w:t>overnment funded unit</w:t>
      </w:r>
      <w:r w:rsidR="00A01577" w:rsidRPr="00227D25">
        <w:t>/module completions in VET, 2012</w:t>
      </w:r>
      <w:r w:rsidR="00140F2D" w:rsidRPr="002559E2">
        <w:rPr>
          <w:rStyle w:val="NoteLabel"/>
          <w:b/>
        </w:rPr>
        <w:t>a</w:t>
      </w:r>
    </w:p>
    <w:tbl>
      <w:tblPr>
        <w:tblW w:w="5000" w:type="pct"/>
        <w:tblBorders>
          <w:top w:val="single" w:sz="6" w:space="0" w:color="auto"/>
          <w:left w:val="single" w:sz="4" w:space="0" w:color="auto"/>
          <w:bottom w:val="single" w:sz="4" w:space="0" w:color="auto"/>
          <w:insideH w:val="single" w:sz="6" w:space="0" w:color="auto"/>
        </w:tblBorders>
        <w:tblCellMar>
          <w:left w:w="0" w:type="dxa"/>
          <w:right w:w="0" w:type="dxa"/>
        </w:tblCellMar>
        <w:tblLook w:val="0000" w:firstRow="0" w:lastRow="0" w:firstColumn="0" w:lastColumn="0" w:noHBand="0" w:noVBand="0"/>
      </w:tblPr>
      <w:tblGrid>
        <w:gridCol w:w="1231"/>
        <w:gridCol w:w="920"/>
        <w:gridCol w:w="920"/>
        <w:gridCol w:w="920"/>
        <w:gridCol w:w="770"/>
        <w:gridCol w:w="770"/>
        <w:gridCol w:w="770"/>
        <w:gridCol w:w="770"/>
        <w:gridCol w:w="770"/>
        <w:gridCol w:w="948"/>
      </w:tblGrid>
      <w:tr w:rsidR="00724A07" w:rsidRPr="00227D25" w:rsidTr="00140F2D">
        <w:tc>
          <w:tcPr>
            <w:tcW w:w="688" w:type="pct"/>
            <w:tcBorders>
              <w:left w:val="nil"/>
              <w:bottom w:val="single" w:sz="6" w:space="0" w:color="auto"/>
            </w:tcBorders>
            <w:shd w:val="clear" w:color="auto" w:fill="auto"/>
          </w:tcPr>
          <w:p w:rsidR="00724A07" w:rsidRPr="00227D25" w:rsidRDefault="00724A07" w:rsidP="00774591">
            <w:pPr>
              <w:pStyle w:val="TableColumnHeading"/>
              <w:jc w:val="left"/>
            </w:pPr>
          </w:p>
        </w:tc>
        <w:tc>
          <w:tcPr>
            <w:tcW w:w="523" w:type="pct"/>
            <w:shd w:val="clear" w:color="auto" w:fill="auto"/>
          </w:tcPr>
          <w:p w:rsidR="00724A07" w:rsidRPr="00227D25" w:rsidRDefault="00724A07" w:rsidP="00774591">
            <w:pPr>
              <w:pStyle w:val="TableColumnHeading"/>
            </w:pPr>
            <w:r w:rsidRPr="00227D25">
              <w:t>NSW</w:t>
            </w:r>
          </w:p>
        </w:tc>
        <w:tc>
          <w:tcPr>
            <w:tcW w:w="523" w:type="pct"/>
            <w:shd w:val="clear" w:color="auto" w:fill="auto"/>
          </w:tcPr>
          <w:p w:rsidR="00724A07" w:rsidRPr="00227D25" w:rsidRDefault="00724A07" w:rsidP="00774591">
            <w:pPr>
              <w:pStyle w:val="TableColumnHeading"/>
            </w:pPr>
            <w:r w:rsidRPr="00227D25">
              <w:t>Vic</w:t>
            </w:r>
          </w:p>
        </w:tc>
        <w:tc>
          <w:tcPr>
            <w:tcW w:w="523" w:type="pct"/>
            <w:shd w:val="clear" w:color="auto" w:fill="auto"/>
          </w:tcPr>
          <w:p w:rsidR="00724A07" w:rsidRPr="00227D25" w:rsidRDefault="00724A07" w:rsidP="00774591">
            <w:pPr>
              <w:pStyle w:val="TableColumnHeading"/>
            </w:pPr>
            <w:r w:rsidRPr="00227D25">
              <w:t>Qld</w:t>
            </w:r>
          </w:p>
        </w:tc>
        <w:tc>
          <w:tcPr>
            <w:tcW w:w="438" w:type="pct"/>
            <w:shd w:val="clear" w:color="auto" w:fill="auto"/>
          </w:tcPr>
          <w:p w:rsidR="00724A07" w:rsidRPr="00227D25" w:rsidRDefault="00724A07" w:rsidP="00774591">
            <w:pPr>
              <w:pStyle w:val="TableColumnHeading"/>
            </w:pPr>
            <w:r w:rsidRPr="00227D25">
              <w:t>WA</w:t>
            </w:r>
          </w:p>
        </w:tc>
        <w:tc>
          <w:tcPr>
            <w:tcW w:w="438" w:type="pct"/>
            <w:shd w:val="clear" w:color="auto" w:fill="auto"/>
          </w:tcPr>
          <w:p w:rsidR="00724A07" w:rsidRPr="00227D25" w:rsidRDefault="00724A07" w:rsidP="00774591">
            <w:pPr>
              <w:pStyle w:val="TableColumnHeading"/>
            </w:pPr>
            <w:r w:rsidRPr="00227D25">
              <w:t>SA</w:t>
            </w:r>
          </w:p>
        </w:tc>
        <w:tc>
          <w:tcPr>
            <w:tcW w:w="438" w:type="pct"/>
            <w:shd w:val="clear" w:color="auto" w:fill="auto"/>
          </w:tcPr>
          <w:p w:rsidR="00724A07" w:rsidRPr="00227D25" w:rsidRDefault="00724A07" w:rsidP="00774591">
            <w:pPr>
              <w:pStyle w:val="TableColumnHeading"/>
            </w:pPr>
            <w:r w:rsidRPr="00227D25">
              <w:t>Tas</w:t>
            </w:r>
          </w:p>
        </w:tc>
        <w:tc>
          <w:tcPr>
            <w:tcW w:w="438" w:type="pct"/>
            <w:shd w:val="clear" w:color="auto" w:fill="auto"/>
          </w:tcPr>
          <w:p w:rsidR="00724A07" w:rsidRPr="00227D25" w:rsidRDefault="00724A07" w:rsidP="00774591">
            <w:pPr>
              <w:pStyle w:val="TableColumnHeading"/>
            </w:pPr>
            <w:r w:rsidRPr="00227D25">
              <w:t>ACT</w:t>
            </w:r>
          </w:p>
        </w:tc>
        <w:tc>
          <w:tcPr>
            <w:tcW w:w="438" w:type="pct"/>
            <w:shd w:val="clear" w:color="auto" w:fill="auto"/>
          </w:tcPr>
          <w:p w:rsidR="00724A07" w:rsidRPr="00227D25" w:rsidRDefault="00724A07" w:rsidP="00774591">
            <w:pPr>
              <w:pStyle w:val="TableColumnHeading"/>
            </w:pPr>
            <w:r w:rsidRPr="00227D25">
              <w:t>NT</w:t>
            </w:r>
          </w:p>
        </w:tc>
        <w:tc>
          <w:tcPr>
            <w:tcW w:w="552" w:type="pct"/>
            <w:shd w:val="clear" w:color="auto" w:fill="auto"/>
          </w:tcPr>
          <w:p w:rsidR="00724A07" w:rsidRPr="00227D25" w:rsidRDefault="00724A07" w:rsidP="00774591">
            <w:pPr>
              <w:pStyle w:val="TableColumnHeading"/>
              <w:ind w:right="28"/>
            </w:pPr>
            <w:proofErr w:type="spellStart"/>
            <w:r w:rsidRPr="00227D25">
              <w:t>Aust</w:t>
            </w:r>
            <w:proofErr w:type="spellEnd"/>
          </w:p>
        </w:tc>
      </w:tr>
      <w:tr w:rsidR="00D90BC1" w:rsidTr="00140F2D">
        <w:tc>
          <w:tcPr>
            <w:tcW w:w="688" w:type="pct"/>
            <w:tcBorders>
              <w:top w:val="single" w:sz="6" w:space="0" w:color="auto"/>
              <w:left w:val="nil"/>
              <w:bottom w:val="single" w:sz="4" w:space="0" w:color="auto"/>
            </w:tcBorders>
          </w:tcPr>
          <w:p w:rsidR="00D90BC1" w:rsidRPr="00227D25" w:rsidRDefault="00595A0C" w:rsidP="003B65AE">
            <w:pPr>
              <w:pStyle w:val="TableUnitsRow"/>
              <w:pBdr>
                <w:between w:val="single" w:sz="6" w:space="0" w:color="auto"/>
              </w:pBdr>
              <w:ind w:left="63" w:hanging="57"/>
              <w:jc w:val="left"/>
            </w:pPr>
            <w:r>
              <w:t>C</w:t>
            </w:r>
            <w:r w:rsidR="00D90BC1" w:rsidRPr="00227D25">
              <w:t>o</w:t>
            </w:r>
            <w:r>
              <w:t>mpletion</w:t>
            </w:r>
            <w:r w:rsidR="00140E5B">
              <w:t>s</w:t>
            </w:r>
          </w:p>
        </w:tc>
        <w:tc>
          <w:tcPr>
            <w:tcW w:w="523" w:type="pct"/>
            <w:vAlign w:val="center"/>
          </w:tcPr>
          <w:p w:rsidR="00D90BC1" w:rsidRPr="008414C7" w:rsidRDefault="008414C7" w:rsidP="008414C7">
            <w:pPr>
              <w:pStyle w:val="TableUnitsRow"/>
              <w:rPr>
                <w:rStyle w:val="DraftingNote"/>
                <w:b w:val="0"/>
                <w:color w:val="auto"/>
                <w:sz w:val="18"/>
                <w:szCs w:val="18"/>
                <w:u w:val="none"/>
              </w:rPr>
            </w:pPr>
            <w:r w:rsidRPr="008414C7">
              <w:rPr>
                <w:rStyle w:val="DraftingNote"/>
                <w:b w:val="0"/>
                <w:color w:val="auto"/>
                <w:sz w:val="18"/>
                <w:szCs w:val="18"/>
                <w:u w:val="none"/>
              </w:rPr>
              <w:t>2</w:t>
            </w:r>
            <w:r w:rsidR="00247953">
              <w:rPr>
                <w:rStyle w:val="DraftingNote"/>
                <w:b w:val="0"/>
                <w:color w:val="auto"/>
                <w:sz w:val="18"/>
                <w:szCs w:val="18"/>
                <w:u w:val="none"/>
              </w:rPr>
              <w:t> </w:t>
            </w:r>
            <w:r w:rsidRPr="008414C7">
              <w:rPr>
                <w:rStyle w:val="DraftingNote"/>
                <w:b w:val="0"/>
                <w:color w:val="auto"/>
                <w:sz w:val="18"/>
                <w:szCs w:val="18"/>
                <w:u w:val="none"/>
              </w:rPr>
              <w:t>855</w:t>
            </w:r>
            <w:r w:rsidR="00247953">
              <w:rPr>
                <w:rStyle w:val="DraftingNote"/>
                <w:b w:val="0"/>
                <w:color w:val="auto"/>
                <w:sz w:val="18"/>
                <w:szCs w:val="18"/>
                <w:u w:val="none"/>
              </w:rPr>
              <w:t> </w:t>
            </w:r>
            <w:r w:rsidRPr="008414C7">
              <w:rPr>
                <w:rStyle w:val="DraftingNote"/>
                <w:b w:val="0"/>
                <w:color w:val="auto"/>
                <w:sz w:val="18"/>
                <w:szCs w:val="18"/>
                <w:u w:val="none"/>
              </w:rPr>
              <w:t>012</w:t>
            </w:r>
          </w:p>
        </w:tc>
        <w:tc>
          <w:tcPr>
            <w:tcW w:w="523" w:type="pct"/>
            <w:vAlign w:val="center"/>
          </w:tcPr>
          <w:p w:rsidR="00D90BC1" w:rsidRPr="008414C7" w:rsidRDefault="008414C7" w:rsidP="008414C7">
            <w:pPr>
              <w:pStyle w:val="TableUnitsRow"/>
              <w:rPr>
                <w:rStyle w:val="DraftingNote"/>
                <w:b w:val="0"/>
                <w:color w:val="auto"/>
                <w:sz w:val="18"/>
                <w:szCs w:val="18"/>
                <w:u w:val="none"/>
              </w:rPr>
            </w:pPr>
            <w:r w:rsidRPr="008414C7">
              <w:rPr>
                <w:rStyle w:val="DraftingNote"/>
                <w:b w:val="0"/>
                <w:color w:val="auto"/>
                <w:sz w:val="18"/>
                <w:szCs w:val="18"/>
                <w:u w:val="none"/>
              </w:rPr>
              <w:t>4</w:t>
            </w:r>
            <w:r w:rsidR="00247953">
              <w:rPr>
                <w:rStyle w:val="DraftingNote"/>
                <w:b w:val="0"/>
                <w:color w:val="auto"/>
                <w:sz w:val="18"/>
                <w:szCs w:val="18"/>
                <w:u w:val="none"/>
              </w:rPr>
              <w:t> </w:t>
            </w:r>
            <w:r w:rsidRPr="008414C7">
              <w:rPr>
                <w:rStyle w:val="DraftingNote"/>
                <w:b w:val="0"/>
                <w:color w:val="auto"/>
                <w:sz w:val="18"/>
                <w:szCs w:val="18"/>
                <w:u w:val="none"/>
              </w:rPr>
              <w:t>243</w:t>
            </w:r>
            <w:r w:rsidR="00247953">
              <w:rPr>
                <w:rStyle w:val="DraftingNote"/>
                <w:b w:val="0"/>
                <w:color w:val="auto"/>
                <w:sz w:val="18"/>
                <w:szCs w:val="18"/>
                <w:u w:val="none"/>
              </w:rPr>
              <w:t> </w:t>
            </w:r>
            <w:r w:rsidRPr="008414C7">
              <w:rPr>
                <w:rStyle w:val="DraftingNote"/>
                <w:b w:val="0"/>
                <w:color w:val="auto"/>
                <w:sz w:val="18"/>
                <w:szCs w:val="18"/>
                <w:u w:val="none"/>
              </w:rPr>
              <w:t>062</w:t>
            </w:r>
          </w:p>
        </w:tc>
        <w:tc>
          <w:tcPr>
            <w:tcW w:w="523" w:type="pct"/>
            <w:vAlign w:val="center"/>
          </w:tcPr>
          <w:p w:rsidR="00D90BC1" w:rsidRPr="008414C7" w:rsidRDefault="008414C7" w:rsidP="008414C7">
            <w:pPr>
              <w:pStyle w:val="TableUnitsRow"/>
              <w:rPr>
                <w:rStyle w:val="DraftingNote"/>
                <w:b w:val="0"/>
                <w:color w:val="auto"/>
                <w:sz w:val="18"/>
                <w:szCs w:val="18"/>
                <w:u w:val="none"/>
              </w:rPr>
            </w:pPr>
            <w:r w:rsidRPr="008414C7">
              <w:rPr>
                <w:rStyle w:val="DraftingNote"/>
                <w:b w:val="0"/>
                <w:color w:val="auto"/>
                <w:sz w:val="18"/>
                <w:szCs w:val="18"/>
                <w:u w:val="none"/>
              </w:rPr>
              <w:t>1</w:t>
            </w:r>
            <w:r w:rsidR="00247953">
              <w:rPr>
                <w:rStyle w:val="DraftingNote"/>
                <w:b w:val="0"/>
                <w:color w:val="auto"/>
                <w:sz w:val="18"/>
                <w:szCs w:val="18"/>
                <w:u w:val="none"/>
              </w:rPr>
              <w:t> </w:t>
            </w:r>
            <w:r w:rsidRPr="008414C7">
              <w:rPr>
                <w:rStyle w:val="DraftingNote"/>
                <w:b w:val="0"/>
                <w:color w:val="auto"/>
                <w:sz w:val="18"/>
                <w:szCs w:val="18"/>
                <w:u w:val="none"/>
              </w:rPr>
              <w:t>630</w:t>
            </w:r>
            <w:r w:rsidR="00247953">
              <w:rPr>
                <w:rStyle w:val="DraftingNote"/>
                <w:b w:val="0"/>
                <w:color w:val="auto"/>
                <w:sz w:val="18"/>
                <w:szCs w:val="18"/>
                <w:u w:val="none"/>
              </w:rPr>
              <w:t> </w:t>
            </w:r>
            <w:r w:rsidRPr="008414C7">
              <w:rPr>
                <w:rStyle w:val="DraftingNote"/>
                <w:b w:val="0"/>
                <w:color w:val="auto"/>
                <w:sz w:val="18"/>
                <w:szCs w:val="18"/>
                <w:u w:val="none"/>
              </w:rPr>
              <w:t>274</w:t>
            </w:r>
          </w:p>
        </w:tc>
        <w:tc>
          <w:tcPr>
            <w:tcW w:w="438" w:type="pct"/>
            <w:vAlign w:val="center"/>
          </w:tcPr>
          <w:p w:rsidR="00D90BC1" w:rsidRPr="008414C7" w:rsidRDefault="008414C7" w:rsidP="008414C7">
            <w:pPr>
              <w:pStyle w:val="TableUnitsRow"/>
              <w:rPr>
                <w:rStyle w:val="DraftingNote"/>
                <w:b w:val="0"/>
                <w:color w:val="auto"/>
                <w:sz w:val="18"/>
                <w:szCs w:val="18"/>
                <w:u w:val="none"/>
              </w:rPr>
            </w:pPr>
            <w:r w:rsidRPr="008414C7">
              <w:rPr>
                <w:rStyle w:val="DraftingNote"/>
                <w:b w:val="0"/>
                <w:color w:val="auto"/>
                <w:sz w:val="18"/>
                <w:szCs w:val="18"/>
                <w:u w:val="none"/>
              </w:rPr>
              <w:t>956</w:t>
            </w:r>
            <w:r w:rsidR="00595A0C">
              <w:rPr>
                <w:rStyle w:val="DraftingNote"/>
                <w:b w:val="0"/>
                <w:color w:val="auto"/>
                <w:sz w:val="18"/>
                <w:szCs w:val="18"/>
                <w:u w:val="none"/>
              </w:rPr>
              <w:t> </w:t>
            </w:r>
            <w:r w:rsidRPr="008414C7">
              <w:rPr>
                <w:rStyle w:val="DraftingNote"/>
                <w:b w:val="0"/>
                <w:color w:val="auto"/>
                <w:sz w:val="18"/>
                <w:szCs w:val="18"/>
                <w:u w:val="none"/>
              </w:rPr>
              <w:t>723</w:t>
            </w:r>
          </w:p>
        </w:tc>
        <w:tc>
          <w:tcPr>
            <w:tcW w:w="438" w:type="pct"/>
            <w:vAlign w:val="center"/>
          </w:tcPr>
          <w:p w:rsidR="00D90BC1" w:rsidRPr="008414C7" w:rsidRDefault="008414C7" w:rsidP="008414C7">
            <w:pPr>
              <w:pStyle w:val="TableUnitsRow"/>
              <w:rPr>
                <w:rStyle w:val="DraftingNote"/>
                <w:b w:val="0"/>
                <w:color w:val="auto"/>
                <w:sz w:val="18"/>
                <w:szCs w:val="18"/>
                <w:u w:val="none"/>
              </w:rPr>
            </w:pPr>
            <w:r w:rsidRPr="008414C7">
              <w:rPr>
                <w:rStyle w:val="DraftingNote"/>
                <w:b w:val="0"/>
                <w:color w:val="auto"/>
                <w:sz w:val="18"/>
                <w:szCs w:val="18"/>
                <w:u w:val="none"/>
              </w:rPr>
              <w:t>789</w:t>
            </w:r>
            <w:r w:rsidR="00595A0C">
              <w:rPr>
                <w:rStyle w:val="DraftingNote"/>
                <w:b w:val="0"/>
                <w:color w:val="auto"/>
                <w:sz w:val="18"/>
                <w:szCs w:val="18"/>
                <w:u w:val="none"/>
              </w:rPr>
              <w:t> </w:t>
            </w:r>
            <w:r w:rsidRPr="008414C7">
              <w:rPr>
                <w:rStyle w:val="DraftingNote"/>
                <w:b w:val="0"/>
                <w:color w:val="auto"/>
                <w:sz w:val="18"/>
                <w:szCs w:val="18"/>
                <w:u w:val="none"/>
              </w:rPr>
              <w:t>445</w:t>
            </w:r>
          </w:p>
        </w:tc>
        <w:tc>
          <w:tcPr>
            <w:tcW w:w="438" w:type="pct"/>
            <w:vAlign w:val="center"/>
          </w:tcPr>
          <w:p w:rsidR="00D90BC1" w:rsidRPr="008414C7" w:rsidRDefault="008414C7" w:rsidP="008414C7">
            <w:pPr>
              <w:pStyle w:val="TableUnitsRow"/>
              <w:rPr>
                <w:rStyle w:val="DraftingNote"/>
                <w:b w:val="0"/>
                <w:color w:val="auto"/>
                <w:sz w:val="18"/>
                <w:szCs w:val="18"/>
                <w:u w:val="none"/>
              </w:rPr>
            </w:pPr>
            <w:r w:rsidRPr="008414C7">
              <w:rPr>
                <w:rStyle w:val="DraftingNote"/>
                <w:b w:val="0"/>
                <w:color w:val="auto"/>
                <w:sz w:val="18"/>
                <w:szCs w:val="18"/>
                <w:u w:val="none"/>
              </w:rPr>
              <w:t>203</w:t>
            </w:r>
            <w:r w:rsidR="00595A0C">
              <w:rPr>
                <w:rStyle w:val="DraftingNote"/>
                <w:b w:val="0"/>
                <w:color w:val="auto"/>
                <w:sz w:val="18"/>
                <w:szCs w:val="18"/>
                <w:u w:val="none"/>
              </w:rPr>
              <w:t> </w:t>
            </w:r>
            <w:r w:rsidRPr="008414C7">
              <w:rPr>
                <w:rStyle w:val="DraftingNote"/>
                <w:b w:val="0"/>
                <w:color w:val="auto"/>
                <w:sz w:val="18"/>
                <w:szCs w:val="18"/>
                <w:u w:val="none"/>
              </w:rPr>
              <w:t>170</w:t>
            </w:r>
          </w:p>
        </w:tc>
        <w:tc>
          <w:tcPr>
            <w:tcW w:w="438" w:type="pct"/>
            <w:vAlign w:val="center"/>
          </w:tcPr>
          <w:p w:rsidR="00D90BC1" w:rsidRPr="008414C7" w:rsidRDefault="008414C7" w:rsidP="008414C7">
            <w:pPr>
              <w:pStyle w:val="TableUnitsRow"/>
              <w:rPr>
                <w:rStyle w:val="DraftingNote"/>
                <w:b w:val="0"/>
                <w:color w:val="auto"/>
                <w:sz w:val="18"/>
                <w:szCs w:val="18"/>
                <w:u w:val="none"/>
              </w:rPr>
            </w:pPr>
            <w:r w:rsidRPr="008414C7">
              <w:rPr>
                <w:rStyle w:val="DraftingNote"/>
                <w:b w:val="0"/>
                <w:color w:val="auto"/>
                <w:sz w:val="18"/>
                <w:szCs w:val="18"/>
                <w:u w:val="none"/>
              </w:rPr>
              <w:t>154</w:t>
            </w:r>
            <w:r w:rsidR="00595A0C">
              <w:rPr>
                <w:rStyle w:val="DraftingNote"/>
                <w:b w:val="0"/>
                <w:color w:val="auto"/>
                <w:sz w:val="18"/>
                <w:szCs w:val="18"/>
                <w:u w:val="none"/>
              </w:rPr>
              <w:t> </w:t>
            </w:r>
            <w:r w:rsidRPr="008414C7">
              <w:rPr>
                <w:rStyle w:val="DraftingNote"/>
                <w:b w:val="0"/>
                <w:color w:val="auto"/>
                <w:sz w:val="18"/>
                <w:szCs w:val="18"/>
                <w:u w:val="none"/>
              </w:rPr>
              <w:t>622</w:t>
            </w:r>
          </w:p>
        </w:tc>
        <w:tc>
          <w:tcPr>
            <w:tcW w:w="438" w:type="pct"/>
            <w:vAlign w:val="center"/>
          </w:tcPr>
          <w:p w:rsidR="00D90BC1" w:rsidRPr="008414C7" w:rsidRDefault="008414C7" w:rsidP="008414C7">
            <w:pPr>
              <w:pStyle w:val="TableUnitsRow"/>
              <w:rPr>
                <w:rStyle w:val="DraftingNote"/>
                <w:b w:val="0"/>
                <w:color w:val="auto"/>
                <w:sz w:val="18"/>
                <w:szCs w:val="18"/>
                <w:u w:val="none"/>
              </w:rPr>
            </w:pPr>
            <w:r w:rsidRPr="008414C7">
              <w:rPr>
                <w:rStyle w:val="DraftingNote"/>
                <w:b w:val="0"/>
                <w:color w:val="auto"/>
                <w:sz w:val="18"/>
                <w:szCs w:val="18"/>
                <w:u w:val="none"/>
              </w:rPr>
              <w:t>102</w:t>
            </w:r>
            <w:r w:rsidR="00595A0C">
              <w:rPr>
                <w:rStyle w:val="DraftingNote"/>
                <w:b w:val="0"/>
                <w:color w:val="auto"/>
                <w:sz w:val="18"/>
                <w:szCs w:val="18"/>
                <w:u w:val="none"/>
              </w:rPr>
              <w:t> </w:t>
            </w:r>
            <w:r w:rsidRPr="008414C7">
              <w:rPr>
                <w:rStyle w:val="DraftingNote"/>
                <w:b w:val="0"/>
                <w:color w:val="auto"/>
                <w:sz w:val="18"/>
                <w:szCs w:val="18"/>
                <w:u w:val="none"/>
              </w:rPr>
              <w:t>321</w:t>
            </w:r>
          </w:p>
        </w:tc>
        <w:tc>
          <w:tcPr>
            <w:tcW w:w="552" w:type="pct"/>
            <w:vAlign w:val="center"/>
          </w:tcPr>
          <w:p w:rsidR="00D90BC1" w:rsidRPr="008414C7" w:rsidRDefault="008414C7" w:rsidP="002559E2">
            <w:pPr>
              <w:pStyle w:val="TableUnitsRow"/>
              <w:ind w:right="0"/>
              <w:rPr>
                <w:rStyle w:val="DraftingNote"/>
                <w:b w:val="0"/>
                <w:color w:val="auto"/>
                <w:sz w:val="18"/>
                <w:szCs w:val="18"/>
                <w:u w:val="none"/>
              </w:rPr>
            </w:pPr>
            <w:r w:rsidRPr="008414C7">
              <w:rPr>
                <w:rStyle w:val="DraftingNote"/>
                <w:b w:val="0"/>
                <w:color w:val="auto"/>
                <w:sz w:val="18"/>
                <w:szCs w:val="18"/>
                <w:u w:val="none"/>
              </w:rPr>
              <w:t>10</w:t>
            </w:r>
            <w:r w:rsidR="00595A0C">
              <w:rPr>
                <w:rStyle w:val="DraftingNote"/>
                <w:b w:val="0"/>
                <w:color w:val="auto"/>
                <w:sz w:val="18"/>
                <w:szCs w:val="18"/>
                <w:u w:val="none"/>
              </w:rPr>
              <w:t> </w:t>
            </w:r>
            <w:r w:rsidRPr="008414C7">
              <w:rPr>
                <w:rStyle w:val="DraftingNote"/>
                <w:b w:val="0"/>
                <w:color w:val="auto"/>
                <w:sz w:val="18"/>
                <w:szCs w:val="18"/>
                <w:u w:val="none"/>
              </w:rPr>
              <w:t>934</w:t>
            </w:r>
            <w:r w:rsidR="002559E2">
              <w:rPr>
                <w:rStyle w:val="DraftingNote"/>
                <w:b w:val="0"/>
                <w:color w:val="auto"/>
                <w:sz w:val="18"/>
                <w:szCs w:val="18"/>
                <w:u w:val="none"/>
              </w:rPr>
              <w:t> </w:t>
            </w:r>
            <w:r w:rsidRPr="008414C7">
              <w:rPr>
                <w:rStyle w:val="DraftingNote"/>
                <w:b w:val="0"/>
                <w:color w:val="auto"/>
                <w:sz w:val="18"/>
                <w:szCs w:val="18"/>
                <w:u w:val="none"/>
              </w:rPr>
              <w:t>629</w:t>
            </w:r>
          </w:p>
        </w:tc>
      </w:tr>
    </w:tbl>
    <w:p w:rsidR="00140F2D" w:rsidRPr="00EF00E5" w:rsidRDefault="00140F2D" w:rsidP="00A2151C">
      <w:pPr>
        <w:pStyle w:val="Note"/>
        <w:rPr>
          <w:rStyle w:val="NoteLabel"/>
          <w:b w:val="0"/>
          <w:position w:val="0"/>
        </w:rPr>
      </w:pPr>
      <w:r w:rsidRPr="00EF00E5">
        <w:rPr>
          <w:rStyle w:val="NoteLabel"/>
        </w:rPr>
        <w:t>a</w:t>
      </w:r>
      <w:r>
        <w:rPr>
          <w:rStyle w:val="NoteLabel"/>
        </w:rPr>
        <w:t xml:space="preserve"> </w:t>
      </w:r>
      <w:r w:rsidRPr="00EF00E5">
        <w:t xml:space="preserve">Refer </w:t>
      </w:r>
      <w:r>
        <w:t>to the National VET Provider Collection Data Quality Statement for information on data quality.</w:t>
      </w:r>
    </w:p>
    <w:p w:rsidR="00724A07" w:rsidRPr="00CB008C" w:rsidRDefault="00724A07" w:rsidP="00774591">
      <w:pPr>
        <w:pStyle w:val="Source"/>
      </w:pPr>
      <w:r>
        <w:rPr>
          <w:i/>
        </w:rPr>
        <w:t>Source</w:t>
      </w:r>
      <w:r>
        <w:t>: NCVER (unpublished) National</w:t>
      </w:r>
      <w:r w:rsidR="000A0229">
        <w:t xml:space="preserve"> VET pr</w:t>
      </w:r>
      <w:r w:rsidR="008414C7">
        <w:t xml:space="preserve">ovider collection; table </w:t>
      </w:r>
      <w:proofErr w:type="spellStart"/>
      <w:r w:rsidR="008414C7">
        <w:t>SWD.C.9</w:t>
      </w:r>
      <w:proofErr w:type="spellEnd"/>
      <w:r>
        <w:t>.</w:t>
      </w:r>
    </w:p>
    <w:p w:rsidR="008414C7" w:rsidRDefault="008414C7" w:rsidP="008414C7">
      <w:pPr>
        <w:pStyle w:val="BodyText"/>
      </w:pPr>
      <w:r>
        <w:t>The numbers of government funded uni</w:t>
      </w:r>
      <w:r w:rsidR="00E45D3A">
        <w:t>t</w:t>
      </w:r>
      <w:r>
        <w:t xml:space="preserve">/module completions in VET for </w:t>
      </w:r>
      <w:r w:rsidR="00E45D3A">
        <w:br/>
      </w:r>
      <w:r>
        <w:t xml:space="preserve">2008–2011 are reported in table </w:t>
      </w:r>
      <w:proofErr w:type="spellStart"/>
      <w:r>
        <w:t>SWD.C.10</w:t>
      </w:r>
      <w:proofErr w:type="spellEnd"/>
      <w:r>
        <w:t>.</w:t>
      </w:r>
    </w:p>
    <w:p w:rsidR="00724A07" w:rsidRDefault="00724A07" w:rsidP="00725CFC">
      <w:pPr>
        <w:pStyle w:val="Heading5"/>
      </w:pPr>
      <w:r>
        <w:t>Indigenous enrolments and completions</w:t>
      </w:r>
    </w:p>
    <w:p w:rsidR="00724A07" w:rsidRDefault="00724A07" w:rsidP="007A34DD">
      <w:pPr>
        <w:pStyle w:val="BodyText"/>
      </w:pPr>
      <w:r>
        <w:t>As noted under ‘completions’ above, the number of qualifications completed</w:t>
      </w:r>
      <w:r w:rsidR="00C5471F">
        <w:t xml:space="preserve"> by Indigenous students</w:t>
      </w:r>
      <w:r>
        <w:t xml:space="preserve"> may include some </w:t>
      </w:r>
      <w:r w:rsidR="005C539C">
        <w:t xml:space="preserve">completed by </w:t>
      </w:r>
      <w:r>
        <w:t>non-government</w:t>
      </w:r>
      <w:r w:rsidR="00CC356C">
        <w:t>-</w:t>
      </w:r>
      <w:r>
        <w:t xml:space="preserve">funded VET students. Numbers of VET course completions by Indigenous </w:t>
      </w:r>
      <w:r w:rsidR="00774591">
        <w:t>students</w:t>
      </w:r>
      <w:r>
        <w:t xml:space="preserve"> for </w:t>
      </w:r>
      <w:r w:rsidRPr="00D33CBC">
        <w:t>201</w:t>
      </w:r>
      <w:r w:rsidR="00D41538" w:rsidRPr="00D33CBC">
        <w:t>1</w:t>
      </w:r>
      <w:r w:rsidRPr="00D33CBC">
        <w:t xml:space="preserve"> are</w:t>
      </w:r>
      <w:r>
        <w:t xml:space="preserve"> shown in table 6.</w:t>
      </w:r>
    </w:p>
    <w:p w:rsidR="00724A07" w:rsidRPr="00140F2D" w:rsidRDefault="00724A07" w:rsidP="002560DB">
      <w:pPr>
        <w:pStyle w:val="TableTitle"/>
        <w:rPr>
          <w:rStyle w:val="NoteLabel"/>
        </w:rPr>
      </w:pPr>
      <w:r>
        <w:rPr>
          <w:b w:val="0"/>
        </w:rPr>
        <w:t xml:space="preserve">Table </w:t>
      </w:r>
      <w:bookmarkStart w:id="10" w:name="OLE_LINK6"/>
      <w:r w:rsidR="00503759">
        <w:rPr>
          <w:b w:val="0"/>
          <w:noProof/>
        </w:rPr>
        <w:t>6</w:t>
      </w:r>
      <w:bookmarkEnd w:id="10"/>
      <w:r>
        <w:tab/>
        <w:t xml:space="preserve">Number of </w:t>
      </w:r>
      <w:r w:rsidR="00774591">
        <w:t>VET qualifications completed by</w:t>
      </w:r>
      <w:r>
        <w:t xml:space="preserve"> Indigenous</w:t>
      </w:r>
      <w:r w:rsidR="00774591">
        <w:t xml:space="preserve"> students</w:t>
      </w:r>
      <w:r>
        <w:t>, 201</w:t>
      </w:r>
      <w:r w:rsidR="001A6EB5">
        <w:t>1</w:t>
      </w:r>
      <w:r w:rsidR="00140F2D" w:rsidRPr="002559E2">
        <w:rPr>
          <w:rStyle w:val="NoteLabel"/>
          <w:b/>
        </w:rPr>
        <w:t>a</w:t>
      </w:r>
    </w:p>
    <w:tbl>
      <w:tblPr>
        <w:tblW w:w="5000" w:type="pct"/>
        <w:tblBorders>
          <w:top w:val="single" w:sz="6" w:space="0" w:color="auto"/>
          <w:left w:val="single" w:sz="4" w:space="0" w:color="auto"/>
          <w:bottom w:val="single" w:sz="4" w:space="0" w:color="auto"/>
          <w:insideH w:val="single" w:sz="6" w:space="0" w:color="auto"/>
        </w:tblBorders>
        <w:tblCellMar>
          <w:left w:w="0" w:type="dxa"/>
          <w:right w:w="0" w:type="dxa"/>
        </w:tblCellMar>
        <w:tblLook w:val="0000" w:firstRow="0" w:lastRow="0" w:firstColumn="0" w:lastColumn="0" w:noHBand="0" w:noVBand="0"/>
      </w:tblPr>
      <w:tblGrid>
        <w:gridCol w:w="1985"/>
        <w:gridCol w:w="756"/>
        <w:gridCol w:w="756"/>
        <w:gridCol w:w="756"/>
        <w:gridCol w:w="756"/>
        <w:gridCol w:w="756"/>
        <w:gridCol w:w="756"/>
        <w:gridCol w:w="756"/>
        <w:gridCol w:w="756"/>
        <w:gridCol w:w="756"/>
      </w:tblGrid>
      <w:tr w:rsidR="00724A07" w:rsidRPr="005D0BB7" w:rsidTr="006045C8">
        <w:tc>
          <w:tcPr>
            <w:tcW w:w="1129" w:type="pct"/>
            <w:tcBorders>
              <w:left w:val="nil"/>
              <w:bottom w:val="single" w:sz="6" w:space="0" w:color="auto"/>
            </w:tcBorders>
            <w:shd w:val="clear" w:color="auto" w:fill="auto"/>
          </w:tcPr>
          <w:p w:rsidR="00724A07" w:rsidRDefault="00724A07" w:rsidP="00241EE2">
            <w:pPr>
              <w:pStyle w:val="TableColumnHeading"/>
              <w:pBdr>
                <w:left w:val="single" w:sz="4" w:space="1" w:color="auto"/>
              </w:pBdr>
              <w:jc w:val="left"/>
            </w:pPr>
          </w:p>
        </w:tc>
        <w:tc>
          <w:tcPr>
            <w:tcW w:w="430" w:type="pct"/>
            <w:shd w:val="clear" w:color="auto" w:fill="auto"/>
          </w:tcPr>
          <w:p w:rsidR="00724A07" w:rsidRDefault="00724A07" w:rsidP="00241EE2">
            <w:pPr>
              <w:pStyle w:val="TableColumnHeading"/>
              <w:pBdr>
                <w:left w:val="single" w:sz="4" w:space="1" w:color="auto"/>
              </w:pBdr>
            </w:pPr>
            <w:r>
              <w:t>NSW</w:t>
            </w:r>
          </w:p>
        </w:tc>
        <w:tc>
          <w:tcPr>
            <w:tcW w:w="430" w:type="pct"/>
            <w:shd w:val="clear" w:color="auto" w:fill="auto"/>
          </w:tcPr>
          <w:p w:rsidR="00724A07" w:rsidRDefault="00724A07" w:rsidP="00241EE2">
            <w:pPr>
              <w:pStyle w:val="TableColumnHeading"/>
              <w:pBdr>
                <w:left w:val="single" w:sz="4" w:space="1" w:color="auto"/>
              </w:pBdr>
            </w:pPr>
            <w:r>
              <w:t>Vic</w:t>
            </w:r>
          </w:p>
        </w:tc>
        <w:tc>
          <w:tcPr>
            <w:tcW w:w="430" w:type="pct"/>
            <w:shd w:val="clear" w:color="auto" w:fill="auto"/>
          </w:tcPr>
          <w:p w:rsidR="00724A07" w:rsidRDefault="00724A07" w:rsidP="00241EE2">
            <w:pPr>
              <w:pStyle w:val="TableColumnHeading"/>
              <w:pBdr>
                <w:left w:val="single" w:sz="4" w:space="1" w:color="auto"/>
              </w:pBdr>
            </w:pPr>
            <w:r>
              <w:t>Qld</w:t>
            </w:r>
          </w:p>
        </w:tc>
        <w:tc>
          <w:tcPr>
            <w:tcW w:w="430" w:type="pct"/>
            <w:shd w:val="clear" w:color="auto" w:fill="auto"/>
          </w:tcPr>
          <w:p w:rsidR="00724A07" w:rsidRDefault="00724A07" w:rsidP="00241EE2">
            <w:pPr>
              <w:pStyle w:val="TableColumnHeading"/>
              <w:pBdr>
                <w:left w:val="single" w:sz="4" w:space="1" w:color="auto"/>
              </w:pBdr>
            </w:pPr>
            <w:r>
              <w:t>WA</w:t>
            </w:r>
          </w:p>
        </w:tc>
        <w:tc>
          <w:tcPr>
            <w:tcW w:w="430" w:type="pct"/>
            <w:shd w:val="clear" w:color="auto" w:fill="auto"/>
          </w:tcPr>
          <w:p w:rsidR="00724A07" w:rsidRDefault="00724A07" w:rsidP="00241EE2">
            <w:pPr>
              <w:pStyle w:val="TableColumnHeading"/>
              <w:pBdr>
                <w:left w:val="single" w:sz="4" w:space="1" w:color="auto"/>
              </w:pBdr>
            </w:pPr>
            <w:r>
              <w:t>SA</w:t>
            </w:r>
          </w:p>
        </w:tc>
        <w:tc>
          <w:tcPr>
            <w:tcW w:w="430" w:type="pct"/>
            <w:shd w:val="clear" w:color="auto" w:fill="auto"/>
          </w:tcPr>
          <w:p w:rsidR="00724A07" w:rsidRDefault="00724A07" w:rsidP="00241EE2">
            <w:pPr>
              <w:pStyle w:val="TableColumnHeading"/>
              <w:pBdr>
                <w:left w:val="single" w:sz="4" w:space="1" w:color="auto"/>
              </w:pBdr>
            </w:pPr>
            <w:r>
              <w:t>Tas</w:t>
            </w:r>
          </w:p>
        </w:tc>
        <w:tc>
          <w:tcPr>
            <w:tcW w:w="430" w:type="pct"/>
            <w:shd w:val="clear" w:color="auto" w:fill="auto"/>
          </w:tcPr>
          <w:p w:rsidR="00724A07" w:rsidRDefault="00724A07" w:rsidP="00241EE2">
            <w:pPr>
              <w:pStyle w:val="TableColumnHeading"/>
              <w:pBdr>
                <w:left w:val="single" w:sz="4" w:space="1" w:color="auto"/>
              </w:pBdr>
            </w:pPr>
            <w:r>
              <w:t>ACT</w:t>
            </w:r>
          </w:p>
        </w:tc>
        <w:tc>
          <w:tcPr>
            <w:tcW w:w="430" w:type="pct"/>
            <w:shd w:val="clear" w:color="auto" w:fill="auto"/>
          </w:tcPr>
          <w:p w:rsidR="00724A07" w:rsidRDefault="00724A07" w:rsidP="00241EE2">
            <w:pPr>
              <w:pStyle w:val="TableColumnHeading"/>
              <w:pBdr>
                <w:left w:val="single" w:sz="4" w:space="1" w:color="auto"/>
              </w:pBdr>
            </w:pPr>
            <w:r>
              <w:t>NT</w:t>
            </w:r>
          </w:p>
        </w:tc>
        <w:tc>
          <w:tcPr>
            <w:tcW w:w="430" w:type="pct"/>
            <w:shd w:val="clear" w:color="auto" w:fill="auto"/>
          </w:tcPr>
          <w:p w:rsidR="00724A07" w:rsidRDefault="00724A07" w:rsidP="00241EE2">
            <w:pPr>
              <w:pStyle w:val="TableColumnHeading"/>
              <w:pBdr>
                <w:left w:val="single" w:sz="4" w:space="1" w:color="auto"/>
              </w:pBdr>
              <w:ind w:right="28"/>
            </w:pPr>
            <w:proofErr w:type="spellStart"/>
            <w:r>
              <w:t>Aust</w:t>
            </w:r>
            <w:proofErr w:type="spellEnd"/>
          </w:p>
        </w:tc>
      </w:tr>
      <w:tr w:rsidR="00D90BC1" w:rsidRPr="005D0BB7" w:rsidTr="006045C8">
        <w:tc>
          <w:tcPr>
            <w:tcW w:w="1129" w:type="pct"/>
            <w:tcBorders>
              <w:top w:val="single" w:sz="6" w:space="0" w:color="auto"/>
              <w:left w:val="nil"/>
              <w:bottom w:val="single" w:sz="4" w:space="0" w:color="auto"/>
            </w:tcBorders>
          </w:tcPr>
          <w:p w:rsidR="00D90BC1" w:rsidRPr="00227D25" w:rsidRDefault="00595A0C" w:rsidP="00595A0C">
            <w:pPr>
              <w:pStyle w:val="TableUnitsRow"/>
              <w:pBdr>
                <w:between w:val="single" w:sz="6" w:space="0" w:color="auto"/>
              </w:pBdr>
              <w:ind w:left="142" w:hanging="136"/>
              <w:jc w:val="left"/>
            </w:pPr>
            <w:r>
              <w:t>C</w:t>
            </w:r>
            <w:r w:rsidR="00D90BC1" w:rsidRPr="00227D25">
              <w:t>ompletions</w:t>
            </w:r>
          </w:p>
        </w:tc>
        <w:tc>
          <w:tcPr>
            <w:tcW w:w="430" w:type="pct"/>
            <w:vAlign w:val="center"/>
          </w:tcPr>
          <w:p w:rsidR="00D90BC1" w:rsidRPr="00FD722E" w:rsidRDefault="00FD722E" w:rsidP="00FD722E">
            <w:pPr>
              <w:pStyle w:val="TableUnitsRow"/>
              <w:rPr>
                <w:rStyle w:val="DraftingNote"/>
                <w:b w:val="0"/>
                <w:color w:val="auto"/>
                <w:sz w:val="20"/>
                <w:u w:val="none"/>
              </w:rPr>
            </w:pPr>
            <w:r>
              <w:rPr>
                <w:rStyle w:val="DraftingNote"/>
                <w:b w:val="0"/>
                <w:color w:val="auto"/>
                <w:sz w:val="20"/>
                <w:u w:val="none"/>
              </w:rPr>
              <w:t>5</w:t>
            </w:r>
            <w:r w:rsidR="00232B7F">
              <w:rPr>
                <w:rStyle w:val="DraftingNote"/>
                <w:b w:val="0"/>
                <w:color w:val="auto"/>
                <w:sz w:val="20"/>
                <w:u w:val="none"/>
              </w:rPr>
              <w:t> </w:t>
            </w:r>
            <w:r>
              <w:rPr>
                <w:rStyle w:val="DraftingNote"/>
                <w:b w:val="0"/>
                <w:color w:val="auto"/>
                <w:sz w:val="20"/>
                <w:u w:val="none"/>
              </w:rPr>
              <w:t>343</w:t>
            </w:r>
          </w:p>
        </w:tc>
        <w:tc>
          <w:tcPr>
            <w:tcW w:w="430" w:type="pct"/>
            <w:vAlign w:val="center"/>
          </w:tcPr>
          <w:p w:rsidR="00D90BC1" w:rsidRPr="00FD722E" w:rsidRDefault="00FD722E" w:rsidP="00FD722E">
            <w:pPr>
              <w:pStyle w:val="TableUnitsRow"/>
              <w:rPr>
                <w:rStyle w:val="DraftingNote"/>
                <w:b w:val="0"/>
                <w:color w:val="auto"/>
                <w:sz w:val="20"/>
                <w:u w:val="none"/>
              </w:rPr>
            </w:pPr>
            <w:r>
              <w:rPr>
                <w:rStyle w:val="DraftingNote"/>
                <w:b w:val="0"/>
                <w:color w:val="auto"/>
                <w:sz w:val="20"/>
                <w:u w:val="none"/>
              </w:rPr>
              <w:t>1</w:t>
            </w:r>
            <w:r w:rsidR="00232B7F">
              <w:rPr>
                <w:rStyle w:val="DraftingNote"/>
                <w:b w:val="0"/>
                <w:color w:val="auto"/>
                <w:sz w:val="20"/>
                <w:u w:val="none"/>
              </w:rPr>
              <w:t> </w:t>
            </w:r>
            <w:r>
              <w:rPr>
                <w:rStyle w:val="DraftingNote"/>
                <w:b w:val="0"/>
                <w:color w:val="auto"/>
                <w:sz w:val="20"/>
                <w:u w:val="none"/>
              </w:rPr>
              <w:t>615</w:t>
            </w:r>
          </w:p>
        </w:tc>
        <w:tc>
          <w:tcPr>
            <w:tcW w:w="430" w:type="pct"/>
            <w:vAlign w:val="center"/>
          </w:tcPr>
          <w:p w:rsidR="00D90BC1" w:rsidRPr="00FD722E" w:rsidRDefault="00FD722E" w:rsidP="00FD722E">
            <w:pPr>
              <w:pStyle w:val="TableUnitsRow"/>
              <w:rPr>
                <w:rStyle w:val="DraftingNote"/>
                <w:b w:val="0"/>
                <w:color w:val="auto"/>
                <w:sz w:val="20"/>
                <w:u w:val="none"/>
              </w:rPr>
            </w:pPr>
            <w:r>
              <w:rPr>
                <w:rStyle w:val="DraftingNote"/>
                <w:b w:val="0"/>
                <w:color w:val="auto"/>
                <w:sz w:val="20"/>
                <w:u w:val="none"/>
              </w:rPr>
              <w:t>5</w:t>
            </w:r>
            <w:r w:rsidR="00232B7F">
              <w:rPr>
                <w:rStyle w:val="DraftingNote"/>
                <w:b w:val="0"/>
                <w:color w:val="auto"/>
                <w:sz w:val="20"/>
                <w:u w:val="none"/>
              </w:rPr>
              <w:t> </w:t>
            </w:r>
            <w:r>
              <w:rPr>
                <w:rStyle w:val="DraftingNote"/>
                <w:b w:val="0"/>
                <w:color w:val="auto"/>
                <w:sz w:val="20"/>
                <w:u w:val="none"/>
              </w:rPr>
              <w:t>590</w:t>
            </w:r>
          </w:p>
        </w:tc>
        <w:tc>
          <w:tcPr>
            <w:tcW w:w="430" w:type="pct"/>
            <w:vAlign w:val="center"/>
          </w:tcPr>
          <w:p w:rsidR="00D90BC1" w:rsidRPr="00FD722E" w:rsidRDefault="00FD722E" w:rsidP="00FD722E">
            <w:pPr>
              <w:pStyle w:val="TableUnitsRow"/>
              <w:rPr>
                <w:rStyle w:val="DraftingNote"/>
                <w:b w:val="0"/>
                <w:color w:val="auto"/>
                <w:sz w:val="20"/>
                <w:u w:val="none"/>
              </w:rPr>
            </w:pPr>
            <w:r>
              <w:rPr>
                <w:rStyle w:val="DraftingNote"/>
                <w:b w:val="0"/>
                <w:color w:val="auto"/>
                <w:sz w:val="20"/>
                <w:u w:val="none"/>
              </w:rPr>
              <w:t>2</w:t>
            </w:r>
            <w:r w:rsidR="00232B7F">
              <w:rPr>
                <w:rStyle w:val="DraftingNote"/>
                <w:b w:val="0"/>
                <w:color w:val="auto"/>
                <w:sz w:val="20"/>
                <w:u w:val="none"/>
              </w:rPr>
              <w:t> </w:t>
            </w:r>
            <w:r>
              <w:rPr>
                <w:rStyle w:val="DraftingNote"/>
                <w:b w:val="0"/>
                <w:color w:val="auto"/>
                <w:sz w:val="20"/>
                <w:u w:val="none"/>
              </w:rPr>
              <w:t>568</w:t>
            </w:r>
          </w:p>
        </w:tc>
        <w:tc>
          <w:tcPr>
            <w:tcW w:w="430" w:type="pct"/>
            <w:vAlign w:val="center"/>
          </w:tcPr>
          <w:p w:rsidR="00D90BC1" w:rsidRPr="00FD722E" w:rsidRDefault="00FD722E" w:rsidP="00FD722E">
            <w:pPr>
              <w:pStyle w:val="TableUnitsRow"/>
              <w:rPr>
                <w:rStyle w:val="DraftingNote"/>
                <w:b w:val="0"/>
                <w:color w:val="auto"/>
                <w:sz w:val="20"/>
                <w:u w:val="none"/>
              </w:rPr>
            </w:pPr>
            <w:r>
              <w:rPr>
                <w:rStyle w:val="DraftingNote"/>
                <w:b w:val="0"/>
                <w:color w:val="auto"/>
                <w:sz w:val="20"/>
                <w:u w:val="none"/>
              </w:rPr>
              <w:t>1</w:t>
            </w:r>
            <w:r w:rsidR="00232B7F">
              <w:rPr>
                <w:rStyle w:val="DraftingNote"/>
                <w:b w:val="0"/>
                <w:color w:val="auto"/>
                <w:sz w:val="20"/>
                <w:u w:val="none"/>
              </w:rPr>
              <w:t> </w:t>
            </w:r>
            <w:r>
              <w:rPr>
                <w:rStyle w:val="DraftingNote"/>
                <w:b w:val="0"/>
                <w:color w:val="auto"/>
                <w:sz w:val="20"/>
                <w:u w:val="none"/>
              </w:rPr>
              <w:t>469</w:t>
            </w:r>
          </w:p>
        </w:tc>
        <w:tc>
          <w:tcPr>
            <w:tcW w:w="430" w:type="pct"/>
            <w:vAlign w:val="center"/>
          </w:tcPr>
          <w:p w:rsidR="00D90BC1" w:rsidRPr="00FD722E" w:rsidRDefault="00FD722E" w:rsidP="00FD722E">
            <w:pPr>
              <w:pStyle w:val="TableUnitsRow"/>
              <w:rPr>
                <w:rStyle w:val="DraftingNote"/>
                <w:b w:val="0"/>
                <w:color w:val="auto"/>
                <w:sz w:val="20"/>
                <w:u w:val="none"/>
              </w:rPr>
            </w:pPr>
            <w:r>
              <w:rPr>
                <w:rStyle w:val="DraftingNote"/>
                <w:b w:val="0"/>
                <w:color w:val="auto"/>
                <w:sz w:val="20"/>
                <w:u w:val="none"/>
              </w:rPr>
              <w:t>431</w:t>
            </w:r>
          </w:p>
        </w:tc>
        <w:tc>
          <w:tcPr>
            <w:tcW w:w="430" w:type="pct"/>
            <w:vAlign w:val="center"/>
          </w:tcPr>
          <w:p w:rsidR="00D90BC1" w:rsidRPr="00FD722E" w:rsidRDefault="00FD722E" w:rsidP="00FD722E">
            <w:pPr>
              <w:pStyle w:val="TableUnitsRow"/>
              <w:rPr>
                <w:rStyle w:val="DraftingNote"/>
                <w:b w:val="0"/>
                <w:color w:val="auto"/>
                <w:sz w:val="20"/>
                <w:u w:val="none"/>
              </w:rPr>
            </w:pPr>
            <w:r>
              <w:rPr>
                <w:rStyle w:val="DraftingNote"/>
                <w:b w:val="0"/>
                <w:color w:val="auto"/>
                <w:sz w:val="20"/>
                <w:u w:val="none"/>
              </w:rPr>
              <w:t>246</w:t>
            </w:r>
          </w:p>
        </w:tc>
        <w:tc>
          <w:tcPr>
            <w:tcW w:w="430" w:type="pct"/>
            <w:vAlign w:val="center"/>
          </w:tcPr>
          <w:p w:rsidR="00D90BC1" w:rsidRPr="00FD722E" w:rsidRDefault="00FD722E" w:rsidP="00FD722E">
            <w:pPr>
              <w:pStyle w:val="TableUnitsRow"/>
              <w:rPr>
                <w:rStyle w:val="DraftingNote"/>
                <w:b w:val="0"/>
                <w:color w:val="auto"/>
                <w:sz w:val="20"/>
                <w:u w:val="none"/>
              </w:rPr>
            </w:pPr>
            <w:r>
              <w:rPr>
                <w:rStyle w:val="DraftingNote"/>
                <w:b w:val="0"/>
                <w:color w:val="auto"/>
                <w:sz w:val="20"/>
                <w:u w:val="none"/>
              </w:rPr>
              <w:t>1</w:t>
            </w:r>
            <w:r w:rsidR="00232B7F">
              <w:rPr>
                <w:rStyle w:val="DraftingNote"/>
                <w:b w:val="0"/>
                <w:color w:val="auto"/>
                <w:sz w:val="20"/>
                <w:u w:val="none"/>
              </w:rPr>
              <w:t> </w:t>
            </w:r>
            <w:r>
              <w:rPr>
                <w:rStyle w:val="DraftingNote"/>
                <w:b w:val="0"/>
                <w:color w:val="auto"/>
                <w:sz w:val="20"/>
                <w:u w:val="none"/>
              </w:rPr>
              <w:t>688</w:t>
            </w:r>
          </w:p>
        </w:tc>
        <w:tc>
          <w:tcPr>
            <w:tcW w:w="430" w:type="pct"/>
            <w:vAlign w:val="center"/>
          </w:tcPr>
          <w:p w:rsidR="00D90BC1" w:rsidRPr="00FD722E" w:rsidRDefault="00FD722E" w:rsidP="003226D4">
            <w:pPr>
              <w:pStyle w:val="TableUnitsRow"/>
              <w:tabs>
                <w:tab w:val="left" w:pos="756"/>
              </w:tabs>
              <w:ind w:right="0"/>
              <w:rPr>
                <w:rStyle w:val="DraftingNote"/>
                <w:b w:val="0"/>
                <w:color w:val="auto"/>
                <w:sz w:val="20"/>
                <w:u w:val="none"/>
              </w:rPr>
            </w:pPr>
            <w:r>
              <w:rPr>
                <w:rStyle w:val="DraftingNote"/>
                <w:b w:val="0"/>
                <w:color w:val="auto"/>
                <w:sz w:val="20"/>
                <w:u w:val="none"/>
              </w:rPr>
              <w:t>18</w:t>
            </w:r>
            <w:r w:rsidR="00232B7F">
              <w:rPr>
                <w:rStyle w:val="DraftingNote"/>
                <w:b w:val="0"/>
                <w:color w:val="auto"/>
                <w:sz w:val="20"/>
                <w:u w:val="none"/>
              </w:rPr>
              <w:t> </w:t>
            </w:r>
            <w:r>
              <w:rPr>
                <w:rStyle w:val="DraftingNote"/>
                <w:b w:val="0"/>
                <w:color w:val="auto"/>
                <w:sz w:val="20"/>
                <w:u w:val="none"/>
              </w:rPr>
              <w:t>950</w:t>
            </w:r>
          </w:p>
        </w:tc>
      </w:tr>
    </w:tbl>
    <w:p w:rsidR="00140F2D" w:rsidRPr="00EF00E5" w:rsidRDefault="00140F2D" w:rsidP="00A2151C">
      <w:pPr>
        <w:pStyle w:val="Note"/>
        <w:rPr>
          <w:rStyle w:val="NoteLabel"/>
          <w:b w:val="0"/>
          <w:position w:val="0"/>
        </w:rPr>
      </w:pPr>
      <w:r w:rsidRPr="00EF00E5">
        <w:rPr>
          <w:rStyle w:val="NoteLabel"/>
        </w:rPr>
        <w:t>a</w:t>
      </w:r>
      <w:r>
        <w:rPr>
          <w:rStyle w:val="NoteLabel"/>
        </w:rPr>
        <w:t xml:space="preserve"> </w:t>
      </w:r>
      <w:r w:rsidRPr="00EF00E5">
        <w:t xml:space="preserve">Refer </w:t>
      </w:r>
      <w:r>
        <w:t>to the National VET Provider Collection Data Quality Statement for information on data quality.</w:t>
      </w:r>
    </w:p>
    <w:p w:rsidR="00724A07" w:rsidRPr="00227D25" w:rsidRDefault="00724A07" w:rsidP="002560DB">
      <w:pPr>
        <w:pStyle w:val="Source"/>
      </w:pPr>
      <w:r w:rsidRPr="00227D25">
        <w:rPr>
          <w:i/>
        </w:rPr>
        <w:t>Source</w:t>
      </w:r>
      <w:r w:rsidRPr="00227D25">
        <w:t xml:space="preserve">: NCVER (unpublished) National VET provider collection; table </w:t>
      </w:r>
      <w:proofErr w:type="spellStart"/>
      <w:r w:rsidR="000A0229" w:rsidRPr="00227D25">
        <w:t>SWD.</w:t>
      </w:r>
      <w:r w:rsidR="00D90BC1" w:rsidRPr="00227D25">
        <w:t>C.</w:t>
      </w:r>
      <w:r w:rsidR="00FD722E">
        <w:t>11</w:t>
      </w:r>
      <w:proofErr w:type="spellEnd"/>
      <w:r w:rsidRPr="00227D25">
        <w:t>.</w:t>
      </w:r>
    </w:p>
    <w:p w:rsidR="00724A07" w:rsidRPr="00227D25" w:rsidRDefault="00724A07" w:rsidP="002560DB">
      <w:pPr>
        <w:pStyle w:val="BodyText"/>
      </w:pPr>
      <w:r w:rsidRPr="00227D25">
        <w:t>The numbers of government funded course enrolments by Indigenous students in higher level VET qualifications (</w:t>
      </w:r>
      <w:proofErr w:type="spellStart"/>
      <w:r w:rsidRPr="00227D25">
        <w:t>AQF</w:t>
      </w:r>
      <w:proofErr w:type="spellEnd"/>
      <w:r w:rsidRPr="00227D25">
        <w:t xml:space="preserve"> Certificate III level or above) for 201</w:t>
      </w:r>
      <w:r w:rsidR="00D41538" w:rsidRPr="00227D25">
        <w:t>2</w:t>
      </w:r>
      <w:r w:rsidRPr="00227D25">
        <w:t xml:space="preserve"> are shown in table 7.</w:t>
      </w:r>
    </w:p>
    <w:p w:rsidR="00724A07" w:rsidRPr="00227D25" w:rsidRDefault="00724A07" w:rsidP="00725CFC">
      <w:pPr>
        <w:pStyle w:val="TableTitle"/>
      </w:pPr>
      <w:r w:rsidRPr="00227D25">
        <w:rPr>
          <w:b w:val="0"/>
        </w:rPr>
        <w:t xml:space="preserve">Table </w:t>
      </w:r>
      <w:bookmarkStart w:id="11" w:name="OLE_LINK7"/>
      <w:r w:rsidR="00503759" w:rsidRPr="00227D25">
        <w:rPr>
          <w:b w:val="0"/>
          <w:noProof/>
        </w:rPr>
        <w:t>7</w:t>
      </w:r>
      <w:bookmarkEnd w:id="11"/>
      <w:r w:rsidRPr="00227D25">
        <w:tab/>
        <w:t>Number of government funded course enrolments by Indigenous students in higher level VET qualifications, 201</w:t>
      </w:r>
      <w:r w:rsidR="00AD484D" w:rsidRPr="00227D25">
        <w:t>2</w:t>
      </w:r>
      <w:r w:rsidR="00EA4244" w:rsidRPr="002559E2">
        <w:rPr>
          <w:rStyle w:val="NoteLabel"/>
          <w:b/>
        </w:rPr>
        <w:t>a, b, c</w:t>
      </w:r>
    </w:p>
    <w:tbl>
      <w:tblPr>
        <w:tblW w:w="5000" w:type="pct"/>
        <w:tblBorders>
          <w:top w:val="single" w:sz="6" w:space="0" w:color="auto"/>
          <w:left w:val="single" w:sz="4" w:space="0" w:color="auto"/>
          <w:bottom w:val="single" w:sz="4" w:space="0" w:color="auto"/>
          <w:insideH w:val="single" w:sz="6" w:space="0" w:color="auto"/>
        </w:tblBorders>
        <w:tblCellMar>
          <w:left w:w="0" w:type="dxa"/>
          <w:right w:w="0" w:type="dxa"/>
        </w:tblCellMar>
        <w:tblLook w:val="0000" w:firstRow="0" w:lastRow="0" w:firstColumn="0" w:lastColumn="0" w:noHBand="0" w:noVBand="0"/>
      </w:tblPr>
      <w:tblGrid>
        <w:gridCol w:w="1841"/>
        <w:gridCol w:w="772"/>
        <w:gridCol w:w="772"/>
        <w:gridCol w:w="772"/>
        <w:gridCol w:w="772"/>
        <w:gridCol w:w="772"/>
        <w:gridCol w:w="772"/>
        <w:gridCol w:w="772"/>
        <w:gridCol w:w="772"/>
        <w:gridCol w:w="772"/>
      </w:tblGrid>
      <w:tr w:rsidR="00724A07" w:rsidRPr="00227D25" w:rsidTr="00725CFC">
        <w:tc>
          <w:tcPr>
            <w:tcW w:w="1047" w:type="pct"/>
            <w:tcBorders>
              <w:left w:val="nil"/>
              <w:bottom w:val="single" w:sz="6" w:space="0" w:color="auto"/>
            </w:tcBorders>
            <w:shd w:val="clear" w:color="auto" w:fill="auto"/>
          </w:tcPr>
          <w:p w:rsidR="00724A07" w:rsidRPr="00227D25" w:rsidRDefault="00724A07" w:rsidP="00725CFC">
            <w:pPr>
              <w:pStyle w:val="TableColumnHeading"/>
              <w:jc w:val="left"/>
            </w:pPr>
          </w:p>
        </w:tc>
        <w:tc>
          <w:tcPr>
            <w:tcW w:w="439" w:type="pct"/>
            <w:shd w:val="clear" w:color="auto" w:fill="auto"/>
          </w:tcPr>
          <w:p w:rsidR="00724A07" w:rsidRPr="00227D25" w:rsidRDefault="00724A07" w:rsidP="00867CA1">
            <w:pPr>
              <w:pStyle w:val="TableColumnHeading"/>
              <w:pBdr>
                <w:left w:val="single" w:sz="4" w:space="1" w:color="auto"/>
              </w:pBdr>
            </w:pPr>
            <w:r w:rsidRPr="00227D25">
              <w:t>NSW</w:t>
            </w:r>
          </w:p>
        </w:tc>
        <w:tc>
          <w:tcPr>
            <w:tcW w:w="439" w:type="pct"/>
            <w:shd w:val="clear" w:color="auto" w:fill="auto"/>
          </w:tcPr>
          <w:p w:rsidR="00724A07" w:rsidRPr="00227D25" w:rsidRDefault="00724A07" w:rsidP="00867CA1">
            <w:pPr>
              <w:pStyle w:val="TableColumnHeading"/>
              <w:pBdr>
                <w:left w:val="single" w:sz="4" w:space="1" w:color="auto"/>
              </w:pBdr>
            </w:pPr>
            <w:r w:rsidRPr="00227D25">
              <w:t>Vic</w:t>
            </w:r>
          </w:p>
        </w:tc>
        <w:tc>
          <w:tcPr>
            <w:tcW w:w="439" w:type="pct"/>
            <w:shd w:val="clear" w:color="auto" w:fill="auto"/>
          </w:tcPr>
          <w:p w:rsidR="00724A07" w:rsidRPr="00227D25" w:rsidRDefault="00724A07" w:rsidP="00867CA1">
            <w:pPr>
              <w:pStyle w:val="TableColumnHeading"/>
              <w:pBdr>
                <w:left w:val="single" w:sz="4" w:space="1" w:color="auto"/>
              </w:pBdr>
            </w:pPr>
            <w:r w:rsidRPr="00227D25">
              <w:t>Qld</w:t>
            </w:r>
          </w:p>
        </w:tc>
        <w:tc>
          <w:tcPr>
            <w:tcW w:w="439" w:type="pct"/>
            <w:shd w:val="clear" w:color="auto" w:fill="auto"/>
          </w:tcPr>
          <w:p w:rsidR="00724A07" w:rsidRPr="00227D25" w:rsidRDefault="00724A07" w:rsidP="00867CA1">
            <w:pPr>
              <w:pStyle w:val="TableColumnHeading"/>
              <w:pBdr>
                <w:left w:val="single" w:sz="4" w:space="1" w:color="auto"/>
              </w:pBdr>
            </w:pPr>
            <w:r w:rsidRPr="00227D25">
              <w:t>WA</w:t>
            </w:r>
          </w:p>
        </w:tc>
        <w:tc>
          <w:tcPr>
            <w:tcW w:w="439" w:type="pct"/>
            <w:shd w:val="clear" w:color="auto" w:fill="auto"/>
          </w:tcPr>
          <w:p w:rsidR="00724A07" w:rsidRPr="00227D25" w:rsidRDefault="00724A07" w:rsidP="00867CA1">
            <w:pPr>
              <w:pStyle w:val="TableColumnHeading"/>
              <w:pBdr>
                <w:left w:val="single" w:sz="4" w:space="1" w:color="auto"/>
              </w:pBdr>
            </w:pPr>
            <w:r w:rsidRPr="00227D25">
              <w:t>SA</w:t>
            </w:r>
          </w:p>
        </w:tc>
        <w:tc>
          <w:tcPr>
            <w:tcW w:w="439" w:type="pct"/>
            <w:shd w:val="clear" w:color="auto" w:fill="auto"/>
          </w:tcPr>
          <w:p w:rsidR="00724A07" w:rsidRPr="00227D25" w:rsidRDefault="00724A07" w:rsidP="00867CA1">
            <w:pPr>
              <w:pStyle w:val="TableColumnHeading"/>
              <w:pBdr>
                <w:left w:val="single" w:sz="4" w:space="1" w:color="auto"/>
              </w:pBdr>
            </w:pPr>
            <w:r w:rsidRPr="00227D25">
              <w:t>Tas</w:t>
            </w:r>
          </w:p>
        </w:tc>
        <w:tc>
          <w:tcPr>
            <w:tcW w:w="439" w:type="pct"/>
            <w:shd w:val="clear" w:color="auto" w:fill="auto"/>
          </w:tcPr>
          <w:p w:rsidR="00724A07" w:rsidRPr="00227D25" w:rsidRDefault="00724A07" w:rsidP="00867CA1">
            <w:pPr>
              <w:pStyle w:val="TableColumnHeading"/>
              <w:pBdr>
                <w:left w:val="single" w:sz="4" w:space="1" w:color="auto"/>
              </w:pBdr>
            </w:pPr>
            <w:r w:rsidRPr="00227D25">
              <w:t>ACT</w:t>
            </w:r>
          </w:p>
        </w:tc>
        <w:tc>
          <w:tcPr>
            <w:tcW w:w="439" w:type="pct"/>
            <w:shd w:val="clear" w:color="auto" w:fill="auto"/>
          </w:tcPr>
          <w:p w:rsidR="00724A07" w:rsidRPr="00227D25" w:rsidRDefault="00724A07" w:rsidP="00867CA1">
            <w:pPr>
              <w:pStyle w:val="TableColumnHeading"/>
              <w:pBdr>
                <w:left w:val="single" w:sz="4" w:space="1" w:color="auto"/>
              </w:pBdr>
            </w:pPr>
            <w:r w:rsidRPr="00227D25">
              <w:t>NT</w:t>
            </w:r>
          </w:p>
        </w:tc>
        <w:tc>
          <w:tcPr>
            <w:tcW w:w="439" w:type="pct"/>
            <w:shd w:val="clear" w:color="auto" w:fill="auto"/>
          </w:tcPr>
          <w:p w:rsidR="00724A07" w:rsidRPr="00227D25" w:rsidRDefault="00724A07" w:rsidP="00867CA1">
            <w:pPr>
              <w:pStyle w:val="TableColumnHeading"/>
              <w:pBdr>
                <w:left w:val="single" w:sz="4" w:space="1" w:color="auto"/>
              </w:pBdr>
              <w:ind w:right="28"/>
            </w:pPr>
            <w:proofErr w:type="spellStart"/>
            <w:r w:rsidRPr="00227D25">
              <w:t>Aust</w:t>
            </w:r>
            <w:proofErr w:type="spellEnd"/>
          </w:p>
        </w:tc>
      </w:tr>
      <w:tr w:rsidR="00D90BC1" w:rsidRPr="001B5488" w:rsidTr="00725CFC">
        <w:tc>
          <w:tcPr>
            <w:tcW w:w="1047" w:type="pct"/>
            <w:tcBorders>
              <w:top w:val="single" w:sz="6" w:space="0" w:color="auto"/>
              <w:left w:val="nil"/>
              <w:bottom w:val="single" w:sz="4" w:space="0" w:color="auto"/>
            </w:tcBorders>
          </w:tcPr>
          <w:p w:rsidR="00D90BC1" w:rsidRPr="00227D25" w:rsidRDefault="00D90BC1" w:rsidP="00AA3506">
            <w:pPr>
              <w:pStyle w:val="TableUnitsRow"/>
              <w:ind w:left="142" w:hanging="136"/>
              <w:jc w:val="left"/>
            </w:pPr>
            <w:r w:rsidRPr="00227D25">
              <w:t>Indigenous course enrolments</w:t>
            </w:r>
          </w:p>
        </w:tc>
        <w:tc>
          <w:tcPr>
            <w:tcW w:w="439" w:type="pct"/>
            <w:vAlign w:val="center"/>
          </w:tcPr>
          <w:p w:rsidR="00D90BC1" w:rsidRPr="00FD722E" w:rsidRDefault="00FD722E" w:rsidP="00FD722E">
            <w:pPr>
              <w:pStyle w:val="TableUnitsRow"/>
              <w:rPr>
                <w:rStyle w:val="DraftingNote"/>
                <w:b w:val="0"/>
                <w:color w:val="auto"/>
                <w:sz w:val="20"/>
                <w:u w:val="none"/>
              </w:rPr>
            </w:pPr>
            <w:r>
              <w:rPr>
                <w:rStyle w:val="DraftingNote"/>
                <w:b w:val="0"/>
                <w:color w:val="auto"/>
                <w:sz w:val="20"/>
                <w:u w:val="none"/>
              </w:rPr>
              <w:t>14</w:t>
            </w:r>
            <w:r w:rsidR="00232B7F">
              <w:rPr>
                <w:rStyle w:val="DraftingNote"/>
                <w:b w:val="0"/>
                <w:color w:val="auto"/>
                <w:sz w:val="20"/>
                <w:u w:val="none"/>
              </w:rPr>
              <w:t> </w:t>
            </w:r>
            <w:r>
              <w:rPr>
                <w:rStyle w:val="DraftingNote"/>
                <w:b w:val="0"/>
                <w:color w:val="auto"/>
                <w:sz w:val="20"/>
                <w:u w:val="none"/>
              </w:rPr>
              <w:t>035</w:t>
            </w:r>
          </w:p>
        </w:tc>
        <w:tc>
          <w:tcPr>
            <w:tcW w:w="439" w:type="pct"/>
            <w:vAlign w:val="center"/>
          </w:tcPr>
          <w:p w:rsidR="00D90BC1" w:rsidRPr="00FD722E" w:rsidRDefault="00FD722E" w:rsidP="00FD722E">
            <w:pPr>
              <w:pStyle w:val="TableUnitsRow"/>
              <w:rPr>
                <w:rStyle w:val="DraftingNote"/>
                <w:b w:val="0"/>
                <w:color w:val="auto"/>
                <w:sz w:val="20"/>
                <w:u w:val="none"/>
              </w:rPr>
            </w:pPr>
            <w:r>
              <w:rPr>
                <w:rStyle w:val="DraftingNote"/>
                <w:b w:val="0"/>
                <w:color w:val="auto"/>
                <w:sz w:val="20"/>
                <w:u w:val="none"/>
              </w:rPr>
              <w:t>4</w:t>
            </w:r>
            <w:r w:rsidR="00232B7F">
              <w:rPr>
                <w:rStyle w:val="DraftingNote"/>
                <w:b w:val="0"/>
                <w:color w:val="auto"/>
                <w:sz w:val="20"/>
                <w:u w:val="none"/>
              </w:rPr>
              <w:t> </w:t>
            </w:r>
            <w:r>
              <w:rPr>
                <w:rStyle w:val="DraftingNote"/>
                <w:b w:val="0"/>
                <w:color w:val="auto"/>
                <w:sz w:val="20"/>
                <w:u w:val="none"/>
              </w:rPr>
              <w:t>143</w:t>
            </w:r>
          </w:p>
        </w:tc>
        <w:tc>
          <w:tcPr>
            <w:tcW w:w="439" w:type="pct"/>
            <w:vAlign w:val="center"/>
          </w:tcPr>
          <w:p w:rsidR="00D90BC1" w:rsidRPr="00FD722E" w:rsidRDefault="00FD722E" w:rsidP="00FD722E">
            <w:pPr>
              <w:pStyle w:val="TableUnitsRow"/>
              <w:rPr>
                <w:rStyle w:val="DraftingNote"/>
                <w:b w:val="0"/>
                <w:color w:val="auto"/>
                <w:sz w:val="20"/>
                <w:u w:val="none"/>
              </w:rPr>
            </w:pPr>
            <w:r>
              <w:rPr>
                <w:rStyle w:val="DraftingNote"/>
                <w:b w:val="0"/>
                <w:color w:val="auto"/>
                <w:sz w:val="20"/>
                <w:u w:val="none"/>
              </w:rPr>
              <w:t>11</w:t>
            </w:r>
            <w:r w:rsidR="00232B7F">
              <w:rPr>
                <w:rStyle w:val="DraftingNote"/>
                <w:b w:val="0"/>
                <w:color w:val="auto"/>
                <w:sz w:val="20"/>
                <w:u w:val="none"/>
              </w:rPr>
              <w:t> </w:t>
            </w:r>
            <w:r>
              <w:rPr>
                <w:rStyle w:val="DraftingNote"/>
                <w:b w:val="0"/>
                <w:color w:val="auto"/>
                <w:sz w:val="20"/>
                <w:u w:val="none"/>
              </w:rPr>
              <w:t>800</w:t>
            </w:r>
          </w:p>
        </w:tc>
        <w:tc>
          <w:tcPr>
            <w:tcW w:w="439" w:type="pct"/>
            <w:vAlign w:val="center"/>
          </w:tcPr>
          <w:p w:rsidR="00D90BC1" w:rsidRPr="00FD722E" w:rsidRDefault="00FD722E" w:rsidP="00FD722E">
            <w:pPr>
              <w:pStyle w:val="TableUnitsRow"/>
              <w:rPr>
                <w:rStyle w:val="DraftingNote"/>
                <w:b w:val="0"/>
                <w:color w:val="auto"/>
                <w:sz w:val="20"/>
                <w:u w:val="none"/>
              </w:rPr>
            </w:pPr>
            <w:r>
              <w:rPr>
                <w:rStyle w:val="DraftingNote"/>
                <w:b w:val="0"/>
                <w:color w:val="auto"/>
                <w:sz w:val="20"/>
                <w:u w:val="none"/>
              </w:rPr>
              <w:t>4</w:t>
            </w:r>
            <w:r w:rsidR="00232B7F">
              <w:rPr>
                <w:rStyle w:val="DraftingNote"/>
                <w:b w:val="0"/>
                <w:color w:val="auto"/>
                <w:sz w:val="20"/>
                <w:u w:val="none"/>
              </w:rPr>
              <w:t> </w:t>
            </w:r>
            <w:r>
              <w:rPr>
                <w:rStyle w:val="DraftingNote"/>
                <w:b w:val="0"/>
                <w:color w:val="auto"/>
                <w:sz w:val="20"/>
                <w:u w:val="none"/>
              </w:rPr>
              <w:t>709</w:t>
            </w:r>
          </w:p>
        </w:tc>
        <w:tc>
          <w:tcPr>
            <w:tcW w:w="439" w:type="pct"/>
            <w:vAlign w:val="center"/>
          </w:tcPr>
          <w:p w:rsidR="00D90BC1" w:rsidRPr="00FD722E" w:rsidRDefault="00FD722E" w:rsidP="00FD722E">
            <w:pPr>
              <w:pStyle w:val="TableUnitsRow"/>
              <w:rPr>
                <w:rStyle w:val="DraftingNote"/>
                <w:b w:val="0"/>
                <w:color w:val="auto"/>
                <w:sz w:val="20"/>
                <w:u w:val="none"/>
              </w:rPr>
            </w:pPr>
            <w:r>
              <w:rPr>
                <w:rStyle w:val="DraftingNote"/>
                <w:b w:val="0"/>
                <w:color w:val="auto"/>
                <w:sz w:val="20"/>
                <w:u w:val="none"/>
              </w:rPr>
              <w:t>2</w:t>
            </w:r>
            <w:r w:rsidR="00232B7F">
              <w:rPr>
                <w:rStyle w:val="DraftingNote"/>
                <w:b w:val="0"/>
                <w:color w:val="auto"/>
                <w:sz w:val="20"/>
                <w:u w:val="none"/>
              </w:rPr>
              <w:t> </w:t>
            </w:r>
            <w:r>
              <w:rPr>
                <w:rStyle w:val="DraftingNote"/>
                <w:b w:val="0"/>
                <w:color w:val="auto"/>
                <w:sz w:val="20"/>
                <w:u w:val="none"/>
              </w:rPr>
              <w:t>622</w:t>
            </w:r>
          </w:p>
        </w:tc>
        <w:tc>
          <w:tcPr>
            <w:tcW w:w="439" w:type="pct"/>
            <w:vAlign w:val="center"/>
          </w:tcPr>
          <w:p w:rsidR="00D90BC1" w:rsidRPr="00FD722E" w:rsidRDefault="00FD722E" w:rsidP="00FD722E">
            <w:pPr>
              <w:pStyle w:val="TableUnitsRow"/>
              <w:rPr>
                <w:rStyle w:val="DraftingNote"/>
                <w:b w:val="0"/>
                <w:color w:val="auto"/>
                <w:sz w:val="20"/>
                <w:u w:val="none"/>
              </w:rPr>
            </w:pPr>
            <w:r>
              <w:rPr>
                <w:rStyle w:val="DraftingNote"/>
                <w:b w:val="0"/>
                <w:color w:val="auto"/>
                <w:sz w:val="20"/>
                <w:u w:val="none"/>
              </w:rPr>
              <w:t>1</w:t>
            </w:r>
            <w:r w:rsidR="00232B7F">
              <w:rPr>
                <w:rStyle w:val="DraftingNote"/>
                <w:b w:val="0"/>
                <w:color w:val="auto"/>
                <w:sz w:val="20"/>
                <w:u w:val="none"/>
              </w:rPr>
              <w:t> </w:t>
            </w:r>
            <w:r>
              <w:rPr>
                <w:rStyle w:val="DraftingNote"/>
                <w:b w:val="0"/>
                <w:color w:val="auto"/>
                <w:sz w:val="20"/>
                <w:u w:val="none"/>
              </w:rPr>
              <w:t>021</w:t>
            </w:r>
          </w:p>
        </w:tc>
        <w:tc>
          <w:tcPr>
            <w:tcW w:w="439" w:type="pct"/>
            <w:vAlign w:val="center"/>
          </w:tcPr>
          <w:p w:rsidR="00D90BC1" w:rsidRPr="00FD722E" w:rsidRDefault="00FD722E" w:rsidP="00FD722E">
            <w:pPr>
              <w:pStyle w:val="TableUnitsRow"/>
              <w:rPr>
                <w:rStyle w:val="DraftingNote"/>
                <w:b w:val="0"/>
                <w:color w:val="auto"/>
                <w:sz w:val="20"/>
                <w:u w:val="none"/>
              </w:rPr>
            </w:pPr>
            <w:r>
              <w:rPr>
                <w:rStyle w:val="DraftingNote"/>
                <w:b w:val="0"/>
                <w:color w:val="auto"/>
                <w:sz w:val="20"/>
                <w:u w:val="none"/>
              </w:rPr>
              <w:t>562</w:t>
            </w:r>
          </w:p>
        </w:tc>
        <w:tc>
          <w:tcPr>
            <w:tcW w:w="439" w:type="pct"/>
            <w:vAlign w:val="center"/>
          </w:tcPr>
          <w:p w:rsidR="00D90BC1" w:rsidRPr="00FD722E" w:rsidRDefault="00FD722E" w:rsidP="00FD722E">
            <w:pPr>
              <w:pStyle w:val="TableUnitsRow"/>
              <w:rPr>
                <w:rStyle w:val="DraftingNote"/>
                <w:b w:val="0"/>
                <w:color w:val="auto"/>
                <w:sz w:val="20"/>
                <w:u w:val="none"/>
              </w:rPr>
            </w:pPr>
            <w:r>
              <w:rPr>
                <w:rStyle w:val="DraftingNote"/>
                <w:b w:val="0"/>
                <w:color w:val="auto"/>
                <w:sz w:val="20"/>
                <w:u w:val="none"/>
              </w:rPr>
              <w:t>3</w:t>
            </w:r>
            <w:r w:rsidR="00232B7F">
              <w:rPr>
                <w:rStyle w:val="DraftingNote"/>
                <w:b w:val="0"/>
                <w:color w:val="auto"/>
                <w:sz w:val="20"/>
                <w:u w:val="none"/>
              </w:rPr>
              <w:t> </w:t>
            </w:r>
            <w:r>
              <w:rPr>
                <w:rStyle w:val="DraftingNote"/>
                <w:b w:val="0"/>
                <w:color w:val="auto"/>
                <w:sz w:val="20"/>
                <w:u w:val="none"/>
              </w:rPr>
              <w:t>045</w:t>
            </w:r>
          </w:p>
        </w:tc>
        <w:tc>
          <w:tcPr>
            <w:tcW w:w="439" w:type="pct"/>
            <w:vAlign w:val="center"/>
          </w:tcPr>
          <w:p w:rsidR="00D90BC1" w:rsidRPr="00FD722E" w:rsidRDefault="00FD722E" w:rsidP="002559E2">
            <w:pPr>
              <w:pStyle w:val="TableUnitsRow"/>
              <w:ind w:right="0"/>
              <w:rPr>
                <w:rStyle w:val="DraftingNote"/>
                <w:b w:val="0"/>
                <w:color w:val="auto"/>
                <w:sz w:val="20"/>
                <w:u w:val="none"/>
              </w:rPr>
            </w:pPr>
            <w:r>
              <w:rPr>
                <w:rStyle w:val="DraftingNote"/>
                <w:b w:val="0"/>
                <w:color w:val="auto"/>
                <w:sz w:val="20"/>
                <w:u w:val="none"/>
              </w:rPr>
              <w:t>41</w:t>
            </w:r>
            <w:r w:rsidR="00232B7F">
              <w:rPr>
                <w:rStyle w:val="DraftingNote"/>
                <w:b w:val="0"/>
                <w:color w:val="auto"/>
                <w:sz w:val="20"/>
                <w:u w:val="none"/>
              </w:rPr>
              <w:t> </w:t>
            </w:r>
            <w:r>
              <w:rPr>
                <w:rStyle w:val="DraftingNote"/>
                <w:b w:val="0"/>
                <w:color w:val="auto"/>
                <w:sz w:val="20"/>
                <w:u w:val="none"/>
              </w:rPr>
              <w:t>937</w:t>
            </w:r>
          </w:p>
        </w:tc>
      </w:tr>
    </w:tbl>
    <w:p w:rsidR="00EA4244" w:rsidRDefault="00EA4244" w:rsidP="002559E2">
      <w:pPr>
        <w:pStyle w:val="Default"/>
        <w:jc w:val="both"/>
        <w:rPr>
          <w:sz w:val="18"/>
          <w:szCs w:val="18"/>
        </w:rPr>
      </w:pPr>
      <w:r w:rsidRPr="00EA4244">
        <w:rPr>
          <w:rStyle w:val="NoteLabel"/>
        </w:rPr>
        <w:t>a</w:t>
      </w:r>
      <w:r>
        <w:rPr>
          <w:b/>
          <w:bCs/>
          <w:sz w:val="18"/>
          <w:szCs w:val="18"/>
        </w:rPr>
        <w:t xml:space="preserve"> </w:t>
      </w:r>
      <w:r>
        <w:rPr>
          <w:sz w:val="18"/>
          <w:szCs w:val="18"/>
        </w:rPr>
        <w:t xml:space="preserve">Refer to the National VET Provider Collection Data Quality Statement for information on data quality. </w:t>
      </w:r>
      <w:r w:rsidRPr="00EA4244">
        <w:rPr>
          <w:rStyle w:val="NoteLabel"/>
        </w:rPr>
        <w:t>b</w:t>
      </w:r>
      <w:r w:rsidR="00140F2D">
        <w:rPr>
          <w:b/>
          <w:bCs/>
          <w:sz w:val="18"/>
          <w:szCs w:val="18"/>
        </w:rPr>
        <w:t> </w:t>
      </w:r>
      <w:r>
        <w:rPr>
          <w:sz w:val="18"/>
          <w:szCs w:val="18"/>
        </w:rPr>
        <w:t xml:space="preserve">‘Higher level VET qualifications’ refers to </w:t>
      </w:r>
      <w:proofErr w:type="spellStart"/>
      <w:r>
        <w:rPr>
          <w:sz w:val="18"/>
          <w:szCs w:val="18"/>
        </w:rPr>
        <w:t>AQF</w:t>
      </w:r>
      <w:proofErr w:type="spellEnd"/>
      <w:r>
        <w:rPr>
          <w:sz w:val="18"/>
          <w:szCs w:val="18"/>
        </w:rPr>
        <w:t xml:space="preserve"> Certificate III level or above. </w:t>
      </w:r>
      <w:r w:rsidRPr="00EA4244">
        <w:rPr>
          <w:rStyle w:val="NoteLabel"/>
        </w:rPr>
        <w:t>c</w:t>
      </w:r>
      <w:r>
        <w:rPr>
          <w:b/>
          <w:bCs/>
          <w:sz w:val="18"/>
          <w:szCs w:val="18"/>
        </w:rPr>
        <w:t xml:space="preserve"> </w:t>
      </w:r>
      <w:r>
        <w:rPr>
          <w:sz w:val="18"/>
          <w:szCs w:val="18"/>
        </w:rPr>
        <w:t xml:space="preserve">Includes enrolments funded from all government sources due to the different classification of the PPP revenue. </w:t>
      </w:r>
    </w:p>
    <w:p w:rsidR="00724A07" w:rsidRPr="00C8162A" w:rsidRDefault="00724A07" w:rsidP="00725CFC">
      <w:pPr>
        <w:pStyle w:val="Source"/>
      </w:pPr>
      <w:r>
        <w:rPr>
          <w:i/>
        </w:rPr>
        <w:t>Source</w:t>
      </w:r>
      <w:r>
        <w:t>: NCVER (unpublished) National</w:t>
      </w:r>
      <w:r w:rsidR="000A0229">
        <w:t xml:space="preserve"> VET provider co</w:t>
      </w:r>
      <w:r w:rsidR="00FD722E">
        <w:t xml:space="preserve">llection; table </w:t>
      </w:r>
      <w:proofErr w:type="spellStart"/>
      <w:r w:rsidR="00FD722E">
        <w:t>SWD.C.12</w:t>
      </w:r>
      <w:proofErr w:type="spellEnd"/>
      <w:r w:rsidR="000A0229">
        <w:t>.</w:t>
      </w:r>
    </w:p>
    <w:p w:rsidR="00FD722E" w:rsidRDefault="00FD722E" w:rsidP="00FD722E">
      <w:pPr>
        <w:pStyle w:val="BodyText"/>
      </w:pPr>
      <w:r>
        <w:t xml:space="preserve">The number of government funded course enrolments by Indigenous students in higher level VET qualifications for 2008–2011 are reported in table </w:t>
      </w:r>
      <w:proofErr w:type="spellStart"/>
      <w:r>
        <w:t>SWD.C.13</w:t>
      </w:r>
      <w:proofErr w:type="spellEnd"/>
      <w:r>
        <w:t>.</w:t>
      </w:r>
    </w:p>
    <w:p w:rsidR="003A0B0A" w:rsidRDefault="00771B74" w:rsidP="0095384E">
      <w:pPr>
        <w:pStyle w:val="Heading4"/>
      </w:pPr>
      <w:r>
        <w:t>S</w:t>
      </w:r>
      <w:r w:rsidR="003A0B0A">
        <w:t>tudents</w:t>
      </w:r>
    </w:p>
    <w:p w:rsidR="003A0B0A" w:rsidRDefault="003A0B0A" w:rsidP="003A0B0A">
      <w:pPr>
        <w:pStyle w:val="BodyText"/>
      </w:pPr>
      <w:r>
        <w:t xml:space="preserve">This section provides some brief contextual information on VET students, including data </w:t>
      </w:r>
      <w:r w:rsidR="002E41C5">
        <w:t xml:space="preserve">for </w:t>
      </w:r>
      <w:r w:rsidR="00E77A31">
        <w:t xml:space="preserve">selected </w:t>
      </w:r>
      <w:r w:rsidR="002E41C5">
        <w:t>equity groups</w:t>
      </w:r>
      <w:r>
        <w:t>.</w:t>
      </w:r>
    </w:p>
    <w:p w:rsidR="0095384E" w:rsidRDefault="0095384E" w:rsidP="00771B74">
      <w:pPr>
        <w:pStyle w:val="Heading5"/>
      </w:pPr>
      <w:r>
        <w:t xml:space="preserve">Target age groups </w:t>
      </w:r>
    </w:p>
    <w:p w:rsidR="004F35D6" w:rsidRPr="004F35D6" w:rsidRDefault="004F35D6" w:rsidP="004F35D6">
      <w:pPr>
        <w:pStyle w:val="BodyText"/>
      </w:pPr>
      <w:r w:rsidRPr="004F35D6">
        <w:t>VET can play an important role in preparing young people for work, developing the skills of adults and responding to labour market ne</w:t>
      </w:r>
      <w:r w:rsidR="001D2206">
        <w:t>eds of the economy (OECD 2010).</w:t>
      </w:r>
    </w:p>
    <w:p w:rsidR="0095384E" w:rsidRPr="004F35D6" w:rsidRDefault="004F35D6" w:rsidP="00A2151C">
      <w:pPr>
        <w:pStyle w:val="BodyText"/>
      </w:pPr>
      <w:r w:rsidRPr="004F35D6">
        <w:t xml:space="preserve">Figure 6 shows VET participation rates </w:t>
      </w:r>
      <w:r w:rsidR="00CB62F5">
        <w:t xml:space="preserve">for all students </w:t>
      </w:r>
      <w:r w:rsidRPr="004F35D6">
        <w:t>in 201</w:t>
      </w:r>
      <w:r w:rsidR="00495953">
        <w:t>2</w:t>
      </w:r>
      <w:r w:rsidRPr="004F35D6">
        <w:t xml:space="preserve"> by target age groups</w:t>
      </w:r>
      <w:r w:rsidR="00D33CBC">
        <w:t xml:space="preserve"> (data are available in table </w:t>
      </w:r>
      <w:proofErr w:type="spellStart"/>
      <w:r w:rsidR="00D33CBC">
        <w:t>SWD.C.1</w:t>
      </w:r>
      <w:r w:rsidR="00FD722E">
        <w:t>4</w:t>
      </w:r>
      <w:proofErr w:type="spellEnd"/>
      <w:r w:rsidR="00D33CBC">
        <w:t>).</w:t>
      </w:r>
    </w:p>
    <w:p w:rsidR="004F35D6" w:rsidRPr="0003125A" w:rsidRDefault="004F35D6" w:rsidP="00A2151C">
      <w:pPr>
        <w:pStyle w:val="FigureTitle"/>
        <w:rPr>
          <w:rStyle w:val="NoteLabel"/>
          <w:b/>
        </w:rPr>
      </w:pPr>
      <w:r w:rsidRPr="0003125A">
        <w:rPr>
          <w:b w:val="0"/>
        </w:rPr>
        <w:t xml:space="preserve">Figure </w:t>
      </w:r>
      <w:r w:rsidR="00503759" w:rsidRPr="0003125A">
        <w:rPr>
          <w:b w:val="0"/>
          <w:noProof/>
        </w:rPr>
        <w:t>6</w:t>
      </w:r>
      <w:r w:rsidRPr="0003125A">
        <w:tab/>
        <w:t>VET participation rates</w:t>
      </w:r>
      <w:r w:rsidR="002559E2">
        <w:t xml:space="preserve"> for</w:t>
      </w:r>
      <w:r w:rsidRPr="0003125A">
        <w:t xml:space="preserve"> </w:t>
      </w:r>
      <w:r w:rsidR="00CB62F5">
        <w:t xml:space="preserve">all students </w:t>
      </w:r>
      <w:r w:rsidRPr="0003125A">
        <w:t>by target age group, 201</w:t>
      </w:r>
      <w:r w:rsidR="0003125A">
        <w:t>2</w:t>
      </w:r>
      <w:r w:rsidR="008A0CB8" w:rsidRPr="0003125A">
        <w:t xml:space="preserve"> (per </w:t>
      </w:r>
      <w:r w:rsidRPr="0003125A">
        <w:t>cent)</w:t>
      </w:r>
      <w:r w:rsidRPr="0003125A">
        <w:rPr>
          <w:rStyle w:val="NoteLabel"/>
          <w:b/>
        </w:rPr>
        <w:t>a, b</w:t>
      </w:r>
    </w:p>
    <w:tbl>
      <w:tblPr>
        <w:tblW w:w="0" w:type="auto"/>
        <w:tblInd w:w="119" w:type="dxa"/>
        <w:tblBorders>
          <w:top w:val="single" w:sz="6" w:space="0" w:color="auto"/>
          <w:bottom w:val="single" w:sz="6" w:space="0" w:color="auto"/>
        </w:tblBorders>
        <w:tblLayout w:type="fixed"/>
        <w:tblLook w:val="0000" w:firstRow="0" w:lastRow="0" w:firstColumn="0" w:lastColumn="0" w:noHBand="0" w:noVBand="0"/>
      </w:tblPr>
      <w:tblGrid>
        <w:gridCol w:w="8777"/>
      </w:tblGrid>
      <w:tr w:rsidR="004F35D6" w:rsidRPr="0003125A" w:rsidTr="00966906">
        <w:tc>
          <w:tcPr>
            <w:tcW w:w="8777" w:type="dxa"/>
          </w:tcPr>
          <w:p w:rsidR="004F35D6" w:rsidRPr="0003125A" w:rsidRDefault="00966906" w:rsidP="00725CFC">
            <w:pPr>
              <w:pStyle w:val="Figure"/>
            </w:pPr>
            <w:r w:rsidRPr="0003125A">
              <w:rPr>
                <w:noProof/>
              </w:rPr>
              <w:drawing>
                <wp:inline distT="0" distB="0" distL="0" distR="0" wp14:anchorId="71C98FC0" wp14:editId="5C9CA76B">
                  <wp:extent cx="5295900" cy="2457450"/>
                  <wp:effectExtent l="0" t="0" r="0" b="0"/>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rsidR="004F35D6" w:rsidRPr="0003125A" w:rsidRDefault="004F35D6" w:rsidP="00725CFC">
      <w:pPr>
        <w:pStyle w:val="Note"/>
      </w:pPr>
      <w:r w:rsidRPr="0003125A">
        <w:rPr>
          <w:rStyle w:val="NoteLabel"/>
        </w:rPr>
        <w:t>a</w:t>
      </w:r>
      <w:r w:rsidRPr="0003125A">
        <w:sym w:font="Symbol" w:char="F020"/>
      </w:r>
      <w:r w:rsidRPr="0003125A">
        <w:t xml:space="preserve"> Refer to the National VET Provider Collection Data Quality Statement for information on data quality. </w:t>
      </w:r>
      <w:r w:rsidRPr="0003125A">
        <w:rPr>
          <w:rStyle w:val="NoteLabel"/>
        </w:rPr>
        <w:t>b</w:t>
      </w:r>
      <w:r w:rsidRPr="0003125A">
        <w:t xml:space="preserve"> The participation rate for the various age groups is the number of students participating in VET in a given age group expressed as a proportion of the population of that age group.</w:t>
      </w:r>
    </w:p>
    <w:p w:rsidR="004F35D6" w:rsidRPr="00A864E0" w:rsidRDefault="004F35D6" w:rsidP="00725CFC">
      <w:pPr>
        <w:pStyle w:val="Source"/>
      </w:pPr>
      <w:r w:rsidRPr="0003125A">
        <w:rPr>
          <w:i/>
        </w:rPr>
        <w:t>Source</w:t>
      </w:r>
      <w:r w:rsidRPr="0003125A">
        <w:t>: NCVER (unpublished) National VET provider collection</w:t>
      </w:r>
      <w:r w:rsidRPr="00A864E0">
        <w:t xml:space="preserve">; </w:t>
      </w:r>
      <w:r w:rsidR="00995A7F" w:rsidRPr="00A864E0">
        <w:t>ABS (2012</w:t>
      </w:r>
      <w:r w:rsidRPr="00A864E0">
        <w:t xml:space="preserve">) Australian </w:t>
      </w:r>
      <w:r w:rsidR="00995A7F" w:rsidRPr="00A864E0">
        <w:t xml:space="preserve">Demographic Statistics, preliminary </w:t>
      </w:r>
      <w:r w:rsidRPr="00A864E0">
        <w:t>(30 June data), Cat. no. 3</w:t>
      </w:r>
      <w:r w:rsidR="00995A7F" w:rsidRPr="00A864E0">
        <w:t>1</w:t>
      </w:r>
      <w:r w:rsidRPr="00A864E0">
        <w:t>01.0</w:t>
      </w:r>
      <w:r w:rsidR="00FD722E" w:rsidRPr="00A864E0">
        <w:t xml:space="preserve">; table </w:t>
      </w:r>
      <w:proofErr w:type="spellStart"/>
      <w:r w:rsidR="00FD722E" w:rsidRPr="00A864E0">
        <w:t>SWD.C.14</w:t>
      </w:r>
      <w:proofErr w:type="spellEnd"/>
      <w:r w:rsidRPr="00A864E0">
        <w:t>.</w:t>
      </w:r>
    </w:p>
    <w:p w:rsidR="004F35D6" w:rsidRDefault="004F35D6" w:rsidP="00724A07">
      <w:pPr>
        <w:pStyle w:val="Heading5"/>
      </w:pPr>
      <w:r>
        <w:t>Equity target groups</w:t>
      </w:r>
    </w:p>
    <w:p w:rsidR="002E41C5" w:rsidRDefault="00035C14" w:rsidP="00877AB4">
      <w:pPr>
        <w:pStyle w:val="BodyText"/>
      </w:pPr>
      <w:r>
        <w:t xml:space="preserve">The VET system provides a range of training opportunities </w:t>
      </w:r>
      <w:r w:rsidR="0043039A">
        <w:t xml:space="preserve">for all </w:t>
      </w:r>
      <w:r w:rsidR="0058765F">
        <w:t>Australians, and e</w:t>
      </w:r>
      <w:r>
        <w:t>nables people from a range of backgrounds and varying degrees of disadvantage to gain skills and participate in personal or professional development</w:t>
      </w:r>
      <w:r w:rsidR="007C5FD9">
        <w:t xml:space="preserve"> (Rothman</w:t>
      </w:r>
      <w:r w:rsidR="00323CE5">
        <w:t> et al</w:t>
      </w:r>
      <w:r w:rsidR="007C5FD9">
        <w:t> </w:t>
      </w:r>
      <w:r w:rsidR="00F15107">
        <w:t>2013)</w:t>
      </w:r>
      <w:r>
        <w:t xml:space="preserve">. </w:t>
      </w:r>
      <w:r w:rsidR="001B13DF">
        <w:t>In t</w:t>
      </w:r>
      <w:r w:rsidR="004F35D6">
        <w:t>he NASWD</w:t>
      </w:r>
      <w:r w:rsidR="001B13DF">
        <w:t xml:space="preserve">, governments explicitly commit </w:t>
      </w:r>
      <w:r w:rsidR="004F35D6">
        <w:t>to address issues of social inclusion and Indigenous</w:t>
      </w:r>
      <w:r w:rsidR="005C539C">
        <w:t xml:space="preserve"> disadvantage</w:t>
      </w:r>
      <w:r w:rsidR="004F35D6">
        <w:t xml:space="preserve"> </w:t>
      </w:r>
      <w:r w:rsidR="001B13DF">
        <w:t>by</w:t>
      </w:r>
      <w:r w:rsidR="0088487B" w:rsidRPr="00192A4B">
        <w:t xml:space="preserve"> providing the support an individual experiencing disadvantage or disengagement may need to gain skills that lead to employment or other meaningful engagement in society</w:t>
      </w:r>
      <w:r w:rsidR="004F35D6" w:rsidRPr="00192A4B">
        <w:t xml:space="preserve"> (COAG </w:t>
      </w:r>
      <w:proofErr w:type="spellStart"/>
      <w:r w:rsidR="004F35D6" w:rsidRPr="00192A4B">
        <w:t>2012</w:t>
      </w:r>
      <w:r w:rsidR="00771B74" w:rsidRPr="00192A4B">
        <w:t>b</w:t>
      </w:r>
      <w:proofErr w:type="spellEnd"/>
      <w:r w:rsidR="001D2206" w:rsidRPr="00192A4B">
        <w:t>).</w:t>
      </w:r>
    </w:p>
    <w:p w:rsidR="004F35D6" w:rsidRDefault="004F35D6" w:rsidP="004F35D6">
      <w:pPr>
        <w:pStyle w:val="BodyText"/>
      </w:pPr>
      <w:r>
        <w:t xml:space="preserve">Some groups experience </w:t>
      </w:r>
      <w:r w:rsidR="001B13DF">
        <w:t xml:space="preserve">greater </w:t>
      </w:r>
      <w:r>
        <w:t>barriers to education and work than others. Regul</w:t>
      </w:r>
      <w:r w:rsidR="001D2206">
        <w:t>arly identified groups include:</w:t>
      </w:r>
    </w:p>
    <w:p w:rsidR="004F35D6" w:rsidRDefault="004F35D6" w:rsidP="004F35D6">
      <w:pPr>
        <w:pStyle w:val="ListBullet"/>
      </w:pPr>
      <w:r>
        <w:t>Indigenous Australians</w:t>
      </w:r>
    </w:p>
    <w:p w:rsidR="004F35D6" w:rsidRDefault="004F35D6" w:rsidP="004F35D6">
      <w:pPr>
        <w:pStyle w:val="ListBullet"/>
      </w:pPr>
      <w:r>
        <w:t>people from remote and very remote areas</w:t>
      </w:r>
    </w:p>
    <w:p w:rsidR="004F35D6" w:rsidRDefault="004F35D6" w:rsidP="004F35D6">
      <w:pPr>
        <w:pStyle w:val="ListBullet"/>
      </w:pPr>
      <w:r>
        <w:t>people with disability</w:t>
      </w:r>
    </w:p>
    <w:p w:rsidR="003A0B0A" w:rsidRDefault="004F35D6" w:rsidP="004F35D6">
      <w:pPr>
        <w:pStyle w:val="ListBullet"/>
      </w:pPr>
      <w:r>
        <w:t>people speaking a language other than English (</w:t>
      </w:r>
      <w:proofErr w:type="spellStart"/>
      <w:r>
        <w:t>LOTE</w:t>
      </w:r>
      <w:proofErr w:type="spellEnd"/>
      <w:r>
        <w:t>) at home (</w:t>
      </w:r>
      <w:proofErr w:type="spellStart"/>
      <w:r>
        <w:t>SCRGSP</w:t>
      </w:r>
      <w:proofErr w:type="spellEnd"/>
      <w:r w:rsidR="0003125A">
        <w:t> </w:t>
      </w:r>
      <w:r>
        <w:t>201</w:t>
      </w:r>
      <w:r w:rsidR="007C5FD9">
        <w:t>4</w:t>
      </w:r>
      <w:r>
        <w:t>).</w:t>
      </w:r>
    </w:p>
    <w:p w:rsidR="00435A39" w:rsidRDefault="00435A39" w:rsidP="00435A39">
      <w:pPr>
        <w:pStyle w:val="BodyText"/>
      </w:pPr>
      <w:r w:rsidRPr="00A55D1F">
        <w:t>Research shows that multiple disadvantages may interact to compound the difficulties faced by people in equity</w:t>
      </w:r>
      <w:r w:rsidR="00241EE2" w:rsidRPr="00A55D1F">
        <w:t xml:space="preserve"> target groups (</w:t>
      </w:r>
      <w:proofErr w:type="spellStart"/>
      <w:r w:rsidR="00241EE2" w:rsidRPr="00A55D1F">
        <w:t>Considine</w:t>
      </w:r>
      <w:proofErr w:type="spellEnd"/>
      <w:r w:rsidR="00241EE2" w:rsidRPr="00A55D1F">
        <w:t>, Watson and Hall</w:t>
      </w:r>
      <w:r w:rsidR="0003125A" w:rsidRPr="00A55D1F">
        <w:t> </w:t>
      </w:r>
      <w:r w:rsidR="001D2206" w:rsidRPr="00A55D1F">
        <w:t>2005).</w:t>
      </w:r>
    </w:p>
    <w:p w:rsidR="00435A39" w:rsidRDefault="00435A39" w:rsidP="00435A39">
      <w:pPr>
        <w:pStyle w:val="BodyText"/>
      </w:pPr>
      <w:r>
        <w:t>This section provides some information and data on each of these equity target groups and their interaction with VET.</w:t>
      </w:r>
    </w:p>
    <w:p w:rsidR="004F35D6" w:rsidRPr="003A0B0A" w:rsidRDefault="00435A39" w:rsidP="007A34DD">
      <w:pPr>
        <w:pStyle w:val="BodyText"/>
      </w:pPr>
      <w:r>
        <w:t xml:space="preserve">Care needs to be taken in interpreting VET data for Indigenous Australians, people with disability and people speaking </w:t>
      </w:r>
      <w:proofErr w:type="spellStart"/>
      <w:r>
        <w:t>LOTE</w:t>
      </w:r>
      <w:proofErr w:type="spellEnd"/>
      <w:r>
        <w:t xml:space="preserve"> at home, as data depend on </w:t>
      </w:r>
      <w:r w:rsidR="00791F17">
        <w:t>self</w:t>
      </w:r>
      <w:r w:rsidR="00791F17">
        <w:noBreakHyphen/>
        <w:t>identification</w:t>
      </w:r>
      <w:r>
        <w:t xml:space="preserve"> at the time of enrolment and there are varying proportions of ‘not known’ responses across states and territories.</w:t>
      </w:r>
      <w:r w:rsidR="00136FA3">
        <w:t xml:space="preserve"> Non-response rates for the National VET Provider Collection are provided in the collection </w:t>
      </w:r>
      <w:r w:rsidR="0003125A">
        <w:t>DQS</w:t>
      </w:r>
      <w:r w:rsidR="00FB38BD">
        <w:t>.</w:t>
      </w:r>
    </w:p>
    <w:p w:rsidR="00791F17" w:rsidRDefault="00791F17" w:rsidP="00724A07">
      <w:pPr>
        <w:pStyle w:val="Heading5"/>
      </w:pPr>
      <w:r>
        <w:t>Indigenous students</w:t>
      </w:r>
    </w:p>
    <w:p w:rsidR="00791F17" w:rsidRPr="00227D25" w:rsidRDefault="00C91FA8" w:rsidP="00725CFC">
      <w:pPr>
        <w:pStyle w:val="BodyText"/>
      </w:pPr>
      <w:r>
        <w:t>Nationally, 4.6</w:t>
      </w:r>
      <w:r w:rsidR="000F0DB7" w:rsidRPr="00227D25">
        <w:t xml:space="preserve"> </w:t>
      </w:r>
      <w:r w:rsidR="00791F17" w:rsidRPr="00227D25">
        <w:t>per cent of VET students identi</w:t>
      </w:r>
      <w:r w:rsidR="00823B5F" w:rsidRPr="00227D25">
        <w:t>fied as being Indigenous in 2012</w:t>
      </w:r>
      <w:r w:rsidR="00791F17" w:rsidRPr="00227D25">
        <w:t xml:space="preserve"> (table </w:t>
      </w:r>
      <w:r w:rsidR="00724A07" w:rsidRPr="00227D25">
        <w:t>8</w:t>
      </w:r>
      <w:r w:rsidR="00791F17" w:rsidRPr="00227D25">
        <w:t>). In comparison,</w:t>
      </w:r>
      <w:r w:rsidR="00D5627E">
        <w:t xml:space="preserve"> </w:t>
      </w:r>
      <w:r w:rsidR="00B60686">
        <w:t>3.0</w:t>
      </w:r>
      <w:r w:rsidR="00791F17" w:rsidRPr="00227D25">
        <w:t xml:space="preserve"> per cent of the Australian population were </w:t>
      </w:r>
      <w:r w:rsidR="00D5627E">
        <w:t xml:space="preserve">estimated </w:t>
      </w:r>
      <w:r w:rsidR="00823B5F" w:rsidRPr="00227D25">
        <w:t xml:space="preserve">as being Indigenous </w:t>
      </w:r>
      <w:r w:rsidR="001D32EC">
        <w:t xml:space="preserve">as at 30 June </w:t>
      </w:r>
      <w:r w:rsidR="00823B5F" w:rsidRPr="00227D25">
        <w:t>201</w:t>
      </w:r>
      <w:r w:rsidR="001D32EC">
        <w:t>1</w:t>
      </w:r>
      <w:r w:rsidR="00791F17" w:rsidRPr="00227D25">
        <w:t>.</w:t>
      </w:r>
    </w:p>
    <w:p w:rsidR="00297BF4" w:rsidRDefault="00791F17" w:rsidP="00297BF4">
      <w:pPr>
        <w:pStyle w:val="FigureTitle"/>
      </w:pPr>
      <w:r w:rsidRPr="00DF37A1">
        <w:rPr>
          <w:b w:val="0"/>
        </w:rPr>
        <w:t xml:space="preserve">Table </w:t>
      </w:r>
      <w:bookmarkStart w:id="12" w:name="OLE_LINK11"/>
      <w:r w:rsidR="00503759" w:rsidRPr="00DF37A1">
        <w:rPr>
          <w:b w:val="0"/>
          <w:noProof/>
        </w:rPr>
        <w:t>8</w:t>
      </w:r>
      <w:bookmarkEnd w:id="12"/>
      <w:r w:rsidRPr="00DF37A1">
        <w:tab/>
        <w:t xml:space="preserve">Proportion of VET students reported as </w:t>
      </w:r>
      <w:r w:rsidR="00EF482D" w:rsidRPr="00DF37A1">
        <w:t>Indigenous</w:t>
      </w:r>
      <w:r w:rsidR="00F76745" w:rsidRPr="00DF37A1">
        <w:t xml:space="preserve"> 2012</w:t>
      </w:r>
      <w:r w:rsidR="00297BF4" w:rsidRPr="00DF37A1">
        <w:rPr>
          <w:rStyle w:val="NoteLabel"/>
          <w:b/>
        </w:rPr>
        <w:t>a, b</w:t>
      </w:r>
    </w:p>
    <w:tbl>
      <w:tblPr>
        <w:tblW w:w="5000" w:type="pct"/>
        <w:tblCellMar>
          <w:left w:w="0" w:type="dxa"/>
          <w:right w:w="0" w:type="dxa"/>
        </w:tblCellMar>
        <w:tblLook w:val="0000" w:firstRow="0" w:lastRow="0" w:firstColumn="0" w:lastColumn="0" w:noHBand="0" w:noVBand="0"/>
      </w:tblPr>
      <w:tblGrid>
        <w:gridCol w:w="2959"/>
        <w:gridCol w:w="586"/>
        <w:gridCol w:w="568"/>
        <w:gridCol w:w="568"/>
        <w:gridCol w:w="710"/>
        <w:gridCol w:w="708"/>
        <w:gridCol w:w="708"/>
        <w:gridCol w:w="708"/>
        <w:gridCol w:w="708"/>
        <w:gridCol w:w="566"/>
      </w:tblGrid>
      <w:tr w:rsidR="001D32EC" w:rsidRPr="00227D25" w:rsidTr="009A3B94">
        <w:tc>
          <w:tcPr>
            <w:tcW w:w="1683" w:type="pct"/>
            <w:tcBorders>
              <w:top w:val="single" w:sz="6" w:space="0" w:color="auto"/>
              <w:bottom w:val="single" w:sz="6" w:space="0" w:color="auto"/>
            </w:tcBorders>
          </w:tcPr>
          <w:p w:rsidR="00791F17" w:rsidRPr="00227D25" w:rsidRDefault="00791F17" w:rsidP="00B07E93">
            <w:pPr>
              <w:pStyle w:val="TableColumnHeading"/>
              <w:pBdr>
                <w:left w:val="single" w:sz="4" w:space="1" w:color="auto"/>
              </w:pBdr>
              <w:jc w:val="left"/>
            </w:pPr>
          </w:p>
        </w:tc>
        <w:tc>
          <w:tcPr>
            <w:tcW w:w="333" w:type="pct"/>
            <w:tcBorders>
              <w:top w:val="single" w:sz="6" w:space="0" w:color="auto"/>
              <w:bottom w:val="single" w:sz="6" w:space="0" w:color="auto"/>
            </w:tcBorders>
            <w:vAlign w:val="bottom"/>
          </w:tcPr>
          <w:p w:rsidR="00791F17" w:rsidRPr="00227D25" w:rsidRDefault="00791F17" w:rsidP="00B07E93">
            <w:pPr>
              <w:pStyle w:val="TableColumnHeading"/>
              <w:pBdr>
                <w:left w:val="single" w:sz="4" w:space="1" w:color="auto"/>
              </w:pBdr>
            </w:pPr>
            <w:r w:rsidRPr="00227D25">
              <w:t>NSW</w:t>
            </w:r>
          </w:p>
        </w:tc>
        <w:tc>
          <w:tcPr>
            <w:tcW w:w="323" w:type="pct"/>
            <w:tcBorders>
              <w:top w:val="single" w:sz="6" w:space="0" w:color="auto"/>
              <w:bottom w:val="single" w:sz="6" w:space="0" w:color="auto"/>
            </w:tcBorders>
            <w:vAlign w:val="bottom"/>
          </w:tcPr>
          <w:p w:rsidR="00791F17" w:rsidRPr="00227D25" w:rsidRDefault="00791F17" w:rsidP="00B07E93">
            <w:pPr>
              <w:pStyle w:val="TableColumnHeading"/>
              <w:pBdr>
                <w:left w:val="single" w:sz="4" w:space="1" w:color="auto"/>
              </w:pBdr>
            </w:pPr>
            <w:r w:rsidRPr="00227D25">
              <w:t>Vic</w:t>
            </w:r>
          </w:p>
        </w:tc>
        <w:tc>
          <w:tcPr>
            <w:tcW w:w="323" w:type="pct"/>
            <w:tcBorders>
              <w:top w:val="single" w:sz="6" w:space="0" w:color="auto"/>
              <w:bottom w:val="single" w:sz="6" w:space="0" w:color="auto"/>
            </w:tcBorders>
            <w:vAlign w:val="bottom"/>
          </w:tcPr>
          <w:p w:rsidR="00791F17" w:rsidRPr="00227D25" w:rsidRDefault="00791F17" w:rsidP="00B07E93">
            <w:pPr>
              <w:pStyle w:val="TableColumnHeading"/>
              <w:pBdr>
                <w:left w:val="single" w:sz="4" w:space="1" w:color="auto"/>
              </w:pBdr>
            </w:pPr>
            <w:r w:rsidRPr="00227D25">
              <w:t>Qld</w:t>
            </w:r>
          </w:p>
        </w:tc>
        <w:tc>
          <w:tcPr>
            <w:tcW w:w="404" w:type="pct"/>
            <w:tcBorders>
              <w:top w:val="single" w:sz="6" w:space="0" w:color="auto"/>
              <w:bottom w:val="single" w:sz="6" w:space="0" w:color="auto"/>
            </w:tcBorders>
            <w:vAlign w:val="bottom"/>
          </w:tcPr>
          <w:p w:rsidR="00791F17" w:rsidRPr="00227D25" w:rsidRDefault="00791F17" w:rsidP="00B07E93">
            <w:pPr>
              <w:pStyle w:val="TableColumnHeading"/>
              <w:pBdr>
                <w:left w:val="single" w:sz="4" w:space="1" w:color="auto"/>
              </w:pBdr>
            </w:pPr>
            <w:r w:rsidRPr="00227D25">
              <w:t>WA</w:t>
            </w:r>
          </w:p>
        </w:tc>
        <w:tc>
          <w:tcPr>
            <w:tcW w:w="403" w:type="pct"/>
            <w:tcBorders>
              <w:top w:val="single" w:sz="6" w:space="0" w:color="auto"/>
              <w:bottom w:val="single" w:sz="6" w:space="0" w:color="auto"/>
            </w:tcBorders>
            <w:vAlign w:val="bottom"/>
          </w:tcPr>
          <w:p w:rsidR="00791F17" w:rsidRPr="00227D25" w:rsidRDefault="00791F17" w:rsidP="00B07E93">
            <w:pPr>
              <w:pStyle w:val="TableColumnHeading"/>
              <w:pBdr>
                <w:left w:val="single" w:sz="4" w:space="1" w:color="auto"/>
              </w:pBdr>
              <w:rPr>
                <w:rStyle w:val="NoteLabel"/>
              </w:rPr>
            </w:pPr>
            <w:r w:rsidRPr="00227D25">
              <w:t>SA</w:t>
            </w:r>
          </w:p>
        </w:tc>
        <w:tc>
          <w:tcPr>
            <w:tcW w:w="403" w:type="pct"/>
            <w:tcBorders>
              <w:top w:val="single" w:sz="6" w:space="0" w:color="auto"/>
              <w:bottom w:val="single" w:sz="6" w:space="0" w:color="auto"/>
            </w:tcBorders>
            <w:vAlign w:val="bottom"/>
          </w:tcPr>
          <w:p w:rsidR="00791F17" w:rsidRPr="00227D25" w:rsidRDefault="00791F17" w:rsidP="00B07E93">
            <w:pPr>
              <w:pStyle w:val="TableColumnHeading"/>
              <w:pBdr>
                <w:left w:val="single" w:sz="4" w:space="1" w:color="auto"/>
              </w:pBdr>
            </w:pPr>
            <w:r w:rsidRPr="00227D25">
              <w:t>Tas</w:t>
            </w:r>
          </w:p>
        </w:tc>
        <w:tc>
          <w:tcPr>
            <w:tcW w:w="403" w:type="pct"/>
            <w:tcBorders>
              <w:top w:val="single" w:sz="6" w:space="0" w:color="auto"/>
              <w:bottom w:val="single" w:sz="6" w:space="0" w:color="auto"/>
            </w:tcBorders>
            <w:vAlign w:val="bottom"/>
          </w:tcPr>
          <w:p w:rsidR="00791F17" w:rsidRPr="00227D25" w:rsidRDefault="00791F17" w:rsidP="00B07E93">
            <w:pPr>
              <w:pStyle w:val="TableColumnHeading"/>
              <w:pBdr>
                <w:left w:val="single" w:sz="4" w:space="1" w:color="auto"/>
              </w:pBdr>
            </w:pPr>
            <w:r w:rsidRPr="00227D25">
              <w:t>ACT</w:t>
            </w:r>
          </w:p>
        </w:tc>
        <w:tc>
          <w:tcPr>
            <w:tcW w:w="403" w:type="pct"/>
            <w:tcBorders>
              <w:top w:val="single" w:sz="6" w:space="0" w:color="auto"/>
              <w:bottom w:val="single" w:sz="6" w:space="0" w:color="auto"/>
            </w:tcBorders>
            <w:vAlign w:val="bottom"/>
          </w:tcPr>
          <w:p w:rsidR="00791F17" w:rsidRPr="00227D25" w:rsidRDefault="00791F17" w:rsidP="00B07E93">
            <w:pPr>
              <w:pStyle w:val="TableColumnHeading"/>
              <w:pBdr>
                <w:left w:val="single" w:sz="4" w:space="1" w:color="auto"/>
              </w:pBdr>
            </w:pPr>
            <w:r w:rsidRPr="00227D25">
              <w:t>NT</w:t>
            </w:r>
          </w:p>
        </w:tc>
        <w:tc>
          <w:tcPr>
            <w:tcW w:w="323" w:type="pct"/>
            <w:tcBorders>
              <w:top w:val="single" w:sz="6" w:space="0" w:color="auto"/>
              <w:bottom w:val="single" w:sz="6" w:space="0" w:color="auto"/>
            </w:tcBorders>
            <w:vAlign w:val="bottom"/>
          </w:tcPr>
          <w:p w:rsidR="00791F17" w:rsidRPr="00227D25" w:rsidRDefault="00791F17" w:rsidP="00B07E93">
            <w:pPr>
              <w:pStyle w:val="TableColumnHeading"/>
              <w:pBdr>
                <w:left w:val="single" w:sz="4" w:space="1" w:color="auto"/>
              </w:pBdr>
              <w:ind w:right="0"/>
            </w:pPr>
            <w:proofErr w:type="spellStart"/>
            <w:r w:rsidRPr="00227D25">
              <w:t>Aust</w:t>
            </w:r>
            <w:proofErr w:type="spellEnd"/>
          </w:p>
        </w:tc>
      </w:tr>
      <w:tr w:rsidR="001D32EC" w:rsidRPr="00227D25" w:rsidTr="009A3B94">
        <w:tc>
          <w:tcPr>
            <w:tcW w:w="1683" w:type="pct"/>
          </w:tcPr>
          <w:p w:rsidR="00AD484D" w:rsidRPr="00227D25" w:rsidRDefault="00AD484D" w:rsidP="00725CFC">
            <w:pPr>
              <w:pStyle w:val="TableBodyText"/>
              <w:ind w:left="226" w:hanging="113"/>
              <w:jc w:val="left"/>
            </w:pPr>
            <w:r w:rsidRPr="00227D25">
              <w:t>Proportion of VET students reported as Indigenous</w:t>
            </w:r>
          </w:p>
        </w:tc>
        <w:tc>
          <w:tcPr>
            <w:tcW w:w="333" w:type="pct"/>
          </w:tcPr>
          <w:p w:rsidR="00AD484D" w:rsidRPr="00C91FA8" w:rsidRDefault="00C91FA8" w:rsidP="00C91FA8">
            <w:pPr>
              <w:pStyle w:val="TableUnitsRow"/>
              <w:rPr>
                <w:rStyle w:val="DraftingNote"/>
                <w:b w:val="0"/>
                <w:color w:val="auto"/>
                <w:sz w:val="20"/>
                <w:u w:val="none"/>
              </w:rPr>
            </w:pPr>
            <w:r>
              <w:rPr>
                <w:rStyle w:val="DraftingNote"/>
                <w:b w:val="0"/>
                <w:color w:val="auto"/>
                <w:sz w:val="20"/>
                <w:u w:val="none"/>
              </w:rPr>
              <w:t>5.5</w:t>
            </w:r>
          </w:p>
        </w:tc>
        <w:tc>
          <w:tcPr>
            <w:tcW w:w="323" w:type="pct"/>
          </w:tcPr>
          <w:p w:rsidR="00AD484D" w:rsidRPr="00C91FA8" w:rsidRDefault="00C91FA8" w:rsidP="00C91FA8">
            <w:pPr>
              <w:pStyle w:val="TableUnitsRow"/>
              <w:rPr>
                <w:rStyle w:val="DraftingNote"/>
                <w:b w:val="0"/>
                <w:color w:val="auto"/>
                <w:sz w:val="20"/>
                <w:u w:val="none"/>
              </w:rPr>
            </w:pPr>
            <w:r>
              <w:rPr>
                <w:rStyle w:val="DraftingNote"/>
                <w:b w:val="0"/>
                <w:color w:val="auto"/>
                <w:sz w:val="20"/>
                <w:u w:val="none"/>
              </w:rPr>
              <w:t>1.2</w:t>
            </w:r>
          </w:p>
        </w:tc>
        <w:tc>
          <w:tcPr>
            <w:tcW w:w="323" w:type="pct"/>
          </w:tcPr>
          <w:p w:rsidR="00AD484D" w:rsidRPr="00C91FA8" w:rsidRDefault="00C91FA8" w:rsidP="00C91FA8">
            <w:pPr>
              <w:pStyle w:val="TableUnitsRow"/>
              <w:rPr>
                <w:rStyle w:val="DraftingNote"/>
                <w:b w:val="0"/>
                <w:color w:val="auto"/>
                <w:sz w:val="20"/>
                <w:u w:val="none"/>
              </w:rPr>
            </w:pPr>
            <w:r>
              <w:rPr>
                <w:rStyle w:val="DraftingNote"/>
                <w:b w:val="0"/>
                <w:color w:val="auto"/>
                <w:sz w:val="20"/>
                <w:u w:val="none"/>
              </w:rPr>
              <w:t>5.9</w:t>
            </w:r>
          </w:p>
        </w:tc>
        <w:tc>
          <w:tcPr>
            <w:tcW w:w="404" w:type="pct"/>
          </w:tcPr>
          <w:p w:rsidR="00AD484D" w:rsidRPr="00C91FA8" w:rsidRDefault="00C91FA8" w:rsidP="00C91FA8">
            <w:pPr>
              <w:pStyle w:val="TableUnitsRow"/>
              <w:rPr>
                <w:rStyle w:val="DraftingNote"/>
                <w:b w:val="0"/>
                <w:color w:val="auto"/>
                <w:sz w:val="20"/>
                <w:u w:val="none"/>
              </w:rPr>
            </w:pPr>
            <w:r>
              <w:rPr>
                <w:rStyle w:val="DraftingNote"/>
                <w:b w:val="0"/>
                <w:color w:val="auto"/>
                <w:sz w:val="20"/>
                <w:u w:val="none"/>
              </w:rPr>
              <w:t>7.7</w:t>
            </w:r>
          </w:p>
        </w:tc>
        <w:tc>
          <w:tcPr>
            <w:tcW w:w="403" w:type="pct"/>
          </w:tcPr>
          <w:p w:rsidR="00AD484D" w:rsidRPr="00C91FA8" w:rsidRDefault="00C91FA8" w:rsidP="00C91FA8">
            <w:pPr>
              <w:pStyle w:val="TableUnitsRow"/>
              <w:rPr>
                <w:rStyle w:val="DraftingNote"/>
                <w:b w:val="0"/>
                <w:color w:val="auto"/>
                <w:sz w:val="20"/>
                <w:u w:val="none"/>
              </w:rPr>
            </w:pPr>
            <w:r>
              <w:rPr>
                <w:rStyle w:val="DraftingNote"/>
                <w:b w:val="0"/>
                <w:color w:val="auto"/>
                <w:sz w:val="20"/>
                <w:u w:val="none"/>
              </w:rPr>
              <w:t>4.5</w:t>
            </w:r>
          </w:p>
        </w:tc>
        <w:tc>
          <w:tcPr>
            <w:tcW w:w="403" w:type="pct"/>
          </w:tcPr>
          <w:p w:rsidR="00AD484D" w:rsidRPr="00C91FA8" w:rsidRDefault="00C91FA8" w:rsidP="00C91FA8">
            <w:pPr>
              <w:pStyle w:val="TableUnitsRow"/>
              <w:rPr>
                <w:rStyle w:val="DraftingNote"/>
                <w:b w:val="0"/>
                <w:color w:val="auto"/>
                <w:sz w:val="20"/>
                <w:u w:val="none"/>
              </w:rPr>
            </w:pPr>
            <w:r>
              <w:rPr>
                <w:rStyle w:val="DraftingNote"/>
                <w:b w:val="0"/>
                <w:color w:val="auto"/>
                <w:sz w:val="20"/>
                <w:u w:val="none"/>
              </w:rPr>
              <w:t>4.7</w:t>
            </w:r>
          </w:p>
        </w:tc>
        <w:tc>
          <w:tcPr>
            <w:tcW w:w="403" w:type="pct"/>
          </w:tcPr>
          <w:p w:rsidR="00AD484D" w:rsidRPr="00C91FA8" w:rsidRDefault="00C91FA8" w:rsidP="00C91FA8">
            <w:pPr>
              <w:pStyle w:val="TableUnitsRow"/>
              <w:rPr>
                <w:rStyle w:val="DraftingNote"/>
                <w:b w:val="0"/>
                <w:color w:val="auto"/>
                <w:sz w:val="20"/>
                <w:u w:val="none"/>
              </w:rPr>
            </w:pPr>
            <w:r>
              <w:rPr>
                <w:rStyle w:val="DraftingNote"/>
                <w:b w:val="0"/>
                <w:color w:val="auto"/>
                <w:sz w:val="20"/>
                <w:u w:val="none"/>
              </w:rPr>
              <w:t>2.8</w:t>
            </w:r>
          </w:p>
        </w:tc>
        <w:tc>
          <w:tcPr>
            <w:tcW w:w="403" w:type="pct"/>
          </w:tcPr>
          <w:p w:rsidR="00AD484D" w:rsidRPr="00C91FA8" w:rsidRDefault="00C91FA8" w:rsidP="00C91FA8">
            <w:pPr>
              <w:pStyle w:val="TableUnitsRow"/>
              <w:rPr>
                <w:rStyle w:val="DraftingNote"/>
                <w:b w:val="0"/>
                <w:color w:val="auto"/>
                <w:sz w:val="20"/>
                <w:u w:val="none"/>
              </w:rPr>
            </w:pPr>
            <w:r>
              <w:rPr>
                <w:rStyle w:val="DraftingNote"/>
                <w:b w:val="0"/>
                <w:color w:val="auto"/>
                <w:sz w:val="20"/>
                <w:u w:val="none"/>
              </w:rPr>
              <w:t>41.7</w:t>
            </w:r>
          </w:p>
        </w:tc>
        <w:tc>
          <w:tcPr>
            <w:tcW w:w="323" w:type="pct"/>
          </w:tcPr>
          <w:p w:rsidR="00AD484D" w:rsidRPr="00C91FA8" w:rsidRDefault="00C91FA8" w:rsidP="002559E2">
            <w:pPr>
              <w:pStyle w:val="TableUnitsRow"/>
              <w:ind w:right="0"/>
              <w:rPr>
                <w:rStyle w:val="DraftingNote"/>
                <w:b w:val="0"/>
                <w:color w:val="auto"/>
                <w:sz w:val="20"/>
                <w:u w:val="none"/>
              </w:rPr>
            </w:pPr>
            <w:r>
              <w:rPr>
                <w:rStyle w:val="DraftingNote"/>
                <w:b w:val="0"/>
                <w:color w:val="auto"/>
                <w:sz w:val="20"/>
                <w:u w:val="none"/>
              </w:rPr>
              <w:t>4.6</w:t>
            </w:r>
          </w:p>
        </w:tc>
      </w:tr>
      <w:tr w:rsidR="001D32EC" w:rsidRPr="009B6B60" w:rsidTr="009A3B94">
        <w:tc>
          <w:tcPr>
            <w:tcW w:w="1683" w:type="pct"/>
            <w:tcBorders>
              <w:bottom w:val="single" w:sz="4" w:space="0" w:color="auto"/>
            </w:tcBorders>
          </w:tcPr>
          <w:p w:rsidR="00AD484D" w:rsidRPr="00227D25" w:rsidRDefault="00AD484D" w:rsidP="001D32EC">
            <w:pPr>
              <w:pStyle w:val="TableBodyText"/>
              <w:ind w:left="226" w:hanging="113"/>
              <w:jc w:val="left"/>
            </w:pPr>
            <w:r w:rsidRPr="00227D25">
              <w:t xml:space="preserve">Proportion of population </w:t>
            </w:r>
            <w:r w:rsidR="001D32EC">
              <w:t xml:space="preserve">estimated </w:t>
            </w:r>
            <w:r w:rsidRPr="00227D25">
              <w:t>as Indigenous</w:t>
            </w:r>
            <w:r w:rsidR="001D32EC">
              <w:rPr>
                <w:rStyle w:val="NoteLabel"/>
                <w:b w:val="0"/>
              </w:rPr>
              <w:t xml:space="preserve"> </w:t>
            </w:r>
            <w:r w:rsidR="001D32EC" w:rsidRPr="001D32EC">
              <w:rPr>
                <w:rStyle w:val="NoteLabel"/>
                <w:szCs w:val="24"/>
              </w:rPr>
              <w:t>c, d</w:t>
            </w:r>
          </w:p>
        </w:tc>
        <w:tc>
          <w:tcPr>
            <w:tcW w:w="333" w:type="pct"/>
            <w:tcBorders>
              <w:bottom w:val="single" w:sz="4" w:space="0" w:color="auto"/>
            </w:tcBorders>
          </w:tcPr>
          <w:p w:rsidR="00AD484D" w:rsidRPr="00C91FA8" w:rsidRDefault="00C91FA8" w:rsidP="00383E82">
            <w:pPr>
              <w:pStyle w:val="TableUnitsRow"/>
              <w:rPr>
                <w:rStyle w:val="DraftingNote"/>
                <w:b w:val="0"/>
                <w:color w:val="auto"/>
                <w:sz w:val="20"/>
                <w:u w:val="none"/>
              </w:rPr>
            </w:pPr>
            <w:r>
              <w:rPr>
                <w:rStyle w:val="DraftingNote"/>
                <w:b w:val="0"/>
                <w:color w:val="auto"/>
                <w:sz w:val="20"/>
                <w:u w:val="none"/>
              </w:rPr>
              <w:t>2.</w:t>
            </w:r>
            <w:r w:rsidR="00383E82">
              <w:rPr>
                <w:rStyle w:val="DraftingNote"/>
                <w:b w:val="0"/>
                <w:color w:val="auto"/>
                <w:sz w:val="20"/>
                <w:u w:val="none"/>
              </w:rPr>
              <w:t>9</w:t>
            </w:r>
          </w:p>
        </w:tc>
        <w:tc>
          <w:tcPr>
            <w:tcW w:w="323" w:type="pct"/>
            <w:tcBorders>
              <w:bottom w:val="single" w:sz="4" w:space="0" w:color="auto"/>
            </w:tcBorders>
          </w:tcPr>
          <w:p w:rsidR="00AD484D" w:rsidRPr="00C91FA8" w:rsidRDefault="00C91FA8" w:rsidP="00383E82">
            <w:pPr>
              <w:pStyle w:val="TableUnitsRow"/>
              <w:rPr>
                <w:rStyle w:val="DraftingNote"/>
                <w:b w:val="0"/>
                <w:color w:val="auto"/>
                <w:sz w:val="20"/>
                <w:u w:val="none"/>
              </w:rPr>
            </w:pPr>
            <w:r>
              <w:rPr>
                <w:rStyle w:val="DraftingNote"/>
                <w:b w:val="0"/>
                <w:color w:val="auto"/>
                <w:sz w:val="20"/>
                <w:u w:val="none"/>
              </w:rPr>
              <w:t>0.</w:t>
            </w:r>
            <w:r w:rsidR="001D32EC">
              <w:rPr>
                <w:rStyle w:val="DraftingNote"/>
                <w:b w:val="0"/>
                <w:color w:val="auto"/>
                <w:sz w:val="20"/>
                <w:u w:val="none"/>
              </w:rPr>
              <w:t>9</w:t>
            </w:r>
          </w:p>
        </w:tc>
        <w:tc>
          <w:tcPr>
            <w:tcW w:w="323" w:type="pct"/>
            <w:tcBorders>
              <w:bottom w:val="single" w:sz="4" w:space="0" w:color="auto"/>
            </w:tcBorders>
          </w:tcPr>
          <w:p w:rsidR="00AD484D" w:rsidRPr="00C91FA8" w:rsidRDefault="00383E82" w:rsidP="001D32EC">
            <w:pPr>
              <w:pStyle w:val="TableUnitsRow"/>
              <w:rPr>
                <w:rStyle w:val="DraftingNote"/>
                <w:b w:val="0"/>
                <w:color w:val="auto"/>
                <w:sz w:val="20"/>
                <w:u w:val="none"/>
              </w:rPr>
            </w:pPr>
            <w:r>
              <w:rPr>
                <w:rStyle w:val="DraftingNote"/>
                <w:b w:val="0"/>
                <w:color w:val="auto"/>
                <w:sz w:val="20"/>
                <w:u w:val="none"/>
              </w:rPr>
              <w:t>4.</w:t>
            </w:r>
            <w:r w:rsidR="001D32EC">
              <w:rPr>
                <w:rStyle w:val="DraftingNote"/>
                <w:b w:val="0"/>
                <w:color w:val="auto"/>
                <w:sz w:val="20"/>
                <w:u w:val="none"/>
              </w:rPr>
              <w:t>2</w:t>
            </w:r>
          </w:p>
        </w:tc>
        <w:tc>
          <w:tcPr>
            <w:tcW w:w="404" w:type="pct"/>
            <w:tcBorders>
              <w:bottom w:val="single" w:sz="4" w:space="0" w:color="auto"/>
            </w:tcBorders>
          </w:tcPr>
          <w:p w:rsidR="00E45D3A" w:rsidRPr="00C91FA8" w:rsidRDefault="00E45D3A" w:rsidP="001D32EC">
            <w:pPr>
              <w:pStyle w:val="TableUnitsRow"/>
              <w:rPr>
                <w:rStyle w:val="DraftingNote"/>
                <w:b w:val="0"/>
                <w:color w:val="auto"/>
                <w:sz w:val="20"/>
                <w:u w:val="none"/>
              </w:rPr>
            </w:pPr>
            <w:r>
              <w:rPr>
                <w:rStyle w:val="DraftingNote"/>
                <w:b w:val="0"/>
                <w:color w:val="auto"/>
                <w:sz w:val="20"/>
                <w:u w:val="none"/>
              </w:rPr>
              <w:t>3.</w:t>
            </w:r>
            <w:r w:rsidR="001D32EC">
              <w:rPr>
                <w:rStyle w:val="DraftingNote"/>
                <w:b w:val="0"/>
                <w:color w:val="auto"/>
                <w:sz w:val="20"/>
                <w:u w:val="none"/>
              </w:rPr>
              <w:t>8</w:t>
            </w:r>
          </w:p>
        </w:tc>
        <w:tc>
          <w:tcPr>
            <w:tcW w:w="403" w:type="pct"/>
            <w:tcBorders>
              <w:bottom w:val="single" w:sz="4" w:space="0" w:color="auto"/>
            </w:tcBorders>
          </w:tcPr>
          <w:p w:rsidR="00E45D3A" w:rsidRPr="00C91FA8" w:rsidRDefault="00383E82" w:rsidP="00E45D3A">
            <w:pPr>
              <w:pStyle w:val="TableUnitsRow"/>
              <w:rPr>
                <w:rStyle w:val="DraftingNote"/>
                <w:b w:val="0"/>
                <w:color w:val="auto"/>
                <w:sz w:val="20"/>
                <w:u w:val="none"/>
              </w:rPr>
            </w:pPr>
            <w:r>
              <w:rPr>
                <w:rStyle w:val="DraftingNote"/>
                <w:b w:val="0"/>
                <w:color w:val="auto"/>
                <w:sz w:val="20"/>
                <w:u w:val="none"/>
              </w:rPr>
              <w:t>2.3</w:t>
            </w:r>
          </w:p>
        </w:tc>
        <w:tc>
          <w:tcPr>
            <w:tcW w:w="403" w:type="pct"/>
            <w:tcBorders>
              <w:bottom w:val="single" w:sz="4" w:space="0" w:color="auto"/>
            </w:tcBorders>
          </w:tcPr>
          <w:p w:rsidR="00AD484D" w:rsidRPr="00C91FA8" w:rsidRDefault="00C91FA8" w:rsidP="00383E82">
            <w:pPr>
              <w:pStyle w:val="TableUnitsRow"/>
              <w:rPr>
                <w:rStyle w:val="DraftingNote"/>
                <w:b w:val="0"/>
                <w:color w:val="auto"/>
                <w:sz w:val="20"/>
                <w:u w:val="none"/>
              </w:rPr>
            </w:pPr>
            <w:r>
              <w:rPr>
                <w:rStyle w:val="DraftingNote"/>
                <w:b w:val="0"/>
                <w:color w:val="auto"/>
                <w:sz w:val="20"/>
                <w:u w:val="none"/>
              </w:rPr>
              <w:t>4.</w:t>
            </w:r>
            <w:r w:rsidR="00383E82">
              <w:rPr>
                <w:rStyle w:val="DraftingNote"/>
                <w:b w:val="0"/>
                <w:color w:val="auto"/>
                <w:sz w:val="20"/>
                <w:u w:val="none"/>
              </w:rPr>
              <w:t>7</w:t>
            </w:r>
          </w:p>
        </w:tc>
        <w:tc>
          <w:tcPr>
            <w:tcW w:w="403" w:type="pct"/>
            <w:tcBorders>
              <w:bottom w:val="single" w:sz="4" w:space="0" w:color="auto"/>
            </w:tcBorders>
          </w:tcPr>
          <w:p w:rsidR="00AD484D" w:rsidRPr="00C91FA8" w:rsidRDefault="00E45D3A" w:rsidP="00383E82">
            <w:pPr>
              <w:pStyle w:val="TableUnitsRow"/>
              <w:rPr>
                <w:rStyle w:val="DraftingNote"/>
                <w:b w:val="0"/>
                <w:color w:val="auto"/>
                <w:sz w:val="20"/>
                <w:u w:val="none"/>
              </w:rPr>
            </w:pPr>
            <w:r>
              <w:rPr>
                <w:rStyle w:val="DraftingNote"/>
                <w:b w:val="0"/>
                <w:color w:val="auto"/>
                <w:sz w:val="20"/>
                <w:u w:val="none"/>
              </w:rPr>
              <w:t>1.</w:t>
            </w:r>
            <w:r w:rsidR="001D32EC">
              <w:rPr>
                <w:rStyle w:val="DraftingNote"/>
                <w:b w:val="0"/>
                <w:color w:val="auto"/>
                <w:sz w:val="20"/>
                <w:u w:val="none"/>
              </w:rPr>
              <w:t>7</w:t>
            </w:r>
          </w:p>
        </w:tc>
        <w:tc>
          <w:tcPr>
            <w:tcW w:w="403" w:type="pct"/>
            <w:tcBorders>
              <w:bottom w:val="single" w:sz="4" w:space="0" w:color="auto"/>
            </w:tcBorders>
          </w:tcPr>
          <w:p w:rsidR="00AD484D" w:rsidRPr="00C91FA8" w:rsidRDefault="001D32EC" w:rsidP="00C91FA8">
            <w:pPr>
              <w:pStyle w:val="TableUnitsRow"/>
              <w:rPr>
                <w:rStyle w:val="DraftingNote"/>
                <w:b w:val="0"/>
                <w:color w:val="auto"/>
                <w:sz w:val="20"/>
                <w:u w:val="none"/>
              </w:rPr>
            </w:pPr>
            <w:r>
              <w:rPr>
                <w:rStyle w:val="DraftingNote"/>
                <w:b w:val="0"/>
                <w:color w:val="auto"/>
                <w:sz w:val="20"/>
                <w:u w:val="none"/>
              </w:rPr>
              <w:t>29.8</w:t>
            </w:r>
          </w:p>
        </w:tc>
        <w:tc>
          <w:tcPr>
            <w:tcW w:w="323" w:type="pct"/>
            <w:tcBorders>
              <w:bottom w:val="single" w:sz="4" w:space="0" w:color="auto"/>
            </w:tcBorders>
          </w:tcPr>
          <w:p w:rsidR="00AD484D" w:rsidRPr="00C91FA8" w:rsidRDefault="001D32EC" w:rsidP="00383E82">
            <w:pPr>
              <w:pStyle w:val="TableUnitsRow"/>
              <w:ind w:right="0"/>
              <w:rPr>
                <w:rStyle w:val="DraftingNote"/>
                <w:b w:val="0"/>
                <w:color w:val="auto"/>
                <w:sz w:val="20"/>
                <w:u w:val="none"/>
              </w:rPr>
            </w:pPr>
            <w:r>
              <w:rPr>
                <w:rStyle w:val="DraftingNote"/>
                <w:b w:val="0"/>
                <w:color w:val="auto"/>
                <w:sz w:val="20"/>
                <w:u w:val="none"/>
              </w:rPr>
              <w:t>3.0</w:t>
            </w:r>
          </w:p>
        </w:tc>
      </w:tr>
    </w:tbl>
    <w:p w:rsidR="00297BF4" w:rsidRDefault="00297BF4" w:rsidP="00C91FA8">
      <w:pPr>
        <w:pStyle w:val="Note"/>
        <w:rPr>
          <w:rFonts w:cs="Arial"/>
          <w:i/>
        </w:rPr>
      </w:pPr>
      <w:r>
        <w:rPr>
          <w:rStyle w:val="NoteLabel"/>
        </w:rPr>
        <w:t>a</w:t>
      </w:r>
      <w:r>
        <w:sym w:font="Symbol" w:char="F020"/>
      </w:r>
      <w:r w:rsidRPr="004F35D6">
        <w:t xml:space="preserve"> </w:t>
      </w:r>
      <w:r>
        <w:t>Refer to the National VET Provider Collection Data Quality Statement for information on data quality</w:t>
      </w:r>
      <w:r w:rsidR="00C625CA">
        <w:t>.</w:t>
      </w:r>
      <w:r w:rsidRPr="00297BF4">
        <w:rPr>
          <w:rStyle w:val="NoteLabel"/>
        </w:rPr>
        <w:t xml:space="preserve"> </w:t>
      </w:r>
      <w:r>
        <w:rPr>
          <w:rStyle w:val="NoteLabel"/>
        </w:rPr>
        <w:t>b</w:t>
      </w:r>
      <w:r w:rsidRPr="004F35D6">
        <w:t xml:space="preserve"> The</w:t>
      </w:r>
      <w:r>
        <w:t xml:space="preserve"> non-response rates for Indigenous status are presented in the National VET Provider Collection Data Quality Statement.</w:t>
      </w:r>
      <w:r w:rsidR="001D32EC" w:rsidRPr="001D32EC">
        <w:t xml:space="preserve"> </w:t>
      </w:r>
      <w:r w:rsidR="001D32EC" w:rsidRPr="001D32EC">
        <w:rPr>
          <w:rStyle w:val="NoteLabel"/>
        </w:rPr>
        <w:t>c</w:t>
      </w:r>
      <w:r w:rsidR="001D32EC">
        <w:t xml:space="preserve"> </w:t>
      </w:r>
      <w:r w:rsidR="001D32EC" w:rsidRPr="00227D25">
        <w:t xml:space="preserve">Population </w:t>
      </w:r>
      <w:r w:rsidR="001D32EC">
        <w:t>estimates for Indigenous a</w:t>
      </w:r>
      <w:r w:rsidR="001D32EC" w:rsidRPr="00227D25">
        <w:t xml:space="preserve">re based on the </w:t>
      </w:r>
      <w:r w:rsidR="001D32EC">
        <w:t xml:space="preserve">2011 Census as at 30 June 2011. </w:t>
      </w:r>
      <w:r w:rsidR="001D32EC">
        <w:rPr>
          <w:rStyle w:val="NoteLabel"/>
        </w:rPr>
        <w:t xml:space="preserve">d </w:t>
      </w:r>
      <w:r w:rsidR="001D32EC">
        <w:t>Rates may vary from previous reports due to revised population data used for denominators.</w:t>
      </w:r>
    </w:p>
    <w:p w:rsidR="00791F17" w:rsidRDefault="00EF482D" w:rsidP="00725CFC">
      <w:pPr>
        <w:pStyle w:val="Note"/>
        <w:rPr>
          <w:rFonts w:cs="Arial"/>
        </w:rPr>
      </w:pPr>
      <w:r w:rsidRPr="00EF482D">
        <w:rPr>
          <w:rFonts w:cs="Arial"/>
          <w:i/>
        </w:rPr>
        <w:t>Source</w:t>
      </w:r>
      <w:r w:rsidRPr="00EF482D">
        <w:rPr>
          <w:rFonts w:cs="Arial"/>
        </w:rPr>
        <w:t>: NCVER (unpublished) National VET provider collection</w:t>
      </w:r>
      <w:r w:rsidRPr="00D5627E">
        <w:rPr>
          <w:rFonts w:cs="Arial"/>
        </w:rPr>
        <w:t xml:space="preserve">; ABS </w:t>
      </w:r>
      <w:r w:rsidR="00F421EE" w:rsidRPr="00D5627E">
        <w:rPr>
          <w:rFonts w:cs="Arial"/>
        </w:rPr>
        <w:t xml:space="preserve">(2013) </w:t>
      </w:r>
      <w:r w:rsidRPr="00D5627E">
        <w:rPr>
          <w:rFonts w:cs="Arial"/>
        </w:rPr>
        <w:t xml:space="preserve">Estimates </w:t>
      </w:r>
      <w:r w:rsidR="008A0CB8" w:rsidRPr="00D5627E">
        <w:rPr>
          <w:rFonts w:cs="Arial"/>
        </w:rPr>
        <w:t>of</w:t>
      </w:r>
      <w:r w:rsidRPr="00D5627E">
        <w:rPr>
          <w:rFonts w:cs="Arial"/>
        </w:rPr>
        <w:t xml:space="preserve"> Aboriginal and Torres Strait Islander Australian</w:t>
      </w:r>
      <w:r w:rsidR="008A0CB8" w:rsidRPr="00D5627E">
        <w:rPr>
          <w:rFonts w:cs="Arial"/>
        </w:rPr>
        <w:t xml:space="preserve">s, </w:t>
      </w:r>
      <w:r w:rsidR="00F421EE" w:rsidRPr="00D5627E">
        <w:rPr>
          <w:rFonts w:cs="Arial"/>
        </w:rPr>
        <w:t>June 2011</w:t>
      </w:r>
      <w:r w:rsidR="00D5627E" w:rsidRPr="00D5627E">
        <w:rPr>
          <w:rFonts w:cs="Arial"/>
        </w:rPr>
        <w:t xml:space="preserve">, </w:t>
      </w:r>
      <w:proofErr w:type="spellStart"/>
      <w:r w:rsidR="00D5627E" w:rsidRPr="00D5627E">
        <w:rPr>
          <w:rFonts w:cs="Arial"/>
        </w:rPr>
        <w:t>Cat.no</w:t>
      </w:r>
      <w:proofErr w:type="spellEnd"/>
      <w:r w:rsidR="00D5627E" w:rsidRPr="00D5627E">
        <w:rPr>
          <w:rFonts w:cs="Arial"/>
        </w:rPr>
        <w:t xml:space="preserve"> 3238.0</w:t>
      </w:r>
      <w:r w:rsidR="00156D16" w:rsidRPr="00D5627E">
        <w:rPr>
          <w:rFonts w:cs="Arial"/>
        </w:rPr>
        <w:t xml:space="preserve">; </w:t>
      </w:r>
      <w:r w:rsidR="00156D16">
        <w:rPr>
          <w:rFonts w:cs="Arial"/>
        </w:rPr>
        <w:t>table </w:t>
      </w:r>
      <w:proofErr w:type="spellStart"/>
      <w:r w:rsidR="00156D16">
        <w:rPr>
          <w:rFonts w:cs="Arial"/>
        </w:rPr>
        <w:t>SWD.C.1</w:t>
      </w:r>
      <w:r w:rsidR="00C91FA8">
        <w:rPr>
          <w:rFonts w:cs="Arial"/>
        </w:rPr>
        <w:t>5</w:t>
      </w:r>
      <w:proofErr w:type="spellEnd"/>
      <w:r w:rsidRPr="00EF482D">
        <w:rPr>
          <w:rFonts w:cs="Arial"/>
        </w:rPr>
        <w:t>.</w:t>
      </w:r>
    </w:p>
    <w:p w:rsidR="00EF482D" w:rsidRDefault="00EF482D" w:rsidP="00EF482D">
      <w:pPr>
        <w:pStyle w:val="BodyText"/>
      </w:pPr>
      <w:r>
        <w:t xml:space="preserve">Figure </w:t>
      </w:r>
      <w:r w:rsidR="00724A07">
        <w:t>7</w:t>
      </w:r>
      <w:r>
        <w:t xml:space="preserve"> shows VET participation rates in 201</w:t>
      </w:r>
      <w:r w:rsidR="00400845">
        <w:t>2</w:t>
      </w:r>
      <w:r>
        <w:t xml:space="preserve"> by Indigenous status for 18 to 24</w:t>
      </w:r>
      <w:r w:rsidR="00320E5D">
        <w:t> </w:t>
      </w:r>
      <w:r>
        <w:t>year olds.</w:t>
      </w:r>
    </w:p>
    <w:p w:rsidR="00EF482D" w:rsidRDefault="00EF482D" w:rsidP="00725CFC">
      <w:pPr>
        <w:pStyle w:val="FigureTitle"/>
      </w:pPr>
      <w:r w:rsidRPr="00725CFC">
        <w:rPr>
          <w:b w:val="0"/>
        </w:rPr>
        <w:t xml:space="preserve">Figure </w:t>
      </w:r>
      <w:bookmarkStart w:id="13" w:name="OLE_LINK12"/>
      <w:r w:rsidR="00503759">
        <w:rPr>
          <w:b w:val="0"/>
          <w:noProof/>
        </w:rPr>
        <w:t>7</w:t>
      </w:r>
      <w:bookmarkEnd w:id="13"/>
      <w:r w:rsidRPr="00725CFC">
        <w:tab/>
        <w:t>VET participation rates by Indigenous status for the 18–24</w:t>
      </w:r>
      <w:r>
        <w:t xml:space="preserve"> year old age group, 201</w:t>
      </w:r>
      <w:r w:rsidR="00C91FA8">
        <w:t>2</w:t>
      </w:r>
      <w:r>
        <w:t xml:space="preserve"> (per cent)</w:t>
      </w:r>
      <w:r w:rsidRPr="00EF482D">
        <w:rPr>
          <w:rStyle w:val="NoteLabel"/>
          <w:b/>
        </w:rPr>
        <w:t>a, b</w:t>
      </w:r>
      <w:r w:rsidR="00297BF4">
        <w:rPr>
          <w:rStyle w:val="NoteLabel"/>
          <w:b/>
        </w:rPr>
        <w:t>, c</w:t>
      </w:r>
      <w:r w:rsidR="00075D05">
        <w:rPr>
          <w:rStyle w:val="NoteLabel"/>
          <w:b/>
        </w:rPr>
        <w:t>, d, e</w:t>
      </w:r>
    </w:p>
    <w:tbl>
      <w:tblPr>
        <w:tblW w:w="0" w:type="auto"/>
        <w:tblInd w:w="119" w:type="dxa"/>
        <w:tblBorders>
          <w:top w:val="single" w:sz="6" w:space="0" w:color="auto"/>
          <w:bottom w:val="single" w:sz="6" w:space="0" w:color="auto"/>
        </w:tblBorders>
        <w:tblLayout w:type="fixed"/>
        <w:tblLook w:val="0000" w:firstRow="0" w:lastRow="0" w:firstColumn="0" w:lastColumn="0" w:noHBand="0" w:noVBand="0"/>
      </w:tblPr>
      <w:tblGrid>
        <w:gridCol w:w="8777"/>
      </w:tblGrid>
      <w:tr w:rsidR="00EF482D" w:rsidTr="000F0DB7">
        <w:tc>
          <w:tcPr>
            <w:tcW w:w="8777" w:type="dxa"/>
          </w:tcPr>
          <w:p w:rsidR="00EF482D" w:rsidRDefault="000F0DB7" w:rsidP="00725CFC">
            <w:pPr>
              <w:pStyle w:val="Figure"/>
            </w:pPr>
            <w:r>
              <w:rPr>
                <w:noProof/>
              </w:rPr>
              <w:drawing>
                <wp:inline distT="0" distB="0" distL="0" distR="0" wp14:anchorId="00CFA40B" wp14:editId="38D4EA40">
                  <wp:extent cx="5400000" cy="2880000"/>
                  <wp:effectExtent l="0" t="0" r="0" b="0"/>
                  <wp:docPr id="24" name="Chart 24" descr="two bars for each State/Territory for VET participation for 18-24 year olds - one for Indigenous students and one for all students"/>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bl>
    <w:p w:rsidR="001D32EC" w:rsidRPr="00075D05" w:rsidRDefault="00EF482D" w:rsidP="001D32EC">
      <w:pPr>
        <w:pStyle w:val="Note"/>
        <w:rPr>
          <w:rFonts w:cs="Arial"/>
          <w:i/>
        </w:rPr>
      </w:pPr>
      <w:r>
        <w:rPr>
          <w:rStyle w:val="NoteLabel"/>
        </w:rPr>
        <w:t>a</w:t>
      </w:r>
      <w:r>
        <w:sym w:font="Symbol" w:char="F020"/>
      </w:r>
      <w:r w:rsidRPr="00EF482D">
        <w:t xml:space="preserve"> </w:t>
      </w:r>
      <w:r>
        <w:t xml:space="preserve">Refer to the National VET Provider Collection Data Quality Statement for information on data quality. </w:t>
      </w:r>
      <w:r w:rsidRPr="00EF482D">
        <w:rPr>
          <w:rStyle w:val="NoteLabel"/>
        </w:rPr>
        <w:t>b</w:t>
      </w:r>
      <w:r>
        <w:t xml:space="preserve"> The participation rate for 18–24 year olds is the number of students participating in VET aged 18–24 years expressed as a proportion of the population aged 18–24 years.</w:t>
      </w:r>
      <w:r w:rsidR="00297BF4">
        <w:t xml:space="preserve"> </w:t>
      </w:r>
      <w:r w:rsidR="00297BF4">
        <w:rPr>
          <w:rStyle w:val="NoteLabel"/>
        </w:rPr>
        <w:t>c</w:t>
      </w:r>
      <w:r w:rsidR="00297BF4" w:rsidRPr="004F35D6">
        <w:t xml:space="preserve"> The</w:t>
      </w:r>
      <w:r w:rsidR="00297BF4">
        <w:t xml:space="preserve"> non-response rates for Indigenous status are presented in the National VET Provider Collection Data Quality </w:t>
      </w:r>
      <w:r w:rsidR="00297BF4" w:rsidRPr="00075D05">
        <w:t>Statement.</w:t>
      </w:r>
      <w:r w:rsidR="001D32EC" w:rsidRPr="00075D05">
        <w:rPr>
          <w:rStyle w:val="NoteLabel"/>
        </w:rPr>
        <w:t xml:space="preserve"> </w:t>
      </w:r>
      <w:r w:rsidR="00075D05" w:rsidRPr="00075D05">
        <w:rPr>
          <w:rStyle w:val="NoteLabel"/>
        </w:rPr>
        <w:t>d</w:t>
      </w:r>
      <w:r w:rsidR="001D32EC" w:rsidRPr="00075D05">
        <w:t xml:space="preserve"> Population estimates for Indigenous </w:t>
      </w:r>
      <w:r w:rsidR="00600E52">
        <w:t xml:space="preserve">people </w:t>
      </w:r>
      <w:r w:rsidR="001D32EC" w:rsidRPr="00075D05">
        <w:t xml:space="preserve">are based on the 2011 Census as at 30 June 2011. </w:t>
      </w:r>
      <w:r w:rsidR="00075D05" w:rsidRPr="00075D05">
        <w:rPr>
          <w:rStyle w:val="NoteLabel"/>
        </w:rPr>
        <w:t>e</w:t>
      </w:r>
      <w:r w:rsidR="001D32EC" w:rsidRPr="00075D05">
        <w:rPr>
          <w:rStyle w:val="NoteLabel"/>
        </w:rPr>
        <w:t xml:space="preserve"> </w:t>
      </w:r>
      <w:r w:rsidR="001D32EC" w:rsidRPr="00075D05">
        <w:t>Rates may vary from previous reports due to revised population data used for denominators.</w:t>
      </w:r>
    </w:p>
    <w:p w:rsidR="00EF482D" w:rsidRDefault="00EF482D" w:rsidP="00725CFC">
      <w:pPr>
        <w:pStyle w:val="Source"/>
      </w:pPr>
      <w:r w:rsidRPr="00EF482D">
        <w:rPr>
          <w:i/>
        </w:rPr>
        <w:t>Source</w:t>
      </w:r>
      <w:r>
        <w:t>: NCVER (unpublished) National VET provider collection</w:t>
      </w:r>
      <w:r w:rsidRPr="00A473B0">
        <w:t xml:space="preserve">; </w:t>
      </w:r>
      <w:r w:rsidR="00A864E0" w:rsidRPr="00A473B0">
        <w:t>ABS (2013) Estimates of Aboriginal and Torres Strait Islander Australians, June 2011</w:t>
      </w:r>
      <w:r w:rsidR="00A473B0" w:rsidRPr="00A473B0">
        <w:t xml:space="preserve"> Cat. no. 3238.0</w:t>
      </w:r>
      <w:r w:rsidR="00A864E0" w:rsidRPr="00A473B0">
        <w:t>;</w:t>
      </w:r>
      <w:r w:rsidR="00A864E0" w:rsidRPr="00A864E0">
        <w:t xml:space="preserve"> (2012) Australian Demographic Statistics, 30 June </w:t>
      </w:r>
      <w:r w:rsidR="00A473B0">
        <w:t>(</w:t>
      </w:r>
      <w:r w:rsidR="00A473B0" w:rsidRPr="00A864E0">
        <w:t xml:space="preserve">preliminary </w:t>
      </w:r>
      <w:r w:rsidR="00A864E0" w:rsidRPr="00A864E0">
        <w:t>data), Cat. no. 3101.0;</w:t>
      </w:r>
      <w:r w:rsidR="00A864E0">
        <w:t xml:space="preserve"> </w:t>
      </w:r>
      <w:r w:rsidR="00156D16">
        <w:t xml:space="preserve">table </w:t>
      </w:r>
      <w:proofErr w:type="spellStart"/>
      <w:r w:rsidR="00156D16">
        <w:t>SWD.C.1</w:t>
      </w:r>
      <w:r w:rsidR="002C743E">
        <w:t>4</w:t>
      </w:r>
      <w:proofErr w:type="spellEnd"/>
      <w:r>
        <w:t>.</w:t>
      </w:r>
    </w:p>
    <w:p w:rsidR="00C46E14" w:rsidRDefault="00EF482D" w:rsidP="00EF482D">
      <w:pPr>
        <w:pStyle w:val="BodyText"/>
      </w:pPr>
      <w:r>
        <w:t>NCVER data show that</w:t>
      </w:r>
      <w:r w:rsidR="00320E5D">
        <w:t>,</w:t>
      </w:r>
      <w:r>
        <w:t xml:space="preserve"> in recent years</w:t>
      </w:r>
      <w:r w:rsidR="00320E5D">
        <w:t>,</w:t>
      </w:r>
      <w:r>
        <w:t xml:space="preserve"> Indigenous people have participated in </w:t>
      </w:r>
      <w:r w:rsidR="00C46E14">
        <w:t xml:space="preserve">VET study </w:t>
      </w:r>
      <w:r>
        <w:t>at a higher rate than their representation in the Australian population</w:t>
      </w:r>
      <w:r w:rsidR="00C46E14">
        <w:t xml:space="preserve"> (</w:t>
      </w:r>
      <w:r w:rsidR="00C46E14" w:rsidRPr="009A0C39">
        <w:t>table </w:t>
      </w:r>
      <w:proofErr w:type="spellStart"/>
      <w:r w:rsidR="00C46E14" w:rsidRPr="009A0C39">
        <w:t>SWD.C.</w:t>
      </w:r>
      <w:r w:rsidR="00B9608B" w:rsidRPr="009A0C39">
        <w:t>1</w:t>
      </w:r>
      <w:r w:rsidR="002C743E">
        <w:t>5</w:t>
      </w:r>
      <w:proofErr w:type="spellEnd"/>
      <w:r w:rsidR="00C46E14">
        <w:t>). However, Indigenous people have lower rates of participation in higher education degree courses than non-Indigenous people (Universities Australia 2008).</w:t>
      </w:r>
    </w:p>
    <w:p w:rsidR="00C46E14" w:rsidRDefault="00C46E14" w:rsidP="00EF482D">
      <w:pPr>
        <w:pStyle w:val="BodyText"/>
      </w:pPr>
      <w:r>
        <w:t xml:space="preserve">At least part of this difference may be </w:t>
      </w:r>
      <w:r w:rsidR="00C15CEE">
        <w:t xml:space="preserve">influenced by </w:t>
      </w:r>
      <w:r>
        <w:t>the higher proportion of Indigenous people living in rural and remote areas. As noted in the discussion on remoteness (below), y</w:t>
      </w:r>
      <w:r w:rsidRPr="00C46E14">
        <w:t xml:space="preserve">oung people living in rural areas have higher rates of participation in VET </w:t>
      </w:r>
      <w:r w:rsidRPr="007C51FE">
        <w:t>than those in more urban settings. In 2010, 26.9 per cent of Indigenous VET students lived in remote and very r</w:t>
      </w:r>
      <w:r w:rsidR="00AA3506" w:rsidRPr="007C51FE">
        <w:t xml:space="preserve">emote regions, compared to 3.8 </w:t>
      </w:r>
      <w:r w:rsidRPr="007C51FE">
        <w:t>per cent of non</w:t>
      </w:r>
      <w:r w:rsidRPr="007C51FE">
        <w:noBreakHyphen/>
        <w:t>Indigenous VET students (NCVER 2010).</w:t>
      </w:r>
    </w:p>
    <w:p w:rsidR="00EF482D" w:rsidRDefault="00C46E14" w:rsidP="00EF482D">
      <w:pPr>
        <w:pStyle w:val="BodyText"/>
      </w:pPr>
      <w:r>
        <w:t>Indigenous VET students tend to undertake study</w:t>
      </w:r>
      <w:r w:rsidR="00EF482D">
        <w:t xml:space="preserve"> at lower qualification levels </w:t>
      </w:r>
      <w:r w:rsidR="00320E5D">
        <w:t xml:space="preserve">than non-Indigenous VET students </w:t>
      </w:r>
      <w:r w:rsidR="00AA3506">
        <w:t>(</w:t>
      </w:r>
      <w:proofErr w:type="spellStart"/>
      <w:r w:rsidR="00AA3506">
        <w:t>NCVER</w:t>
      </w:r>
      <w:proofErr w:type="spellEnd"/>
      <w:r w:rsidR="00AA3506">
        <w:t xml:space="preserve"> </w:t>
      </w:r>
      <w:proofErr w:type="spellStart"/>
      <w:r w:rsidR="00AA3506">
        <w:t>2012</w:t>
      </w:r>
      <w:r w:rsidR="00B40B6B">
        <w:t>b</w:t>
      </w:r>
      <w:proofErr w:type="spellEnd"/>
      <w:r w:rsidR="00AA3506">
        <w:t>;</w:t>
      </w:r>
      <w:r w:rsidR="00EF482D">
        <w:t xml:space="preserve"> Saunders et al. 2003)</w:t>
      </w:r>
      <w:r>
        <w:t xml:space="preserve">, and </w:t>
      </w:r>
      <w:r w:rsidR="00EF482D">
        <w:t>have higher rates of non</w:t>
      </w:r>
      <w:r w:rsidR="00715E2D">
        <w:t>-</w:t>
      </w:r>
      <w:r w:rsidR="00EF482D">
        <w:t xml:space="preserve">completion </w:t>
      </w:r>
      <w:r w:rsidR="00320E5D">
        <w:t xml:space="preserve">than non-Indigenous students </w:t>
      </w:r>
      <w:r w:rsidR="001D2206">
        <w:t>(Hunter 2010).</w:t>
      </w:r>
    </w:p>
    <w:p w:rsidR="00EF482D" w:rsidRDefault="00EF482D" w:rsidP="00EF482D">
      <w:pPr>
        <w:pStyle w:val="BodyText"/>
      </w:pPr>
      <w:r>
        <w:t xml:space="preserve">Data on </w:t>
      </w:r>
      <w:r w:rsidR="00320E5D">
        <w:t xml:space="preserve">VET </w:t>
      </w:r>
      <w:r>
        <w:t xml:space="preserve">participation by target age groups and Indigenous status </w:t>
      </w:r>
      <w:r w:rsidR="00197F28">
        <w:t xml:space="preserve">for </w:t>
      </w:r>
      <w:r w:rsidR="002178E2">
        <w:t xml:space="preserve">2012 </w:t>
      </w:r>
      <w:r>
        <w:t xml:space="preserve">are available in table </w:t>
      </w:r>
      <w:proofErr w:type="spellStart"/>
      <w:r>
        <w:t>SWD.C.</w:t>
      </w:r>
      <w:r w:rsidR="00156D16">
        <w:t>1</w:t>
      </w:r>
      <w:r w:rsidR="002C743E">
        <w:t>4</w:t>
      </w:r>
      <w:proofErr w:type="spellEnd"/>
      <w:r>
        <w:t>.</w:t>
      </w:r>
    </w:p>
    <w:p w:rsidR="003C65CC" w:rsidRDefault="003C65CC" w:rsidP="00725CFC">
      <w:pPr>
        <w:pStyle w:val="Heading5"/>
      </w:pPr>
      <w:r>
        <w:t>Language other than English (</w:t>
      </w:r>
      <w:proofErr w:type="spellStart"/>
      <w:r>
        <w:t>LOTE</w:t>
      </w:r>
      <w:proofErr w:type="spellEnd"/>
      <w:r>
        <w:t>)</w:t>
      </w:r>
    </w:p>
    <w:p w:rsidR="003C65CC" w:rsidRPr="00227D25" w:rsidRDefault="003C65CC" w:rsidP="00725CFC">
      <w:pPr>
        <w:pStyle w:val="BodyText"/>
      </w:pPr>
      <w:r w:rsidRPr="00227D25">
        <w:t>Nationally in 201</w:t>
      </w:r>
      <w:r w:rsidR="00E8542D" w:rsidRPr="00227D25">
        <w:t>2</w:t>
      </w:r>
      <w:r w:rsidRPr="002C743E">
        <w:t xml:space="preserve">, </w:t>
      </w:r>
      <w:r w:rsidR="002C743E" w:rsidRPr="002C743E">
        <w:t>15.8</w:t>
      </w:r>
      <w:r w:rsidR="00B9608B" w:rsidRPr="002C743E">
        <w:t xml:space="preserve"> </w:t>
      </w:r>
      <w:r w:rsidRPr="002C743E">
        <w:t>per cent</w:t>
      </w:r>
      <w:r w:rsidRPr="00227D25">
        <w:t xml:space="preserve"> of VET students reported speaking a language other than English at home (table </w:t>
      </w:r>
      <w:r w:rsidR="000049B8" w:rsidRPr="00227D25">
        <w:t>9</w:t>
      </w:r>
      <w:r w:rsidRPr="00227D25">
        <w:t>).</w:t>
      </w:r>
    </w:p>
    <w:p w:rsidR="003C65CC" w:rsidRPr="0003125A" w:rsidRDefault="003C65CC" w:rsidP="00725CFC">
      <w:pPr>
        <w:pStyle w:val="TableTitle"/>
        <w:rPr>
          <w:rStyle w:val="NoteLabel"/>
        </w:rPr>
      </w:pPr>
      <w:r w:rsidRPr="00227D25">
        <w:rPr>
          <w:b w:val="0"/>
        </w:rPr>
        <w:t xml:space="preserve">Table </w:t>
      </w:r>
      <w:bookmarkStart w:id="14" w:name="OLE_LINK13"/>
      <w:r w:rsidR="00503759" w:rsidRPr="00227D25">
        <w:rPr>
          <w:b w:val="0"/>
          <w:noProof/>
        </w:rPr>
        <w:t>9</w:t>
      </w:r>
      <w:bookmarkEnd w:id="14"/>
      <w:r w:rsidRPr="00227D25">
        <w:tab/>
        <w:t xml:space="preserve">VET students, by language spoken at home, </w:t>
      </w:r>
      <w:r w:rsidR="007D7AFE" w:rsidRPr="00227D25">
        <w:t xml:space="preserve">2012 </w:t>
      </w:r>
      <w:r w:rsidR="0003125A">
        <w:t>(per cent)</w:t>
      </w:r>
      <w:r w:rsidR="0003125A" w:rsidRPr="002559E2">
        <w:rPr>
          <w:rStyle w:val="NoteLabel"/>
          <w:b/>
        </w:rPr>
        <w:t>a. b</w:t>
      </w:r>
    </w:p>
    <w:tbl>
      <w:tblPr>
        <w:tblW w:w="5000" w:type="pct"/>
        <w:tblCellMar>
          <w:left w:w="0" w:type="dxa"/>
          <w:right w:w="0" w:type="dxa"/>
        </w:tblCellMar>
        <w:tblLook w:val="0000" w:firstRow="0" w:lastRow="0" w:firstColumn="0" w:lastColumn="0" w:noHBand="0" w:noVBand="0"/>
      </w:tblPr>
      <w:tblGrid>
        <w:gridCol w:w="3014"/>
        <w:gridCol w:w="641"/>
        <w:gridCol w:w="641"/>
        <w:gridCol w:w="641"/>
        <w:gridCol w:w="642"/>
        <w:gridCol w:w="642"/>
        <w:gridCol w:w="642"/>
        <w:gridCol w:w="642"/>
        <w:gridCol w:w="642"/>
        <w:gridCol w:w="642"/>
      </w:tblGrid>
      <w:tr w:rsidR="003C65CC" w:rsidRPr="00227D25" w:rsidTr="00B9608B">
        <w:tc>
          <w:tcPr>
            <w:tcW w:w="1715" w:type="pct"/>
            <w:tcBorders>
              <w:top w:val="single" w:sz="6" w:space="0" w:color="auto"/>
              <w:bottom w:val="single" w:sz="6" w:space="0" w:color="auto"/>
            </w:tcBorders>
          </w:tcPr>
          <w:p w:rsidR="003C65CC" w:rsidRPr="00227D25" w:rsidRDefault="003C65CC" w:rsidP="000159BC">
            <w:pPr>
              <w:pStyle w:val="TableColumnHeading"/>
              <w:pBdr>
                <w:left w:val="single" w:sz="4" w:space="1" w:color="auto"/>
              </w:pBdr>
              <w:jc w:val="left"/>
            </w:pPr>
          </w:p>
        </w:tc>
        <w:tc>
          <w:tcPr>
            <w:tcW w:w="365" w:type="pct"/>
            <w:tcBorders>
              <w:top w:val="single" w:sz="6" w:space="0" w:color="auto"/>
              <w:bottom w:val="single" w:sz="6" w:space="0" w:color="auto"/>
            </w:tcBorders>
          </w:tcPr>
          <w:p w:rsidR="003C65CC" w:rsidRPr="00227D25" w:rsidRDefault="003C65CC" w:rsidP="000159BC">
            <w:pPr>
              <w:pStyle w:val="TableColumnHeading"/>
              <w:pBdr>
                <w:left w:val="single" w:sz="4" w:space="1" w:color="auto"/>
              </w:pBdr>
            </w:pPr>
            <w:r w:rsidRPr="00227D25">
              <w:t>NSW</w:t>
            </w:r>
          </w:p>
        </w:tc>
        <w:tc>
          <w:tcPr>
            <w:tcW w:w="365" w:type="pct"/>
            <w:tcBorders>
              <w:top w:val="single" w:sz="6" w:space="0" w:color="auto"/>
              <w:bottom w:val="single" w:sz="6" w:space="0" w:color="auto"/>
            </w:tcBorders>
          </w:tcPr>
          <w:p w:rsidR="003C65CC" w:rsidRPr="00227D25" w:rsidRDefault="003C65CC" w:rsidP="000159BC">
            <w:pPr>
              <w:pStyle w:val="TableColumnHeading"/>
              <w:pBdr>
                <w:left w:val="single" w:sz="4" w:space="1" w:color="auto"/>
              </w:pBdr>
            </w:pPr>
            <w:r w:rsidRPr="00227D25">
              <w:t>Vic</w:t>
            </w:r>
          </w:p>
        </w:tc>
        <w:tc>
          <w:tcPr>
            <w:tcW w:w="365" w:type="pct"/>
            <w:tcBorders>
              <w:top w:val="single" w:sz="6" w:space="0" w:color="auto"/>
              <w:bottom w:val="single" w:sz="6" w:space="0" w:color="auto"/>
            </w:tcBorders>
          </w:tcPr>
          <w:p w:rsidR="003C65CC" w:rsidRPr="00227D25" w:rsidRDefault="003C65CC" w:rsidP="000159BC">
            <w:pPr>
              <w:pStyle w:val="TableColumnHeading"/>
              <w:pBdr>
                <w:left w:val="single" w:sz="4" w:space="1" w:color="auto"/>
              </w:pBdr>
            </w:pPr>
            <w:r w:rsidRPr="00227D25">
              <w:t>Qld</w:t>
            </w:r>
          </w:p>
        </w:tc>
        <w:tc>
          <w:tcPr>
            <w:tcW w:w="365" w:type="pct"/>
            <w:tcBorders>
              <w:top w:val="single" w:sz="6" w:space="0" w:color="auto"/>
              <w:bottom w:val="single" w:sz="6" w:space="0" w:color="auto"/>
            </w:tcBorders>
          </w:tcPr>
          <w:p w:rsidR="003C65CC" w:rsidRPr="00227D25" w:rsidRDefault="003C65CC" w:rsidP="000159BC">
            <w:pPr>
              <w:pStyle w:val="TableColumnHeading"/>
              <w:pBdr>
                <w:left w:val="single" w:sz="4" w:space="1" w:color="auto"/>
              </w:pBdr>
            </w:pPr>
            <w:r w:rsidRPr="00227D25">
              <w:t>WA</w:t>
            </w:r>
          </w:p>
        </w:tc>
        <w:tc>
          <w:tcPr>
            <w:tcW w:w="365" w:type="pct"/>
            <w:tcBorders>
              <w:top w:val="single" w:sz="6" w:space="0" w:color="auto"/>
              <w:bottom w:val="single" w:sz="6" w:space="0" w:color="auto"/>
            </w:tcBorders>
          </w:tcPr>
          <w:p w:rsidR="003C65CC" w:rsidRPr="00227D25" w:rsidRDefault="003C65CC" w:rsidP="000159BC">
            <w:pPr>
              <w:pStyle w:val="TableColumnHeading"/>
              <w:pBdr>
                <w:left w:val="single" w:sz="4" w:space="1" w:color="auto"/>
              </w:pBdr>
              <w:rPr>
                <w:rStyle w:val="NoteLabel"/>
                <w:b w:val="0"/>
              </w:rPr>
            </w:pPr>
            <w:r w:rsidRPr="00227D25">
              <w:t>SA</w:t>
            </w:r>
          </w:p>
        </w:tc>
        <w:tc>
          <w:tcPr>
            <w:tcW w:w="365" w:type="pct"/>
            <w:tcBorders>
              <w:top w:val="single" w:sz="6" w:space="0" w:color="auto"/>
              <w:bottom w:val="single" w:sz="6" w:space="0" w:color="auto"/>
            </w:tcBorders>
          </w:tcPr>
          <w:p w:rsidR="003C65CC" w:rsidRPr="00227D25" w:rsidRDefault="003C65CC" w:rsidP="000159BC">
            <w:pPr>
              <w:pStyle w:val="TableColumnHeading"/>
              <w:pBdr>
                <w:left w:val="single" w:sz="4" w:space="1" w:color="auto"/>
              </w:pBdr>
            </w:pPr>
            <w:r w:rsidRPr="00227D25">
              <w:t>Tas</w:t>
            </w:r>
          </w:p>
        </w:tc>
        <w:tc>
          <w:tcPr>
            <w:tcW w:w="365" w:type="pct"/>
            <w:tcBorders>
              <w:top w:val="single" w:sz="6" w:space="0" w:color="auto"/>
              <w:bottom w:val="single" w:sz="6" w:space="0" w:color="auto"/>
            </w:tcBorders>
          </w:tcPr>
          <w:p w:rsidR="003C65CC" w:rsidRPr="00227D25" w:rsidRDefault="003C65CC" w:rsidP="003F436C">
            <w:pPr>
              <w:pStyle w:val="TableColumnHeading"/>
              <w:pBdr>
                <w:left w:val="single" w:sz="4" w:space="1" w:color="auto"/>
              </w:pBdr>
            </w:pPr>
            <w:r w:rsidRPr="00227D25">
              <w:t>ACT</w:t>
            </w:r>
          </w:p>
        </w:tc>
        <w:tc>
          <w:tcPr>
            <w:tcW w:w="365" w:type="pct"/>
            <w:tcBorders>
              <w:top w:val="single" w:sz="6" w:space="0" w:color="auto"/>
              <w:bottom w:val="single" w:sz="6" w:space="0" w:color="auto"/>
            </w:tcBorders>
          </w:tcPr>
          <w:p w:rsidR="003C65CC" w:rsidRPr="00227D25" w:rsidRDefault="003C65CC" w:rsidP="000159BC">
            <w:pPr>
              <w:pStyle w:val="TableColumnHeading"/>
              <w:pBdr>
                <w:left w:val="single" w:sz="4" w:space="1" w:color="auto"/>
              </w:pBdr>
            </w:pPr>
            <w:r w:rsidRPr="00227D25">
              <w:t>NT</w:t>
            </w:r>
          </w:p>
        </w:tc>
        <w:tc>
          <w:tcPr>
            <w:tcW w:w="365" w:type="pct"/>
            <w:tcBorders>
              <w:top w:val="single" w:sz="6" w:space="0" w:color="auto"/>
              <w:bottom w:val="single" w:sz="6" w:space="0" w:color="auto"/>
            </w:tcBorders>
          </w:tcPr>
          <w:p w:rsidR="003C65CC" w:rsidRPr="00227D25" w:rsidRDefault="003C65CC" w:rsidP="000159BC">
            <w:pPr>
              <w:pStyle w:val="TableColumnHeading"/>
              <w:pBdr>
                <w:left w:val="single" w:sz="4" w:space="1" w:color="auto"/>
              </w:pBdr>
              <w:ind w:right="0"/>
            </w:pPr>
            <w:proofErr w:type="spellStart"/>
            <w:r w:rsidRPr="00227D25">
              <w:t>Aust</w:t>
            </w:r>
            <w:proofErr w:type="spellEnd"/>
          </w:p>
        </w:tc>
      </w:tr>
      <w:tr w:rsidR="009B6B60" w:rsidRPr="00227D25" w:rsidTr="00B07E93">
        <w:tc>
          <w:tcPr>
            <w:tcW w:w="1715" w:type="pct"/>
          </w:tcPr>
          <w:p w:rsidR="009B6B60" w:rsidRPr="00227D25" w:rsidRDefault="009B6B60" w:rsidP="009B6B60">
            <w:pPr>
              <w:pStyle w:val="TableUnitsRow"/>
              <w:spacing w:after="40" w:line="240" w:lineRule="atLeast"/>
              <w:jc w:val="left"/>
              <w:rPr>
                <w:b/>
              </w:rPr>
            </w:pPr>
            <w:r w:rsidRPr="00227D25">
              <w:rPr>
                <w:b/>
              </w:rPr>
              <w:t>20</w:t>
            </w:r>
            <w:r w:rsidR="00B9737E" w:rsidRPr="00227D25">
              <w:rPr>
                <w:b/>
              </w:rPr>
              <w:t>12</w:t>
            </w:r>
          </w:p>
        </w:tc>
        <w:tc>
          <w:tcPr>
            <w:tcW w:w="365" w:type="pct"/>
          </w:tcPr>
          <w:p w:rsidR="009B6B60" w:rsidRPr="002C743E" w:rsidRDefault="009B6B60" w:rsidP="002C743E">
            <w:pPr>
              <w:pStyle w:val="TableUnitsRow"/>
            </w:pPr>
          </w:p>
        </w:tc>
        <w:tc>
          <w:tcPr>
            <w:tcW w:w="365" w:type="pct"/>
          </w:tcPr>
          <w:p w:rsidR="009B6B60" w:rsidRPr="002C743E" w:rsidRDefault="009B6B60" w:rsidP="002C743E">
            <w:pPr>
              <w:pStyle w:val="TableUnitsRow"/>
            </w:pPr>
          </w:p>
        </w:tc>
        <w:tc>
          <w:tcPr>
            <w:tcW w:w="365" w:type="pct"/>
          </w:tcPr>
          <w:p w:rsidR="009B6B60" w:rsidRPr="002C743E" w:rsidRDefault="009B6B60" w:rsidP="002C743E">
            <w:pPr>
              <w:pStyle w:val="TableUnitsRow"/>
            </w:pPr>
          </w:p>
        </w:tc>
        <w:tc>
          <w:tcPr>
            <w:tcW w:w="365" w:type="pct"/>
          </w:tcPr>
          <w:p w:rsidR="009B6B60" w:rsidRPr="002C743E" w:rsidRDefault="009B6B60" w:rsidP="002C743E">
            <w:pPr>
              <w:pStyle w:val="TableUnitsRow"/>
            </w:pPr>
          </w:p>
        </w:tc>
        <w:tc>
          <w:tcPr>
            <w:tcW w:w="365" w:type="pct"/>
          </w:tcPr>
          <w:p w:rsidR="009B6B60" w:rsidRPr="002C743E" w:rsidRDefault="009B6B60" w:rsidP="002C743E">
            <w:pPr>
              <w:pStyle w:val="TableUnitsRow"/>
            </w:pPr>
          </w:p>
        </w:tc>
        <w:tc>
          <w:tcPr>
            <w:tcW w:w="365" w:type="pct"/>
          </w:tcPr>
          <w:p w:rsidR="009B6B60" w:rsidRPr="002C743E" w:rsidRDefault="009B6B60" w:rsidP="002C743E">
            <w:pPr>
              <w:pStyle w:val="TableUnitsRow"/>
            </w:pPr>
          </w:p>
        </w:tc>
        <w:tc>
          <w:tcPr>
            <w:tcW w:w="365" w:type="pct"/>
          </w:tcPr>
          <w:p w:rsidR="009B6B60" w:rsidRPr="002C743E" w:rsidRDefault="009B6B60" w:rsidP="002C743E">
            <w:pPr>
              <w:pStyle w:val="TableUnitsRow"/>
            </w:pPr>
          </w:p>
        </w:tc>
        <w:tc>
          <w:tcPr>
            <w:tcW w:w="365" w:type="pct"/>
          </w:tcPr>
          <w:p w:rsidR="009B6B60" w:rsidRPr="002C743E" w:rsidRDefault="009B6B60" w:rsidP="002C743E">
            <w:pPr>
              <w:pStyle w:val="TableUnitsRow"/>
            </w:pPr>
          </w:p>
        </w:tc>
        <w:tc>
          <w:tcPr>
            <w:tcW w:w="365" w:type="pct"/>
          </w:tcPr>
          <w:p w:rsidR="009B6B60" w:rsidRPr="002C743E" w:rsidRDefault="009B6B60" w:rsidP="002C743E">
            <w:pPr>
              <w:pStyle w:val="TableUnitsRow"/>
            </w:pPr>
          </w:p>
        </w:tc>
      </w:tr>
      <w:tr w:rsidR="009B6B60" w:rsidRPr="00227D25" w:rsidTr="00B07E93">
        <w:tc>
          <w:tcPr>
            <w:tcW w:w="1715" w:type="pct"/>
          </w:tcPr>
          <w:p w:rsidR="009B6B60" w:rsidRPr="00227D25" w:rsidRDefault="009B6B60" w:rsidP="00725CFC">
            <w:pPr>
              <w:pStyle w:val="TableBodyText"/>
              <w:ind w:left="226" w:hanging="113"/>
              <w:jc w:val="left"/>
            </w:pPr>
            <w:r w:rsidRPr="00227D25">
              <w:t xml:space="preserve">Speaks a </w:t>
            </w:r>
            <w:proofErr w:type="spellStart"/>
            <w:r w:rsidRPr="00227D25">
              <w:t>LOTE</w:t>
            </w:r>
            <w:proofErr w:type="spellEnd"/>
            <w:r w:rsidRPr="00227D25">
              <w:t xml:space="preserve"> at home</w:t>
            </w:r>
          </w:p>
        </w:tc>
        <w:tc>
          <w:tcPr>
            <w:tcW w:w="365" w:type="pct"/>
          </w:tcPr>
          <w:p w:rsidR="009B6B60" w:rsidRPr="002C743E" w:rsidRDefault="002C743E" w:rsidP="002C743E">
            <w:pPr>
              <w:pStyle w:val="TableUnitsRow"/>
              <w:rPr>
                <w:rStyle w:val="DraftingNote"/>
                <w:b w:val="0"/>
                <w:color w:val="auto"/>
                <w:sz w:val="20"/>
                <w:u w:val="none"/>
              </w:rPr>
            </w:pPr>
            <w:r>
              <w:rPr>
                <w:rStyle w:val="DraftingNote"/>
                <w:b w:val="0"/>
                <w:color w:val="auto"/>
                <w:sz w:val="20"/>
                <w:u w:val="none"/>
              </w:rPr>
              <w:t>17.7</w:t>
            </w:r>
          </w:p>
        </w:tc>
        <w:tc>
          <w:tcPr>
            <w:tcW w:w="365" w:type="pct"/>
          </w:tcPr>
          <w:p w:rsidR="009B6B60" w:rsidRPr="002C743E" w:rsidRDefault="002C743E" w:rsidP="002C743E">
            <w:pPr>
              <w:pStyle w:val="TableUnitsRow"/>
              <w:rPr>
                <w:rStyle w:val="DraftingNote"/>
                <w:b w:val="0"/>
                <w:color w:val="auto"/>
                <w:sz w:val="20"/>
                <w:u w:val="none"/>
              </w:rPr>
            </w:pPr>
            <w:r>
              <w:rPr>
                <w:rStyle w:val="DraftingNote"/>
                <w:b w:val="0"/>
                <w:color w:val="auto"/>
                <w:sz w:val="20"/>
                <w:u w:val="none"/>
              </w:rPr>
              <w:t>19.0</w:t>
            </w:r>
          </w:p>
        </w:tc>
        <w:tc>
          <w:tcPr>
            <w:tcW w:w="365" w:type="pct"/>
          </w:tcPr>
          <w:p w:rsidR="009B6B60" w:rsidRPr="002C743E" w:rsidRDefault="002C743E" w:rsidP="002C743E">
            <w:pPr>
              <w:pStyle w:val="TableUnitsRow"/>
              <w:rPr>
                <w:rStyle w:val="DraftingNote"/>
                <w:b w:val="0"/>
                <w:color w:val="auto"/>
                <w:sz w:val="20"/>
                <w:u w:val="none"/>
              </w:rPr>
            </w:pPr>
            <w:r>
              <w:rPr>
                <w:rStyle w:val="DraftingNote"/>
                <w:b w:val="0"/>
                <w:color w:val="auto"/>
                <w:sz w:val="20"/>
                <w:u w:val="none"/>
              </w:rPr>
              <w:t>8.7</w:t>
            </w:r>
          </w:p>
        </w:tc>
        <w:tc>
          <w:tcPr>
            <w:tcW w:w="365" w:type="pct"/>
          </w:tcPr>
          <w:p w:rsidR="009B6B60" w:rsidRPr="002C743E" w:rsidRDefault="002C743E" w:rsidP="002C743E">
            <w:pPr>
              <w:pStyle w:val="TableUnitsRow"/>
              <w:rPr>
                <w:rStyle w:val="DraftingNote"/>
                <w:b w:val="0"/>
                <w:color w:val="auto"/>
                <w:sz w:val="20"/>
                <w:u w:val="none"/>
              </w:rPr>
            </w:pPr>
            <w:r>
              <w:rPr>
                <w:rStyle w:val="DraftingNote"/>
                <w:b w:val="0"/>
                <w:color w:val="auto"/>
                <w:sz w:val="20"/>
                <w:u w:val="none"/>
              </w:rPr>
              <w:t>13.9</w:t>
            </w:r>
          </w:p>
        </w:tc>
        <w:tc>
          <w:tcPr>
            <w:tcW w:w="365" w:type="pct"/>
          </w:tcPr>
          <w:p w:rsidR="009B6B60" w:rsidRPr="002C743E" w:rsidRDefault="00CE1210" w:rsidP="002C743E">
            <w:pPr>
              <w:pStyle w:val="TableUnitsRow"/>
              <w:rPr>
                <w:rStyle w:val="DraftingNote"/>
                <w:b w:val="0"/>
                <w:color w:val="auto"/>
                <w:sz w:val="20"/>
                <w:u w:val="none"/>
              </w:rPr>
            </w:pPr>
            <w:r>
              <w:rPr>
                <w:rStyle w:val="DraftingNote"/>
                <w:b w:val="0"/>
                <w:color w:val="auto"/>
                <w:sz w:val="20"/>
                <w:u w:val="none"/>
              </w:rPr>
              <w:t>11.2</w:t>
            </w:r>
          </w:p>
        </w:tc>
        <w:tc>
          <w:tcPr>
            <w:tcW w:w="365" w:type="pct"/>
          </w:tcPr>
          <w:p w:rsidR="009B6B60" w:rsidRPr="002C743E" w:rsidRDefault="00CE1210" w:rsidP="002C743E">
            <w:pPr>
              <w:pStyle w:val="TableUnitsRow"/>
              <w:rPr>
                <w:rStyle w:val="DraftingNote"/>
                <w:b w:val="0"/>
                <w:color w:val="auto"/>
                <w:sz w:val="20"/>
                <w:u w:val="none"/>
              </w:rPr>
            </w:pPr>
            <w:r>
              <w:rPr>
                <w:rStyle w:val="DraftingNote"/>
                <w:b w:val="0"/>
                <w:color w:val="auto"/>
                <w:sz w:val="20"/>
                <w:u w:val="none"/>
              </w:rPr>
              <w:t>5.0</w:t>
            </w:r>
          </w:p>
        </w:tc>
        <w:tc>
          <w:tcPr>
            <w:tcW w:w="365" w:type="pct"/>
          </w:tcPr>
          <w:p w:rsidR="009B6B60" w:rsidRPr="002C743E" w:rsidRDefault="00CE1210" w:rsidP="002C743E">
            <w:pPr>
              <w:pStyle w:val="TableUnitsRow"/>
              <w:rPr>
                <w:rStyle w:val="DraftingNote"/>
                <w:b w:val="0"/>
                <w:color w:val="auto"/>
                <w:sz w:val="20"/>
                <w:u w:val="none"/>
              </w:rPr>
            </w:pPr>
            <w:r>
              <w:rPr>
                <w:rStyle w:val="DraftingNote"/>
                <w:b w:val="0"/>
                <w:color w:val="auto"/>
                <w:sz w:val="20"/>
                <w:u w:val="none"/>
              </w:rPr>
              <w:t>11.9</w:t>
            </w:r>
          </w:p>
        </w:tc>
        <w:tc>
          <w:tcPr>
            <w:tcW w:w="365" w:type="pct"/>
          </w:tcPr>
          <w:p w:rsidR="009B6B60" w:rsidRPr="002C743E" w:rsidRDefault="00CE1210" w:rsidP="002C743E">
            <w:pPr>
              <w:pStyle w:val="TableUnitsRow"/>
              <w:rPr>
                <w:rStyle w:val="DraftingNote"/>
                <w:b w:val="0"/>
                <w:color w:val="auto"/>
                <w:sz w:val="20"/>
                <w:u w:val="none"/>
              </w:rPr>
            </w:pPr>
            <w:r>
              <w:rPr>
                <w:rStyle w:val="DraftingNote"/>
                <w:b w:val="0"/>
                <w:color w:val="auto"/>
                <w:sz w:val="20"/>
                <w:u w:val="none"/>
              </w:rPr>
              <w:t>31.6</w:t>
            </w:r>
          </w:p>
        </w:tc>
        <w:tc>
          <w:tcPr>
            <w:tcW w:w="365" w:type="pct"/>
          </w:tcPr>
          <w:p w:rsidR="009B6B60" w:rsidRPr="002C743E" w:rsidRDefault="00CE1210" w:rsidP="002C743E">
            <w:pPr>
              <w:pStyle w:val="TableUnitsRow"/>
              <w:rPr>
                <w:rStyle w:val="DraftingNote"/>
                <w:b w:val="0"/>
                <w:color w:val="auto"/>
                <w:sz w:val="20"/>
                <w:u w:val="none"/>
              </w:rPr>
            </w:pPr>
            <w:r>
              <w:rPr>
                <w:rStyle w:val="DraftingNote"/>
                <w:b w:val="0"/>
                <w:color w:val="auto"/>
                <w:sz w:val="20"/>
                <w:u w:val="none"/>
              </w:rPr>
              <w:t>15.8</w:t>
            </w:r>
          </w:p>
        </w:tc>
      </w:tr>
      <w:tr w:rsidR="009B6B60" w:rsidRPr="00227D25" w:rsidTr="00B07E93">
        <w:tc>
          <w:tcPr>
            <w:tcW w:w="1715" w:type="pct"/>
          </w:tcPr>
          <w:p w:rsidR="009B6B60" w:rsidRPr="00227D25" w:rsidRDefault="009B6B60" w:rsidP="00725CFC">
            <w:pPr>
              <w:pStyle w:val="TableBodyText"/>
              <w:ind w:left="226" w:hanging="113"/>
              <w:jc w:val="left"/>
            </w:pPr>
            <w:r w:rsidRPr="00227D25">
              <w:t>Speaks English at home</w:t>
            </w:r>
          </w:p>
        </w:tc>
        <w:tc>
          <w:tcPr>
            <w:tcW w:w="365" w:type="pct"/>
          </w:tcPr>
          <w:p w:rsidR="009B6B60" w:rsidRPr="002C743E" w:rsidRDefault="00CE1210" w:rsidP="002C743E">
            <w:pPr>
              <w:pStyle w:val="TableUnitsRow"/>
              <w:rPr>
                <w:rStyle w:val="DraftingNote"/>
                <w:b w:val="0"/>
                <w:color w:val="auto"/>
                <w:sz w:val="20"/>
                <w:u w:val="none"/>
              </w:rPr>
            </w:pPr>
            <w:r>
              <w:rPr>
                <w:rStyle w:val="DraftingNote"/>
                <w:b w:val="0"/>
                <w:color w:val="auto"/>
                <w:sz w:val="20"/>
                <w:u w:val="none"/>
              </w:rPr>
              <w:t>76.3</w:t>
            </w:r>
          </w:p>
        </w:tc>
        <w:tc>
          <w:tcPr>
            <w:tcW w:w="365" w:type="pct"/>
          </w:tcPr>
          <w:p w:rsidR="009B6B60" w:rsidRPr="002C743E" w:rsidRDefault="00CE1210" w:rsidP="002C743E">
            <w:pPr>
              <w:pStyle w:val="TableUnitsRow"/>
              <w:rPr>
                <w:rStyle w:val="DraftingNote"/>
                <w:b w:val="0"/>
                <w:color w:val="auto"/>
                <w:sz w:val="20"/>
                <w:u w:val="none"/>
              </w:rPr>
            </w:pPr>
            <w:r>
              <w:rPr>
                <w:rStyle w:val="DraftingNote"/>
                <w:b w:val="0"/>
                <w:color w:val="auto"/>
                <w:sz w:val="20"/>
                <w:u w:val="none"/>
              </w:rPr>
              <w:t>78.8</w:t>
            </w:r>
          </w:p>
        </w:tc>
        <w:tc>
          <w:tcPr>
            <w:tcW w:w="365" w:type="pct"/>
          </w:tcPr>
          <w:p w:rsidR="009B6B60" w:rsidRPr="002C743E" w:rsidRDefault="00CE1210" w:rsidP="002C743E">
            <w:pPr>
              <w:pStyle w:val="TableUnitsRow"/>
              <w:rPr>
                <w:rStyle w:val="DraftingNote"/>
                <w:b w:val="0"/>
                <w:color w:val="auto"/>
                <w:sz w:val="20"/>
                <w:u w:val="none"/>
              </w:rPr>
            </w:pPr>
            <w:r>
              <w:rPr>
                <w:rStyle w:val="DraftingNote"/>
                <w:b w:val="0"/>
                <w:color w:val="auto"/>
                <w:sz w:val="20"/>
                <w:u w:val="none"/>
              </w:rPr>
              <w:t>84.4</w:t>
            </w:r>
          </w:p>
        </w:tc>
        <w:tc>
          <w:tcPr>
            <w:tcW w:w="365" w:type="pct"/>
          </w:tcPr>
          <w:p w:rsidR="009B6B60" w:rsidRPr="002C743E" w:rsidRDefault="00CE1210" w:rsidP="002C743E">
            <w:pPr>
              <w:pStyle w:val="TableUnitsRow"/>
              <w:rPr>
                <w:rStyle w:val="DraftingNote"/>
                <w:b w:val="0"/>
                <w:color w:val="auto"/>
                <w:sz w:val="20"/>
                <w:u w:val="none"/>
              </w:rPr>
            </w:pPr>
            <w:r>
              <w:rPr>
                <w:rStyle w:val="DraftingNote"/>
                <w:b w:val="0"/>
                <w:color w:val="auto"/>
                <w:sz w:val="20"/>
                <w:u w:val="none"/>
              </w:rPr>
              <w:t>65.0</w:t>
            </w:r>
          </w:p>
        </w:tc>
        <w:tc>
          <w:tcPr>
            <w:tcW w:w="365" w:type="pct"/>
          </w:tcPr>
          <w:p w:rsidR="009B6B60" w:rsidRPr="002C743E" w:rsidRDefault="00CE1210" w:rsidP="002C743E">
            <w:pPr>
              <w:pStyle w:val="TableUnitsRow"/>
              <w:rPr>
                <w:rStyle w:val="DraftingNote"/>
                <w:b w:val="0"/>
                <w:color w:val="auto"/>
                <w:sz w:val="20"/>
                <w:u w:val="none"/>
              </w:rPr>
            </w:pPr>
            <w:r>
              <w:rPr>
                <w:rStyle w:val="DraftingNote"/>
                <w:b w:val="0"/>
                <w:color w:val="auto"/>
                <w:sz w:val="20"/>
                <w:u w:val="none"/>
              </w:rPr>
              <w:t>70.5</w:t>
            </w:r>
          </w:p>
        </w:tc>
        <w:tc>
          <w:tcPr>
            <w:tcW w:w="365" w:type="pct"/>
          </w:tcPr>
          <w:p w:rsidR="009B6B60" w:rsidRPr="002C743E" w:rsidRDefault="00CE1210" w:rsidP="002C743E">
            <w:pPr>
              <w:pStyle w:val="TableUnitsRow"/>
              <w:rPr>
                <w:rStyle w:val="DraftingNote"/>
                <w:b w:val="0"/>
                <w:color w:val="auto"/>
                <w:sz w:val="20"/>
                <w:u w:val="none"/>
              </w:rPr>
            </w:pPr>
            <w:r>
              <w:rPr>
                <w:rStyle w:val="DraftingNote"/>
                <w:b w:val="0"/>
                <w:color w:val="auto"/>
                <w:sz w:val="20"/>
                <w:u w:val="none"/>
              </w:rPr>
              <w:t>92.2</w:t>
            </w:r>
          </w:p>
        </w:tc>
        <w:tc>
          <w:tcPr>
            <w:tcW w:w="365" w:type="pct"/>
          </w:tcPr>
          <w:p w:rsidR="009B6B60" w:rsidRPr="002C743E" w:rsidRDefault="00CE1210" w:rsidP="002C743E">
            <w:pPr>
              <w:pStyle w:val="TableUnitsRow"/>
              <w:rPr>
                <w:rStyle w:val="DraftingNote"/>
                <w:b w:val="0"/>
                <w:color w:val="auto"/>
                <w:sz w:val="20"/>
                <w:u w:val="none"/>
              </w:rPr>
            </w:pPr>
            <w:r>
              <w:rPr>
                <w:rStyle w:val="DraftingNote"/>
                <w:b w:val="0"/>
                <w:color w:val="auto"/>
                <w:sz w:val="20"/>
                <w:u w:val="none"/>
              </w:rPr>
              <w:t>70.1</w:t>
            </w:r>
          </w:p>
        </w:tc>
        <w:tc>
          <w:tcPr>
            <w:tcW w:w="365" w:type="pct"/>
          </w:tcPr>
          <w:p w:rsidR="009B6B60" w:rsidRPr="002C743E" w:rsidRDefault="00CE1210" w:rsidP="002C743E">
            <w:pPr>
              <w:pStyle w:val="TableUnitsRow"/>
              <w:rPr>
                <w:rStyle w:val="DraftingNote"/>
                <w:b w:val="0"/>
                <w:color w:val="auto"/>
                <w:sz w:val="20"/>
                <w:u w:val="none"/>
              </w:rPr>
            </w:pPr>
            <w:r>
              <w:rPr>
                <w:rStyle w:val="DraftingNote"/>
                <w:b w:val="0"/>
                <w:color w:val="auto"/>
                <w:sz w:val="20"/>
                <w:u w:val="none"/>
              </w:rPr>
              <w:t>61.5</w:t>
            </w:r>
          </w:p>
        </w:tc>
        <w:tc>
          <w:tcPr>
            <w:tcW w:w="365" w:type="pct"/>
          </w:tcPr>
          <w:p w:rsidR="009B6B60" w:rsidRPr="002C743E" w:rsidRDefault="00CE1210" w:rsidP="002C743E">
            <w:pPr>
              <w:pStyle w:val="TableUnitsRow"/>
              <w:rPr>
                <w:rStyle w:val="DraftingNote"/>
                <w:b w:val="0"/>
                <w:color w:val="auto"/>
                <w:sz w:val="20"/>
                <w:u w:val="none"/>
              </w:rPr>
            </w:pPr>
            <w:r>
              <w:rPr>
                <w:rStyle w:val="DraftingNote"/>
                <w:b w:val="0"/>
                <w:color w:val="auto"/>
                <w:sz w:val="20"/>
                <w:u w:val="none"/>
              </w:rPr>
              <w:t>77.0</w:t>
            </w:r>
          </w:p>
        </w:tc>
      </w:tr>
      <w:tr w:rsidR="003C65CC" w:rsidRPr="00227D25" w:rsidTr="00B07E93">
        <w:tc>
          <w:tcPr>
            <w:tcW w:w="1715" w:type="pct"/>
          </w:tcPr>
          <w:p w:rsidR="003C65CC" w:rsidRPr="00227D25" w:rsidRDefault="00C83ADA" w:rsidP="00C83ADA">
            <w:pPr>
              <w:pStyle w:val="TableBodyText"/>
              <w:spacing w:before="80"/>
              <w:ind w:left="0"/>
              <w:jc w:val="left"/>
              <w:rPr>
                <w:b/>
              </w:rPr>
            </w:pPr>
            <w:r w:rsidRPr="00227D25">
              <w:rPr>
                <w:b/>
              </w:rPr>
              <w:t>Total population, 2011</w:t>
            </w:r>
            <w:r w:rsidR="003F436C" w:rsidRPr="00227D25">
              <w:rPr>
                <w:rStyle w:val="NoteLabel"/>
              </w:rPr>
              <w:t>c</w:t>
            </w:r>
            <w:r w:rsidR="003C65CC" w:rsidRPr="00227D25">
              <w:rPr>
                <w:b/>
              </w:rPr>
              <w:t xml:space="preserve"> </w:t>
            </w:r>
          </w:p>
        </w:tc>
        <w:tc>
          <w:tcPr>
            <w:tcW w:w="365" w:type="pct"/>
          </w:tcPr>
          <w:p w:rsidR="003C65CC" w:rsidRPr="002C743E" w:rsidRDefault="003C65CC" w:rsidP="002C743E">
            <w:pPr>
              <w:pStyle w:val="TableUnitsRow"/>
              <w:rPr>
                <w:rStyle w:val="DraftingNote"/>
                <w:b w:val="0"/>
                <w:color w:val="auto"/>
                <w:sz w:val="20"/>
                <w:u w:val="none"/>
              </w:rPr>
            </w:pPr>
          </w:p>
        </w:tc>
        <w:tc>
          <w:tcPr>
            <w:tcW w:w="365" w:type="pct"/>
          </w:tcPr>
          <w:p w:rsidR="003C65CC" w:rsidRPr="002C743E" w:rsidRDefault="003C65CC" w:rsidP="002C743E">
            <w:pPr>
              <w:pStyle w:val="TableUnitsRow"/>
              <w:rPr>
                <w:rStyle w:val="DraftingNote"/>
                <w:b w:val="0"/>
                <w:color w:val="auto"/>
                <w:sz w:val="20"/>
                <w:u w:val="none"/>
              </w:rPr>
            </w:pPr>
          </w:p>
        </w:tc>
        <w:tc>
          <w:tcPr>
            <w:tcW w:w="365" w:type="pct"/>
          </w:tcPr>
          <w:p w:rsidR="003C65CC" w:rsidRPr="002C743E" w:rsidRDefault="003C65CC" w:rsidP="002C743E">
            <w:pPr>
              <w:pStyle w:val="TableUnitsRow"/>
              <w:rPr>
                <w:rStyle w:val="DraftingNote"/>
                <w:b w:val="0"/>
                <w:color w:val="auto"/>
                <w:sz w:val="20"/>
                <w:u w:val="none"/>
              </w:rPr>
            </w:pPr>
          </w:p>
        </w:tc>
        <w:tc>
          <w:tcPr>
            <w:tcW w:w="365" w:type="pct"/>
          </w:tcPr>
          <w:p w:rsidR="003C65CC" w:rsidRPr="002C743E" w:rsidRDefault="003C65CC" w:rsidP="002C743E">
            <w:pPr>
              <w:pStyle w:val="TableUnitsRow"/>
              <w:rPr>
                <w:rStyle w:val="DraftingNote"/>
                <w:b w:val="0"/>
                <w:color w:val="auto"/>
                <w:sz w:val="20"/>
                <w:u w:val="none"/>
              </w:rPr>
            </w:pPr>
          </w:p>
        </w:tc>
        <w:tc>
          <w:tcPr>
            <w:tcW w:w="365" w:type="pct"/>
          </w:tcPr>
          <w:p w:rsidR="003C65CC" w:rsidRPr="002C743E" w:rsidRDefault="003C65CC" w:rsidP="002C743E">
            <w:pPr>
              <w:pStyle w:val="TableUnitsRow"/>
              <w:rPr>
                <w:rStyle w:val="DraftingNote"/>
                <w:b w:val="0"/>
                <w:color w:val="auto"/>
                <w:sz w:val="20"/>
                <w:u w:val="none"/>
              </w:rPr>
            </w:pPr>
          </w:p>
        </w:tc>
        <w:tc>
          <w:tcPr>
            <w:tcW w:w="365" w:type="pct"/>
          </w:tcPr>
          <w:p w:rsidR="003C65CC" w:rsidRPr="002C743E" w:rsidRDefault="003C65CC" w:rsidP="002C743E">
            <w:pPr>
              <w:pStyle w:val="TableUnitsRow"/>
              <w:rPr>
                <w:rStyle w:val="DraftingNote"/>
                <w:b w:val="0"/>
                <w:color w:val="auto"/>
                <w:sz w:val="20"/>
                <w:u w:val="none"/>
              </w:rPr>
            </w:pPr>
          </w:p>
        </w:tc>
        <w:tc>
          <w:tcPr>
            <w:tcW w:w="365" w:type="pct"/>
          </w:tcPr>
          <w:p w:rsidR="003C65CC" w:rsidRPr="002C743E" w:rsidRDefault="003C65CC" w:rsidP="002C743E">
            <w:pPr>
              <w:pStyle w:val="TableUnitsRow"/>
              <w:rPr>
                <w:rStyle w:val="DraftingNote"/>
                <w:b w:val="0"/>
                <w:color w:val="auto"/>
                <w:sz w:val="20"/>
                <w:u w:val="none"/>
              </w:rPr>
            </w:pPr>
          </w:p>
        </w:tc>
        <w:tc>
          <w:tcPr>
            <w:tcW w:w="365" w:type="pct"/>
          </w:tcPr>
          <w:p w:rsidR="003C65CC" w:rsidRPr="002C743E" w:rsidRDefault="003C65CC" w:rsidP="002C743E">
            <w:pPr>
              <w:pStyle w:val="TableUnitsRow"/>
              <w:rPr>
                <w:rStyle w:val="DraftingNote"/>
                <w:b w:val="0"/>
                <w:color w:val="auto"/>
                <w:sz w:val="20"/>
                <w:u w:val="none"/>
              </w:rPr>
            </w:pPr>
          </w:p>
        </w:tc>
        <w:tc>
          <w:tcPr>
            <w:tcW w:w="365" w:type="pct"/>
          </w:tcPr>
          <w:p w:rsidR="003C65CC" w:rsidRPr="002C743E" w:rsidRDefault="003C65CC" w:rsidP="002C743E">
            <w:pPr>
              <w:pStyle w:val="TableUnitsRow"/>
              <w:rPr>
                <w:rStyle w:val="DraftingNote"/>
                <w:b w:val="0"/>
                <w:color w:val="auto"/>
                <w:sz w:val="20"/>
                <w:u w:val="none"/>
              </w:rPr>
            </w:pPr>
          </w:p>
        </w:tc>
      </w:tr>
      <w:tr w:rsidR="00C83ADA" w:rsidRPr="00227D25" w:rsidTr="00C83ADA">
        <w:tc>
          <w:tcPr>
            <w:tcW w:w="1715" w:type="pct"/>
            <w:tcBorders>
              <w:bottom w:val="single" w:sz="4" w:space="0" w:color="auto"/>
            </w:tcBorders>
          </w:tcPr>
          <w:p w:rsidR="00C83ADA" w:rsidRPr="00227D25" w:rsidRDefault="00C83ADA" w:rsidP="00B07E93">
            <w:pPr>
              <w:pStyle w:val="TableBodyText"/>
              <w:ind w:left="226" w:hanging="113"/>
              <w:jc w:val="left"/>
            </w:pPr>
            <w:r w:rsidRPr="00227D25">
              <w:t xml:space="preserve">Proportion of total population speaking </w:t>
            </w:r>
            <w:proofErr w:type="spellStart"/>
            <w:r w:rsidRPr="00227D25">
              <w:t>LOTE</w:t>
            </w:r>
            <w:proofErr w:type="spellEnd"/>
            <w:r w:rsidRPr="00227D25">
              <w:t xml:space="preserve"> at home</w:t>
            </w:r>
          </w:p>
        </w:tc>
        <w:tc>
          <w:tcPr>
            <w:tcW w:w="365" w:type="pct"/>
            <w:tcBorders>
              <w:bottom w:val="single" w:sz="4" w:space="0" w:color="auto"/>
            </w:tcBorders>
          </w:tcPr>
          <w:p w:rsidR="00C83ADA" w:rsidRPr="002C743E" w:rsidRDefault="00CE1210" w:rsidP="002C743E">
            <w:pPr>
              <w:pStyle w:val="TableUnitsRow"/>
              <w:rPr>
                <w:rStyle w:val="DraftingNote"/>
                <w:b w:val="0"/>
                <w:color w:val="auto"/>
                <w:sz w:val="20"/>
                <w:u w:val="none"/>
              </w:rPr>
            </w:pPr>
            <w:r>
              <w:rPr>
                <w:rStyle w:val="DraftingNote"/>
                <w:b w:val="0"/>
                <w:color w:val="auto"/>
                <w:sz w:val="20"/>
                <w:u w:val="none"/>
              </w:rPr>
              <w:t>22.5</w:t>
            </w:r>
          </w:p>
        </w:tc>
        <w:tc>
          <w:tcPr>
            <w:tcW w:w="365" w:type="pct"/>
            <w:tcBorders>
              <w:bottom w:val="single" w:sz="4" w:space="0" w:color="auto"/>
            </w:tcBorders>
          </w:tcPr>
          <w:p w:rsidR="00C83ADA" w:rsidRPr="002C743E" w:rsidRDefault="00CE1210" w:rsidP="002C743E">
            <w:pPr>
              <w:pStyle w:val="TableUnitsRow"/>
              <w:rPr>
                <w:rStyle w:val="DraftingNote"/>
                <w:b w:val="0"/>
                <w:color w:val="auto"/>
                <w:sz w:val="20"/>
                <w:u w:val="none"/>
              </w:rPr>
            </w:pPr>
            <w:r>
              <w:rPr>
                <w:rStyle w:val="DraftingNote"/>
                <w:b w:val="0"/>
                <w:color w:val="auto"/>
                <w:sz w:val="20"/>
                <w:u w:val="none"/>
              </w:rPr>
              <w:t>23.1</w:t>
            </w:r>
          </w:p>
        </w:tc>
        <w:tc>
          <w:tcPr>
            <w:tcW w:w="365" w:type="pct"/>
            <w:tcBorders>
              <w:bottom w:val="single" w:sz="4" w:space="0" w:color="auto"/>
            </w:tcBorders>
          </w:tcPr>
          <w:p w:rsidR="00C83ADA" w:rsidRPr="002C743E" w:rsidRDefault="00CE1210" w:rsidP="002C743E">
            <w:pPr>
              <w:pStyle w:val="TableUnitsRow"/>
              <w:rPr>
                <w:rStyle w:val="DraftingNote"/>
                <w:b w:val="0"/>
                <w:color w:val="auto"/>
                <w:sz w:val="20"/>
                <w:u w:val="none"/>
              </w:rPr>
            </w:pPr>
            <w:r>
              <w:rPr>
                <w:rStyle w:val="DraftingNote"/>
                <w:b w:val="0"/>
                <w:color w:val="auto"/>
                <w:sz w:val="20"/>
                <w:u w:val="none"/>
              </w:rPr>
              <w:t>9.8</w:t>
            </w:r>
          </w:p>
        </w:tc>
        <w:tc>
          <w:tcPr>
            <w:tcW w:w="365" w:type="pct"/>
            <w:tcBorders>
              <w:bottom w:val="single" w:sz="4" w:space="0" w:color="auto"/>
            </w:tcBorders>
          </w:tcPr>
          <w:p w:rsidR="00C83ADA" w:rsidRPr="002C743E" w:rsidRDefault="00CE1210" w:rsidP="002C743E">
            <w:pPr>
              <w:pStyle w:val="TableUnitsRow"/>
              <w:rPr>
                <w:rStyle w:val="DraftingNote"/>
                <w:b w:val="0"/>
                <w:color w:val="auto"/>
                <w:sz w:val="20"/>
                <w:u w:val="none"/>
              </w:rPr>
            </w:pPr>
            <w:r>
              <w:rPr>
                <w:rStyle w:val="DraftingNote"/>
                <w:b w:val="0"/>
                <w:color w:val="auto"/>
                <w:sz w:val="20"/>
                <w:u w:val="none"/>
              </w:rPr>
              <w:t>14.5</w:t>
            </w:r>
          </w:p>
        </w:tc>
        <w:tc>
          <w:tcPr>
            <w:tcW w:w="365" w:type="pct"/>
            <w:tcBorders>
              <w:bottom w:val="single" w:sz="4" w:space="0" w:color="auto"/>
            </w:tcBorders>
          </w:tcPr>
          <w:p w:rsidR="00C83ADA" w:rsidRPr="002C743E" w:rsidRDefault="00CE1210" w:rsidP="002C743E">
            <w:pPr>
              <w:pStyle w:val="TableUnitsRow"/>
              <w:rPr>
                <w:rStyle w:val="DraftingNote"/>
                <w:b w:val="0"/>
                <w:color w:val="auto"/>
                <w:sz w:val="20"/>
                <w:u w:val="none"/>
              </w:rPr>
            </w:pPr>
            <w:r>
              <w:rPr>
                <w:rStyle w:val="DraftingNote"/>
                <w:b w:val="0"/>
                <w:color w:val="auto"/>
                <w:sz w:val="20"/>
                <w:u w:val="none"/>
              </w:rPr>
              <w:t>14.4</w:t>
            </w:r>
          </w:p>
        </w:tc>
        <w:tc>
          <w:tcPr>
            <w:tcW w:w="365" w:type="pct"/>
            <w:tcBorders>
              <w:bottom w:val="single" w:sz="4" w:space="0" w:color="auto"/>
            </w:tcBorders>
          </w:tcPr>
          <w:p w:rsidR="00C83ADA" w:rsidRPr="002C743E" w:rsidRDefault="00CE1210" w:rsidP="002C743E">
            <w:pPr>
              <w:pStyle w:val="TableUnitsRow"/>
              <w:rPr>
                <w:rStyle w:val="DraftingNote"/>
                <w:b w:val="0"/>
                <w:color w:val="auto"/>
                <w:sz w:val="20"/>
                <w:u w:val="none"/>
              </w:rPr>
            </w:pPr>
            <w:r>
              <w:rPr>
                <w:rStyle w:val="DraftingNote"/>
                <w:b w:val="0"/>
                <w:color w:val="auto"/>
                <w:sz w:val="20"/>
                <w:u w:val="none"/>
              </w:rPr>
              <w:t>4.5</w:t>
            </w:r>
          </w:p>
        </w:tc>
        <w:tc>
          <w:tcPr>
            <w:tcW w:w="365" w:type="pct"/>
            <w:tcBorders>
              <w:bottom w:val="single" w:sz="4" w:space="0" w:color="auto"/>
            </w:tcBorders>
          </w:tcPr>
          <w:p w:rsidR="00C83ADA" w:rsidRPr="002C743E" w:rsidRDefault="00CE1210" w:rsidP="002C743E">
            <w:pPr>
              <w:pStyle w:val="TableUnitsRow"/>
              <w:rPr>
                <w:rStyle w:val="DraftingNote"/>
                <w:b w:val="0"/>
                <w:color w:val="auto"/>
                <w:sz w:val="20"/>
                <w:u w:val="none"/>
              </w:rPr>
            </w:pPr>
            <w:r>
              <w:rPr>
                <w:rStyle w:val="DraftingNote"/>
                <w:b w:val="0"/>
                <w:color w:val="auto"/>
                <w:sz w:val="20"/>
                <w:u w:val="none"/>
              </w:rPr>
              <w:t>18.1</w:t>
            </w:r>
          </w:p>
        </w:tc>
        <w:tc>
          <w:tcPr>
            <w:tcW w:w="365" w:type="pct"/>
            <w:tcBorders>
              <w:bottom w:val="single" w:sz="4" w:space="0" w:color="auto"/>
            </w:tcBorders>
          </w:tcPr>
          <w:p w:rsidR="00C83ADA" w:rsidRPr="002C743E" w:rsidRDefault="00CE1210" w:rsidP="002C743E">
            <w:pPr>
              <w:pStyle w:val="TableUnitsRow"/>
              <w:rPr>
                <w:rStyle w:val="DraftingNote"/>
                <w:b w:val="0"/>
                <w:color w:val="auto"/>
                <w:sz w:val="20"/>
                <w:u w:val="none"/>
              </w:rPr>
            </w:pPr>
            <w:r>
              <w:rPr>
                <w:rStyle w:val="DraftingNote"/>
                <w:b w:val="0"/>
                <w:color w:val="auto"/>
                <w:sz w:val="20"/>
                <w:u w:val="none"/>
              </w:rPr>
              <w:t>26.7</w:t>
            </w:r>
          </w:p>
        </w:tc>
        <w:tc>
          <w:tcPr>
            <w:tcW w:w="365" w:type="pct"/>
            <w:tcBorders>
              <w:bottom w:val="single" w:sz="4" w:space="0" w:color="auto"/>
            </w:tcBorders>
          </w:tcPr>
          <w:p w:rsidR="00C83ADA" w:rsidRPr="002C743E" w:rsidRDefault="00CE1210" w:rsidP="002C743E">
            <w:pPr>
              <w:pStyle w:val="TableUnitsRow"/>
              <w:rPr>
                <w:rStyle w:val="DraftingNote"/>
                <w:b w:val="0"/>
                <w:color w:val="auto"/>
                <w:sz w:val="20"/>
                <w:u w:val="none"/>
              </w:rPr>
            </w:pPr>
            <w:r>
              <w:rPr>
                <w:rStyle w:val="DraftingNote"/>
                <w:b w:val="0"/>
                <w:color w:val="auto"/>
                <w:sz w:val="20"/>
                <w:u w:val="none"/>
              </w:rPr>
              <w:t>18.2</w:t>
            </w:r>
          </w:p>
        </w:tc>
      </w:tr>
    </w:tbl>
    <w:p w:rsidR="003C65CC" w:rsidRPr="00227D25" w:rsidRDefault="003C65CC" w:rsidP="00725CFC">
      <w:pPr>
        <w:pStyle w:val="Note"/>
        <w:rPr>
          <w:rStyle w:val="NoteLabel"/>
          <w:b w:val="0"/>
        </w:rPr>
      </w:pPr>
      <w:proofErr w:type="spellStart"/>
      <w:r w:rsidRPr="00227D25">
        <w:rPr>
          <w:rStyle w:val="NoteLabel"/>
          <w:b w:val="0"/>
        </w:rPr>
        <w:t>LOTE</w:t>
      </w:r>
      <w:proofErr w:type="spellEnd"/>
      <w:r w:rsidRPr="00227D25">
        <w:rPr>
          <w:rStyle w:val="NoteLabel"/>
          <w:b w:val="0"/>
        </w:rPr>
        <w:t xml:space="preserve"> = language other than English</w:t>
      </w:r>
    </w:p>
    <w:p w:rsidR="003C65CC" w:rsidRPr="00876D97" w:rsidRDefault="003C65CC" w:rsidP="00CE1210">
      <w:pPr>
        <w:pStyle w:val="Note"/>
      </w:pPr>
      <w:r w:rsidRPr="00227D25">
        <w:rPr>
          <w:rStyle w:val="NoteLabel"/>
        </w:rPr>
        <w:t>a</w:t>
      </w:r>
      <w:r w:rsidRPr="00227D25">
        <w:rPr>
          <w:szCs w:val="18"/>
        </w:rPr>
        <w:sym w:font="Symbol" w:char="F020"/>
      </w:r>
      <w:r w:rsidRPr="00227D25">
        <w:t>Refer to the National VET Provider Collection Data Quality Statement for information on data quality.</w:t>
      </w:r>
      <w:r w:rsidRPr="00D87873">
        <w:t xml:space="preserve"> </w:t>
      </w:r>
      <w:r>
        <w:rPr>
          <w:rStyle w:val="NoteLabel"/>
        </w:rPr>
        <w:t>b </w:t>
      </w:r>
      <w:r w:rsidRPr="00456B88">
        <w:t>People</w:t>
      </w:r>
      <w:r>
        <w:t xml:space="preserve"> reported as speaking </w:t>
      </w:r>
      <w:proofErr w:type="spellStart"/>
      <w:r>
        <w:t>LOTE</w:t>
      </w:r>
      <w:proofErr w:type="spellEnd"/>
      <w:r>
        <w:t xml:space="preserve"> at home</w:t>
      </w:r>
      <w:r w:rsidRPr="00456B88">
        <w:t xml:space="preserve"> are defined as those who self-identify on enrolment forms that they </w:t>
      </w:r>
      <w:r>
        <w:t xml:space="preserve">speak </w:t>
      </w:r>
      <w:proofErr w:type="spellStart"/>
      <w:r>
        <w:t>LOTE</w:t>
      </w:r>
      <w:proofErr w:type="spellEnd"/>
      <w:r>
        <w:t xml:space="preserve"> at hom</w:t>
      </w:r>
      <w:r w:rsidR="00297BF4">
        <w:t xml:space="preserve">e. </w:t>
      </w:r>
      <w:r w:rsidR="00297BF4" w:rsidRPr="004F35D6">
        <w:t>The</w:t>
      </w:r>
      <w:r w:rsidR="00297BF4">
        <w:t xml:space="preserve"> non-response rates are presented in the National VET Provider Collection Data Quality Statement.</w:t>
      </w:r>
      <w:r w:rsidR="003F436C">
        <w:t xml:space="preserve"> </w:t>
      </w:r>
      <w:r w:rsidR="003F436C">
        <w:rPr>
          <w:rStyle w:val="NoteLabel"/>
        </w:rPr>
        <w:t>c</w:t>
      </w:r>
      <w:r>
        <w:rPr>
          <w:rStyle w:val="NoteLabel"/>
        </w:rPr>
        <w:t> </w:t>
      </w:r>
      <w:r>
        <w:t>Proportion of population sp</w:t>
      </w:r>
      <w:r w:rsidR="00B54952">
        <w:t xml:space="preserve">eaking </w:t>
      </w:r>
      <w:proofErr w:type="spellStart"/>
      <w:r w:rsidR="00B54952">
        <w:t>LOTE</w:t>
      </w:r>
      <w:proofErr w:type="spellEnd"/>
      <w:r w:rsidR="00B54952">
        <w:t xml:space="preserve"> at home based on 2011</w:t>
      </w:r>
      <w:r>
        <w:t xml:space="preserve"> Ce</w:t>
      </w:r>
      <w:r w:rsidR="001D2206">
        <w:t>nsus of Population and Housing.</w:t>
      </w:r>
    </w:p>
    <w:p w:rsidR="003C65CC" w:rsidRPr="00876D97" w:rsidRDefault="003C65CC" w:rsidP="00725CFC">
      <w:pPr>
        <w:pStyle w:val="Source"/>
      </w:pPr>
      <w:r>
        <w:rPr>
          <w:i/>
        </w:rPr>
        <w:t>Source</w:t>
      </w:r>
      <w:r>
        <w:t xml:space="preserve">: </w:t>
      </w:r>
      <w:r w:rsidRPr="00876D97">
        <w:t xml:space="preserve">NCVER (unpublished) </w:t>
      </w:r>
      <w:r w:rsidRPr="007A19CE">
        <w:t>National VET provider collection</w:t>
      </w:r>
      <w:r w:rsidR="00C83ADA">
        <w:t>; ABS (20</w:t>
      </w:r>
      <w:r w:rsidR="00227D25">
        <w:t>13</w:t>
      </w:r>
      <w:r w:rsidR="00C83ADA">
        <w:t>) 2011</w:t>
      </w:r>
      <w:r w:rsidRPr="00876D97">
        <w:t xml:space="preserve"> </w:t>
      </w:r>
      <w:r w:rsidRPr="00876D97">
        <w:rPr>
          <w:i/>
        </w:rPr>
        <w:t>Census of Population and Housing</w:t>
      </w:r>
      <w:r w:rsidR="000270CE">
        <w:t xml:space="preserve">, </w:t>
      </w:r>
      <w:r w:rsidR="000270CE" w:rsidRPr="00227D25">
        <w:t>Cat. no. 2068.0; table</w:t>
      </w:r>
      <w:r w:rsidR="000270CE">
        <w:t xml:space="preserve"> </w:t>
      </w:r>
      <w:proofErr w:type="spellStart"/>
      <w:r w:rsidR="000270CE">
        <w:t>SWD.C.</w:t>
      </w:r>
      <w:r w:rsidR="002C743E">
        <w:t>16</w:t>
      </w:r>
      <w:proofErr w:type="spellEnd"/>
      <w:r w:rsidR="000270CE">
        <w:t>.</w:t>
      </w:r>
    </w:p>
    <w:p w:rsidR="003C65CC" w:rsidRPr="00E523E0" w:rsidRDefault="003C65CC" w:rsidP="003C65CC">
      <w:pPr>
        <w:pStyle w:val="BodyText"/>
      </w:pPr>
      <w:r>
        <w:t xml:space="preserve">Data on the numbers and proportions of VET students identifying as speaking </w:t>
      </w:r>
      <w:proofErr w:type="spellStart"/>
      <w:r>
        <w:t>LOTE</w:t>
      </w:r>
      <w:proofErr w:type="spellEnd"/>
      <w:r>
        <w:t xml:space="preserve"> at home for </w:t>
      </w:r>
      <w:r w:rsidR="007D7AFE">
        <w:t>2012</w:t>
      </w:r>
      <w:r w:rsidR="000270CE">
        <w:t xml:space="preserve"> are available in table </w:t>
      </w:r>
      <w:proofErr w:type="spellStart"/>
      <w:r w:rsidR="000270CE">
        <w:t>SWD.C.</w:t>
      </w:r>
      <w:r w:rsidR="00197F28">
        <w:t>1</w:t>
      </w:r>
      <w:r w:rsidR="00CE1210">
        <w:t>6</w:t>
      </w:r>
      <w:proofErr w:type="spellEnd"/>
      <w:r>
        <w:t>.</w:t>
      </w:r>
    </w:p>
    <w:p w:rsidR="00AF32BA" w:rsidRDefault="00AF32BA" w:rsidP="00724A07">
      <w:pPr>
        <w:pStyle w:val="Heading5"/>
      </w:pPr>
      <w:r>
        <w:t>Disability</w:t>
      </w:r>
    </w:p>
    <w:p w:rsidR="00AF32BA" w:rsidRDefault="00AF32BA" w:rsidP="00AF32BA">
      <w:pPr>
        <w:pStyle w:val="BodyText"/>
      </w:pPr>
      <w:r>
        <w:t>Participation in VET is particularly important for people with disability. This cohort is seriously disadvantaged when seeking employment, and completion of a vocational education qualification has been shown to have a strong and long lasting effect on improving the probability of gaining or retaining employment</w:t>
      </w:r>
      <w:r w:rsidR="0078312C">
        <w:t xml:space="preserve"> </w:t>
      </w:r>
      <w:r w:rsidR="001D2206">
        <w:t>(</w:t>
      </w:r>
      <w:proofErr w:type="spellStart"/>
      <w:r w:rsidR="001D2206">
        <w:t>Mavromaras</w:t>
      </w:r>
      <w:proofErr w:type="spellEnd"/>
      <w:r w:rsidR="001D2206">
        <w:t xml:space="preserve"> and </w:t>
      </w:r>
      <w:proofErr w:type="spellStart"/>
      <w:r w:rsidR="001D2206">
        <w:t>Polidano</w:t>
      </w:r>
      <w:proofErr w:type="spellEnd"/>
      <w:r w:rsidR="001D2206">
        <w:t xml:space="preserve"> 2011).</w:t>
      </w:r>
    </w:p>
    <w:p w:rsidR="003C65CC" w:rsidRDefault="00AF32BA" w:rsidP="00877AB4">
      <w:pPr>
        <w:pStyle w:val="BodyText"/>
      </w:pPr>
      <w:r w:rsidRPr="00227D25">
        <w:t>Nationally in 201</w:t>
      </w:r>
      <w:r w:rsidR="0000478D" w:rsidRPr="00227D25">
        <w:t>2</w:t>
      </w:r>
      <w:r w:rsidR="00CE1210">
        <w:t>, 6.4</w:t>
      </w:r>
      <w:r w:rsidR="003F436C" w:rsidRPr="00227D25">
        <w:t xml:space="preserve"> </w:t>
      </w:r>
      <w:r w:rsidRPr="00227D25">
        <w:t xml:space="preserve">per cent of VET students identified as having </w:t>
      </w:r>
      <w:r w:rsidR="004859E6">
        <w:t xml:space="preserve">at least one </w:t>
      </w:r>
      <w:r w:rsidRPr="00227D25">
        <w:t>disability</w:t>
      </w:r>
      <w:r>
        <w:t xml:space="preserve"> (table </w:t>
      </w:r>
      <w:r w:rsidR="000049B8">
        <w:t>10</w:t>
      </w:r>
      <w:r>
        <w:t>). Differences in definitions and collection methods mean that available disability rates for the general population cannot be compared to data derived from VET enrolment forms.</w:t>
      </w:r>
    </w:p>
    <w:p w:rsidR="00AF32BA" w:rsidRPr="00AF32BA" w:rsidRDefault="00AF32BA" w:rsidP="00725CFC">
      <w:pPr>
        <w:pStyle w:val="TableTitle"/>
        <w:rPr>
          <w:position w:val="6"/>
          <w:sz w:val="18"/>
        </w:rPr>
      </w:pPr>
      <w:r>
        <w:rPr>
          <w:b w:val="0"/>
        </w:rPr>
        <w:t xml:space="preserve">Table </w:t>
      </w:r>
      <w:bookmarkStart w:id="15" w:name="OLE_LINK14"/>
      <w:r w:rsidR="00503759">
        <w:rPr>
          <w:b w:val="0"/>
          <w:noProof/>
        </w:rPr>
        <w:t>10</w:t>
      </w:r>
      <w:bookmarkEnd w:id="15"/>
      <w:r>
        <w:tab/>
        <w:t xml:space="preserve">VET students, by disability status, </w:t>
      </w:r>
      <w:r w:rsidR="009B6B60">
        <w:t xml:space="preserve">2012 </w:t>
      </w:r>
      <w:r>
        <w:t>(per cent)</w:t>
      </w:r>
      <w:r w:rsidRPr="00AF32BA">
        <w:rPr>
          <w:rStyle w:val="NoteLabel"/>
          <w:b/>
        </w:rPr>
        <w:t>a, b</w:t>
      </w:r>
      <w:r w:rsidR="00554FEE">
        <w:rPr>
          <w:rStyle w:val="NoteLabel"/>
          <w:b/>
        </w:rPr>
        <w:t>, c</w:t>
      </w:r>
      <w:r w:rsidR="006D418A" w:rsidRPr="006D418A">
        <w:rPr>
          <w:rStyle w:val="DraftingNote"/>
        </w:rPr>
        <w:t xml:space="preserve"> </w:t>
      </w:r>
    </w:p>
    <w:tbl>
      <w:tblPr>
        <w:tblW w:w="5000" w:type="pct"/>
        <w:tblCellMar>
          <w:left w:w="0" w:type="dxa"/>
          <w:right w:w="0" w:type="dxa"/>
        </w:tblCellMar>
        <w:tblLook w:val="0000" w:firstRow="0" w:lastRow="0" w:firstColumn="0" w:lastColumn="0" w:noHBand="0" w:noVBand="0"/>
      </w:tblPr>
      <w:tblGrid>
        <w:gridCol w:w="2834"/>
        <w:gridCol w:w="819"/>
        <w:gridCol w:w="642"/>
        <w:gridCol w:w="642"/>
        <w:gridCol w:w="642"/>
        <w:gridCol w:w="642"/>
        <w:gridCol w:w="642"/>
        <w:gridCol w:w="642"/>
        <w:gridCol w:w="642"/>
        <w:gridCol w:w="642"/>
      </w:tblGrid>
      <w:tr w:rsidR="00AF32BA" w:rsidTr="004859E6">
        <w:tc>
          <w:tcPr>
            <w:tcW w:w="1613" w:type="pct"/>
            <w:tcBorders>
              <w:top w:val="single" w:sz="4" w:space="0" w:color="auto"/>
              <w:bottom w:val="single" w:sz="4" w:space="0" w:color="auto"/>
            </w:tcBorders>
          </w:tcPr>
          <w:p w:rsidR="00AF32BA" w:rsidRDefault="00AF32BA" w:rsidP="000159BC">
            <w:pPr>
              <w:pStyle w:val="TableColumnHeading"/>
              <w:pBdr>
                <w:left w:val="single" w:sz="4" w:space="1" w:color="auto"/>
              </w:pBdr>
              <w:jc w:val="left"/>
            </w:pPr>
          </w:p>
        </w:tc>
        <w:tc>
          <w:tcPr>
            <w:tcW w:w="466" w:type="pct"/>
            <w:tcBorders>
              <w:top w:val="single" w:sz="4" w:space="0" w:color="auto"/>
              <w:bottom w:val="single" w:sz="4" w:space="0" w:color="auto"/>
            </w:tcBorders>
          </w:tcPr>
          <w:p w:rsidR="00AF32BA" w:rsidRPr="009277A8" w:rsidRDefault="00AF32BA" w:rsidP="000159BC">
            <w:pPr>
              <w:pStyle w:val="TableColumnHeading"/>
              <w:pBdr>
                <w:left w:val="single" w:sz="4" w:space="1" w:color="auto"/>
              </w:pBdr>
            </w:pPr>
            <w:r>
              <w:t>NSW</w:t>
            </w:r>
          </w:p>
        </w:tc>
        <w:tc>
          <w:tcPr>
            <w:tcW w:w="365" w:type="pct"/>
            <w:tcBorders>
              <w:top w:val="single" w:sz="4" w:space="0" w:color="auto"/>
              <w:bottom w:val="single" w:sz="4" w:space="0" w:color="auto"/>
            </w:tcBorders>
          </w:tcPr>
          <w:p w:rsidR="00AF32BA" w:rsidRPr="009277A8" w:rsidRDefault="00AF32BA" w:rsidP="000159BC">
            <w:pPr>
              <w:pStyle w:val="TableColumnHeading"/>
              <w:pBdr>
                <w:left w:val="single" w:sz="4" w:space="1" w:color="auto"/>
              </w:pBdr>
            </w:pPr>
            <w:r>
              <w:t>Vic</w:t>
            </w:r>
          </w:p>
        </w:tc>
        <w:tc>
          <w:tcPr>
            <w:tcW w:w="365" w:type="pct"/>
            <w:tcBorders>
              <w:top w:val="single" w:sz="4" w:space="0" w:color="auto"/>
              <w:bottom w:val="single" w:sz="4" w:space="0" w:color="auto"/>
            </w:tcBorders>
          </w:tcPr>
          <w:p w:rsidR="00AF32BA" w:rsidRPr="009277A8" w:rsidRDefault="00AF32BA" w:rsidP="000159BC">
            <w:pPr>
              <w:pStyle w:val="TableColumnHeading"/>
              <w:pBdr>
                <w:left w:val="single" w:sz="4" w:space="1" w:color="auto"/>
              </w:pBdr>
            </w:pPr>
            <w:r>
              <w:t>Qld</w:t>
            </w:r>
          </w:p>
        </w:tc>
        <w:tc>
          <w:tcPr>
            <w:tcW w:w="365" w:type="pct"/>
            <w:tcBorders>
              <w:top w:val="single" w:sz="4" w:space="0" w:color="auto"/>
              <w:bottom w:val="single" w:sz="4" w:space="0" w:color="auto"/>
            </w:tcBorders>
          </w:tcPr>
          <w:p w:rsidR="00AF32BA" w:rsidRPr="009277A8" w:rsidRDefault="00AF32BA" w:rsidP="000159BC">
            <w:pPr>
              <w:pStyle w:val="TableColumnHeading"/>
              <w:pBdr>
                <w:left w:val="single" w:sz="4" w:space="1" w:color="auto"/>
              </w:pBdr>
            </w:pPr>
            <w:r>
              <w:t>WA</w:t>
            </w:r>
          </w:p>
        </w:tc>
        <w:tc>
          <w:tcPr>
            <w:tcW w:w="365" w:type="pct"/>
            <w:tcBorders>
              <w:top w:val="single" w:sz="4" w:space="0" w:color="auto"/>
              <w:bottom w:val="single" w:sz="4" w:space="0" w:color="auto"/>
            </w:tcBorders>
          </w:tcPr>
          <w:p w:rsidR="00AF32BA" w:rsidRPr="009277A8" w:rsidRDefault="00AF32BA" w:rsidP="000159BC">
            <w:pPr>
              <w:pStyle w:val="TableColumnHeading"/>
              <w:pBdr>
                <w:left w:val="single" w:sz="4" w:space="1" w:color="auto"/>
              </w:pBdr>
            </w:pPr>
            <w:r>
              <w:t>SA</w:t>
            </w:r>
          </w:p>
        </w:tc>
        <w:tc>
          <w:tcPr>
            <w:tcW w:w="365" w:type="pct"/>
            <w:tcBorders>
              <w:top w:val="single" w:sz="4" w:space="0" w:color="auto"/>
              <w:bottom w:val="single" w:sz="4" w:space="0" w:color="auto"/>
            </w:tcBorders>
          </w:tcPr>
          <w:p w:rsidR="00AF32BA" w:rsidRPr="009277A8" w:rsidRDefault="00AF32BA" w:rsidP="000159BC">
            <w:pPr>
              <w:pStyle w:val="TableColumnHeading"/>
              <w:pBdr>
                <w:left w:val="single" w:sz="4" w:space="1" w:color="auto"/>
              </w:pBdr>
            </w:pPr>
            <w:r>
              <w:t>Tas</w:t>
            </w:r>
          </w:p>
        </w:tc>
        <w:tc>
          <w:tcPr>
            <w:tcW w:w="365" w:type="pct"/>
            <w:tcBorders>
              <w:top w:val="single" w:sz="4" w:space="0" w:color="auto"/>
              <w:bottom w:val="single" w:sz="4" w:space="0" w:color="auto"/>
            </w:tcBorders>
          </w:tcPr>
          <w:p w:rsidR="00AF32BA" w:rsidRPr="009277A8" w:rsidRDefault="00AF32BA" w:rsidP="000159BC">
            <w:pPr>
              <w:pStyle w:val="TableColumnHeading"/>
              <w:pBdr>
                <w:left w:val="single" w:sz="4" w:space="1" w:color="auto"/>
              </w:pBdr>
            </w:pPr>
            <w:r>
              <w:t>ACT</w:t>
            </w:r>
          </w:p>
        </w:tc>
        <w:tc>
          <w:tcPr>
            <w:tcW w:w="365" w:type="pct"/>
            <w:tcBorders>
              <w:top w:val="single" w:sz="4" w:space="0" w:color="auto"/>
              <w:bottom w:val="single" w:sz="4" w:space="0" w:color="auto"/>
            </w:tcBorders>
          </w:tcPr>
          <w:p w:rsidR="00AF32BA" w:rsidRPr="009277A8" w:rsidRDefault="00AF32BA" w:rsidP="000159BC">
            <w:pPr>
              <w:pStyle w:val="TableColumnHeading"/>
              <w:pBdr>
                <w:left w:val="single" w:sz="4" w:space="1" w:color="auto"/>
              </w:pBdr>
            </w:pPr>
            <w:r>
              <w:t>NT</w:t>
            </w:r>
          </w:p>
        </w:tc>
        <w:tc>
          <w:tcPr>
            <w:tcW w:w="365" w:type="pct"/>
            <w:tcBorders>
              <w:top w:val="single" w:sz="4" w:space="0" w:color="auto"/>
              <w:bottom w:val="single" w:sz="4" w:space="0" w:color="auto"/>
            </w:tcBorders>
          </w:tcPr>
          <w:p w:rsidR="00AF32BA" w:rsidRPr="009277A8" w:rsidRDefault="00AF32BA" w:rsidP="000159BC">
            <w:pPr>
              <w:pStyle w:val="TableColumnHeading"/>
              <w:pBdr>
                <w:left w:val="single" w:sz="4" w:space="1" w:color="auto"/>
              </w:pBdr>
              <w:ind w:right="0"/>
            </w:pPr>
            <w:proofErr w:type="spellStart"/>
            <w:r>
              <w:t>Aust</w:t>
            </w:r>
            <w:proofErr w:type="spellEnd"/>
          </w:p>
        </w:tc>
      </w:tr>
      <w:tr w:rsidR="009B6B60" w:rsidRPr="00227D25" w:rsidTr="004859E6">
        <w:tc>
          <w:tcPr>
            <w:tcW w:w="1613" w:type="pct"/>
            <w:vAlign w:val="center"/>
          </w:tcPr>
          <w:p w:rsidR="009B6B60" w:rsidRPr="00227D25" w:rsidRDefault="009B6B60" w:rsidP="003D3E08">
            <w:pPr>
              <w:pStyle w:val="TableBodyText"/>
              <w:ind w:left="0"/>
              <w:jc w:val="left"/>
            </w:pPr>
            <w:r w:rsidRPr="00227D25">
              <w:t xml:space="preserve">Reported as having </w:t>
            </w:r>
            <w:r w:rsidR="004859E6">
              <w:t xml:space="preserve">at least one </w:t>
            </w:r>
            <w:r w:rsidRPr="00227D25">
              <w:t>disability</w:t>
            </w:r>
          </w:p>
        </w:tc>
        <w:tc>
          <w:tcPr>
            <w:tcW w:w="466" w:type="pct"/>
            <w:vAlign w:val="center"/>
          </w:tcPr>
          <w:p w:rsidR="009B6B60" w:rsidRPr="00CE1210" w:rsidRDefault="00CE1210" w:rsidP="00CE1210">
            <w:pPr>
              <w:pStyle w:val="TableUnitsRow"/>
              <w:rPr>
                <w:rStyle w:val="DraftingNote"/>
                <w:b w:val="0"/>
                <w:color w:val="auto"/>
                <w:sz w:val="20"/>
                <w:u w:val="none"/>
              </w:rPr>
            </w:pPr>
            <w:r>
              <w:rPr>
                <w:rStyle w:val="DraftingNote"/>
                <w:b w:val="0"/>
                <w:color w:val="auto"/>
                <w:sz w:val="20"/>
                <w:u w:val="none"/>
              </w:rPr>
              <w:t>7.1</w:t>
            </w:r>
          </w:p>
        </w:tc>
        <w:tc>
          <w:tcPr>
            <w:tcW w:w="365" w:type="pct"/>
            <w:vAlign w:val="center"/>
          </w:tcPr>
          <w:p w:rsidR="009B6B60" w:rsidRPr="00CE1210" w:rsidRDefault="00CE1210" w:rsidP="00CE1210">
            <w:pPr>
              <w:pStyle w:val="TableUnitsRow"/>
              <w:rPr>
                <w:rStyle w:val="DraftingNote"/>
                <w:b w:val="0"/>
                <w:color w:val="auto"/>
                <w:sz w:val="20"/>
                <w:u w:val="none"/>
              </w:rPr>
            </w:pPr>
            <w:r>
              <w:rPr>
                <w:rStyle w:val="DraftingNote"/>
                <w:b w:val="0"/>
                <w:color w:val="auto"/>
                <w:sz w:val="20"/>
                <w:u w:val="none"/>
              </w:rPr>
              <w:t>6.6</w:t>
            </w:r>
          </w:p>
        </w:tc>
        <w:tc>
          <w:tcPr>
            <w:tcW w:w="365" w:type="pct"/>
            <w:vAlign w:val="center"/>
          </w:tcPr>
          <w:p w:rsidR="009B6B60" w:rsidRPr="00CE1210" w:rsidRDefault="00CE1210" w:rsidP="00CE1210">
            <w:pPr>
              <w:pStyle w:val="TableUnitsRow"/>
              <w:rPr>
                <w:rStyle w:val="DraftingNote"/>
                <w:b w:val="0"/>
                <w:color w:val="auto"/>
                <w:sz w:val="20"/>
                <w:u w:val="none"/>
              </w:rPr>
            </w:pPr>
            <w:r>
              <w:rPr>
                <w:rStyle w:val="DraftingNote"/>
                <w:b w:val="0"/>
                <w:color w:val="auto"/>
                <w:sz w:val="20"/>
                <w:u w:val="none"/>
              </w:rPr>
              <w:t>5.2</w:t>
            </w:r>
          </w:p>
        </w:tc>
        <w:tc>
          <w:tcPr>
            <w:tcW w:w="365" w:type="pct"/>
            <w:vAlign w:val="center"/>
          </w:tcPr>
          <w:p w:rsidR="009B6B60" w:rsidRPr="00CE1210" w:rsidRDefault="00CE1210" w:rsidP="00CE1210">
            <w:pPr>
              <w:pStyle w:val="TableUnitsRow"/>
              <w:rPr>
                <w:rStyle w:val="DraftingNote"/>
                <w:b w:val="0"/>
                <w:color w:val="auto"/>
                <w:sz w:val="20"/>
                <w:u w:val="none"/>
              </w:rPr>
            </w:pPr>
            <w:r>
              <w:rPr>
                <w:rStyle w:val="DraftingNote"/>
                <w:b w:val="0"/>
                <w:color w:val="auto"/>
                <w:sz w:val="20"/>
                <w:u w:val="none"/>
              </w:rPr>
              <w:t>4.9</w:t>
            </w:r>
          </w:p>
        </w:tc>
        <w:tc>
          <w:tcPr>
            <w:tcW w:w="365" w:type="pct"/>
            <w:vAlign w:val="center"/>
          </w:tcPr>
          <w:p w:rsidR="009B6B60" w:rsidRPr="00CE1210" w:rsidRDefault="00CE1210" w:rsidP="00CE1210">
            <w:pPr>
              <w:pStyle w:val="TableUnitsRow"/>
              <w:rPr>
                <w:rStyle w:val="DraftingNote"/>
                <w:b w:val="0"/>
                <w:color w:val="auto"/>
                <w:sz w:val="20"/>
                <w:u w:val="none"/>
              </w:rPr>
            </w:pPr>
            <w:r>
              <w:rPr>
                <w:rStyle w:val="DraftingNote"/>
                <w:b w:val="0"/>
                <w:color w:val="auto"/>
                <w:sz w:val="20"/>
                <w:u w:val="none"/>
              </w:rPr>
              <w:t>6.6</w:t>
            </w:r>
          </w:p>
        </w:tc>
        <w:tc>
          <w:tcPr>
            <w:tcW w:w="365" w:type="pct"/>
            <w:vAlign w:val="center"/>
          </w:tcPr>
          <w:p w:rsidR="009B6B60" w:rsidRPr="00CE1210" w:rsidRDefault="00CE1210" w:rsidP="00CE1210">
            <w:pPr>
              <w:pStyle w:val="TableUnitsRow"/>
              <w:rPr>
                <w:rStyle w:val="DraftingNote"/>
                <w:b w:val="0"/>
                <w:color w:val="auto"/>
                <w:sz w:val="20"/>
                <w:u w:val="none"/>
              </w:rPr>
            </w:pPr>
            <w:r>
              <w:rPr>
                <w:rStyle w:val="DraftingNote"/>
                <w:b w:val="0"/>
                <w:color w:val="auto"/>
                <w:sz w:val="20"/>
                <w:u w:val="none"/>
              </w:rPr>
              <w:t>9.3</w:t>
            </w:r>
          </w:p>
        </w:tc>
        <w:tc>
          <w:tcPr>
            <w:tcW w:w="365" w:type="pct"/>
            <w:vAlign w:val="center"/>
          </w:tcPr>
          <w:p w:rsidR="009B6B60" w:rsidRPr="00CE1210" w:rsidRDefault="00CE1210" w:rsidP="00CE1210">
            <w:pPr>
              <w:pStyle w:val="TableUnitsRow"/>
              <w:rPr>
                <w:rStyle w:val="DraftingNote"/>
                <w:b w:val="0"/>
                <w:color w:val="auto"/>
                <w:sz w:val="20"/>
                <w:u w:val="none"/>
              </w:rPr>
            </w:pPr>
            <w:r>
              <w:rPr>
                <w:rStyle w:val="DraftingNote"/>
                <w:b w:val="0"/>
                <w:color w:val="auto"/>
                <w:sz w:val="20"/>
                <w:u w:val="none"/>
              </w:rPr>
              <w:t>6.3</w:t>
            </w:r>
          </w:p>
        </w:tc>
        <w:tc>
          <w:tcPr>
            <w:tcW w:w="365" w:type="pct"/>
            <w:vAlign w:val="center"/>
          </w:tcPr>
          <w:p w:rsidR="009B6B60" w:rsidRPr="00CE1210" w:rsidRDefault="00CE1210" w:rsidP="00CE1210">
            <w:pPr>
              <w:pStyle w:val="TableUnitsRow"/>
              <w:rPr>
                <w:rStyle w:val="DraftingNote"/>
                <w:b w:val="0"/>
                <w:color w:val="auto"/>
                <w:sz w:val="20"/>
                <w:u w:val="none"/>
              </w:rPr>
            </w:pPr>
            <w:r>
              <w:rPr>
                <w:rStyle w:val="DraftingNote"/>
                <w:b w:val="0"/>
                <w:color w:val="auto"/>
                <w:sz w:val="20"/>
                <w:u w:val="none"/>
              </w:rPr>
              <w:t>5.2</w:t>
            </w:r>
          </w:p>
        </w:tc>
        <w:tc>
          <w:tcPr>
            <w:tcW w:w="365" w:type="pct"/>
            <w:vAlign w:val="center"/>
          </w:tcPr>
          <w:p w:rsidR="009B6B60" w:rsidRPr="00CE1210" w:rsidRDefault="00CE1210" w:rsidP="003E27DF">
            <w:pPr>
              <w:pStyle w:val="TableUnitsRow"/>
              <w:ind w:right="0"/>
              <w:rPr>
                <w:rStyle w:val="DraftingNote"/>
                <w:b w:val="0"/>
                <w:color w:val="auto"/>
                <w:sz w:val="20"/>
                <w:u w:val="none"/>
              </w:rPr>
            </w:pPr>
            <w:r>
              <w:rPr>
                <w:rStyle w:val="DraftingNote"/>
                <w:b w:val="0"/>
                <w:color w:val="auto"/>
                <w:sz w:val="20"/>
                <w:u w:val="none"/>
              </w:rPr>
              <w:t>6.4</w:t>
            </w:r>
          </w:p>
        </w:tc>
      </w:tr>
      <w:tr w:rsidR="009B6B60" w:rsidRPr="00094C24" w:rsidTr="004859E6">
        <w:tc>
          <w:tcPr>
            <w:tcW w:w="1613" w:type="pct"/>
            <w:tcBorders>
              <w:bottom w:val="single" w:sz="4" w:space="0" w:color="auto"/>
            </w:tcBorders>
            <w:vAlign w:val="center"/>
          </w:tcPr>
          <w:p w:rsidR="009B6B60" w:rsidRPr="00227D25" w:rsidRDefault="009B6B60" w:rsidP="003D3E08">
            <w:pPr>
              <w:pStyle w:val="TableBodyText"/>
              <w:ind w:left="0"/>
              <w:jc w:val="left"/>
            </w:pPr>
            <w:r w:rsidRPr="00227D25">
              <w:t>Reported as not having disability</w:t>
            </w:r>
          </w:p>
        </w:tc>
        <w:tc>
          <w:tcPr>
            <w:tcW w:w="466" w:type="pct"/>
            <w:tcBorders>
              <w:bottom w:val="single" w:sz="4" w:space="0" w:color="auto"/>
            </w:tcBorders>
            <w:vAlign w:val="center"/>
          </w:tcPr>
          <w:p w:rsidR="009B6B60" w:rsidRPr="00CE1210" w:rsidRDefault="00CE1210" w:rsidP="00CE1210">
            <w:pPr>
              <w:pStyle w:val="TableUnitsRow"/>
              <w:rPr>
                <w:rStyle w:val="DraftingNote"/>
                <w:b w:val="0"/>
                <w:color w:val="auto"/>
                <w:sz w:val="20"/>
                <w:u w:val="none"/>
              </w:rPr>
            </w:pPr>
            <w:r>
              <w:rPr>
                <w:rStyle w:val="DraftingNote"/>
                <w:b w:val="0"/>
                <w:color w:val="auto"/>
                <w:sz w:val="20"/>
                <w:u w:val="none"/>
              </w:rPr>
              <w:t>82.6</w:t>
            </w:r>
          </w:p>
        </w:tc>
        <w:tc>
          <w:tcPr>
            <w:tcW w:w="365" w:type="pct"/>
            <w:tcBorders>
              <w:bottom w:val="single" w:sz="4" w:space="0" w:color="auto"/>
            </w:tcBorders>
            <w:vAlign w:val="center"/>
          </w:tcPr>
          <w:p w:rsidR="009B6B60" w:rsidRPr="00CE1210" w:rsidRDefault="00CE1210" w:rsidP="00CE1210">
            <w:pPr>
              <w:pStyle w:val="TableUnitsRow"/>
              <w:rPr>
                <w:rStyle w:val="DraftingNote"/>
                <w:b w:val="0"/>
                <w:color w:val="auto"/>
                <w:sz w:val="20"/>
                <w:u w:val="none"/>
              </w:rPr>
            </w:pPr>
            <w:r>
              <w:rPr>
                <w:rStyle w:val="DraftingNote"/>
                <w:b w:val="0"/>
                <w:color w:val="auto"/>
                <w:sz w:val="20"/>
                <w:u w:val="none"/>
              </w:rPr>
              <w:t>93.4</w:t>
            </w:r>
          </w:p>
        </w:tc>
        <w:tc>
          <w:tcPr>
            <w:tcW w:w="365" w:type="pct"/>
            <w:tcBorders>
              <w:bottom w:val="single" w:sz="4" w:space="0" w:color="auto"/>
            </w:tcBorders>
            <w:vAlign w:val="center"/>
          </w:tcPr>
          <w:p w:rsidR="009B6B60" w:rsidRPr="00CE1210" w:rsidRDefault="00CE1210" w:rsidP="00CE1210">
            <w:pPr>
              <w:pStyle w:val="TableUnitsRow"/>
              <w:rPr>
                <w:rStyle w:val="DraftingNote"/>
                <w:b w:val="0"/>
                <w:color w:val="auto"/>
                <w:sz w:val="20"/>
                <w:u w:val="none"/>
              </w:rPr>
            </w:pPr>
            <w:r>
              <w:rPr>
                <w:rStyle w:val="DraftingNote"/>
                <w:b w:val="0"/>
                <w:color w:val="auto"/>
                <w:sz w:val="20"/>
                <w:u w:val="none"/>
              </w:rPr>
              <w:t>56.6</w:t>
            </w:r>
          </w:p>
        </w:tc>
        <w:tc>
          <w:tcPr>
            <w:tcW w:w="365" w:type="pct"/>
            <w:tcBorders>
              <w:bottom w:val="single" w:sz="4" w:space="0" w:color="auto"/>
            </w:tcBorders>
            <w:vAlign w:val="center"/>
          </w:tcPr>
          <w:p w:rsidR="009B6B60" w:rsidRPr="00CE1210" w:rsidRDefault="00CE1210" w:rsidP="00CE1210">
            <w:pPr>
              <w:pStyle w:val="TableUnitsRow"/>
              <w:rPr>
                <w:rStyle w:val="DraftingNote"/>
                <w:b w:val="0"/>
                <w:color w:val="auto"/>
                <w:sz w:val="20"/>
                <w:u w:val="none"/>
              </w:rPr>
            </w:pPr>
            <w:r>
              <w:rPr>
                <w:rStyle w:val="DraftingNote"/>
                <w:b w:val="0"/>
                <w:color w:val="auto"/>
                <w:sz w:val="20"/>
                <w:u w:val="none"/>
              </w:rPr>
              <w:t>76.5</w:t>
            </w:r>
          </w:p>
        </w:tc>
        <w:tc>
          <w:tcPr>
            <w:tcW w:w="365" w:type="pct"/>
            <w:tcBorders>
              <w:bottom w:val="single" w:sz="4" w:space="0" w:color="auto"/>
            </w:tcBorders>
            <w:vAlign w:val="center"/>
          </w:tcPr>
          <w:p w:rsidR="009B6B60" w:rsidRPr="00CE1210" w:rsidRDefault="00CE1210" w:rsidP="00CE1210">
            <w:pPr>
              <w:pStyle w:val="TableUnitsRow"/>
              <w:rPr>
                <w:rStyle w:val="DraftingNote"/>
                <w:b w:val="0"/>
                <w:color w:val="auto"/>
                <w:sz w:val="20"/>
                <w:u w:val="none"/>
              </w:rPr>
            </w:pPr>
            <w:r>
              <w:rPr>
                <w:rStyle w:val="DraftingNote"/>
                <w:b w:val="0"/>
                <w:color w:val="auto"/>
                <w:sz w:val="20"/>
                <w:u w:val="none"/>
              </w:rPr>
              <w:t>93.4</w:t>
            </w:r>
          </w:p>
        </w:tc>
        <w:tc>
          <w:tcPr>
            <w:tcW w:w="365" w:type="pct"/>
            <w:tcBorders>
              <w:bottom w:val="single" w:sz="4" w:space="0" w:color="auto"/>
            </w:tcBorders>
            <w:vAlign w:val="center"/>
          </w:tcPr>
          <w:p w:rsidR="009B6B60" w:rsidRPr="00CE1210" w:rsidRDefault="00CE1210" w:rsidP="00CE1210">
            <w:pPr>
              <w:pStyle w:val="TableUnitsRow"/>
              <w:rPr>
                <w:rStyle w:val="DraftingNote"/>
                <w:b w:val="0"/>
                <w:color w:val="auto"/>
                <w:sz w:val="20"/>
                <w:u w:val="none"/>
              </w:rPr>
            </w:pPr>
            <w:r>
              <w:rPr>
                <w:rStyle w:val="DraftingNote"/>
                <w:b w:val="0"/>
                <w:color w:val="auto"/>
                <w:sz w:val="20"/>
                <w:u w:val="none"/>
              </w:rPr>
              <w:t>88.7</w:t>
            </w:r>
          </w:p>
        </w:tc>
        <w:tc>
          <w:tcPr>
            <w:tcW w:w="365" w:type="pct"/>
            <w:tcBorders>
              <w:bottom w:val="single" w:sz="4" w:space="0" w:color="auto"/>
            </w:tcBorders>
            <w:vAlign w:val="center"/>
          </w:tcPr>
          <w:p w:rsidR="009B6B60" w:rsidRPr="00CE1210" w:rsidRDefault="00CE1210" w:rsidP="00CE1210">
            <w:pPr>
              <w:pStyle w:val="TableUnitsRow"/>
              <w:rPr>
                <w:rStyle w:val="DraftingNote"/>
                <w:b w:val="0"/>
                <w:color w:val="auto"/>
                <w:sz w:val="20"/>
                <w:u w:val="none"/>
              </w:rPr>
            </w:pPr>
            <w:r>
              <w:rPr>
                <w:rStyle w:val="DraftingNote"/>
                <w:b w:val="0"/>
                <w:color w:val="auto"/>
                <w:sz w:val="20"/>
                <w:u w:val="none"/>
              </w:rPr>
              <w:t>92.0</w:t>
            </w:r>
          </w:p>
        </w:tc>
        <w:tc>
          <w:tcPr>
            <w:tcW w:w="365" w:type="pct"/>
            <w:tcBorders>
              <w:bottom w:val="single" w:sz="4" w:space="0" w:color="auto"/>
            </w:tcBorders>
            <w:vAlign w:val="center"/>
          </w:tcPr>
          <w:p w:rsidR="009B6B60" w:rsidRPr="00CE1210" w:rsidRDefault="00CE1210" w:rsidP="00CE1210">
            <w:pPr>
              <w:pStyle w:val="TableUnitsRow"/>
              <w:rPr>
                <w:rStyle w:val="DraftingNote"/>
                <w:b w:val="0"/>
                <w:color w:val="auto"/>
                <w:sz w:val="20"/>
                <w:u w:val="none"/>
              </w:rPr>
            </w:pPr>
            <w:r>
              <w:rPr>
                <w:rStyle w:val="DraftingNote"/>
                <w:b w:val="0"/>
                <w:color w:val="auto"/>
                <w:sz w:val="20"/>
                <w:u w:val="none"/>
              </w:rPr>
              <w:t>89.8</w:t>
            </w:r>
          </w:p>
        </w:tc>
        <w:tc>
          <w:tcPr>
            <w:tcW w:w="365" w:type="pct"/>
            <w:tcBorders>
              <w:bottom w:val="single" w:sz="4" w:space="0" w:color="auto"/>
            </w:tcBorders>
            <w:vAlign w:val="center"/>
          </w:tcPr>
          <w:p w:rsidR="009B6B60" w:rsidRPr="00CE1210" w:rsidRDefault="00CE1210" w:rsidP="003E27DF">
            <w:pPr>
              <w:pStyle w:val="TableUnitsRow"/>
              <w:ind w:right="0"/>
              <w:rPr>
                <w:rStyle w:val="DraftingNote"/>
                <w:b w:val="0"/>
                <w:color w:val="auto"/>
                <w:sz w:val="20"/>
                <w:u w:val="none"/>
              </w:rPr>
            </w:pPr>
            <w:r>
              <w:rPr>
                <w:rStyle w:val="DraftingNote"/>
                <w:b w:val="0"/>
                <w:color w:val="auto"/>
                <w:sz w:val="20"/>
                <w:u w:val="none"/>
              </w:rPr>
              <w:t>82.9</w:t>
            </w:r>
          </w:p>
        </w:tc>
      </w:tr>
    </w:tbl>
    <w:p w:rsidR="00A55B26" w:rsidRDefault="000E3781" w:rsidP="00CE1210">
      <w:pPr>
        <w:pStyle w:val="Note"/>
        <w:rPr>
          <w:i/>
        </w:rPr>
      </w:pPr>
      <w:r>
        <w:rPr>
          <w:rStyle w:val="NoteLabel"/>
        </w:rPr>
        <w:t>a</w:t>
      </w:r>
      <w:r w:rsidR="00AF32BA">
        <w:t xml:space="preserve"> </w:t>
      </w:r>
      <w:r w:rsidR="00AF32BA" w:rsidRPr="00AF32BA">
        <w:t xml:space="preserve">Refer to the National VET Provider Collection Data Quality Statement for information on data quality. </w:t>
      </w:r>
      <w:r w:rsidR="00AF32BA" w:rsidRPr="00AF32BA">
        <w:rPr>
          <w:b/>
          <w:position w:val="6"/>
        </w:rPr>
        <w:t>b</w:t>
      </w:r>
      <w:r w:rsidR="00AF32BA" w:rsidRPr="00AF32BA">
        <w:t> </w:t>
      </w:r>
      <w:r w:rsidR="00554FEE">
        <w:t xml:space="preserve">Data include both government funded and non-government funded VET students. </w:t>
      </w:r>
      <w:r w:rsidR="00554FEE" w:rsidRPr="00554FEE">
        <w:rPr>
          <w:rStyle w:val="NoteLabel"/>
        </w:rPr>
        <w:t>c</w:t>
      </w:r>
      <w:r w:rsidR="00554FEE">
        <w:t xml:space="preserve"> </w:t>
      </w:r>
      <w:r w:rsidR="00AF32BA" w:rsidRPr="00AF32BA">
        <w:t>People reported as having disability are defined as those who self-identify on enrolment forms that they have a disability, impairment or long-term condition</w:t>
      </w:r>
      <w:r w:rsidR="00AF32BA" w:rsidRPr="000A4307">
        <w:t xml:space="preserve">. Not all </w:t>
      </w:r>
      <w:r w:rsidR="00AF32BA" w:rsidRPr="00AF32BA">
        <w:t>students respond to the relevant question on the enrolment form.</w:t>
      </w:r>
      <w:r w:rsidR="00A55B26">
        <w:t xml:space="preserve"> </w:t>
      </w:r>
      <w:r w:rsidR="00A55B26" w:rsidRPr="004F35D6">
        <w:t>The</w:t>
      </w:r>
      <w:r w:rsidR="00A55B26">
        <w:t xml:space="preserve"> non</w:t>
      </w:r>
      <w:r w:rsidR="00651721">
        <w:noBreakHyphen/>
      </w:r>
      <w:r w:rsidR="00A55B26">
        <w:t>response rates are presented in the National VET Provider Collection Data Quality Statement</w:t>
      </w:r>
      <w:r w:rsidR="00A55B26">
        <w:rPr>
          <w:i/>
        </w:rPr>
        <w:t>.</w:t>
      </w:r>
    </w:p>
    <w:p w:rsidR="00AF32BA" w:rsidRPr="00AF32BA" w:rsidRDefault="00AF32BA" w:rsidP="00CE1210">
      <w:pPr>
        <w:pStyle w:val="Note"/>
      </w:pPr>
      <w:r w:rsidRPr="00AF32BA">
        <w:rPr>
          <w:i/>
        </w:rPr>
        <w:t>Source</w:t>
      </w:r>
      <w:r w:rsidRPr="00AF32BA">
        <w:t>: NCVER (unpublished) N</w:t>
      </w:r>
      <w:r w:rsidR="00CE1210">
        <w:t xml:space="preserve">ational VET provider collection; table </w:t>
      </w:r>
      <w:proofErr w:type="spellStart"/>
      <w:r w:rsidR="00CE1210">
        <w:t>SWD.C.17</w:t>
      </w:r>
      <w:proofErr w:type="spellEnd"/>
      <w:r w:rsidR="00CE1210">
        <w:t>.</w:t>
      </w:r>
    </w:p>
    <w:p w:rsidR="00AF32BA" w:rsidRDefault="00AF32BA" w:rsidP="00AF32BA">
      <w:pPr>
        <w:pStyle w:val="BodyText"/>
      </w:pPr>
      <w:r>
        <w:t xml:space="preserve">Data on the numbers and proportions of VET students’ self-identified disability status for </w:t>
      </w:r>
      <w:r w:rsidR="007D7AFE">
        <w:t xml:space="preserve">2012 </w:t>
      </w:r>
      <w:r>
        <w:t xml:space="preserve">are available in table </w:t>
      </w:r>
      <w:proofErr w:type="spellStart"/>
      <w:r>
        <w:t>SWD.C.</w:t>
      </w:r>
      <w:r w:rsidR="00CE1210">
        <w:t>17</w:t>
      </w:r>
      <w:proofErr w:type="spellEnd"/>
      <w:r>
        <w:t>.</w:t>
      </w:r>
    </w:p>
    <w:p w:rsidR="00AF32BA" w:rsidRDefault="00AF32BA" w:rsidP="00724A07">
      <w:pPr>
        <w:pStyle w:val="Heading5"/>
      </w:pPr>
      <w:r>
        <w:t>Remoteness</w:t>
      </w:r>
    </w:p>
    <w:p w:rsidR="00D9280C" w:rsidRDefault="00AF32BA" w:rsidP="00D9280C">
      <w:pPr>
        <w:pStyle w:val="BodyText"/>
      </w:pPr>
      <w:r>
        <w:t xml:space="preserve">Young people living in rural areas have higher rates of participation in VET than those in more urban settings. Possible explanations for this include </w:t>
      </w:r>
      <w:r w:rsidR="001B13DF">
        <w:t xml:space="preserve">the structure of industries in rural areas providing more opportunities for apprenticeships, </w:t>
      </w:r>
      <w:r>
        <w:t xml:space="preserve">a greater VET presence (compared to universities) in rural and regional areas, and the social and financial costs associated with leaving rural areas to pursue higher education (Hillman, Marks and McKenzie 2002). </w:t>
      </w:r>
      <w:r w:rsidR="00D9280C">
        <w:t xml:space="preserve">Results from this study were not controlled for the potential differences in population </w:t>
      </w:r>
      <w:r w:rsidR="001B13DF">
        <w:t>characteristics</w:t>
      </w:r>
      <w:r w:rsidR="00D9280C">
        <w:t xml:space="preserve"> between rural and urban areas, and differences in </w:t>
      </w:r>
      <w:proofErr w:type="spellStart"/>
      <w:r w:rsidR="00D9280C">
        <w:t>socio-economic</w:t>
      </w:r>
      <w:proofErr w:type="spellEnd"/>
      <w:r w:rsidR="00D9280C">
        <w:t xml:space="preserve"> background, language background and Indigenous status could </w:t>
      </w:r>
      <w:r w:rsidR="001B13DF">
        <w:t>at least partly explain the observed</w:t>
      </w:r>
      <w:r w:rsidR="00D9280C">
        <w:t xml:space="preserve"> </w:t>
      </w:r>
      <w:r w:rsidR="001B13DF">
        <w:t>differences</w:t>
      </w:r>
      <w:r w:rsidR="00D9280C">
        <w:t>.</w:t>
      </w:r>
    </w:p>
    <w:p w:rsidR="00AF32BA" w:rsidRDefault="00AF32BA" w:rsidP="00AF32BA">
      <w:pPr>
        <w:pStyle w:val="BodyText"/>
      </w:pPr>
      <w:r>
        <w:t xml:space="preserve">The following table provides information on VET participation rates by region for </w:t>
      </w:r>
      <w:r w:rsidR="0000478D">
        <w:t xml:space="preserve">2012 </w:t>
      </w:r>
      <w:r>
        <w:t xml:space="preserve">(table </w:t>
      </w:r>
      <w:r w:rsidR="000049B8">
        <w:t>11</w:t>
      </w:r>
      <w:r w:rsidR="001D2206">
        <w:t>).</w:t>
      </w:r>
    </w:p>
    <w:p w:rsidR="00AF32BA" w:rsidRDefault="00AF32BA" w:rsidP="00725CFC">
      <w:pPr>
        <w:pStyle w:val="TableTitle"/>
      </w:pPr>
      <w:r>
        <w:rPr>
          <w:b w:val="0"/>
        </w:rPr>
        <w:t xml:space="preserve">Table </w:t>
      </w:r>
      <w:bookmarkStart w:id="16" w:name="OLE_LINK15"/>
      <w:r w:rsidR="00503759">
        <w:rPr>
          <w:b w:val="0"/>
          <w:noProof/>
        </w:rPr>
        <w:t>11</w:t>
      </w:r>
      <w:bookmarkEnd w:id="16"/>
      <w:r>
        <w:tab/>
        <w:t xml:space="preserve">VET participation rates by remoteness classification, </w:t>
      </w:r>
      <w:r w:rsidR="007D7AFE">
        <w:t xml:space="preserve">2012 </w:t>
      </w:r>
      <w:r>
        <w:t>(per</w:t>
      </w:r>
      <w:r w:rsidR="003D5D07">
        <w:t> </w:t>
      </w:r>
      <w:r>
        <w:t>cent)</w:t>
      </w:r>
      <w:r w:rsidRPr="00AF32BA">
        <w:rPr>
          <w:rStyle w:val="NoteLabel"/>
          <w:b/>
        </w:rPr>
        <w:t>a, b, c, d</w:t>
      </w:r>
      <w:r w:rsidR="00A50096">
        <w:rPr>
          <w:rStyle w:val="NoteLabel"/>
          <w:b/>
        </w:rPr>
        <w:t>, e</w:t>
      </w:r>
      <w:r w:rsidR="00075D05">
        <w:rPr>
          <w:rStyle w:val="NoteLabel"/>
          <w:b/>
        </w:rPr>
        <w:t>, f</w:t>
      </w:r>
    </w:p>
    <w:tbl>
      <w:tblPr>
        <w:tblW w:w="5000" w:type="pct"/>
        <w:jc w:val="right"/>
        <w:tblCellMar>
          <w:left w:w="0" w:type="dxa"/>
          <w:right w:w="0" w:type="dxa"/>
        </w:tblCellMar>
        <w:tblLook w:val="0000" w:firstRow="0" w:lastRow="0" w:firstColumn="0" w:lastColumn="0" w:noHBand="0" w:noVBand="0"/>
      </w:tblPr>
      <w:tblGrid>
        <w:gridCol w:w="2520"/>
        <w:gridCol w:w="698"/>
        <w:gridCol w:w="696"/>
        <w:gridCol w:w="698"/>
        <w:gridCol w:w="696"/>
        <w:gridCol w:w="698"/>
        <w:gridCol w:w="696"/>
        <w:gridCol w:w="698"/>
        <w:gridCol w:w="696"/>
        <w:gridCol w:w="693"/>
      </w:tblGrid>
      <w:tr w:rsidR="00AF32BA" w:rsidRPr="00A030B4" w:rsidTr="00AF32BA">
        <w:trPr>
          <w:jc w:val="right"/>
        </w:trPr>
        <w:tc>
          <w:tcPr>
            <w:tcW w:w="1434" w:type="pct"/>
            <w:tcBorders>
              <w:top w:val="single" w:sz="6" w:space="0" w:color="auto"/>
              <w:bottom w:val="single" w:sz="6" w:space="0" w:color="auto"/>
            </w:tcBorders>
            <w:vAlign w:val="bottom"/>
          </w:tcPr>
          <w:p w:rsidR="00AF32BA" w:rsidRPr="00A030B4" w:rsidRDefault="00AF32BA" w:rsidP="000159BC">
            <w:pPr>
              <w:pStyle w:val="TableColumnHeading"/>
              <w:pBdr>
                <w:left w:val="single" w:sz="4" w:space="1" w:color="auto"/>
              </w:pBdr>
            </w:pPr>
          </w:p>
        </w:tc>
        <w:tc>
          <w:tcPr>
            <w:tcW w:w="397" w:type="pct"/>
            <w:tcBorders>
              <w:top w:val="single" w:sz="6" w:space="0" w:color="auto"/>
              <w:bottom w:val="single" w:sz="6" w:space="0" w:color="auto"/>
            </w:tcBorders>
            <w:vAlign w:val="bottom"/>
          </w:tcPr>
          <w:p w:rsidR="00AF32BA" w:rsidRPr="00A030B4" w:rsidRDefault="00AF32BA" w:rsidP="000159BC">
            <w:pPr>
              <w:pStyle w:val="TableColumnHeading"/>
              <w:pBdr>
                <w:left w:val="single" w:sz="4" w:space="1" w:color="auto"/>
              </w:pBdr>
            </w:pPr>
            <w:r w:rsidRPr="00A030B4">
              <w:t>NSW</w:t>
            </w:r>
          </w:p>
        </w:tc>
        <w:tc>
          <w:tcPr>
            <w:tcW w:w="396" w:type="pct"/>
            <w:tcBorders>
              <w:top w:val="single" w:sz="6" w:space="0" w:color="auto"/>
              <w:bottom w:val="single" w:sz="6" w:space="0" w:color="auto"/>
            </w:tcBorders>
            <w:vAlign w:val="bottom"/>
          </w:tcPr>
          <w:p w:rsidR="00AF32BA" w:rsidRPr="00A030B4" w:rsidRDefault="00AF32BA" w:rsidP="000159BC">
            <w:pPr>
              <w:pStyle w:val="TableColumnHeading"/>
              <w:pBdr>
                <w:left w:val="single" w:sz="4" w:space="1" w:color="auto"/>
              </w:pBdr>
              <w:rPr>
                <w:rStyle w:val="NoteLabel"/>
              </w:rPr>
            </w:pPr>
            <w:r w:rsidRPr="00A030B4">
              <w:t>Vic</w:t>
            </w:r>
          </w:p>
        </w:tc>
        <w:tc>
          <w:tcPr>
            <w:tcW w:w="397" w:type="pct"/>
            <w:tcBorders>
              <w:top w:val="single" w:sz="6" w:space="0" w:color="auto"/>
              <w:bottom w:val="single" w:sz="6" w:space="0" w:color="auto"/>
            </w:tcBorders>
            <w:vAlign w:val="bottom"/>
          </w:tcPr>
          <w:p w:rsidR="00AF32BA" w:rsidRPr="00A030B4" w:rsidRDefault="00AF32BA" w:rsidP="000159BC">
            <w:pPr>
              <w:pStyle w:val="TableColumnHeading"/>
              <w:pBdr>
                <w:left w:val="single" w:sz="4" w:space="1" w:color="auto"/>
              </w:pBdr>
            </w:pPr>
            <w:r w:rsidRPr="00A030B4">
              <w:t>Qld</w:t>
            </w:r>
          </w:p>
        </w:tc>
        <w:tc>
          <w:tcPr>
            <w:tcW w:w="396" w:type="pct"/>
            <w:tcBorders>
              <w:top w:val="single" w:sz="6" w:space="0" w:color="auto"/>
              <w:bottom w:val="single" w:sz="6" w:space="0" w:color="auto"/>
            </w:tcBorders>
            <w:vAlign w:val="bottom"/>
          </w:tcPr>
          <w:p w:rsidR="00AF32BA" w:rsidRPr="00A030B4" w:rsidRDefault="00AF32BA" w:rsidP="000D15C5">
            <w:pPr>
              <w:pStyle w:val="TableColumnHeading"/>
              <w:pBdr>
                <w:left w:val="single" w:sz="4" w:space="1" w:color="auto"/>
              </w:pBdr>
            </w:pPr>
            <w:r w:rsidRPr="00A030B4">
              <w:t>WA</w:t>
            </w:r>
          </w:p>
        </w:tc>
        <w:tc>
          <w:tcPr>
            <w:tcW w:w="397" w:type="pct"/>
            <w:tcBorders>
              <w:top w:val="single" w:sz="6" w:space="0" w:color="auto"/>
              <w:bottom w:val="single" w:sz="6" w:space="0" w:color="auto"/>
            </w:tcBorders>
            <w:vAlign w:val="bottom"/>
          </w:tcPr>
          <w:p w:rsidR="00AF32BA" w:rsidRPr="00A030B4" w:rsidRDefault="00AF32BA" w:rsidP="000159BC">
            <w:pPr>
              <w:pStyle w:val="TableColumnHeading"/>
              <w:pBdr>
                <w:left w:val="single" w:sz="4" w:space="1" w:color="auto"/>
              </w:pBdr>
              <w:rPr>
                <w:rStyle w:val="NoteLabel"/>
              </w:rPr>
            </w:pPr>
            <w:r w:rsidRPr="00A030B4">
              <w:t>SA</w:t>
            </w:r>
          </w:p>
        </w:tc>
        <w:tc>
          <w:tcPr>
            <w:tcW w:w="396" w:type="pct"/>
            <w:tcBorders>
              <w:top w:val="single" w:sz="6" w:space="0" w:color="auto"/>
              <w:bottom w:val="single" w:sz="6" w:space="0" w:color="auto"/>
            </w:tcBorders>
            <w:vAlign w:val="bottom"/>
          </w:tcPr>
          <w:p w:rsidR="00AF32BA" w:rsidRPr="00A030B4" w:rsidRDefault="00AF32BA" w:rsidP="000159BC">
            <w:pPr>
              <w:pStyle w:val="TableColumnHeading"/>
              <w:pBdr>
                <w:left w:val="single" w:sz="4" w:space="1" w:color="auto"/>
              </w:pBdr>
            </w:pPr>
            <w:r w:rsidRPr="00A030B4">
              <w:t>Tas</w:t>
            </w:r>
          </w:p>
        </w:tc>
        <w:tc>
          <w:tcPr>
            <w:tcW w:w="397" w:type="pct"/>
            <w:tcBorders>
              <w:top w:val="single" w:sz="6" w:space="0" w:color="auto"/>
              <w:bottom w:val="single" w:sz="6" w:space="0" w:color="auto"/>
            </w:tcBorders>
            <w:vAlign w:val="bottom"/>
          </w:tcPr>
          <w:p w:rsidR="00AF32BA" w:rsidRPr="00384F70" w:rsidRDefault="00AF32BA" w:rsidP="00A50096">
            <w:pPr>
              <w:pStyle w:val="TableColumnHeading"/>
              <w:pBdr>
                <w:left w:val="single" w:sz="4" w:space="1" w:color="auto"/>
              </w:pBdr>
              <w:rPr>
                <w:rStyle w:val="NoteLabel"/>
                <w:i w:val="0"/>
              </w:rPr>
            </w:pPr>
            <w:r w:rsidRPr="00A030B4">
              <w:t>ACT</w:t>
            </w:r>
          </w:p>
        </w:tc>
        <w:tc>
          <w:tcPr>
            <w:tcW w:w="396" w:type="pct"/>
            <w:tcBorders>
              <w:top w:val="single" w:sz="6" w:space="0" w:color="auto"/>
              <w:bottom w:val="single" w:sz="6" w:space="0" w:color="auto"/>
            </w:tcBorders>
            <w:vAlign w:val="bottom"/>
          </w:tcPr>
          <w:p w:rsidR="00AF32BA" w:rsidRPr="00A030B4" w:rsidRDefault="00AF32BA" w:rsidP="000159BC">
            <w:pPr>
              <w:pStyle w:val="TableColumnHeading"/>
              <w:pBdr>
                <w:left w:val="single" w:sz="4" w:space="1" w:color="auto"/>
              </w:pBdr>
            </w:pPr>
            <w:r w:rsidRPr="00A030B4">
              <w:t>NT</w:t>
            </w:r>
          </w:p>
        </w:tc>
        <w:tc>
          <w:tcPr>
            <w:tcW w:w="394" w:type="pct"/>
            <w:tcBorders>
              <w:top w:val="single" w:sz="6" w:space="0" w:color="auto"/>
              <w:bottom w:val="single" w:sz="6" w:space="0" w:color="auto"/>
            </w:tcBorders>
            <w:vAlign w:val="bottom"/>
          </w:tcPr>
          <w:p w:rsidR="00AF32BA" w:rsidRPr="00A030B4" w:rsidRDefault="00AF32BA" w:rsidP="000159BC">
            <w:pPr>
              <w:pStyle w:val="TableColumnHeading"/>
              <w:pBdr>
                <w:left w:val="single" w:sz="4" w:space="1" w:color="auto"/>
              </w:pBdr>
              <w:ind w:right="0"/>
              <w:rPr>
                <w:rStyle w:val="NoteLabel"/>
              </w:rPr>
            </w:pPr>
            <w:proofErr w:type="spellStart"/>
            <w:r w:rsidRPr="00A030B4">
              <w:t>Aust</w:t>
            </w:r>
            <w:proofErr w:type="spellEnd"/>
          </w:p>
        </w:tc>
      </w:tr>
      <w:tr w:rsidR="009B6B60" w:rsidRPr="00227D25" w:rsidTr="009B6B60">
        <w:trPr>
          <w:jc w:val="right"/>
        </w:trPr>
        <w:tc>
          <w:tcPr>
            <w:tcW w:w="1434" w:type="pct"/>
          </w:tcPr>
          <w:p w:rsidR="009B6B60" w:rsidRPr="00227D25" w:rsidRDefault="009B6B60" w:rsidP="00BB51AB">
            <w:pPr>
              <w:pStyle w:val="TableBodyText"/>
              <w:ind w:left="0"/>
              <w:jc w:val="left"/>
            </w:pPr>
            <w:r w:rsidRPr="00227D25">
              <w:t>Major cities</w:t>
            </w:r>
          </w:p>
        </w:tc>
        <w:tc>
          <w:tcPr>
            <w:tcW w:w="397" w:type="pct"/>
            <w:vAlign w:val="center"/>
          </w:tcPr>
          <w:p w:rsidR="009B6B60" w:rsidRPr="00CE1210" w:rsidRDefault="0092206E" w:rsidP="00CE1210">
            <w:pPr>
              <w:pStyle w:val="TableUnitsRow"/>
              <w:rPr>
                <w:rStyle w:val="DraftingNote"/>
                <w:b w:val="0"/>
                <w:color w:val="auto"/>
                <w:sz w:val="20"/>
                <w:u w:val="none"/>
              </w:rPr>
            </w:pPr>
            <w:r>
              <w:rPr>
                <w:rStyle w:val="DraftingNote"/>
                <w:b w:val="0"/>
                <w:color w:val="auto"/>
                <w:sz w:val="20"/>
                <w:u w:val="none"/>
              </w:rPr>
              <w:t>6.1</w:t>
            </w:r>
          </w:p>
        </w:tc>
        <w:tc>
          <w:tcPr>
            <w:tcW w:w="396" w:type="pct"/>
            <w:vAlign w:val="center"/>
          </w:tcPr>
          <w:p w:rsidR="009B6B60" w:rsidRPr="00CE1210" w:rsidRDefault="0092206E" w:rsidP="00CE1210">
            <w:pPr>
              <w:pStyle w:val="TableUnitsRow"/>
              <w:rPr>
                <w:rStyle w:val="DraftingNote"/>
                <w:b w:val="0"/>
                <w:color w:val="auto"/>
                <w:sz w:val="20"/>
                <w:u w:val="none"/>
              </w:rPr>
            </w:pPr>
            <w:r>
              <w:rPr>
                <w:rStyle w:val="DraftingNote"/>
                <w:b w:val="0"/>
                <w:color w:val="auto"/>
                <w:sz w:val="20"/>
                <w:u w:val="none"/>
              </w:rPr>
              <w:t>9.8</w:t>
            </w:r>
          </w:p>
        </w:tc>
        <w:tc>
          <w:tcPr>
            <w:tcW w:w="397" w:type="pct"/>
            <w:vAlign w:val="center"/>
          </w:tcPr>
          <w:p w:rsidR="009B6B60" w:rsidRPr="00CE1210" w:rsidRDefault="0092206E" w:rsidP="00CE1210">
            <w:pPr>
              <w:pStyle w:val="TableUnitsRow"/>
              <w:rPr>
                <w:rStyle w:val="DraftingNote"/>
                <w:b w:val="0"/>
                <w:color w:val="auto"/>
                <w:sz w:val="20"/>
                <w:u w:val="none"/>
              </w:rPr>
            </w:pPr>
            <w:r>
              <w:rPr>
                <w:rStyle w:val="DraftingNote"/>
                <w:b w:val="0"/>
                <w:color w:val="auto"/>
                <w:sz w:val="20"/>
                <w:u w:val="none"/>
              </w:rPr>
              <w:t>5.8</w:t>
            </w:r>
          </w:p>
        </w:tc>
        <w:tc>
          <w:tcPr>
            <w:tcW w:w="396" w:type="pct"/>
            <w:vAlign w:val="center"/>
          </w:tcPr>
          <w:p w:rsidR="009B6B60" w:rsidRPr="00CE1210" w:rsidRDefault="0092206E" w:rsidP="008D4205">
            <w:pPr>
              <w:pStyle w:val="TableUnitsRow"/>
              <w:rPr>
                <w:rStyle w:val="DraftingNote"/>
                <w:b w:val="0"/>
                <w:color w:val="auto"/>
                <w:sz w:val="20"/>
                <w:u w:val="none"/>
              </w:rPr>
            </w:pPr>
            <w:r>
              <w:rPr>
                <w:rStyle w:val="DraftingNote"/>
                <w:b w:val="0"/>
                <w:color w:val="auto"/>
                <w:sz w:val="20"/>
                <w:u w:val="none"/>
              </w:rPr>
              <w:t>6.</w:t>
            </w:r>
            <w:r w:rsidR="008D4205">
              <w:rPr>
                <w:rStyle w:val="DraftingNote"/>
                <w:b w:val="0"/>
                <w:color w:val="auto"/>
                <w:sz w:val="20"/>
                <w:u w:val="none"/>
              </w:rPr>
              <w:t>1</w:t>
            </w:r>
          </w:p>
        </w:tc>
        <w:tc>
          <w:tcPr>
            <w:tcW w:w="397" w:type="pct"/>
            <w:vAlign w:val="center"/>
          </w:tcPr>
          <w:p w:rsidR="009B6B60" w:rsidRPr="00CE1210" w:rsidRDefault="008D4205" w:rsidP="00CE1210">
            <w:pPr>
              <w:pStyle w:val="TableUnitsRow"/>
              <w:rPr>
                <w:rStyle w:val="DraftingNote"/>
                <w:b w:val="0"/>
                <w:color w:val="auto"/>
                <w:sz w:val="20"/>
                <w:u w:val="none"/>
              </w:rPr>
            </w:pPr>
            <w:r>
              <w:rPr>
                <w:rStyle w:val="DraftingNote"/>
                <w:b w:val="0"/>
                <w:color w:val="auto"/>
                <w:sz w:val="20"/>
                <w:u w:val="none"/>
              </w:rPr>
              <w:t>7.9</w:t>
            </w:r>
          </w:p>
        </w:tc>
        <w:tc>
          <w:tcPr>
            <w:tcW w:w="396" w:type="pct"/>
          </w:tcPr>
          <w:p w:rsidR="009B6B60" w:rsidRPr="00CE1210" w:rsidRDefault="0092206E" w:rsidP="00CE1210">
            <w:pPr>
              <w:pStyle w:val="TableUnitsRow"/>
              <w:rPr>
                <w:rStyle w:val="DraftingNote"/>
                <w:b w:val="0"/>
                <w:color w:val="auto"/>
                <w:sz w:val="20"/>
                <w:u w:val="none"/>
              </w:rPr>
            </w:pPr>
            <w:r>
              <w:rPr>
                <w:rStyle w:val="DraftingNote"/>
                <w:b w:val="0"/>
                <w:color w:val="auto"/>
                <w:sz w:val="20"/>
                <w:u w:val="none"/>
              </w:rPr>
              <w:t>..</w:t>
            </w:r>
          </w:p>
        </w:tc>
        <w:tc>
          <w:tcPr>
            <w:tcW w:w="397" w:type="pct"/>
            <w:vAlign w:val="center"/>
          </w:tcPr>
          <w:p w:rsidR="009B6B60" w:rsidRPr="00CE1210" w:rsidRDefault="0092206E" w:rsidP="008D4205">
            <w:pPr>
              <w:pStyle w:val="TableUnitsRow"/>
              <w:rPr>
                <w:rStyle w:val="DraftingNote"/>
                <w:b w:val="0"/>
                <w:color w:val="auto"/>
                <w:sz w:val="20"/>
                <w:u w:val="none"/>
              </w:rPr>
            </w:pPr>
            <w:r>
              <w:rPr>
                <w:rStyle w:val="DraftingNote"/>
                <w:b w:val="0"/>
                <w:color w:val="auto"/>
                <w:sz w:val="20"/>
                <w:u w:val="none"/>
              </w:rPr>
              <w:t>6.</w:t>
            </w:r>
            <w:r w:rsidR="008D4205">
              <w:rPr>
                <w:rStyle w:val="DraftingNote"/>
                <w:b w:val="0"/>
                <w:color w:val="auto"/>
                <w:sz w:val="20"/>
                <w:u w:val="none"/>
              </w:rPr>
              <w:t>5</w:t>
            </w:r>
          </w:p>
        </w:tc>
        <w:tc>
          <w:tcPr>
            <w:tcW w:w="396" w:type="pct"/>
            <w:vAlign w:val="center"/>
          </w:tcPr>
          <w:p w:rsidR="009B6B60" w:rsidRPr="00CE1210" w:rsidRDefault="0092206E" w:rsidP="00CE1210">
            <w:pPr>
              <w:pStyle w:val="TableUnitsRow"/>
              <w:rPr>
                <w:rStyle w:val="DraftingNote"/>
                <w:b w:val="0"/>
                <w:color w:val="auto"/>
                <w:sz w:val="20"/>
                <w:u w:val="none"/>
              </w:rPr>
            </w:pPr>
            <w:r>
              <w:rPr>
                <w:rStyle w:val="DraftingNote"/>
                <w:b w:val="0"/>
                <w:color w:val="auto"/>
                <w:sz w:val="20"/>
                <w:u w:val="none"/>
              </w:rPr>
              <w:t>..</w:t>
            </w:r>
          </w:p>
        </w:tc>
        <w:tc>
          <w:tcPr>
            <w:tcW w:w="394" w:type="pct"/>
            <w:vAlign w:val="center"/>
          </w:tcPr>
          <w:p w:rsidR="009B6B60" w:rsidRPr="00CE1210" w:rsidRDefault="0092206E" w:rsidP="00CE1210">
            <w:pPr>
              <w:pStyle w:val="TableUnitsRow"/>
              <w:rPr>
                <w:rStyle w:val="DraftingNote"/>
                <w:b w:val="0"/>
                <w:color w:val="auto"/>
                <w:sz w:val="20"/>
                <w:u w:val="none"/>
              </w:rPr>
            </w:pPr>
            <w:r>
              <w:rPr>
                <w:rStyle w:val="DraftingNote"/>
                <w:b w:val="0"/>
                <w:color w:val="auto"/>
                <w:sz w:val="20"/>
                <w:u w:val="none"/>
              </w:rPr>
              <w:t>7.2</w:t>
            </w:r>
          </w:p>
        </w:tc>
      </w:tr>
      <w:tr w:rsidR="009B6B60" w:rsidRPr="00227D25" w:rsidTr="009B6B60">
        <w:trPr>
          <w:jc w:val="right"/>
        </w:trPr>
        <w:tc>
          <w:tcPr>
            <w:tcW w:w="1434" w:type="pct"/>
          </w:tcPr>
          <w:p w:rsidR="009B6B60" w:rsidRPr="00227D25" w:rsidRDefault="009B6B60" w:rsidP="00BB51AB">
            <w:pPr>
              <w:pStyle w:val="TableBodyText"/>
              <w:ind w:left="0"/>
              <w:jc w:val="left"/>
            </w:pPr>
            <w:r w:rsidRPr="00227D25">
              <w:t>Inner regional</w:t>
            </w:r>
          </w:p>
        </w:tc>
        <w:tc>
          <w:tcPr>
            <w:tcW w:w="397" w:type="pct"/>
            <w:vAlign w:val="center"/>
          </w:tcPr>
          <w:p w:rsidR="009B6B60" w:rsidRPr="00CE1210" w:rsidRDefault="0092206E" w:rsidP="00CE1210">
            <w:pPr>
              <w:pStyle w:val="TableUnitsRow"/>
              <w:rPr>
                <w:rStyle w:val="DraftingNote"/>
                <w:b w:val="0"/>
                <w:color w:val="auto"/>
                <w:sz w:val="20"/>
                <w:u w:val="none"/>
              </w:rPr>
            </w:pPr>
            <w:r>
              <w:rPr>
                <w:rStyle w:val="DraftingNote"/>
                <w:b w:val="0"/>
                <w:color w:val="auto"/>
                <w:sz w:val="20"/>
                <w:u w:val="none"/>
              </w:rPr>
              <w:t>10.7</w:t>
            </w:r>
          </w:p>
        </w:tc>
        <w:tc>
          <w:tcPr>
            <w:tcW w:w="396" w:type="pct"/>
            <w:vAlign w:val="center"/>
          </w:tcPr>
          <w:p w:rsidR="009B6B60" w:rsidRPr="00CE1210" w:rsidRDefault="0092206E" w:rsidP="00CE1210">
            <w:pPr>
              <w:pStyle w:val="TableUnitsRow"/>
              <w:rPr>
                <w:rStyle w:val="DraftingNote"/>
                <w:b w:val="0"/>
                <w:color w:val="auto"/>
                <w:sz w:val="20"/>
                <w:u w:val="none"/>
              </w:rPr>
            </w:pPr>
            <w:r>
              <w:rPr>
                <w:rStyle w:val="DraftingNote"/>
                <w:b w:val="0"/>
                <w:color w:val="auto"/>
                <w:sz w:val="20"/>
                <w:u w:val="none"/>
              </w:rPr>
              <w:t>15.3</w:t>
            </w:r>
          </w:p>
        </w:tc>
        <w:tc>
          <w:tcPr>
            <w:tcW w:w="397" w:type="pct"/>
            <w:vAlign w:val="center"/>
          </w:tcPr>
          <w:p w:rsidR="009B6B60" w:rsidRPr="00CE1210" w:rsidRDefault="0092206E" w:rsidP="00CE1210">
            <w:pPr>
              <w:pStyle w:val="TableUnitsRow"/>
              <w:rPr>
                <w:rStyle w:val="DraftingNote"/>
                <w:b w:val="0"/>
                <w:color w:val="auto"/>
                <w:sz w:val="20"/>
                <w:u w:val="none"/>
              </w:rPr>
            </w:pPr>
            <w:r>
              <w:rPr>
                <w:rStyle w:val="DraftingNote"/>
                <w:b w:val="0"/>
                <w:color w:val="auto"/>
                <w:sz w:val="20"/>
                <w:u w:val="none"/>
              </w:rPr>
              <w:t>7.5</w:t>
            </w:r>
          </w:p>
        </w:tc>
        <w:tc>
          <w:tcPr>
            <w:tcW w:w="396" w:type="pct"/>
            <w:vAlign w:val="center"/>
          </w:tcPr>
          <w:p w:rsidR="009B6B60" w:rsidRPr="00CE1210" w:rsidRDefault="0092206E" w:rsidP="008D4205">
            <w:pPr>
              <w:pStyle w:val="TableUnitsRow"/>
              <w:rPr>
                <w:rStyle w:val="DraftingNote"/>
                <w:b w:val="0"/>
                <w:color w:val="auto"/>
                <w:sz w:val="20"/>
                <w:u w:val="none"/>
              </w:rPr>
            </w:pPr>
            <w:r>
              <w:rPr>
                <w:rStyle w:val="DraftingNote"/>
                <w:b w:val="0"/>
                <w:color w:val="auto"/>
                <w:sz w:val="20"/>
                <w:u w:val="none"/>
              </w:rPr>
              <w:t>8.</w:t>
            </w:r>
            <w:r w:rsidR="008D4205">
              <w:rPr>
                <w:rStyle w:val="DraftingNote"/>
                <w:b w:val="0"/>
                <w:color w:val="auto"/>
                <w:sz w:val="20"/>
                <w:u w:val="none"/>
              </w:rPr>
              <w:t>4</w:t>
            </w:r>
          </w:p>
        </w:tc>
        <w:tc>
          <w:tcPr>
            <w:tcW w:w="397" w:type="pct"/>
            <w:vAlign w:val="center"/>
          </w:tcPr>
          <w:p w:rsidR="009B6B60" w:rsidRPr="00CE1210" w:rsidRDefault="0092206E" w:rsidP="00CE1210">
            <w:pPr>
              <w:pStyle w:val="TableUnitsRow"/>
              <w:rPr>
                <w:rStyle w:val="DraftingNote"/>
                <w:b w:val="0"/>
                <w:color w:val="auto"/>
                <w:sz w:val="20"/>
                <w:u w:val="none"/>
              </w:rPr>
            </w:pPr>
            <w:r>
              <w:rPr>
                <w:rStyle w:val="DraftingNote"/>
                <w:b w:val="0"/>
                <w:color w:val="auto"/>
                <w:sz w:val="20"/>
                <w:u w:val="none"/>
              </w:rPr>
              <w:t>10.8</w:t>
            </w:r>
          </w:p>
        </w:tc>
        <w:tc>
          <w:tcPr>
            <w:tcW w:w="396" w:type="pct"/>
          </w:tcPr>
          <w:p w:rsidR="009B6B60" w:rsidRPr="00CE1210" w:rsidRDefault="0092206E" w:rsidP="00CE1210">
            <w:pPr>
              <w:pStyle w:val="TableUnitsRow"/>
              <w:rPr>
                <w:rStyle w:val="DraftingNote"/>
                <w:b w:val="0"/>
                <w:color w:val="auto"/>
                <w:sz w:val="20"/>
                <w:u w:val="none"/>
              </w:rPr>
            </w:pPr>
            <w:r>
              <w:rPr>
                <w:rStyle w:val="DraftingNote"/>
                <w:b w:val="0"/>
                <w:color w:val="auto"/>
                <w:sz w:val="20"/>
                <w:u w:val="none"/>
              </w:rPr>
              <w:t>8.0</w:t>
            </w:r>
          </w:p>
        </w:tc>
        <w:tc>
          <w:tcPr>
            <w:tcW w:w="397" w:type="pct"/>
            <w:vAlign w:val="center"/>
          </w:tcPr>
          <w:p w:rsidR="009B6B60" w:rsidRPr="00CE1210" w:rsidRDefault="0092206E" w:rsidP="00CE1210">
            <w:pPr>
              <w:pStyle w:val="TableUnitsRow"/>
              <w:rPr>
                <w:rStyle w:val="DraftingNote"/>
                <w:b w:val="0"/>
                <w:color w:val="auto"/>
                <w:sz w:val="20"/>
                <w:u w:val="none"/>
              </w:rPr>
            </w:pPr>
            <w:r>
              <w:rPr>
                <w:rStyle w:val="DraftingNote"/>
                <w:b w:val="0"/>
                <w:color w:val="auto"/>
                <w:sz w:val="20"/>
                <w:u w:val="none"/>
              </w:rPr>
              <w:t>9.9</w:t>
            </w:r>
          </w:p>
        </w:tc>
        <w:tc>
          <w:tcPr>
            <w:tcW w:w="396" w:type="pct"/>
            <w:vAlign w:val="center"/>
          </w:tcPr>
          <w:p w:rsidR="009B6B60" w:rsidRPr="00CE1210" w:rsidRDefault="0092206E" w:rsidP="00CE1210">
            <w:pPr>
              <w:pStyle w:val="TableUnitsRow"/>
              <w:rPr>
                <w:rStyle w:val="DraftingNote"/>
                <w:b w:val="0"/>
                <w:color w:val="auto"/>
                <w:sz w:val="20"/>
                <w:u w:val="none"/>
              </w:rPr>
            </w:pPr>
            <w:r>
              <w:rPr>
                <w:rStyle w:val="DraftingNote"/>
                <w:b w:val="0"/>
                <w:color w:val="auto"/>
                <w:sz w:val="20"/>
                <w:u w:val="none"/>
              </w:rPr>
              <w:t>..</w:t>
            </w:r>
          </w:p>
        </w:tc>
        <w:tc>
          <w:tcPr>
            <w:tcW w:w="394" w:type="pct"/>
            <w:vAlign w:val="center"/>
          </w:tcPr>
          <w:p w:rsidR="009B6B60" w:rsidRPr="00CE1210" w:rsidRDefault="0092206E" w:rsidP="00CE1210">
            <w:pPr>
              <w:pStyle w:val="TableUnitsRow"/>
              <w:rPr>
                <w:rStyle w:val="DraftingNote"/>
                <w:b w:val="0"/>
                <w:color w:val="auto"/>
                <w:sz w:val="20"/>
                <w:u w:val="none"/>
              </w:rPr>
            </w:pPr>
            <w:r>
              <w:rPr>
                <w:rStyle w:val="DraftingNote"/>
                <w:b w:val="0"/>
                <w:color w:val="auto"/>
                <w:sz w:val="20"/>
                <w:u w:val="none"/>
              </w:rPr>
              <w:t>10.8</w:t>
            </w:r>
          </w:p>
        </w:tc>
      </w:tr>
      <w:tr w:rsidR="009B6B60" w:rsidRPr="00227D25" w:rsidTr="009B6B60">
        <w:trPr>
          <w:jc w:val="right"/>
        </w:trPr>
        <w:tc>
          <w:tcPr>
            <w:tcW w:w="1434" w:type="pct"/>
          </w:tcPr>
          <w:p w:rsidR="009B6B60" w:rsidRPr="00227D25" w:rsidRDefault="009B6B60" w:rsidP="00BB51AB">
            <w:pPr>
              <w:pStyle w:val="TableBodyText"/>
              <w:ind w:left="0"/>
              <w:jc w:val="left"/>
            </w:pPr>
            <w:r w:rsidRPr="00227D25">
              <w:t>Outer regional</w:t>
            </w:r>
          </w:p>
        </w:tc>
        <w:tc>
          <w:tcPr>
            <w:tcW w:w="397" w:type="pct"/>
            <w:vAlign w:val="center"/>
          </w:tcPr>
          <w:p w:rsidR="009B6B60" w:rsidRPr="00CE1210" w:rsidRDefault="0092206E" w:rsidP="00CE1210">
            <w:pPr>
              <w:pStyle w:val="TableUnitsRow"/>
              <w:rPr>
                <w:rStyle w:val="DraftingNote"/>
                <w:b w:val="0"/>
                <w:color w:val="auto"/>
                <w:sz w:val="20"/>
                <w:u w:val="none"/>
              </w:rPr>
            </w:pPr>
            <w:r>
              <w:rPr>
                <w:rStyle w:val="DraftingNote"/>
                <w:b w:val="0"/>
                <w:color w:val="auto"/>
                <w:sz w:val="20"/>
                <w:u w:val="none"/>
              </w:rPr>
              <w:t>13.9</w:t>
            </w:r>
          </w:p>
        </w:tc>
        <w:tc>
          <w:tcPr>
            <w:tcW w:w="396" w:type="pct"/>
            <w:vAlign w:val="center"/>
          </w:tcPr>
          <w:p w:rsidR="009B6B60" w:rsidRPr="00CE1210" w:rsidRDefault="0092206E" w:rsidP="00CE1210">
            <w:pPr>
              <w:pStyle w:val="TableUnitsRow"/>
              <w:rPr>
                <w:rStyle w:val="DraftingNote"/>
                <w:b w:val="0"/>
                <w:color w:val="auto"/>
                <w:sz w:val="20"/>
                <w:u w:val="none"/>
              </w:rPr>
            </w:pPr>
            <w:r>
              <w:rPr>
                <w:rStyle w:val="DraftingNote"/>
                <w:b w:val="0"/>
                <w:color w:val="auto"/>
                <w:sz w:val="20"/>
                <w:u w:val="none"/>
              </w:rPr>
              <w:t>16.7</w:t>
            </w:r>
          </w:p>
        </w:tc>
        <w:tc>
          <w:tcPr>
            <w:tcW w:w="397" w:type="pct"/>
            <w:vAlign w:val="center"/>
          </w:tcPr>
          <w:p w:rsidR="009B6B60" w:rsidRPr="00CE1210" w:rsidRDefault="0092206E" w:rsidP="00CE1210">
            <w:pPr>
              <w:pStyle w:val="TableUnitsRow"/>
              <w:rPr>
                <w:rStyle w:val="DraftingNote"/>
                <w:b w:val="0"/>
                <w:color w:val="auto"/>
                <w:sz w:val="20"/>
                <w:u w:val="none"/>
              </w:rPr>
            </w:pPr>
            <w:r>
              <w:rPr>
                <w:rStyle w:val="DraftingNote"/>
                <w:b w:val="0"/>
                <w:color w:val="auto"/>
                <w:sz w:val="20"/>
                <w:u w:val="none"/>
              </w:rPr>
              <w:t>7.5</w:t>
            </w:r>
          </w:p>
        </w:tc>
        <w:tc>
          <w:tcPr>
            <w:tcW w:w="396" w:type="pct"/>
            <w:vAlign w:val="center"/>
          </w:tcPr>
          <w:p w:rsidR="009B6B60" w:rsidRPr="00CE1210" w:rsidRDefault="0092206E" w:rsidP="00CE1210">
            <w:pPr>
              <w:pStyle w:val="TableUnitsRow"/>
              <w:rPr>
                <w:rStyle w:val="DraftingNote"/>
                <w:b w:val="0"/>
                <w:color w:val="auto"/>
                <w:sz w:val="20"/>
                <w:u w:val="none"/>
              </w:rPr>
            </w:pPr>
            <w:r>
              <w:rPr>
                <w:rStyle w:val="DraftingNote"/>
                <w:b w:val="0"/>
                <w:color w:val="auto"/>
                <w:sz w:val="20"/>
                <w:u w:val="none"/>
              </w:rPr>
              <w:t>9.9</w:t>
            </w:r>
          </w:p>
        </w:tc>
        <w:tc>
          <w:tcPr>
            <w:tcW w:w="397" w:type="pct"/>
            <w:vAlign w:val="center"/>
          </w:tcPr>
          <w:p w:rsidR="009B6B60" w:rsidRPr="00CE1210" w:rsidRDefault="0092206E" w:rsidP="00CE1210">
            <w:pPr>
              <w:pStyle w:val="TableUnitsRow"/>
              <w:rPr>
                <w:rStyle w:val="DraftingNote"/>
                <w:b w:val="0"/>
                <w:color w:val="auto"/>
                <w:sz w:val="20"/>
                <w:u w:val="none"/>
              </w:rPr>
            </w:pPr>
            <w:r>
              <w:rPr>
                <w:rStyle w:val="DraftingNote"/>
                <w:b w:val="0"/>
                <w:color w:val="auto"/>
                <w:sz w:val="20"/>
                <w:u w:val="none"/>
              </w:rPr>
              <w:t>11.2</w:t>
            </w:r>
          </w:p>
        </w:tc>
        <w:tc>
          <w:tcPr>
            <w:tcW w:w="396" w:type="pct"/>
          </w:tcPr>
          <w:p w:rsidR="009B6B60" w:rsidRPr="00CE1210" w:rsidRDefault="0092206E" w:rsidP="00CE1210">
            <w:pPr>
              <w:pStyle w:val="TableUnitsRow"/>
              <w:rPr>
                <w:rStyle w:val="DraftingNote"/>
                <w:b w:val="0"/>
                <w:color w:val="auto"/>
                <w:sz w:val="20"/>
                <w:u w:val="none"/>
              </w:rPr>
            </w:pPr>
            <w:r>
              <w:rPr>
                <w:rStyle w:val="DraftingNote"/>
                <w:b w:val="0"/>
                <w:color w:val="auto"/>
                <w:sz w:val="20"/>
                <w:u w:val="none"/>
              </w:rPr>
              <w:t>9.4</w:t>
            </w:r>
          </w:p>
        </w:tc>
        <w:tc>
          <w:tcPr>
            <w:tcW w:w="397" w:type="pct"/>
            <w:vAlign w:val="center"/>
          </w:tcPr>
          <w:p w:rsidR="009B6B60" w:rsidRPr="00CE1210" w:rsidRDefault="0092206E" w:rsidP="00CE1210">
            <w:pPr>
              <w:pStyle w:val="TableUnitsRow"/>
              <w:rPr>
                <w:rStyle w:val="DraftingNote"/>
                <w:b w:val="0"/>
                <w:color w:val="auto"/>
                <w:sz w:val="20"/>
                <w:u w:val="none"/>
              </w:rPr>
            </w:pPr>
            <w:r>
              <w:rPr>
                <w:rStyle w:val="DraftingNote"/>
                <w:b w:val="0"/>
                <w:color w:val="auto"/>
                <w:sz w:val="20"/>
                <w:u w:val="none"/>
              </w:rPr>
              <w:t>..</w:t>
            </w:r>
          </w:p>
        </w:tc>
        <w:tc>
          <w:tcPr>
            <w:tcW w:w="396" w:type="pct"/>
            <w:vAlign w:val="center"/>
          </w:tcPr>
          <w:p w:rsidR="009B6B60" w:rsidRPr="00CE1210" w:rsidRDefault="0092206E" w:rsidP="00CE1210">
            <w:pPr>
              <w:pStyle w:val="TableUnitsRow"/>
              <w:rPr>
                <w:rStyle w:val="DraftingNote"/>
                <w:b w:val="0"/>
                <w:color w:val="auto"/>
                <w:sz w:val="20"/>
                <w:u w:val="none"/>
              </w:rPr>
            </w:pPr>
            <w:r>
              <w:rPr>
                <w:rStyle w:val="DraftingNote"/>
                <w:b w:val="0"/>
                <w:color w:val="auto"/>
                <w:sz w:val="20"/>
                <w:u w:val="none"/>
              </w:rPr>
              <w:t>9.3</w:t>
            </w:r>
          </w:p>
        </w:tc>
        <w:tc>
          <w:tcPr>
            <w:tcW w:w="394" w:type="pct"/>
            <w:vAlign w:val="center"/>
          </w:tcPr>
          <w:p w:rsidR="009B6B60" w:rsidRPr="00CE1210" w:rsidRDefault="0092206E" w:rsidP="00CE1210">
            <w:pPr>
              <w:pStyle w:val="TableUnitsRow"/>
              <w:rPr>
                <w:rStyle w:val="DraftingNote"/>
                <w:b w:val="0"/>
                <w:color w:val="auto"/>
                <w:sz w:val="20"/>
                <w:u w:val="none"/>
              </w:rPr>
            </w:pPr>
            <w:r>
              <w:rPr>
                <w:rStyle w:val="DraftingNote"/>
                <w:b w:val="0"/>
                <w:color w:val="auto"/>
                <w:sz w:val="20"/>
                <w:u w:val="none"/>
              </w:rPr>
              <w:t>10.9</w:t>
            </w:r>
          </w:p>
        </w:tc>
      </w:tr>
      <w:tr w:rsidR="009B6B60" w:rsidRPr="00227D25" w:rsidTr="009B6B60">
        <w:trPr>
          <w:jc w:val="right"/>
        </w:trPr>
        <w:tc>
          <w:tcPr>
            <w:tcW w:w="1434" w:type="pct"/>
            <w:tcBorders>
              <w:bottom w:val="single" w:sz="4" w:space="0" w:color="auto"/>
            </w:tcBorders>
          </w:tcPr>
          <w:p w:rsidR="009B6B60" w:rsidRPr="00227D25" w:rsidRDefault="009B6B60" w:rsidP="00BB51AB">
            <w:pPr>
              <w:pStyle w:val="TableBodyText"/>
              <w:ind w:left="0"/>
              <w:jc w:val="left"/>
            </w:pPr>
            <w:r w:rsidRPr="00227D25">
              <w:t>Remote and very remote</w:t>
            </w:r>
          </w:p>
        </w:tc>
        <w:tc>
          <w:tcPr>
            <w:tcW w:w="397" w:type="pct"/>
            <w:tcBorders>
              <w:bottom w:val="single" w:sz="4" w:space="0" w:color="auto"/>
            </w:tcBorders>
            <w:vAlign w:val="center"/>
          </w:tcPr>
          <w:p w:rsidR="009B6B60" w:rsidRPr="00CE1210" w:rsidRDefault="0092206E" w:rsidP="008D4205">
            <w:pPr>
              <w:pStyle w:val="TableUnitsRow"/>
              <w:rPr>
                <w:rStyle w:val="DraftingNote"/>
                <w:b w:val="0"/>
                <w:color w:val="auto"/>
                <w:sz w:val="20"/>
                <w:u w:val="none"/>
              </w:rPr>
            </w:pPr>
            <w:r>
              <w:rPr>
                <w:rStyle w:val="DraftingNote"/>
                <w:b w:val="0"/>
                <w:color w:val="auto"/>
                <w:sz w:val="20"/>
                <w:u w:val="none"/>
              </w:rPr>
              <w:t>21.</w:t>
            </w:r>
            <w:r w:rsidR="008D4205">
              <w:rPr>
                <w:rStyle w:val="DraftingNote"/>
                <w:b w:val="0"/>
                <w:color w:val="auto"/>
                <w:sz w:val="20"/>
                <w:u w:val="none"/>
              </w:rPr>
              <w:t>6</w:t>
            </w:r>
          </w:p>
        </w:tc>
        <w:tc>
          <w:tcPr>
            <w:tcW w:w="396" w:type="pct"/>
            <w:tcBorders>
              <w:bottom w:val="single" w:sz="4" w:space="0" w:color="auto"/>
            </w:tcBorders>
            <w:vAlign w:val="center"/>
          </w:tcPr>
          <w:p w:rsidR="009B6B60" w:rsidRPr="00CE1210" w:rsidRDefault="0092206E" w:rsidP="008D4205">
            <w:pPr>
              <w:pStyle w:val="TableUnitsRow"/>
              <w:rPr>
                <w:rStyle w:val="DraftingNote"/>
                <w:b w:val="0"/>
                <w:color w:val="auto"/>
                <w:sz w:val="20"/>
                <w:u w:val="none"/>
              </w:rPr>
            </w:pPr>
            <w:r>
              <w:rPr>
                <w:rStyle w:val="DraftingNote"/>
                <w:b w:val="0"/>
                <w:color w:val="auto"/>
                <w:sz w:val="20"/>
                <w:u w:val="none"/>
              </w:rPr>
              <w:t>29.</w:t>
            </w:r>
            <w:r w:rsidR="008D4205">
              <w:rPr>
                <w:rStyle w:val="DraftingNote"/>
                <w:b w:val="0"/>
                <w:color w:val="auto"/>
                <w:sz w:val="20"/>
                <w:u w:val="none"/>
              </w:rPr>
              <w:t>7</w:t>
            </w:r>
          </w:p>
        </w:tc>
        <w:tc>
          <w:tcPr>
            <w:tcW w:w="397" w:type="pct"/>
            <w:tcBorders>
              <w:bottom w:val="single" w:sz="4" w:space="0" w:color="auto"/>
            </w:tcBorders>
            <w:vAlign w:val="center"/>
          </w:tcPr>
          <w:p w:rsidR="009B6B60" w:rsidRPr="00CE1210" w:rsidRDefault="0092206E" w:rsidP="008D4205">
            <w:pPr>
              <w:pStyle w:val="TableUnitsRow"/>
              <w:rPr>
                <w:rStyle w:val="DraftingNote"/>
                <w:b w:val="0"/>
                <w:color w:val="auto"/>
                <w:sz w:val="20"/>
                <w:u w:val="none"/>
              </w:rPr>
            </w:pPr>
            <w:r>
              <w:rPr>
                <w:rStyle w:val="DraftingNote"/>
                <w:b w:val="0"/>
                <w:color w:val="auto"/>
                <w:sz w:val="20"/>
                <w:u w:val="none"/>
              </w:rPr>
              <w:t>12.</w:t>
            </w:r>
            <w:r w:rsidR="008D4205">
              <w:rPr>
                <w:rStyle w:val="DraftingNote"/>
                <w:b w:val="0"/>
                <w:color w:val="auto"/>
                <w:sz w:val="20"/>
                <w:u w:val="none"/>
              </w:rPr>
              <w:t>2</w:t>
            </w:r>
          </w:p>
        </w:tc>
        <w:tc>
          <w:tcPr>
            <w:tcW w:w="396" w:type="pct"/>
            <w:tcBorders>
              <w:bottom w:val="single" w:sz="4" w:space="0" w:color="auto"/>
            </w:tcBorders>
            <w:vAlign w:val="center"/>
          </w:tcPr>
          <w:p w:rsidR="009B6B60" w:rsidRPr="00CE1210" w:rsidRDefault="0092206E" w:rsidP="008D4205">
            <w:pPr>
              <w:pStyle w:val="TableUnitsRow"/>
              <w:rPr>
                <w:rStyle w:val="DraftingNote"/>
                <w:b w:val="0"/>
                <w:color w:val="auto"/>
                <w:sz w:val="20"/>
                <w:u w:val="none"/>
              </w:rPr>
            </w:pPr>
            <w:r>
              <w:rPr>
                <w:rStyle w:val="DraftingNote"/>
                <w:b w:val="0"/>
                <w:color w:val="auto"/>
                <w:sz w:val="20"/>
                <w:u w:val="none"/>
              </w:rPr>
              <w:t>1</w:t>
            </w:r>
            <w:r w:rsidR="008D4205">
              <w:rPr>
                <w:rStyle w:val="DraftingNote"/>
                <w:b w:val="0"/>
                <w:color w:val="auto"/>
                <w:sz w:val="20"/>
                <w:u w:val="none"/>
              </w:rPr>
              <w:t>2</w:t>
            </w:r>
            <w:r>
              <w:rPr>
                <w:rStyle w:val="DraftingNote"/>
                <w:b w:val="0"/>
                <w:color w:val="auto"/>
                <w:sz w:val="20"/>
                <w:u w:val="none"/>
              </w:rPr>
              <w:t>.</w:t>
            </w:r>
            <w:r w:rsidR="008D4205">
              <w:rPr>
                <w:rStyle w:val="DraftingNote"/>
                <w:b w:val="0"/>
                <w:color w:val="auto"/>
                <w:sz w:val="20"/>
                <w:u w:val="none"/>
              </w:rPr>
              <w:t>0</w:t>
            </w:r>
          </w:p>
        </w:tc>
        <w:tc>
          <w:tcPr>
            <w:tcW w:w="397" w:type="pct"/>
            <w:tcBorders>
              <w:bottom w:val="single" w:sz="4" w:space="0" w:color="auto"/>
            </w:tcBorders>
            <w:vAlign w:val="center"/>
          </w:tcPr>
          <w:p w:rsidR="009B6B60" w:rsidRPr="00CE1210" w:rsidRDefault="0092206E" w:rsidP="008D4205">
            <w:pPr>
              <w:pStyle w:val="TableUnitsRow"/>
              <w:rPr>
                <w:rStyle w:val="DraftingNote"/>
                <w:b w:val="0"/>
                <w:color w:val="auto"/>
                <w:sz w:val="20"/>
                <w:u w:val="none"/>
              </w:rPr>
            </w:pPr>
            <w:r>
              <w:rPr>
                <w:rStyle w:val="DraftingNote"/>
                <w:b w:val="0"/>
                <w:color w:val="auto"/>
                <w:sz w:val="20"/>
                <w:u w:val="none"/>
              </w:rPr>
              <w:t>12.</w:t>
            </w:r>
            <w:r w:rsidR="008D4205">
              <w:rPr>
                <w:rStyle w:val="DraftingNote"/>
                <w:b w:val="0"/>
                <w:color w:val="auto"/>
                <w:sz w:val="20"/>
                <w:u w:val="none"/>
              </w:rPr>
              <w:t>7</w:t>
            </w:r>
          </w:p>
        </w:tc>
        <w:tc>
          <w:tcPr>
            <w:tcW w:w="396" w:type="pct"/>
            <w:tcBorders>
              <w:bottom w:val="single" w:sz="4" w:space="0" w:color="auto"/>
            </w:tcBorders>
          </w:tcPr>
          <w:p w:rsidR="009B6B60" w:rsidRPr="00CE1210" w:rsidRDefault="0092206E" w:rsidP="00CE1210">
            <w:pPr>
              <w:pStyle w:val="TableUnitsRow"/>
              <w:rPr>
                <w:rStyle w:val="DraftingNote"/>
                <w:b w:val="0"/>
                <w:color w:val="auto"/>
                <w:sz w:val="20"/>
                <w:u w:val="none"/>
              </w:rPr>
            </w:pPr>
            <w:r>
              <w:rPr>
                <w:rStyle w:val="DraftingNote"/>
                <w:b w:val="0"/>
                <w:color w:val="auto"/>
                <w:sz w:val="20"/>
                <w:u w:val="none"/>
              </w:rPr>
              <w:t>23.1</w:t>
            </w:r>
          </w:p>
        </w:tc>
        <w:tc>
          <w:tcPr>
            <w:tcW w:w="397" w:type="pct"/>
            <w:tcBorders>
              <w:bottom w:val="single" w:sz="4" w:space="0" w:color="auto"/>
            </w:tcBorders>
            <w:vAlign w:val="center"/>
          </w:tcPr>
          <w:p w:rsidR="009B6B60" w:rsidRPr="00CE1210" w:rsidRDefault="0092206E" w:rsidP="00CE1210">
            <w:pPr>
              <w:pStyle w:val="TableUnitsRow"/>
              <w:rPr>
                <w:rStyle w:val="DraftingNote"/>
                <w:b w:val="0"/>
                <w:color w:val="auto"/>
                <w:sz w:val="20"/>
                <w:u w:val="none"/>
              </w:rPr>
            </w:pPr>
            <w:r>
              <w:rPr>
                <w:rStyle w:val="DraftingNote"/>
                <w:b w:val="0"/>
                <w:color w:val="auto"/>
                <w:sz w:val="20"/>
                <w:u w:val="none"/>
              </w:rPr>
              <w:t>..</w:t>
            </w:r>
          </w:p>
        </w:tc>
        <w:tc>
          <w:tcPr>
            <w:tcW w:w="396" w:type="pct"/>
            <w:tcBorders>
              <w:bottom w:val="single" w:sz="4" w:space="0" w:color="auto"/>
            </w:tcBorders>
            <w:vAlign w:val="center"/>
          </w:tcPr>
          <w:p w:rsidR="009B6B60" w:rsidRPr="00CE1210" w:rsidRDefault="0092206E" w:rsidP="00CE1210">
            <w:pPr>
              <w:pStyle w:val="TableUnitsRow"/>
              <w:rPr>
                <w:rStyle w:val="DraftingNote"/>
                <w:b w:val="0"/>
                <w:color w:val="auto"/>
                <w:sz w:val="20"/>
                <w:u w:val="none"/>
              </w:rPr>
            </w:pPr>
            <w:r>
              <w:rPr>
                <w:rStyle w:val="DraftingNote"/>
                <w:b w:val="0"/>
                <w:color w:val="auto"/>
                <w:sz w:val="20"/>
                <w:u w:val="none"/>
              </w:rPr>
              <w:t>11.7</w:t>
            </w:r>
          </w:p>
        </w:tc>
        <w:tc>
          <w:tcPr>
            <w:tcW w:w="394" w:type="pct"/>
            <w:tcBorders>
              <w:bottom w:val="single" w:sz="4" w:space="0" w:color="auto"/>
            </w:tcBorders>
            <w:vAlign w:val="center"/>
          </w:tcPr>
          <w:p w:rsidR="009B6B60" w:rsidRPr="00CE1210" w:rsidRDefault="0092206E" w:rsidP="008D4205">
            <w:pPr>
              <w:pStyle w:val="TableUnitsRow"/>
              <w:rPr>
                <w:rStyle w:val="DraftingNote"/>
                <w:b w:val="0"/>
                <w:color w:val="auto"/>
                <w:sz w:val="20"/>
                <w:u w:val="none"/>
              </w:rPr>
            </w:pPr>
            <w:r>
              <w:rPr>
                <w:rStyle w:val="DraftingNote"/>
                <w:b w:val="0"/>
                <w:color w:val="auto"/>
                <w:sz w:val="20"/>
                <w:u w:val="none"/>
              </w:rPr>
              <w:t>13.</w:t>
            </w:r>
            <w:r w:rsidR="008D4205">
              <w:rPr>
                <w:rStyle w:val="DraftingNote"/>
                <w:b w:val="0"/>
                <w:color w:val="auto"/>
                <w:sz w:val="20"/>
                <w:u w:val="none"/>
              </w:rPr>
              <w:t>1</w:t>
            </w:r>
          </w:p>
        </w:tc>
      </w:tr>
    </w:tbl>
    <w:p w:rsidR="00075D05" w:rsidRDefault="000E3781" w:rsidP="00075D05">
      <w:pPr>
        <w:pStyle w:val="Note"/>
        <w:rPr>
          <w:rFonts w:cs="Arial"/>
          <w:i/>
        </w:rPr>
      </w:pPr>
      <w:r w:rsidRPr="00227D25">
        <w:rPr>
          <w:rStyle w:val="NoteLabel"/>
        </w:rPr>
        <w:t>a</w:t>
      </w:r>
      <w:r w:rsidR="00AF32BA" w:rsidRPr="00227D25">
        <w:t xml:space="preserve"> Refer to the National VET Provider Collection Data Quality Statement for information on data quality. </w:t>
      </w:r>
      <w:r w:rsidR="00AF32BA" w:rsidRPr="00227D25">
        <w:rPr>
          <w:b/>
          <w:position w:val="6"/>
        </w:rPr>
        <w:t>b </w:t>
      </w:r>
      <w:r w:rsidR="00AF32BA" w:rsidRPr="00227D25">
        <w:t xml:space="preserve">VET participation data by </w:t>
      </w:r>
      <w:r w:rsidR="00A50096">
        <w:t>remoteness region and state and territory are based on students’ home statistical area (</w:t>
      </w:r>
      <w:proofErr w:type="spellStart"/>
      <w:r w:rsidR="00A50096">
        <w:t>ASGS</w:t>
      </w:r>
      <w:proofErr w:type="spellEnd"/>
      <w:r w:rsidR="00A50096">
        <w:t xml:space="preserve"> </w:t>
      </w:r>
      <w:proofErr w:type="spellStart"/>
      <w:r w:rsidR="00A50096">
        <w:t>SA2</w:t>
      </w:r>
      <w:proofErr w:type="spellEnd"/>
      <w:r w:rsidR="00A50096">
        <w:t xml:space="preserve">) using the Accessibility and Remoteness Index for Australia (ARIA+) classifications which forms the basis for the ABS ‘remoteness structure’ component of the Australian Standard Geographic Classification. </w:t>
      </w:r>
      <w:r w:rsidR="00C5471F">
        <w:rPr>
          <w:b/>
          <w:position w:val="6"/>
        </w:rPr>
        <w:t>c </w:t>
      </w:r>
      <w:r w:rsidR="00AF32BA" w:rsidRPr="00AF32BA">
        <w:t xml:space="preserve">The participation rate for students from the various regions is the number of students participating in VET (based on students’ home </w:t>
      </w:r>
      <w:r w:rsidR="00037BAA">
        <w:t>statistical area</w:t>
      </w:r>
      <w:r w:rsidR="00AF32BA" w:rsidRPr="00AF32BA">
        <w:t xml:space="preserve">) as a proportion of the total population (i.e. all ages) that reside in that region. </w:t>
      </w:r>
      <w:r w:rsidR="00A50096">
        <w:rPr>
          <w:b/>
          <w:position w:val="6"/>
        </w:rPr>
        <w:t>d</w:t>
      </w:r>
      <w:r w:rsidR="008D5D0D" w:rsidRPr="000D15C5">
        <w:t xml:space="preserve"> </w:t>
      </w:r>
      <w:r w:rsidR="000D15C5" w:rsidRPr="000D15C5">
        <w:t>P</w:t>
      </w:r>
      <w:r w:rsidR="00E21B96" w:rsidRPr="000D15C5">
        <w:t xml:space="preserve">articipation rates may be understated due to </w:t>
      </w:r>
      <w:r w:rsidR="000D15C5" w:rsidRPr="000D15C5">
        <w:t>some un</w:t>
      </w:r>
      <w:r w:rsidR="00E21B96" w:rsidRPr="000D15C5">
        <w:t xml:space="preserve">known data for student postcode and location. </w:t>
      </w:r>
      <w:r w:rsidR="00A50096">
        <w:rPr>
          <w:b/>
          <w:position w:val="6"/>
        </w:rPr>
        <w:t>e</w:t>
      </w:r>
      <w:r w:rsidR="00AF32BA" w:rsidRPr="000D15C5">
        <w:t xml:space="preserve"> The</w:t>
      </w:r>
      <w:r w:rsidR="00A50096">
        <w:t>re are no very remote areas in Victoria. There are no major cities in Tasmania. There are no remote or very remote areas or outer regional areas in the ACT. There are no major cities or inner regional areas in the NT</w:t>
      </w:r>
      <w:r w:rsidR="00AF32BA" w:rsidRPr="000D15C5">
        <w:t xml:space="preserve">. </w:t>
      </w:r>
      <w:r w:rsidR="00F7670B">
        <w:rPr>
          <w:rStyle w:val="NoteLabel"/>
        </w:rPr>
        <w:t>f</w:t>
      </w:r>
      <w:r w:rsidR="00F7670B">
        <w:t xml:space="preserve"> Rates may vary from previous reports due to revised population data used for denominators.</w:t>
      </w:r>
      <w:r w:rsidR="00AF32BA" w:rsidRPr="000D15C5">
        <w:rPr>
          <w:b/>
        </w:rPr>
        <w:t>..</w:t>
      </w:r>
      <w:r w:rsidR="00AF32BA" w:rsidRPr="000D15C5">
        <w:t xml:space="preserve"> Not applicable.</w:t>
      </w:r>
    </w:p>
    <w:p w:rsidR="00AF32BA" w:rsidRPr="00AF32BA" w:rsidRDefault="00AF32BA" w:rsidP="00725CFC">
      <w:pPr>
        <w:keepLines/>
        <w:spacing w:before="80" w:after="120" w:line="220" w:lineRule="exact"/>
        <w:jc w:val="both"/>
        <w:rPr>
          <w:rFonts w:ascii="Arial" w:hAnsi="Arial"/>
          <w:sz w:val="18"/>
          <w:szCs w:val="20"/>
        </w:rPr>
      </w:pPr>
      <w:r w:rsidRPr="00AF32BA">
        <w:rPr>
          <w:rFonts w:ascii="Arial" w:hAnsi="Arial"/>
          <w:i/>
          <w:sz w:val="18"/>
          <w:szCs w:val="20"/>
        </w:rPr>
        <w:t>Source</w:t>
      </w:r>
      <w:r w:rsidRPr="00AF32BA">
        <w:rPr>
          <w:rFonts w:ascii="Arial" w:hAnsi="Arial"/>
          <w:sz w:val="18"/>
          <w:szCs w:val="20"/>
        </w:rPr>
        <w:t>: NCVER (unpublished) National VET provider collection; ABS (</w:t>
      </w:r>
      <w:r w:rsidR="008D4205">
        <w:rPr>
          <w:rFonts w:ascii="Arial" w:hAnsi="Arial"/>
          <w:sz w:val="18"/>
          <w:szCs w:val="20"/>
        </w:rPr>
        <w:t>2013</w:t>
      </w:r>
      <w:r w:rsidRPr="00AF32BA">
        <w:rPr>
          <w:rFonts w:ascii="Arial" w:hAnsi="Arial"/>
          <w:i/>
          <w:sz w:val="18"/>
          <w:szCs w:val="20"/>
        </w:rPr>
        <w:t>) Regional Population Growth, Australia,</w:t>
      </w:r>
      <w:r w:rsidR="00F87724">
        <w:rPr>
          <w:rFonts w:ascii="Arial" w:hAnsi="Arial"/>
          <w:i/>
          <w:sz w:val="18"/>
          <w:szCs w:val="20"/>
        </w:rPr>
        <w:t xml:space="preserve"> </w:t>
      </w:r>
      <w:r w:rsidR="00904D65">
        <w:rPr>
          <w:rFonts w:ascii="Arial" w:hAnsi="Arial"/>
          <w:sz w:val="18"/>
          <w:szCs w:val="20"/>
        </w:rPr>
        <w:t>Cat. n</w:t>
      </w:r>
      <w:r w:rsidR="0092206E">
        <w:rPr>
          <w:rFonts w:ascii="Arial" w:hAnsi="Arial"/>
          <w:sz w:val="18"/>
          <w:szCs w:val="20"/>
        </w:rPr>
        <w:t xml:space="preserve">o. 3218.0; table </w:t>
      </w:r>
      <w:proofErr w:type="spellStart"/>
      <w:r w:rsidR="0092206E">
        <w:rPr>
          <w:rFonts w:ascii="Arial" w:hAnsi="Arial"/>
          <w:sz w:val="18"/>
          <w:szCs w:val="20"/>
        </w:rPr>
        <w:t>SWD.C.18</w:t>
      </w:r>
      <w:proofErr w:type="spellEnd"/>
      <w:r w:rsidR="000270CE">
        <w:rPr>
          <w:rFonts w:ascii="Arial" w:hAnsi="Arial"/>
          <w:sz w:val="18"/>
          <w:szCs w:val="20"/>
        </w:rPr>
        <w:t>.</w:t>
      </w:r>
    </w:p>
    <w:p w:rsidR="00AF32BA" w:rsidRDefault="00AF32BA" w:rsidP="00AF32BA">
      <w:pPr>
        <w:pStyle w:val="BodyText"/>
      </w:pPr>
      <w:r>
        <w:t xml:space="preserve">Data on the numbers and proportions of VET participation by remoteness classification for </w:t>
      </w:r>
      <w:r w:rsidR="00073F28">
        <w:t xml:space="preserve">2012 and 2011 </w:t>
      </w:r>
      <w:r w:rsidR="000270CE">
        <w:t>are available in table</w:t>
      </w:r>
      <w:r w:rsidR="00073F28">
        <w:t>s</w:t>
      </w:r>
      <w:r w:rsidR="000270CE">
        <w:t xml:space="preserve"> </w:t>
      </w:r>
      <w:proofErr w:type="spellStart"/>
      <w:r w:rsidR="000270CE">
        <w:t>SWD.C.</w:t>
      </w:r>
      <w:r w:rsidR="00206288">
        <w:t>1</w:t>
      </w:r>
      <w:r w:rsidR="00A22E64">
        <w:t>8</w:t>
      </w:r>
      <w:proofErr w:type="spellEnd"/>
      <w:r w:rsidR="00073F28">
        <w:t>-19</w:t>
      </w:r>
      <w:r>
        <w:t>.</w:t>
      </w:r>
    </w:p>
    <w:p w:rsidR="00AF32BA" w:rsidRDefault="00AF32BA" w:rsidP="00AF32BA">
      <w:pPr>
        <w:pStyle w:val="Heading4"/>
      </w:pPr>
      <w:r>
        <w:t>Employers’ use and views of the VET system</w:t>
      </w:r>
    </w:p>
    <w:p w:rsidR="00A80A0B" w:rsidRDefault="00050EA9" w:rsidP="00AF32BA">
      <w:pPr>
        <w:pStyle w:val="BodyText"/>
      </w:pPr>
      <w:r w:rsidRPr="00C15686">
        <w:t xml:space="preserve">Data on the employers’ use and views about VET are available through the NCVER biennial </w:t>
      </w:r>
      <w:r w:rsidR="004859E6">
        <w:t>S</w:t>
      </w:r>
      <w:r w:rsidRPr="00C15686">
        <w:t>urvey of Employers’ Use and Views of the VET system</w:t>
      </w:r>
      <w:r w:rsidR="008776DB">
        <w:t xml:space="preserve"> (</w:t>
      </w:r>
      <w:proofErr w:type="spellStart"/>
      <w:r w:rsidR="008776DB">
        <w:t>SEUV</w:t>
      </w:r>
      <w:proofErr w:type="spellEnd"/>
      <w:r w:rsidR="008776DB">
        <w:t>)</w:t>
      </w:r>
      <w:r w:rsidR="00C15686" w:rsidRPr="00C15686">
        <w:t xml:space="preserve">. </w:t>
      </w:r>
    </w:p>
    <w:p w:rsidR="00A80A0B" w:rsidRDefault="00A80A0B" w:rsidP="00C51819">
      <w:pPr>
        <w:pStyle w:val="BodyText"/>
      </w:pPr>
      <w:r>
        <w:t>Data on the reported difficulty of recruiting staff provide information on employers’ perception</w:t>
      </w:r>
      <w:r w:rsidR="002944E6">
        <w:t>s</w:t>
      </w:r>
      <w:r>
        <w:t xml:space="preserve"> of skills shortages. By extension, this provides some indication of whether the national training environment is responsive to labour market demand. Data on the reported difficulty in recruiting staff in 2013 are available for this report </w:t>
      </w:r>
      <w:r w:rsidRPr="005D006E">
        <w:t xml:space="preserve">and provided in table </w:t>
      </w:r>
      <w:proofErr w:type="spellStart"/>
      <w:r w:rsidRPr="005D006E">
        <w:t>SWD.C.2</w:t>
      </w:r>
      <w:r w:rsidR="005D006E" w:rsidRPr="005D006E">
        <w:t>0</w:t>
      </w:r>
      <w:proofErr w:type="spellEnd"/>
      <w:r w:rsidR="00806814">
        <w:t>.</w:t>
      </w:r>
    </w:p>
    <w:p w:rsidR="00F14736" w:rsidRDefault="00F14736">
      <w:pPr>
        <w:rPr>
          <w:rFonts w:ascii="Arial" w:hAnsi="Arial"/>
          <w:b/>
          <w:sz w:val="32"/>
          <w:szCs w:val="20"/>
        </w:rPr>
      </w:pPr>
      <w:r>
        <w:br w:type="page"/>
      </w:r>
    </w:p>
    <w:p w:rsidR="00C8162A" w:rsidRDefault="00CF740A" w:rsidP="00CF740A">
      <w:pPr>
        <w:pStyle w:val="Heading2"/>
      </w:pPr>
      <w:r>
        <w:t>Performance targets</w:t>
      </w:r>
    </w:p>
    <w:p w:rsidR="00CF740A" w:rsidRDefault="00CF740A" w:rsidP="00C8162A">
      <w:pPr>
        <w:pStyle w:val="BodyText"/>
      </w:pPr>
      <w:r>
        <w:t>The CRC has requested the Steering Committee to report against the performance targets identified in the NAs. The performance targets in the NASWD are:</w:t>
      </w:r>
    </w:p>
    <w:p w:rsidR="00CF740A" w:rsidRDefault="00DD0D9E" w:rsidP="00CF740A">
      <w:pPr>
        <w:pStyle w:val="ListBullet"/>
      </w:pPr>
      <w:r>
        <w:t>h</w:t>
      </w:r>
      <w:r w:rsidR="00CF740A">
        <w:t xml:space="preserve">alve the proportion of Australians nationally aged 20–64 </w:t>
      </w:r>
      <w:r w:rsidR="00057F5E">
        <w:t>without qualifications at Certificate III level and above between 2009 and 2020</w:t>
      </w:r>
    </w:p>
    <w:p w:rsidR="00623B57" w:rsidRDefault="00DD0D9E" w:rsidP="006D2F6A">
      <w:pPr>
        <w:pStyle w:val="ListBullet"/>
      </w:pPr>
      <w:r>
        <w:t>d</w:t>
      </w:r>
      <w:r w:rsidR="00057F5E">
        <w:t>ouble the number of higher level qualification completions (diploma and advanced diploma) nationally between 2009 and 2020.</w:t>
      </w:r>
    </w:p>
    <w:p w:rsidR="00C37845" w:rsidRDefault="00C37845" w:rsidP="00617B4A">
      <w:pPr>
        <w:pStyle w:val="BodyText"/>
      </w:pPr>
      <w:r>
        <w:t xml:space="preserve">The </w:t>
      </w:r>
      <w:proofErr w:type="spellStart"/>
      <w:r>
        <w:t>NASWD</w:t>
      </w:r>
      <w:proofErr w:type="spellEnd"/>
      <w:r>
        <w:t xml:space="preserve"> [</w:t>
      </w:r>
      <w:proofErr w:type="spellStart"/>
      <w:r>
        <w:t>para.23</w:t>
      </w:r>
      <w:proofErr w:type="spellEnd"/>
      <w:r>
        <w:t xml:space="preserve">] recognises that while the NASWD is focused on the VET sector, governments, individuals, industry, and the higher education and school sectors </w:t>
      </w:r>
      <w:r w:rsidR="00F87724">
        <w:t xml:space="preserve">also </w:t>
      </w:r>
      <w:r>
        <w:t>play a role in attaining the NASWD targets, and that recent reforms in higher education may also impact on the achievement of the NASWD targets.</w:t>
      </w:r>
    </w:p>
    <w:p w:rsidR="00057F5E" w:rsidRDefault="00057F5E" w:rsidP="00057F5E">
      <w:pPr>
        <w:pStyle w:val="BodyText"/>
      </w:pPr>
      <w:r>
        <w:t>Outline</w:t>
      </w:r>
      <w:r w:rsidR="000049B8">
        <w:t>d</w:t>
      </w:r>
      <w:r>
        <w:t xml:space="preserve"> below are the performance targets, any associated issues, and data for the current reporting year. Cross references are provided to the related NASWD outcome and, where relevant, to the related performance indicator.</w:t>
      </w:r>
    </w:p>
    <w:p w:rsidR="00985566" w:rsidRDefault="00057F5E" w:rsidP="00057F5E">
      <w:pPr>
        <w:pStyle w:val="BodyText"/>
      </w:pPr>
      <w:r>
        <w:t xml:space="preserve">Data for the performance targets in this report are presented </w:t>
      </w:r>
      <w:r w:rsidR="00985566">
        <w:t>in attachments ‘</w:t>
      </w:r>
      <w:proofErr w:type="spellStart"/>
      <w:r w:rsidR="00985566">
        <w:t>SWD</w:t>
      </w:r>
      <w:r w:rsidR="006D2F6A">
        <w:t>.</w:t>
      </w:r>
      <w:r w:rsidR="00985566">
        <w:t>PT</w:t>
      </w:r>
      <w:proofErr w:type="spellEnd"/>
      <w:r w:rsidR="00985566">
        <w:t xml:space="preserve">’ (for </w:t>
      </w:r>
      <w:proofErr w:type="spellStart"/>
      <w:r w:rsidR="00985566">
        <w:t>NASWD</w:t>
      </w:r>
      <w:proofErr w:type="spellEnd"/>
      <w:r w:rsidR="00985566">
        <w:t xml:space="preserve"> performance targets) and ‘</w:t>
      </w:r>
      <w:proofErr w:type="spellStart"/>
      <w:r w:rsidR="00985566">
        <w:t>SWD</w:t>
      </w:r>
      <w:proofErr w:type="spellEnd"/>
      <w:r w:rsidR="00985566">
        <w:t xml:space="preserve">’ (for related </w:t>
      </w:r>
      <w:proofErr w:type="spellStart"/>
      <w:r w:rsidR="00985566">
        <w:t>NASWD</w:t>
      </w:r>
      <w:proofErr w:type="spellEnd"/>
      <w:r w:rsidR="00985566">
        <w:t xml:space="preserve"> </w:t>
      </w:r>
      <w:r w:rsidR="002543A1">
        <w:t xml:space="preserve">performance </w:t>
      </w:r>
      <w:r w:rsidR="00985566">
        <w:t>indicators).</w:t>
      </w:r>
    </w:p>
    <w:p w:rsidR="00985566" w:rsidRDefault="00985566" w:rsidP="00985566">
      <w:pPr>
        <w:pStyle w:val="BodyText"/>
      </w:pPr>
      <w:r>
        <w:br w:type="page"/>
      </w:r>
    </w:p>
    <w:p w:rsidR="00592B2E" w:rsidRDefault="00FB1E5F" w:rsidP="005634A1">
      <w:pPr>
        <w:pStyle w:val="Heading3"/>
      </w:pPr>
      <w:r>
        <w:t>Performance target (a) — H</w:t>
      </w:r>
      <w:r w:rsidR="005634A1" w:rsidRPr="005634A1">
        <w:t>alve the proportion of Australians nationally aged 20–64 without qualifications at Certificate III level and above between 2009 and 2020</w:t>
      </w:r>
    </w:p>
    <w:p w:rsidR="005634A1" w:rsidRPr="005634A1" w:rsidRDefault="005634A1" w:rsidP="005634A1">
      <w:pPr>
        <w:pStyle w:val="BoxSpace"/>
      </w:pPr>
    </w:p>
    <w:tbl>
      <w:tblPr>
        <w:tblW w:w="0" w:type="auto"/>
        <w:tblLook w:val="01E0" w:firstRow="1" w:lastRow="1" w:firstColumn="1" w:lastColumn="1" w:noHBand="0" w:noVBand="0"/>
      </w:tblPr>
      <w:tblGrid>
        <w:gridCol w:w="1985"/>
        <w:gridCol w:w="6804"/>
      </w:tblGrid>
      <w:tr w:rsidR="005634A1" w:rsidTr="001B5488">
        <w:trPr>
          <w:trHeight w:val="915"/>
        </w:trPr>
        <w:tc>
          <w:tcPr>
            <w:tcW w:w="1985" w:type="dxa"/>
            <w:shd w:val="clear" w:color="auto" w:fill="auto"/>
          </w:tcPr>
          <w:p w:rsidR="005634A1" w:rsidRPr="00366033" w:rsidRDefault="005634A1" w:rsidP="005634A1">
            <w:pPr>
              <w:pStyle w:val="TableBodyText"/>
              <w:jc w:val="left"/>
            </w:pPr>
            <w:r w:rsidRPr="00366033">
              <w:t xml:space="preserve">Key amendments from </w:t>
            </w:r>
            <w:r>
              <w:t>previous</w:t>
            </w:r>
            <w:r w:rsidRPr="00366033">
              <w:t xml:space="preserve"> cycle:</w:t>
            </w:r>
            <w:r w:rsidRPr="00366033">
              <w:tab/>
            </w:r>
          </w:p>
        </w:tc>
        <w:tc>
          <w:tcPr>
            <w:tcW w:w="6804" w:type="dxa"/>
            <w:shd w:val="clear" w:color="auto" w:fill="auto"/>
          </w:tcPr>
          <w:p w:rsidR="005634A1" w:rsidRPr="003733DE" w:rsidRDefault="009D6A03" w:rsidP="00DF49AE">
            <w:pPr>
              <w:pStyle w:val="TableBodyText"/>
              <w:jc w:val="left"/>
            </w:pPr>
            <w:r w:rsidRPr="009D6A03">
              <w:t>No amendments to this target or related measures/data</w:t>
            </w:r>
          </w:p>
        </w:tc>
      </w:tr>
      <w:tr w:rsidR="005634A1" w:rsidTr="005634A1">
        <w:trPr>
          <w:trHeight w:val="680"/>
        </w:trPr>
        <w:tc>
          <w:tcPr>
            <w:tcW w:w="1985" w:type="dxa"/>
            <w:shd w:val="clear" w:color="auto" w:fill="auto"/>
          </w:tcPr>
          <w:p w:rsidR="005634A1" w:rsidRDefault="005634A1" w:rsidP="005634A1">
            <w:pPr>
              <w:pStyle w:val="TableBodyText"/>
              <w:jc w:val="left"/>
            </w:pPr>
            <w:r>
              <w:t>Outcome:</w:t>
            </w:r>
          </w:p>
        </w:tc>
        <w:tc>
          <w:tcPr>
            <w:tcW w:w="6804" w:type="dxa"/>
            <w:shd w:val="clear" w:color="auto" w:fill="auto"/>
          </w:tcPr>
          <w:p w:rsidR="005634A1" w:rsidRPr="003733DE" w:rsidRDefault="009D6A03" w:rsidP="00DF49AE">
            <w:pPr>
              <w:pStyle w:val="TableBodyText"/>
              <w:jc w:val="left"/>
            </w:pPr>
            <w:r w:rsidRPr="009D6A03">
              <w:t>The skill levels of the working age population are increased to meet the changing needs of the economy</w:t>
            </w:r>
          </w:p>
        </w:tc>
      </w:tr>
      <w:tr w:rsidR="005634A1" w:rsidTr="005634A1">
        <w:trPr>
          <w:trHeight w:val="854"/>
        </w:trPr>
        <w:tc>
          <w:tcPr>
            <w:tcW w:w="1985" w:type="dxa"/>
            <w:shd w:val="clear" w:color="auto" w:fill="auto"/>
          </w:tcPr>
          <w:p w:rsidR="005634A1" w:rsidRDefault="005634A1" w:rsidP="005634A1">
            <w:pPr>
              <w:pStyle w:val="TableBodyText"/>
              <w:jc w:val="left"/>
            </w:pPr>
            <w:r>
              <w:t>Related performance indicator/s:</w:t>
            </w:r>
          </w:p>
        </w:tc>
        <w:tc>
          <w:tcPr>
            <w:tcW w:w="6804" w:type="dxa"/>
            <w:shd w:val="clear" w:color="auto" w:fill="auto"/>
          </w:tcPr>
          <w:p w:rsidR="005634A1" w:rsidRPr="003733DE" w:rsidRDefault="009D6A03" w:rsidP="00DF49AE">
            <w:pPr>
              <w:pStyle w:val="TableBodyText"/>
              <w:jc w:val="left"/>
            </w:pPr>
            <w:r w:rsidRPr="009D6A03">
              <w:t>NASWD PI 1: Proportion of working age population (</w:t>
            </w:r>
            <w:proofErr w:type="spellStart"/>
            <w:r w:rsidRPr="009D6A03">
              <w:t>WAP</w:t>
            </w:r>
            <w:proofErr w:type="spellEnd"/>
            <w:r w:rsidRPr="009D6A03">
              <w:t>) with higher level qualifications (Certificate III and above)</w:t>
            </w:r>
          </w:p>
        </w:tc>
      </w:tr>
      <w:tr w:rsidR="005634A1" w:rsidTr="001B5488">
        <w:trPr>
          <w:trHeight w:val="6534"/>
        </w:trPr>
        <w:tc>
          <w:tcPr>
            <w:tcW w:w="1985" w:type="dxa"/>
            <w:shd w:val="clear" w:color="auto" w:fill="auto"/>
          </w:tcPr>
          <w:p w:rsidR="005634A1" w:rsidRDefault="005634A1" w:rsidP="005634A1">
            <w:pPr>
              <w:pStyle w:val="TableBodyText"/>
              <w:jc w:val="left"/>
            </w:pPr>
            <w:r>
              <w:t>Measure:</w:t>
            </w:r>
          </w:p>
        </w:tc>
        <w:tc>
          <w:tcPr>
            <w:tcW w:w="6804" w:type="dxa"/>
            <w:shd w:val="clear" w:color="auto" w:fill="auto"/>
          </w:tcPr>
          <w:p w:rsidR="00D304E0" w:rsidRDefault="00D304E0" w:rsidP="00DF49AE">
            <w:pPr>
              <w:pStyle w:val="TableBodyText"/>
              <w:jc w:val="left"/>
            </w:pPr>
            <w:r>
              <w:t xml:space="preserve">Proportion of people aged 20–64 years who do not have qualifications at or above </w:t>
            </w:r>
            <w:proofErr w:type="spellStart"/>
            <w:r>
              <w:t>AQF</w:t>
            </w:r>
            <w:proofErr w:type="spellEnd"/>
            <w:r>
              <w:t xml:space="preserve"> Certificate level III</w:t>
            </w:r>
          </w:p>
          <w:p w:rsidR="00D304E0" w:rsidRDefault="00D304E0" w:rsidP="00DF49AE">
            <w:pPr>
              <w:pStyle w:val="TableBodyText"/>
              <w:jc w:val="left"/>
            </w:pPr>
          </w:p>
          <w:p w:rsidR="00D304E0" w:rsidRDefault="00D304E0" w:rsidP="00DF49AE">
            <w:pPr>
              <w:pStyle w:val="TableBodyText"/>
              <w:jc w:val="left"/>
            </w:pPr>
            <w:r>
              <w:t>The measure is defined as:</w:t>
            </w:r>
          </w:p>
          <w:p w:rsidR="00D304E0" w:rsidRDefault="00D304E0" w:rsidP="00555811">
            <w:pPr>
              <w:pStyle w:val="TableBullet"/>
            </w:pPr>
            <w:r w:rsidRPr="000C249F">
              <w:rPr>
                <w:i/>
              </w:rPr>
              <w:t xml:space="preserve">numerator </w:t>
            </w:r>
            <w:r>
              <w:t xml:space="preserve">— people aged 20–64 years who have not attained post school qualifications at or above </w:t>
            </w:r>
            <w:proofErr w:type="spellStart"/>
            <w:r>
              <w:t>AQF</w:t>
            </w:r>
            <w:proofErr w:type="spellEnd"/>
            <w:r>
              <w:t xml:space="preserve"> Certificate level III</w:t>
            </w:r>
          </w:p>
          <w:p w:rsidR="00D304E0" w:rsidRDefault="00D304E0" w:rsidP="00555811">
            <w:pPr>
              <w:pStyle w:val="TableBullet"/>
            </w:pPr>
            <w:r w:rsidRPr="000C249F">
              <w:rPr>
                <w:i/>
              </w:rPr>
              <w:t>denominator</w:t>
            </w:r>
            <w:r>
              <w:t xml:space="preserve"> — total population of people aged 20–64 years</w:t>
            </w:r>
          </w:p>
          <w:p w:rsidR="00D304E0" w:rsidRDefault="00D304E0" w:rsidP="000C249F">
            <w:pPr>
              <w:pStyle w:val="TableBodyText"/>
              <w:jc w:val="left"/>
            </w:pPr>
            <w:r>
              <w:t xml:space="preserve">and is expressed as a </w:t>
            </w:r>
            <w:r w:rsidRPr="00073F28">
              <w:rPr>
                <w:i/>
              </w:rPr>
              <w:t>percentage</w:t>
            </w:r>
            <w:r>
              <w:t>.</w:t>
            </w:r>
          </w:p>
          <w:p w:rsidR="00D304E0" w:rsidRDefault="00D304E0" w:rsidP="00DF49AE">
            <w:pPr>
              <w:pStyle w:val="TableBodyText"/>
              <w:jc w:val="left"/>
            </w:pPr>
          </w:p>
          <w:p w:rsidR="00D304E0" w:rsidRDefault="00D304E0" w:rsidP="00DF49AE">
            <w:pPr>
              <w:pStyle w:val="TableBodyText"/>
              <w:jc w:val="left"/>
            </w:pPr>
            <w:r>
              <w:t>‘Certificate III or above’ includes Certificate III, IV, Diploma, Advanced Diploma, Associate degree, Bachelor degree and above</w:t>
            </w:r>
          </w:p>
          <w:p w:rsidR="00D304E0" w:rsidRDefault="00D304E0" w:rsidP="00DF49AE">
            <w:pPr>
              <w:pStyle w:val="TableBodyText"/>
              <w:jc w:val="left"/>
            </w:pPr>
          </w:p>
          <w:p w:rsidR="00D304E0" w:rsidRDefault="00D304E0" w:rsidP="00DF49AE">
            <w:pPr>
              <w:pStyle w:val="TableBodyText"/>
              <w:jc w:val="left"/>
            </w:pPr>
            <w:r>
              <w:t xml:space="preserve">Persons whose level of non-school qualification is determined to be certificate level but is not able to be further defined (i.e., Certificate </w:t>
            </w:r>
            <w:proofErr w:type="spellStart"/>
            <w:r>
              <w:t>nfd</w:t>
            </w:r>
            <w:proofErr w:type="spellEnd"/>
            <w:r>
              <w:t xml:space="preserve">) are assumed to have attained below Certificate level III and are therefore </w:t>
            </w:r>
            <w:r w:rsidRPr="000C249F">
              <w:rPr>
                <w:u w:val="single"/>
              </w:rPr>
              <w:t>included</w:t>
            </w:r>
            <w:r>
              <w:t xml:space="preserve"> in the calculations (numerator and denominator) for this indicator</w:t>
            </w:r>
          </w:p>
          <w:p w:rsidR="00D304E0" w:rsidRDefault="00D304E0" w:rsidP="00DF49AE">
            <w:pPr>
              <w:pStyle w:val="TableBodyText"/>
              <w:jc w:val="left"/>
            </w:pPr>
          </w:p>
          <w:p w:rsidR="00D304E0" w:rsidRDefault="00D304E0" w:rsidP="00DF49AE">
            <w:pPr>
              <w:pStyle w:val="TableBodyText"/>
              <w:jc w:val="left"/>
            </w:pPr>
            <w:r>
              <w:t xml:space="preserve">Persons whose level of non-school qualification cannot be determined are assumed to have attained below Certificate level III and are therefore </w:t>
            </w:r>
            <w:r w:rsidRPr="000C249F">
              <w:rPr>
                <w:u w:val="single"/>
              </w:rPr>
              <w:t>included</w:t>
            </w:r>
            <w:r>
              <w:t xml:space="preserve"> in the calculations (numerator and denominator) for this indicator</w:t>
            </w:r>
          </w:p>
          <w:p w:rsidR="00D304E0" w:rsidRDefault="00D304E0" w:rsidP="00DF49AE">
            <w:pPr>
              <w:pStyle w:val="TableBodyText"/>
              <w:jc w:val="left"/>
            </w:pPr>
          </w:p>
          <w:p w:rsidR="005634A1" w:rsidRDefault="00D304E0" w:rsidP="00DF49AE">
            <w:pPr>
              <w:pStyle w:val="TableBodyText"/>
              <w:jc w:val="left"/>
            </w:pPr>
            <w:r w:rsidRPr="000C249F">
              <w:rPr>
                <w:u w:val="single"/>
              </w:rPr>
              <w:t>Excludes</w:t>
            </w:r>
            <w:r>
              <w:t xml:space="preserve"> persons whose level of education was not stated (only applicable to Census data)</w:t>
            </w:r>
          </w:p>
          <w:p w:rsidR="00944351" w:rsidRDefault="00944351" w:rsidP="00DF49AE">
            <w:pPr>
              <w:pStyle w:val="TableBodyText"/>
              <w:jc w:val="left"/>
            </w:pPr>
          </w:p>
          <w:p w:rsidR="00944351" w:rsidRDefault="00944351" w:rsidP="00944351">
            <w:pPr>
              <w:pStyle w:val="TableBodyText"/>
              <w:keepNext w:val="0"/>
              <w:keepLines w:val="0"/>
              <w:widowControl w:val="0"/>
              <w:jc w:val="left"/>
            </w:pPr>
            <w:r>
              <w:t xml:space="preserve">SEW Data: </w:t>
            </w:r>
            <w:r w:rsidRPr="002E18C8">
              <w:t>Prior to the 2013 SEW, people who were permanently unable to work (PUW) were excluded from the in-scope population. In 2013, the SEW scope was expanded to include the PUW population. However, to ensure that the indicator measure presented here is comparable over time, the PUW population has been excluded from these tables.</w:t>
            </w:r>
          </w:p>
          <w:p w:rsidR="00944351" w:rsidRPr="003733DE" w:rsidRDefault="00944351" w:rsidP="00DF49AE">
            <w:pPr>
              <w:pStyle w:val="TableBodyText"/>
              <w:jc w:val="left"/>
            </w:pPr>
          </w:p>
        </w:tc>
      </w:tr>
      <w:tr w:rsidR="005634A1" w:rsidTr="001B5488">
        <w:trPr>
          <w:trHeight w:val="1424"/>
        </w:trPr>
        <w:tc>
          <w:tcPr>
            <w:tcW w:w="1985" w:type="dxa"/>
            <w:shd w:val="clear" w:color="auto" w:fill="auto"/>
          </w:tcPr>
          <w:p w:rsidR="005634A1" w:rsidRDefault="005634A1" w:rsidP="005634A1">
            <w:pPr>
              <w:pStyle w:val="TableBodyText"/>
              <w:jc w:val="left"/>
            </w:pPr>
            <w:r>
              <w:t>Data source:</w:t>
            </w:r>
          </w:p>
        </w:tc>
        <w:tc>
          <w:tcPr>
            <w:tcW w:w="6804" w:type="dxa"/>
            <w:shd w:val="clear" w:color="auto" w:fill="auto"/>
          </w:tcPr>
          <w:p w:rsidR="00D304E0" w:rsidRDefault="00D304E0" w:rsidP="00DF49AE">
            <w:pPr>
              <w:pStyle w:val="TableBodyText"/>
              <w:jc w:val="left"/>
            </w:pPr>
            <w:r w:rsidRPr="00270164">
              <w:rPr>
                <w:i/>
              </w:rPr>
              <w:t>(Main)</w:t>
            </w:r>
            <w:r>
              <w:t xml:space="preserve"> </w:t>
            </w:r>
            <w:r w:rsidRPr="000C249F">
              <w:rPr>
                <w:u w:val="single"/>
              </w:rPr>
              <w:t>Census of Population and Housing</w:t>
            </w:r>
            <w:r>
              <w:t xml:space="preserve"> (Census). Data are collected every five years</w:t>
            </w:r>
          </w:p>
          <w:p w:rsidR="00D304E0" w:rsidRDefault="00D304E0" w:rsidP="00DF49AE">
            <w:pPr>
              <w:pStyle w:val="TableBodyText"/>
              <w:jc w:val="left"/>
            </w:pPr>
          </w:p>
          <w:p w:rsidR="005634A1" w:rsidRPr="003733DE" w:rsidRDefault="00D304E0" w:rsidP="00DF49AE">
            <w:pPr>
              <w:pStyle w:val="TableBodyText"/>
              <w:jc w:val="left"/>
            </w:pPr>
            <w:r w:rsidRPr="00270164">
              <w:rPr>
                <w:i/>
              </w:rPr>
              <w:t>(Supplementary)</w:t>
            </w:r>
            <w:r>
              <w:t xml:space="preserve"> </w:t>
            </w:r>
            <w:r w:rsidRPr="000C249F">
              <w:rPr>
                <w:u w:val="single"/>
              </w:rPr>
              <w:t>Survey of Education and Work</w:t>
            </w:r>
            <w:r>
              <w:t xml:space="preserve"> (SEW). Data are collected annually</w:t>
            </w:r>
          </w:p>
        </w:tc>
      </w:tr>
      <w:tr w:rsidR="005634A1" w:rsidTr="004D7080">
        <w:trPr>
          <w:trHeight w:val="283"/>
        </w:trPr>
        <w:tc>
          <w:tcPr>
            <w:tcW w:w="1985" w:type="dxa"/>
            <w:shd w:val="clear" w:color="auto" w:fill="auto"/>
          </w:tcPr>
          <w:p w:rsidR="005634A1" w:rsidRDefault="005634A1" w:rsidP="005634A1">
            <w:pPr>
              <w:pStyle w:val="TableBodyText"/>
              <w:jc w:val="left"/>
            </w:pPr>
            <w:r>
              <w:t>Data provider:</w:t>
            </w:r>
          </w:p>
        </w:tc>
        <w:tc>
          <w:tcPr>
            <w:tcW w:w="6804" w:type="dxa"/>
            <w:shd w:val="clear" w:color="auto" w:fill="auto"/>
          </w:tcPr>
          <w:p w:rsidR="005634A1" w:rsidRPr="003733DE" w:rsidRDefault="00D304E0" w:rsidP="00DF49AE">
            <w:pPr>
              <w:pStyle w:val="TableBodyText"/>
              <w:jc w:val="left"/>
            </w:pPr>
            <w:r w:rsidRPr="00D304E0">
              <w:t>ABS</w:t>
            </w:r>
          </w:p>
        </w:tc>
      </w:tr>
      <w:tr w:rsidR="005634A1" w:rsidTr="004D7080">
        <w:trPr>
          <w:trHeight w:val="547"/>
        </w:trPr>
        <w:tc>
          <w:tcPr>
            <w:tcW w:w="1985" w:type="dxa"/>
            <w:shd w:val="clear" w:color="auto" w:fill="auto"/>
          </w:tcPr>
          <w:p w:rsidR="005634A1" w:rsidRDefault="005634A1" w:rsidP="005634A1">
            <w:pPr>
              <w:pStyle w:val="TableBodyText"/>
              <w:jc w:val="left"/>
            </w:pPr>
            <w:r>
              <w:t>Data availability:</w:t>
            </w:r>
          </w:p>
        </w:tc>
        <w:tc>
          <w:tcPr>
            <w:tcW w:w="6804" w:type="dxa"/>
            <w:shd w:val="clear" w:color="auto" w:fill="auto"/>
          </w:tcPr>
          <w:p w:rsidR="005634A1" w:rsidRPr="003733DE" w:rsidRDefault="00D304E0" w:rsidP="00DF49AE">
            <w:pPr>
              <w:pStyle w:val="TableBodyText"/>
              <w:jc w:val="left"/>
            </w:pPr>
            <w:r w:rsidRPr="00D304E0">
              <w:t>SEW — 2013</w:t>
            </w:r>
          </w:p>
        </w:tc>
      </w:tr>
      <w:tr w:rsidR="005634A1" w:rsidTr="005634A1">
        <w:trPr>
          <w:trHeight w:val="680"/>
        </w:trPr>
        <w:tc>
          <w:tcPr>
            <w:tcW w:w="1985" w:type="dxa"/>
            <w:shd w:val="clear" w:color="auto" w:fill="auto"/>
          </w:tcPr>
          <w:p w:rsidR="005634A1" w:rsidRDefault="005634A1" w:rsidP="005634A1">
            <w:pPr>
              <w:pStyle w:val="TableBodyText"/>
              <w:jc w:val="left"/>
            </w:pPr>
            <w:r>
              <w:t>Cross tabulations provided:</w:t>
            </w:r>
          </w:p>
        </w:tc>
        <w:tc>
          <w:tcPr>
            <w:tcW w:w="6804" w:type="dxa"/>
            <w:shd w:val="clear" w:color="auto" w:fill="auto"/>
          </w:tcPr>
          <w:p w:rsidR="005634A1" w:rsidRPr="003733DE" w:rsidRDefault="00D304E0" w:rsidP="00DF49AE">
            <w:pPr>
              <w:pStyle w:val="TableBodyText"/>
              <w:jc w:val="left"/>
            </w:pPr>
            <w:r w:rsidRPr="00D304E0">
              <w:t>State and Territory</w:t>
            </w:r>
          </w:p>
        </w:tc>
      </w:tr>
    </w:tbl>
    <w:p w:rsidR="005634A1" w:rsidRDefault="005634A1" w:rsidP="00725CFC">
      <w:pPr>
        <w:pStyle w:val="BoxSpace"/>
      </w:pPr>
    </w:p>
    <w:tbl>
      <w:tblPr>
        <w:tblW w:w="0" w:type="auto"/>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89"/>
      </w:tblGrid>
      <w:tr w:rsidR="005634A1" w:rsidTr="00B06731">
        <w:tc>
          <w:tcPr>
            <w:tcW w:w="8789" w:type="dxa"/>
            <w:tcBorders>
              <w:top w:val="single" w:sz="6" w:space="0" w:color="auto"/>
              <w:bottom w:val="nil"/>
            </w:tcBorders>
          </w:tcPr>
          <w:p w:rsidR="005634A1" w:rsidRDefault="005634A1" w:rsidP="00725CFC">
            <w:pPr>
              <w:pStyle w:val="BoxTitle"/>
            </w:pPr>
            <w:r>
              <w:rPr>
                <w:b w:val="0"/>
              </w:rPr>
              <w:t xml:space="preserve">Box </w:t>
            </w:r>
            <w:r w:rsidR="00503759">
              <w:rPr>
                <w:b w:val="0"/>
                <w:noProof/>
              </w:rPr>
              <w:t>2</w:t>
            </w:r>
            <w:r>
              <w:tab/>
              <w:t>Results</w:t>
            </w:r>
          </w:p>
        </w:tc>
      </w:tr>
      <w:tr w:rsidR="005634A1" w:rsidRPr="007908BE" w:rsidTr="00B06731">
        <w:trPr>
          <w:cantSplit/>
        </w:trPr>
        <w:tc>
          <w:tcPr>
            <w:tcW w:w="8789" w:type="dxa"/>
            <w:tcBorders>
              <w:top w:val="nil"/>
              <w:left w:val="single" w:sz="6" w:space="0" w:color="auto"/>
              <w:bottom w:val="nil"/>
              <w:right w:val="single" w:sz="6" w:space="0" w:color="auto"/>
            </w:tcBorders>
          </w:tcPr>
          <w:p w:rsidR="00B9120C" w:rsidRDefault="007908BE" w:rsidP="007908BE">
            <w:pPr>
              <w:pStyle w:val="Box"/>
            </w:pPr>
            <w:r>
              <w:t>For this report, new supplementary survey data for this target are available for 2013</w:t>
            </w:r>
            <w:r w:rsidR="0023174D">
              <w:t>.</w:t>
            </w:r>
          </w:p>
          <w:p w:rsidR="007908BE" w:rsidRDefault="007908BE" w:rsidP="007908BE">
            <w:pPr>
              <w:pStyle w:val="BoxListBullet"/>
            </w:pPr>
            <w:r>
              <w:t xml:space="preserve">Data by State and Territory are presented in table </w:t>
            </w:r>
            <w:proofErr w:type="spellStart"/>
            <w:r>
              <w:t>SWD.PT.A.1</w:t>
            </w:r>
            <w:proofErr w:type="spellEnd"/>
            <w:r>
              <w:t>.</w:t>
            </w:r>
          </w:p>
          <w:p w:rsidR="0082164F" w:rsidRDefault="007908BE" w:rsidP="0082164F">
            <w:pPr>
              <w:pStyle w:val="Box"/>
            </w:pPr>
            <w:r>
              <w:t xml:space="preserve">Main data from the 2011 </w:t>
            </w:r>
            <w:r w:rsidR="004C6988">
              <w:t xml:space="preserve">Census </w:t>
            </w:r>
            <w:r>
              <w:t xml:space="preserve">and 2006 Census are available in the 2012 NASWD performance report. </w:t>
            </w:r>
          </w:p>
          <w:p w:rsidR="007908BE" w:rsidRPr="007908BE" w:rsidRDefault="0082164F" w:rsidP="00AE7C3A">
            <w:pPr>
              <w:pStyle w:val="Box"/>
            </w:pPr>
            <w:r>
              <w:t>Additional supplementary survey data for: 2012 are available in the 2012 NASWD performance report; 2011 and 2010 are available in the 2011 NASWD p</w:t>
            </w:r>
            <w:r w:rsidR="002A55D8">
              <w:t>erformance report</w:t>
            </w:r>
            <w:r w:rsidR="004C6988">
              <w:t xml:space="preserve">; </w:t>
            </w:r>
            <w:r>
              <w:t>and 2009 and 2008 are available in the 2009 NASWD performance report.</w:t>
            </w:r>
          </w:p>
        </w:tc>
      </w:tr>
      <w:tr w:rsidR="005634A1" w:rsidTr="00B06731">
        <w:trPr>
          <w:cantSplit/>
        </w:trPr>
        <w:tc>
          <w:tcPr>
            <w:tcW w:w="8789" w:type="dxa"/>
            <w:tcBorders>
              <w:top w:val="nil"/>
              <w:left w:val="single" w:sz="6" w:space="0" w:color="auto"/>
              <w:bottom w:val="single" w:sz="6" w:space="0" w:color="auto"/>
              <w:right w:val="single" w:sz="6" w:space="0" w:color="auto"/>
            </w:tcBorders>
          </w:tcPr>
          <w:p w:rsidR="005634A1" w:rsidRDefault="005634A1" w:rsidP="00725CFC">
            <w:pPr>
              <w:pStyle w:val="Box"/>
              <w:spacing w:before="0" w:line="120" w:lineRule="exact"/>
            </w:pPr>
          </w:p>
        </w:tc>
      </w:tr>
      <w:tr w:rsidR="005634A1" w:rsidTr="00B06731">
        <w:tc>
          <w:tcPr>
            <w:tcW w:w="8789" w:type="dxa"/>
            <w:tcBorders>
              <w:top w:val="nil"/>
              <w:left w:val="nil"/>
              <w:bottom w:val="nil"/>
              <w:right w:val="nil"/>
            </w:tcBorders>
          </w:tcPr>
          <w:p w:rsidR="005634A1" w:rsidRDefault="005634A1" w:rsidP="00725CFC">
            <w:pPr>
              <w:pStyle w:val="Box"/>
              <w:keepNext w:val="0"/>
              <w:spacing w:before="60" w:after="60" w:line="80" w:lineRule="exact"/>
              <w:rPr>
                <w:b/>
                <w:color w:val="FF00FF"/>
                <w:sz w:val="14"/>
              </w:rPr>
            </w:pPr>
          </w:p>
        </w:tc>
      </w:tr>
    </w:tbl>
    <w:p w:rsidR="005634A1" w:rsidRDefault="005634A1" w:rsidP="004D5511">
      <w:pPr>
        <w:pStyle w:val="Heading4"/>
        <w:keepLines/>
      </w:pPr>
      <w:r>
        <w:t xml:space="preserve">Attachment </w:t>
      </w:r>
      <w:r w:rsidRPr="008864C2">
        <w:t>tables</w:t>
      </w: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6722"/>
      </w:tblGrid>
      <w:tr w:rsidR="00117F40" w:rsidRPr="00117F40" w:rsidTr="00482B04">
        <w:trPr>
          <w:trHeight w:val="612"/>
        </w:trPr>
        <w:tc>
          <w:tcPr>
            <w:tcW w:w="2067" w:type="dxa"/>
            <w:shd w:val="clear" w:color="auto" w:fill="auto"/>
            <w:noWrap/>
            <w:hideMark/>
          </w:tcPr>
          <w:p w:rsidR="00117F40" w:rsidRPr="00117F40" w:rsidRDefault="00117F40" w:rsidP="00117F40">
            <w:pPr>
              <w:rPr>
                <w:rFonts w:ascii="Arial" w:hAnsi="Arial" w:cs="Arial"/>
                <w:b/>
                <w:bCs/>
                <w:sz w:val="20"/>
                <w:szCs w:val="20"/>
              </w:rPr>
            </w:pPr>
            <w:r w:rsidRPr="00117F40">
              <w:rPr>
                <w:rFonts w:ascii="Arial" w:hAnsi="Arial" w:cs="Arial"/>
                <w:b/>
                <w:bCs/>
                <w:sz w:val="20"/>
                <w:szCs w:val="20"/>
              </w:rPr>
              <w:t xml:space="preserve">Table </w:t>
            </w:r>
            <w:proofErr w:type="spellStart"/>
            <w:r w:rsidRPr="00117F40">
              <w:rPr>
                <w:rFonts w:ascii="Arial" w:hAnsi="Arial" w:cs="Arial"/>
                <w:b/>
                <w:bCs/>
                <w:sz w:val="20"/>
                <w:szCs w:val="20"/>
              </w:rPr>
              <w:t>SWD.PT.A.1</w:t>
            </w:r>
            <w:proofErr w:type="spellEnd"/>
          </w:p>
        </w:tc>
        <w:tc>
          <w:tcPr>
            <w:tcW w:w="6722" w:type="dxa"/>
            <w:shd w:val="clear" w:color="auto" w:fill="auto"/>
            <w:hideMark/>
          </w:tcPr>
          <w:p w:rsidR="00117F40" w:rsidRPr="00117F40" w:rsidRDefault="00117F40" w:rsidP="00117F40">
            <w:pPr>
              <w:jc w:val="both"/>
              <w:rPr>
                <w:rFonts w:ascii="Arial" w:hAnsi="Arial" w:cs="Arial"/>
                <w:sz w:val="20"/>
                <w:szCs w:val="20"/>
              </w:rPr>
            </w:pPr>
            <w:r w:rsidRPr="00117F40">
              <w:rPr>
                <w:rFonts w:ascii="Arial" w:hAnsi="Arial" w:cs="Arial"/>
                <w:sz w:val="20"/>
                <w:szCs w:val="20"/>
              </w:rPr>
              <w:t xml:space="preserve">Proportion of population aged 20–64 years without a formal qualification at Certificate III level or above, 2013 </w:t>
            </w:r>
          </w:p>
        </w:tc>
      </w:tr>
    </w:tbl>
    <w:p w:rsidR="00117F40" w:rsidRPr="00117F40" w:rsidRDefault="00117F40" w:rsidP="00117F40">
      <w:pPr>
        <w:pStyle w:val="BodyText"/>
      </w:pPr>
    </w:p>
    <w:p w:rsidR="005634A1" w:rsidRDefault="005634A1" w:rsidP="00725CFC">
      <w:pPr>
        <w:pStyle w:val="BoxSpac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5634A1">
        <w:tc>
          <w:tcPr>
            <w:tcW w:w="8771" w:type="dxa"/>
            <w:tcBorders>
              <w:top w:val="single" w:sz="6" w:space="0" w:color="auto"/>
              <w:bottom w:val="nil"/>
            </w:tcBorders>
          </w:tcPr>
          <w:p w:rsidR="005634A1" w:rsidRDefault="005634A1" w:rsidP="00725CFC">
            <w:pPr>
              <w:pStyle w:val="BoxTitle"/>
            </w:pPr>
            <w:r w:rsidRPr="00F242CA">
              <w:rPr>
                <w:b w:val="0"/>
              </w:rPr>
              <w:t xml:space="preserve">Box </w:t>
            </w:r>
            <w:r w:rsidR="00503759" w:rsidRPr="00F242CA">
              <w:rPr>
                <w:b w:val="0"/>
                <w:noProof/>
              </w:rPr>
              <w:t>3</w:t>
            </w:r>
            <w:r w:rsidR="00EA001E">
              <w:tab/>
              <w:t>Comment on data quality</w:t>
            </w:r>
          </w:p>
        </w:tc>
      </w:tr>
      <w:tr w:rsidR="005634A1" w:rsidRPr="00DC685E">
        <w:trPr>
          <w:cantSplit/>
        </w:trPr>
        <w:tc>
          <w:tcPr>
            <w:tcW w:w="8771" w:type="dxa"/>
            <w:tcBorders>
              <w:top w:val="nil"/>
              <w:left w:val="single" w:sz="6" w:space="0" w:color="auto"/>
              <w:bottom w:val="nil"/>
              <w:right w:val="single" w:sz="6" w:space="0" w:color="auto"/>
            </w:tcBorders>
          </w:tcPr>
          <w:p w:rsidR="00B9120C" w:rsidRDefault="00DC685E" w:rsidP="00073F28">
            <w:pPr>
              <w:pStyle w:val="Box"/>
            </w:pPr>
            <w:r>
              <w:t xml:space="preserve">The DQSs for this performance target have been prepared by the ABS and are included in </w:t>
            </w:r>
            <w:r w:rsidR="004C6988">
              <w:t xml:space="preserve">their </w:t>
            </w:r>
            <w:r>
              <w:t xml:space="preserve">original form in the section </w:t>
            </w:r>
            <w:r w:rsidR="004C6988">
              <w:t xml:space="preserve">of </w:t>
            </w:r>
            <w:r>
              <w:t>this report titled ‘Data Quality Statements’. Key points from the DQSs are summarised below:</w:t>
            </w:r>
            <w:r w:rsidR="00353E08" w:rsidRPr="00AD0469">
              <w:rPr>
                <w:noProof/>
              </w:rPr>
              <w:t xml:space="preserve"> </w:t>
            </w:r>
          </w:p>
          <w:p w:rsidR="00DC685E" w:rsidRDefault="00DC685E" w:rsidP="00DC685E">
            <w:pPr>
              <w:pStyle w:val="BoxListBullet"/>
            </w:pPr>
            <w:r>
              <w:t xml:space="preserve">The data provide relevant information on the proportion of the population aged </w:t>
            </w:r>
            <w:r w:rsidR="002A55D8">
              <w:br/>
            </w:r>
            <w:r>
              <w:t>20</w:t>
            </w:r>
            <w:r w:rsidR="002A55D8">
              <w:t>–</w:t>
            </w:r>
            <w:r>
              <w:t xml:space="preserve">64 years without </w:t>
            </w:r>
            <w:proofErr w:type="spellStart"/>
            <w:r>
              <w:t>AQF</w:t>
            </w:r>
            <w:proofErr w:type="spellEnd"/>
            <w:r>
              <w:t xml:space="preserve"> qualifications at Certificate level III or above. Data are available by State and Territory. </w:t>
            </w:r>
          </w:p>
          <w:p w:rsidR="00DC685E" w:rsidRDefault="00DC685E" w:rsidP="004028D7">
            <w:pPr>
              <w:pStyle w:val="BoxListBullet"/>
            </w:pPr>
            <w:r>
              <w:t xml:space="preserve">Data are available every five years from the Census (main data source) and annually from the </w:t>
            </w:r>
            <w:r w:rsidR="002A55D8">
              <w:t>Survey of Education and Work (</w:t>
            </w:r>
            <w:r>
              <w:t>SEW</w:t>
            </w:r>
            <w:r w:rsidR="004C6988">
              <w:t>) (</w:t>
            </w:r>
            <w:r w:rsidR="006242CD">
              <w:t>supplementary data source).</w:t>
            </w:r>
            <w:r w:rsidR="004B340D">
              <w:t xml:space="preserve"> </w:t>
            </w:r>
            <w:r w:rsidR="002A55D8">
              <w:t>For this report</w:t>
            </w:r>
            <w:r w:rsidR="004C6988">
              <w:t>,</w:t>
            </w:r>
            <w:r w:rsidR="002A55D8">
              <w:t xml:space="preserve"> d</w:t>
            </w:r>
            <w:r>
              <w:t xml:space="preserve">ata are available for </w:t>
            </w:r>
            <w:r w:rsidR="002A55D8">
              <w:t>2013 from the SEW</w:t>
            </w:r>
            <w:r w:rsidR="00C61575">
              <w:t>.</w:t>
            </w:r>
          </w:p>
          <w:p w:rsidR="004028D7" w:rsidRDefault="004028D7" w:rsidP="004028D7">
            <w:pPr>
              <w:pStyle w:val="BoxListBullet"/>
            </w:pPr>
            <w:r>
              <w:t>There are differences between Census data and SEW in scope, coverage, timing and collection methods</w:t>
            </w:r>
            <w:r w:rsidR="002A55D8">
              <w:t>. Additional information are available in the 2012 NASWD performance report.</w:t>
            </w:r>
          </w:p>
          <w:p w:rsidR="00A14D35" w:rsidRDefault="003041CE" w:rsidP="00A14D35">
            <w:pPr>
              <w:pStyle w:val="BoxListBullet"/>
            </w:pPr>
            <w:r>
              <w:t>The SEW is generally able to measure small changes in performance at the national level but is not designed to measure changes at the jurisdictional level with the same level of accuracy.</w:t>
            </w:r>
            <w:r w:rsidR="00A14D35">
              <w:t xml:space="preserve"> Apparent differences in results between years may not be statistically significant. To assist in interpretation, 95 per cent confidence intervals and relative standard errors are provided. </w:t>
            </w:r>
          </w:p>
          <w:p w:rsidR="003041CE" w:rsidRDefault="003041CE" w:rsidP="002A55D8">
            <w:pPr>
              <w:pStyle w:val="BoxListBullet"/>
            </w:pPr>
            <w:r>
              <w:t xml:space="preserve">The SEW excludes persons in Indigenous communities in very remote areas, which has a minor </w:t>
            </w:r>
            <w:r w:rsidR="00E3108E">
              <w:t>e</w:t>
            </w:r>
            <w:r>
              <w:t xml:space="preserve">ffect on estimates by State and Territory over time, except for the NT, where remote Indigenous communities account for about 15 per cent of the population. </w:t>
            </w:r>
          </w:p>
          <w:p w:rsidR="00944351" w:rsidRDefault="00944351" w:rsidP="00944351">
            <w:pPr>
              <w:pStyle w:val="BoxListBullet"/>
            </w:pPr>
            <w:r w:rsidRPr="000B6325">
              <w:t>Prior to the 2013 SEW, people who were permanently unable to work (PUW) were excluded from the in-scope population. In 2013, the SEW scope was expanded to include the PUW population. However, to ensure that the indicator measure presented here is comparable over time, the PUW population has been excluded from these tables.</w:t>
            </w:r>
          </w:p>
          <w:p w:rsidR="003041CE" w:rsidRDefault="00E3108E" w:rsidP="003041CE">
            <w:pPr>
              <w:pStyle w:val="BoxListBullet"/>
            </w:pPr>
            <w:r>
              <w:t xml:space="preserve">Detailed explanatory notes are publicly available to assist in the interpretation of results. </w:t>
            </w:r>
          </w:p>
          <w:p w:rsidR="00E3108E" w:rsidRDefault="00E3108E" w:rsidP="003041CE">
            <w:pPr>
              <w:pStyle w:val="BoxListBullet"/>
            </w:pPr>
            <w:r>
              <w:t xml:space="preserve">Additional data from the data source are available online, and on request. </w:t>
            </w:r>
          </w:p>
          <w:p w:rsidR="00E3108E" w:rsidRDefault="00E3108E" w:rsidP="00E3108E">
            <w:pPr>
              <w:pStyle w:val="Box"/>
            </w:pPr>
            <w:r>
              <w:t>The Steering Committee also notes the following issues:</w:t>
            </w:r>
          </w:p>
          <w:p w:rsidR="00944351" w:rsidRDefault="00944351" w:rsidP="00944351">
            <w:pPr>
              <w:pStyle w:val="BoxListBullet"/>
            </w:pPr>
            <w:r w:rsidRPr="000B6325">
              <w:t>The Steering Committee recommends that further analysis be conducted to determine whether future reports should include the PUW population for this indicator.</w:t>
            </w:r>
          </w:p>
          <w:p w:rsidR="00E3108E" w:rsidRDefault="00E3108E" w:rsidP="00E3108E">
            <w:pPr>
              <w:pStyle w:val="BoxListBullet"/>
            </w:pPr>
            <w:r>
              <w:t xml:space="preserve">The NASWD performance targets are long term (out to 2020), national and aspirational. </w:t>
            </w:r>
          </w:p>
          <w:p w:rsidR="00E3108E" w:rsidRPr="00DC685E" w:rsidRDefault="00E3108E" w:rsidP="00E3108E">
            <w:pPr>
              <w:pStyle w:val="BoxListBullet"/>
            </w:pPr>
            <w:r>
              <w:t>Different definitions of ‘working age population’ are used in different reporting contexts. For the purpose of NASWD performance reporting, ‘working age population’ is defined as people aged 20</w:t>
            </w:r>
            <w:r w:rsidR="00123B9E">
              <w:t>–</w:t>
            </w:r>
            <w:r>
              <w:t xml:space="preserve">64 years, for consistency of reporting across NASWD targets and indicators. </w:t>
            </w:r>
          </w:p>
        </w:tc>
      </w:tr>
      <w:tr w:rsidR="005634A1">
        <w:trPr>
          <w:cantSplit/>
        </w:trPr>
        <w:tc>
          <w:tcPr>
            <w:tcW w:w="8771" w:type="dxa"/>
            <w:tcBorders>
              <w:top w:val="nil"/>
              <w:left w:val="single" w:sz="6" w:space="0" w:color="auto"/>
              <w:bottom w:val="single" w:sz="6" w:space="0" w:color="auto"/>
              <w:right w:val="single" w:sz="6" w:space="0" w:color="auto"/>
            </w:tcBorders>
          </w:tcPr>
          <w:p w:rsidR="005634A1" w:rsidRDefault="005634A1" w:rsidP="00725CFC">
            <w:pPr>
              <w:pStyle w:val="Box"/>
              <w:spacing w:before="0" w:line="120" w:lineRule="exact"/>
            </w:pPr>
          </w:p>
        </w:tc>
      </w:tr>
      <w:tr w:rsidR="005634A1">
        <w:tc>
          <w:tcPr>
            <w:tcW w:w="8771" w:type="dxa"/>
            <w:tcBorders>
              <w:top w:val="nil"/>
              <w:left w:val="nil"/>
              <w:bottom w:val="nil"/>
              <w:right w:val="nil"/>
            </w:tcBorders>
          </w:tcPr>
          <w:p w:rsidR="005634A1" w:rsidRDefault="005634A1" w:rsidP="00725CFC">
            <w:pPr>
              <w:pStyle w:val="Box"/>
              <w:keepNext w:val="0"/>
              <w:spacing w:before="60" w:after="60" w:line="80" w:lineRule="exact"/>
              <w:rPr>
                <w:b/>
                <w:color w:val="FF00FF"/>
                <w:sz w:val="14"/>
              </w:rPr>
            </w:pPr>
          </w:p>
        </w:tc>
      </w:tr>
    </w:tbl>
    <w:p w:rsidR="00EA001E" w:rsidRDefault="005634A1" w:rsidP="00725CFC">
      <w:r>
        <w:br w:type="page"/>
      </w:r>
    </w:p>
    <w:p w:rsidR="005634A1" w:rsidRDefault="00EA001E" w:rsidP="00EA001E">
      <w:pPr>
        <w:pStyle w:val="Heading3"/>
      </w:pPr>
      <w:r>
        <w:t xml:space="preserve">Performance target (b) </w:t>
      </w:r>
      <w:r w:rsidRPr="00EA001E">
        <w:t>— Double the number of higher level qualification completions (Diploma and Advanced Diploma) nationally between 2009 and 2020</w:t>
      </w:r>
    </w:p>
    <w:p w:rsidR="00EA001E" w:rsidRPr="00EA001E" w:rsidRDefault="00EA001E" w:rsidP="00EA001E">
      <w:pPr>
        <w:pStyle w:val="BoxSpace"/>
      </w:pPr>
    </w:p>
    <w:tbl>
      <w:tblPr>
        <w:tblW w:w="0" w:type="auto"/>
        <w:tblInd w:w="108" w:type="dxa"/>
        <w:tblLook w:val="01E0" w:firstRow="1" w:lastRow="1" w:firstColumn="1" w:lastColumn="1" w:noHBand="0" w:noVBand="0"/>
      </w:tblPr>
      <w:tblGrid>
        <w:gridCol w:w="1985"/>
        <w:gridCol w:w="6696"/>
      </w:tblGrid>
      <w:tr w:rsidR="00EA001E" w:rsidTr="001B5488">
        <w:trPr>
          <w:trHeight w:val="915"/>
        </w:trPr>
        <w:tc>
          <w:tcPr>
            <w:tcW w:w="1985" w:type="dxa"/>
            <w:shd w:val="clear" w:color="auto" w:fill="auto"/>
          </w:tcPr>
          <w:p w:rsidR="00EA001E" w:rsidRPr="00366033" w:rsidRDefault="00EA001E" w:rsidP="00EA001E">
            <w:pPr>
              <w:pStyle w:val="TableBodyText"/>
              <w:jc w:val="left"/>
            </w:pPr>
            <w:r w:rsidRPr="00366033">
              <w:t xml:space="preserve">Key amendments from </w:t>
            </w:r>
            <w:r>
              <w:t>previous</w:t>
            </w:r>
            <w:r w:rsidRPr="00366033">
              <w:t xml:space="preserve"> cycle:</w:t>
            </w:r>
            <w:r w:rsidRPr="00366033">
              <w:tab/>
            </w:r>
          </w:p>
        </w:tc>
        <w:tc>
          <w:tcPr>
            <w:tcW w:w="6696" w:type="dxa"/>
            <w:shd w:val="clear" w:color="auto" w:fill="auto"/>
          </w:tcPr>
          <w:p w:rsidR="004C0D13" w:rsidRPr="003733DE" w:rsidRDefault="00D304E0" w:rsidP="003733DE">
            <w:pPr>
              <w:pStyle w:val="TableBodyText"/>
              <w:jc w:val="left"/>
            </w:pPr>
            <w:r w:rsidRPr="00D304E0">
              <w:t>No new data available for this cycle of reporting following the change in reporting date from June to April (two months earlier than previous cycles).</w:t>
            </w:r>
          </w:p>
        </w:tc>
      </w:tr>
      <w:tr w:rsidR="00EA001E" w:rsidTr="001B5488">
        <w:trPr>
          <w:trHeight w:val="680"/>
        </w:trPr>
        <w:tc>
          <w:tcPr>
            <w:tcW w:w="1985" w:type="dxa"/>
            <w:shd w:val="clear" w:color="auto" w:fill="auto"/>
          </w:tcPr>
          <w:p w:rsidR="00EA001E" w:rsidRDefault="00EA001E" w:rsidP="00EA001E">
            <w:pPr>
              <w:pStyle w:val="TableBodyText"/>
              <w:jc w:val="left"/>
            </w:pPr>
            <w:r>
              <w:t>Outcome:</w:t>
            </w:r>
          </w:p>
        </w:tc>
        <w:tc>
          <w:tcPr>
            <w:tcW w:w="6696" w:type="dxa"/>
            <w:shd w:val="clear" w:color="auto" w:fill="auto"/>
          </w:tcPr>
          <w:p w:rsidR="00EA001E" w:rsidRPr="003733DE" w:rsidRDefault="00D304E0" w:rsidP="003733DE">
            <w:pPr>
              <w:pStyle w:val="TableBodyText"/>
              <w:jc w:val="left"/>
            </w:pPr>
            <w:r w:rsidRPr="00D304E0">
              <w:t>The skill levels of the working age population are increased to meet the changing needs of the economy</w:t>
            </w:r>
          </w:p>
        </w:tc>
      </w:tr>
      <w:tr w:rsidR="00EA001E" w:rsidTr="001B5488">
        <w:trPr>
          <w:trHeight w:val="680"/>
        </w:trPr>
        <w:tc>
          <w:tcPr>
            <w:tcW w:w="1985" w:type="dxa"/>
            <w:shd w:val="clear" w:color="auto" w:fill="auto"/>
          </w:tcPr>
          <w:p w:rsidR="00EA001E" w:rsidRDefault="00EA001E" w:rsidP="00EA001E">
            <w:pPr>
              <w:pStyle w:val="TableBodyText"/>
              <w:jc w:val="left"/>
            </w:pPr>
            <w:r>
              <w:t>Measure:</w:t>
            </w:r>
          </w:p>
        </w:tc>
        <w:tc>
          <w:tcPr>
            <w:tcW w:w="6696" w:type="dxa"/>
            <w:shd w:val="clear" w:color="auto" w:fill="auto"/>
          </w:tcPr>
          <w:p w:rsidR="00D304E0" w:rsidRDefault="00D304E0" w:rsidP="000C249F">
            <w:pPr>
              <w:pStyle w:val="TableBodyText"/>
              <w:jc w:val="left"/>
            </w:pPr>
            <w:r>
              <w:t>Number of diploma and advanced diplomas completed in reference year</w:t>
            </w:r>
          </w:p>
          <w:p w:rsidR="00D304E0" w:rsidRDefault="00D304E0" w:rsidP="000C249F">
            <w:pPr>
              <w:pStyle w:val="TableBodyText"/>
              <w:jc w:val="left"/>
            </w:pPr>
          </w:p>
          <w:p w:rsidR="00D304E0" w:rsidRDefault="00D304E0" w:rsidP="000C249F">
            <w:pPr>
              <w:pStyle w:val="TableBodyText"/>
              <w:jc w:val="left"/>
            </w:pPr>
            <w:r>
              <w:t>The measure is defined as:</w:t>
            </w:r>
          </w:p>
          <w:p w:rsidR="00D304E0" w:rsidRDefault="00D304E0" w:rsidP="000C249F">
            <w:pPr>
              <w:pStyle w:val="TableBullet"/>
            </w:pPr>
            <w:r>
              <w:t>Number of diplomas and advanced diplomas completed in the calendar year</w:t>
            </w:r>
          </w:p>
          <w:p w:rsidR="00D304E0" w:rsidRDefault="00D304E0" w:rsidP="000C249F">
            <w:pPr>
              <w:pStyle w:val="TableBodyText"/>
              <w:jc w:val="left"/>
            </w:pPr>
            <w:r>
              <w:t xml:space="preserve">and is expressed as a </w:t>
            </w:r>
            <w:r w:rsidRPr="000C249F">
              <w:rPr>
                <w:i/>
              </w:rPr>
              <w:t>number</w:t>
            </w:r>
          </w:p>
          <w:p w:rsidR="00D304E0" w:rsidRDefault="00D304E0" w:rsidP="000C249F">
            <w:pPr>
              <w:pStyle w:val="TableBullet"/>
              <w:numPr>
                <w:ilvl w:val="0"/>
                <w:numId w:val="0"/>
              </w:numPr>
              <w:ind w:left="170"/>
            </w:pPr>
          </w:p>
          <w:p w:rsidR="00D304E0" w:rsidRDefault="00D304E0" w:rsidP="000C249F">
            <w:pPr>
              <w:pStyle w:val="TableBodyText"/>
              <w:jc w:val="left"/>
            </w:pPr>
            <w:r>
              <w:t>Includes:</w:t>
            </w:r>
          </w:p>
          <w:p w:rsidR="00D304E0" w:rsidRDefault="00D304E0" w:rsidP="00D304E0">
            <w:pPr>
              <w:pStyle w:val="TableBullet"/>
            </w:pPr>
            <w:r>
              <w:t>courses accredited or approved by a local State or Territory authority, and represents students eligible to be awarded a qualification</w:t>
            </w:r>
          </w:p>
          <w:p w:rsidR="003733DE" w:rsidRDefault="00D304E0" w:rsidP="000C249F">
            <w:pPr>
              <w:pStyle w:val="TableBullet"/>
            </w:pPr>
            <w:r>
              <w:t>government and non-government funded VET activity</w:t>
            </w:r>
          </w:p>
          <w:p w:rsidR="000C249F" w:rsidRPr="003733DE" w:rsidRDefault="000C249F" w:rsidP="000C249F">
            <w:pPr>
              <w:pStyle w:val="TableBullet"/>
              <w:numPr>
                <w:ilvl w:val="0"/>
                <w:numId w:val="0"/>
              </w:numPr>
              <w:ind w:left="170"/>
            </w:pPr>
          </w:p>
        </w:tc>
      </w:tr>
      <w:tr w:rsidR="00EA001E" w:rsidTr="001B5488">
        <w:trPr>
          <w:trHeight w:val="680"/>
        </w:trPr>
        <w:tc>
          <w:tcPr>
            <w:tcW w:w="1985" w:type="dxa"/>
            <w:shd w:val="clear" w:color="auto" w:fill="auto"/>
          </w:tcPr>
          <w:p w:rsidR="00EA001E" w:rsidRDefault="00EA001E" w:rsidP="00EA001E">
            <w:pPr>
              <w:pStyle w:val="TableBodyText"/>
              <w:jc w:val="left"/>
            </w:pPr>
            <w:r>
              <w:t>Data source:</w:t>
            </w:r>
          </w:p>
        </w:tc>
        <w:tc>
          <w:tcPr>
            <w:tcW w:w="6696" w:type="dxa"/>
            <w:shd w:val="clear" w:color="auto" w:fill="auto"/>
          </w:tcPr>
          <w:p w:rsidR="00EA001E" w:rsidRPr="003733DE" w:rsidRDefault="00D304E0" w:rsidP="003733DE">
            <w:pPr>
              <w:pStyle w:val="TableBodyText"/>
              <w:jc w:val="left"/>
            </w:pPr>
            <w:r w:rsidRPr="000C249F">
              <w:rPr>
                <w:i/>
              </w:rPr>
              <w:t xml:space="preserve">Numerator </w:t>
            </w:r>
            <w:r w:rsidRPr="000C249F">
              <w:t xml:space="preserve">— </w:t>
            </w:r>
            <w:r w:rsidRPr="000C249F">
              <w:rPr>
                <w:u w:val="single"/>
              </w:rPr>
              <w:t>National VET Provider Collection</w:t>
            </w:r>
            <w:r w:rsidRPr="000C249F">
              <w:t>.</w:t>
            </w:r>
            <w:r w:rsidRPr="00D304E0">
              <w:t xml:space="preserve"> Data are collected annually. Excludes people who did not undertake publicly funded VET</w:t>
            </w:r>
          </w:p>
        </w:tc>
      </w:tr>
      <w:tr w:rsidR="00EA001E" w:rsidTr="001B5488">
        <w:trPr>
          <w:trHeight w:val="680"/>
        </w:trPr>
        <w:tc>
          <w:tcPr>
            <w:tcW w:w="1985" w:type="dxa"/>
            <w:shd w:val="clear" w:color="auto" w:fill="auto"/>
          </w:tcPr>
          <w:p w:rsidR="00EA001E" w:rsidRDefault="00EA001E" w:rsidP="00EA001E">
            <w:pPr>
              <w:pStyle w:val="TableBodyText"/>
              <w:jc w:val="left"/>
            </w:pPr>
            <w:r>
              <w:t>Data provider:</w:t>
            </w:r>
          </w:p>
        </w:tc>
        <w:tc>
          <w:tcPr>
            <w:tcW w:w="6696" w:type="dxa"/>
            <w:shd w:val="clear" w:color="auto" w:fill="auto"/>
          </w:tcPr>
          <w:p w:rsidR="00EA001E" w:rsidRPr="003733DE" w:rsidRDefault="00D304E0" w:rsidP="003733DE">
            <w:pPr>
              <w:pStyle w:val="TableBodyText"/>
              <w:jc w:val="left"/>
            </w:pPr>
            <w:r w:rsidRPr="00D304E0">
              <w:t>NCVER</w:t>
            </w:r>
          </w:p>
        </w:tc>
      </w:tr>
      <w:tr w:rsidR="00EA001E" w:rsidTr="001B5488">
        <w:trPr>
          <w:trHeight w:val="680"/>
        </w:trPr>
        <w:tc>
          <w:tcPr>
            <w:tcW w:w="1985" w:type="dxa"/>
            <w:shd w:val="clear" w:color="auto" w:fill="auto"/>
          </w:tcPr>
          <w:p w:rsidR="00EA001E" w:rsidRDefault="00EA001E" w:rsidP="00EA001E">
            <w:pPr>
              <w:pStyle w:val="TableBodyText"/>
              <w:jc w:val="left"/>
            </w:pPr>
            <w:r>
              <w:t>Data availability:</w:t>
            </w:r>
          </w:p>
        </w:tc>
        <w:tc>
          <w:tcPr>
            <w:tcW w:w="6696" w:type="dxa"/>
            <w:shd w:val="clear" w:color="auto" w:fill="auto"/>
          </w:tcPr>
          <w:p w:rsidR="00EA001E" w:rsidRPr="003733DE" w:rsidRDefault="00D304E0" w:rsidP="003733DE">
            <w:pPr>
              <w:pStyle w:val="TableBodyText"/>
              <w:jc w:val="left"/>
            </w:pPr>
            <w:r w:rsidRPr="00D304E0">
              <w:t>No new data available [2012 data (2011 completions) provided for the 2012 NASWD performance report]</w:t>
            </w:r>
          </w:p>
        </w:tc>
      </w:tr>
      <w:tr w:rsidR="00EA001E" w:rsidTr="001B5488">
        <w:trPr>
          <w:trHeight w:val="680"/>
        </w:trPr>
        <w:tc>
          <w:tcPr>
            <w:tcW w:w="1985" w:type="dxa"/>
            <w:shd w:val="clear" w:color="auto" w:fill="auto"/>
          </w:tcPr>
          <w:p w:rsidR="00EA001E" w:rsidRDefault="00EA001E" w:rsidP="00EA001E">
            <w:pPr>
              <w:pStyle w:val="TableBodyText"/>
              <w:jc w:val="left"/>
            </w:pPr>
            <w:r>
              <w:t>Cross tabulations provided:</w:t>
            </w:r>
          </w:p>
        </w:tc>
        <w:tc>
          <w:tcPr>
            <w:tcW w:w="6696" w:type="dxa"/>
            <w:shd w:val="clear" w:color="auto" w:fill="auto"/>
          </w:tcPr>
          <w:p w:rsidR="00EA001E" w:rsidRPr="003733DE" w:rsidRDefault="0072519E" w:rsidP="003733DE">
            <w:pPr>
              <w:pStyle w:val="TableBodyText"/>
              <w:jc w:val="left"/>
            </w:pPr>
            <w:r w:rsidRPr="002B0E8A">
              <w:t>State and Territory</w:t>
            </w:r>
          </w:p>
        </w:tc>
      </w:tr>
    </w:tbl>
    <w:p w:rsidR="00EA001E" w:rsidRDefault="00EA001E" w:rsidP="00725CFC">
      <w:pPr>
        <w:pStyle w:val="BodyText"/>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EA001E" w:rsidTr="004E7A15">
        <w:tc>
          <w:tcPr>
            <w:tcW w:w="8771" w:type="dxa"/>
            <w:tcBorders>
              <w:top w:val="single" w:sz="4" w:space="0" w:color="auto"/>
              <w:left w:val="single" w:sz="4" w:space="0" w:color="auto"/>
              <w:bottom w:val="nil"/>
              <w:right w:val="single" w:sz="4" w:space="0" w:color="auto"/>
            </w:tcBorders>
          </w:tcPr>
          <w:p w:rsidR="00EA001E" w:rsidRDefault="00EA001E" w:rsidP="00482B04">
            <w:pPr>
              <w:pStyle w:val="BoxTitle"/>
            </w:pPr>
            <w:r>
              <w:rPr>
                <w:b w:val="0"/>
              </w:rPr>
              <w:t xml:space="preserve">Box </w:t>
            </w:r>
            <w:r w:rsidR="00482B04">
              <w:rPr>
                <w:b w:val="0"/>
              </w:rPr>
              <w:t>4</w:t>
            </w:r>
            <w:r>
              <w:tab/>
              <w:t>Comment on data quality</w:t>
            </w:r>
          </w:p>
        </w:tc>
      </w:tr>
      <w:tr w:rsidR="00EA001E" w:rsidRPr="00ED7D21" w:rsidTr="004E7A15">
        <w:trPr>
          <w:cantSplit/>
        </w:trPr>
        <w:tc>
          <w:tcPr>
            <w:tcW w:w="8771" w:type="dxa"/>
            <w:tcBorders>
              <w:top w:val="nil"/>
              <w:left w:val="single" w:sz="4" w:space="0" w:color="auto"/>
              <w:bottom w:val="nil"/>
              <w:right w:val="single" w:sz="4" w:space="0" w:color="auto"/>
            </w:tcBorders>
          </w:tcPr>
          <w:p w:rsidR="002A32E9" w:rsidRPr="005070F1" w:rsidRDefault="002A32E9" w:rsidP="002A32E9">
            <w:pPr>
              <w:pStyle w:val="Box"/>
            </w:pPr>
            <w:r w:rsidRPr="005070F1">
              <w:t>No new data are available for reporting against this target</w:t>
            </w:r>
            <w:r w:rsidR="00472D1E">
              <w:t xml:space="preserve"> for the 2013 report</w:t>
            </w:r>
            <w:r w:rsidRPr="005070F1">
              <w:t xml:space="preserve">. </w:t>
            </w:r>
          </w:p>
          <w:p w:rsidR="002A32E9" w:rsidRPr="005070F1" w:rsidRDefault="002A32E9" w:rsidP="00C24908">
            <w:pPr>
              <w:pStyle w:val="Box"/>
            </w:pPr>
            <w:r w:rsidRPr="005070F1">
              <w:t xml:space="preserve">Data for 2012 (2011 completions) are available in the 2012 NASWD performance report. Data for 2011 (2010 completions) are available in the 2011 NASWD performance report. Data for 2010 (2009 completions) are available in the 2010 NASWD performance report. Data for 2009 (2008 completions) and 2008 (2007 completions) are available in the 2009 NASWD performance report. </w:t>
            </w:r>
          </w:p>
        </w:tc>
      </w:tr>
      <w:tr w:rsidR="00EA001E" w:rsidTr="00772CE4">
        <w:trPr>
          <w:cantSplit/>
        </w:trPr>
        <w:tc>
          <w:tcPr>
            <w:tcW w:w="8771" w:type="dxa"/>
            <w:tcBorders>
              <w:top w:val="nil"/>
              <w:left w:val="single" w:sz="4" w:space="0" w:color="auto"/>
              <w:bottom w:val="single" w:sz="4" w:space="0" w:color="auto"/>
              <w:right w:val="single" w:sz="4" w:space="0" w:color="auto"/>
            </w:tcBorders>
          </w:tcPr>
          <w:p w:rsidR="00EA001E" w:rsidRPr="00B6182E" w:rsidRDefault="00EA001E" w:rsidP="00725CFC">
            <w:pPr>
              <w:pStyle w:val="Box"/>
              <w:spacing w:before="0" w:line="120" w:lineRule="exact"/>
            </w:pPr>
          </w:p>
        </w:tc>
      </w:tr>
      <w:tr w:rsidR="00EA001E" w:rsidTr="00772CE4">
        <w:tc>
          <w:tcPr>
            <w:tcW w:w="8771" w:type="dxa"/>
            <w:tcBorders>
              <w:top w:val="single" w:sz="4" w:space="0" w:color="auto"/>
              <w:left w:val="nil"/>
              <w:bottom w:val="nil"/>
              <w:right w:val="nil"/>
            </w:tcBorders>
          </w:tcPr>
          <w:p w:rsidR="00EA001E" w:rsidRDefault="00EA001E" w:rsidP="00725CFC">
            <w:pPr>
              <w:pStyle w:val="Box"/>
              <w:keepNext w:val="0"/>
              <w:spacing w:before="60" w:after="60" w:line="80" w:lineRule="exact"/>
              <w:rPr>
                <w:b/>
                <w:color w:val="FF00FF"/>
                <w:sz w:val="14"/>
              </w:rPr>
            </w:pPr>
          </w:p>
        </w:tc>
      </w:tr>
    </w:tbl>
    <w:p w:rsidR="00EA001E" w:rsidRDefault="00EA001E" w:rsidP="00EA001E">
      <w:pPr>
        <w:pStyle w:val="BodyText"/>
      </w:pPr>
      <w:r>
        <w:br w:type="page"/>
      </w:r>
    </w:p>
    <w:p w:rsidR="00EA001E" w:rsidRDefault="00EA001E" w:rsidP="00EA001E">
      <w:pPr>
        <w:pStyle w:val="Heading2"/>
      </w:pPr>
      <w:r>
        <w:t xml:space="preserve">Performance indicators </w:t>
      </w:r>
    </w:p>
    <w:p w:rsidR="00EA001E" w:rsidRDefault="00EA001E" w:rsidP="00EA001E">
      <w:pPr>
        <w:pStyle w:val="BodyText"/>
      </w:pPr>
      <w:r>
        <w:t xml:space="preserve">The performance indicators included in this report cover all ‘performance indicators’ included in the NASWD (table </w:t>
      </w:r>
      <w:r w:rsidR="00C020BF">
        <w:t>12</w:t>
      </w:r>
      <w:r>
        <w:t>). Performance indicators from the NIRA are also included in this report where they are either: 1. directly related to an indicator in the NASWD; or 2. are sourced from the same topic area and data collection as an indicator in the NASWD (table</w:t>
      </w:r>
      <w:r w:rsidR="007F7A1F">
        <w:t xml:space="preserve"> 13</w:t>
      </w:r>
      <w:r>
        <w:t>).</w:t>
      </w:r>
    </w:p>
    <w:p w:rsidR="00EA001E" w:rsidRPr="00E257D1" w:rsidRDefault="00EA001E" w:rsidP="00C020BF">
      <w:pPr>
        <w:pStyle w:val="TableTitle"/>
        <w:rPr>
          <w:rStyle w:val="NoteLabel"/>
        </w:rPr>
      </w:pPr>
      <w:r>
        <w:rPr>
          <w:b w:val="0"/>
        </w:rPr>
        <w:t xml:space="preserve">Table </w:t>
      </w:r>
      <w:bookmarkStart w:id="17" w:name="OLE_LINK8"/>
      <w:r w:rsidR="00503759">
        <w:rPr>
          <w:b w:val="0"/>
          <w:noProof/>
        </w:rPr>
        <w:t>12</w:t>
      </w:r>
      <w:bookmarkEnd w:id="17"/>
      <w:r w:rsidR="00C020BF">
        <w:tab/>
        <w:t>Performance indicators in the National Agreement for Skills and Workforce Development</w:t>
      </w:r>
      <w:r w:rsidR="00E257D1" w:rsidRPr="00E257D1">
        <w:rPr>
          <w:rStyle w:val="NoteLabel"/>
          <w:b/>
        </w:rPr>
        <w:t>a</w:t>
      </w:r>
    </w:p>
    <w:tbl>
      <w:tblPr>
        <w:tblW w:w="5000" w:type="pct"/>
        <w:tblCellMar>
          <w:left w:w="0" w:type="dxa"/>
          <w:right w:w="0" w:type="dxa"/>
        </w:tblCellMar>
        <w:tblLook w:val="0000" w:firstRow="0" w:lastRow="0" w:firstColumn="0" w:lastColumn="0" w:noHBand="0" w:noVBand="0"/>
      </w:tblPr>
      <w:tblGrid>
        <w:gridCol w:w="6804"/>
        <w:gridCol w:w="1985"/>
      </w:tblGrid>
      <w:tr w:rsidR="00C020BF" w:rsidTr="00C020BF">
        <w:tc>
          <w:tcPr>
            <w:tcW w:w="3871" w:type="pct"/>
            <w:tcBorders>
              <w:top w:val="single" w:sz="6" w:space="0" w:color="auto"/>
              <w:bottom w:val="single" w:sz="6" w:space="0" w:color="auto"/>
            </w:tcBorders>
            <w:shd w:val="clear" w:color="auto" w:fill="auto"/>
          </w:tcPr>
          <w:p w:rsidR="00C020BF" w:rsidRDefault="00C020BF" w:rsidP="00C020BF">
            <w:pPr>
              <w:pStyle w:val="TableColumnHeading"/>
              <w:jc w:val="left"/>
            </w:pPr>
            <w:r>
              <w:t>Performance indicator</w:t>
            </w:r>
          </w:p>
        </w:tc>
        <w:tc>
          <w:tcPr>
            <w:tcW w:w="1129" w:type="pct"/>
            <w:tcBorders>
              <w:top w:val="single" w:sz="6" w:space="0" w:color="auto"/>
              <w:bottom w:val="single" w:sz="6" w:space="0" w:color="auto"/>
            </w:tcBorders>
            <w:shd w:val="clear" w:color="auto" w:fill="auto"/>
          </w:tcPr>
          <w:p w:rsidR="00C020BF" w:rsidRDefault="00C020BF" w:rsidP="00EA001E">
            <w:pPr>
              <w:pStyle w:val="TableColumnHeading"/>
              <w:ind w:right="28"/>
            </w:pPr>
            <w:r>
              <w:t>Page no. in this report</w:t>
            </w:r>
          </w:p>
        </w:tc>
      </w:tr>
      <w:tr w:rsidR="00C020BF" w:rsidTr="00C020BF">
        <w:tc>
          <w:tcPr>
            <w:tcW w:w="3871" w:type="pct"/>
            <w:tcBorders>
              <w:top w:val="single" w:sz="6" w:space="0" w:color="auto"/>
            </w:tcBorders>
          </w:tcPr>
          <w:p w:rsidR="00F22FD5" w:rsidRDefault="00E80843" w:rsidP="00124F9D">
            <w:pPr>
              <w:pStyle w:val="TableUnitsRow"/>
              <w:numPr>
                <w:ilvl w:val="6"/>
                <w:numId w:val="2"/>
              </w:numPr>
              <w:tabs>
                <w:tab w:val="clear" w:pos="2520"/>
              </w:tabs>
              <w:ind w:left="709" w:hanging="567"/>
              <w:jc w:val="left"/>
            </w:pPr>
            <w:r>
              <w:t>Proportio</w:t>
            </w:r>
            <w:r w:rsidR="00AA68C1">
              <w:t>n of working age population</w:t>
            </w:r>
            <w:r>
              <w:t xml:space="preserve"> with higher level qualifications (Certificate III and above)</w:t>
            </w:r>
          </w:p>
        </w:tc>
        <w:tc>
          <w:tcPr>
            <w:tcW w:w="1129" w:type="pct"/>
            <w:tcBorders>
              <w:top w:val="single" w:sz="6" w:space="0" w:color="auto"/>
            </w:tcBorders>
          </w:tcPr>
          <w:p w:rsidR="00C020BF" w:rsidRDefault="009F2EFD" w:rsidP="009F2EFD">
            <w:pPr>
              <w:pStyle w:val="TableUnitsRow"/>
              <w:ind w:right="28"/>
            </w:pPr>
            <w:r>
              <w:rPr>
                <w:noProof/>
              </w:rPr>
              <w:fldChar w:fldCharType="begin"/>
            </w:r>
            <w:r>
              <w:rPr>
                <w:noProof/>
              </w:rPr>
              <w:instrText xml:space="preserve"> PAGEREF _Ref328392124 \h </w:instrText>
            </w:r>
            <w:r>
              <w:rPr>
                <w:noProof/>
              </w:rPr>
            </w:r>
            <w:r>
              <w:rPr>
                <w:noProof/>
              </w:rPr>
              <w:fldChar w:fldCharType="separate"/>
            </w:r>
            <w:r w:rsidR="00A57DDD">
              <w:rPr>
                <w:noProof/>
              </w:rPr>
              <w:t>33</w:t>
            </w:r>
            <w:r>
              <w:rPr>
                <w:noProof/>
              </w:rPr>
              <w:fldChar w:fldCharType="end"/>
            </w:r>
          </w:p>
        </w:tc>
      </w:tr>
      <w:tr w:rsidR="00C020BF" w:rsidTr="00F22FD5">
        <w:tc>
          <w:tcPr>
            <w:tcW w:w="3871" w:type="pct"/>
            <w:shd w:val="clear" w:color="auto" w:fill="auto"/>
          </w:tcPr>
          <w:p w:rsidR="00C020BF" w:rsidRDefault="00F22FD5" w:rsidP="00124F9D">
            <w:pPr>
              <w:pStyle w:val="TableUnitsRow"/>
              <w:numPr>
                <w:ilvl w:val="6"/>
                <w:numId w:val="2"/>
              </w:numPr>
              <w:tabs>
                <w:tab w:val="clear" w:pos="2520"/>
                <w:tab w:val="num" w:pos="709"/>
              </w:tabs>
              <w:ind w:left="709" w:hanging="567"/>
              <w:jc w:val="left"/>
            </w:pPr>
            <w:r>
              <w:t>Proportion of employers satisfied that training meets their needs</w:t>
            </w:r>
          </w:p>
        </w:tc>
        <w:tc>
          <w:tcPr>
            <w:tcW w:w="1129" w:type="pct"/>
            <w:shd w:val="clear" w:color="auto" w:fill="auto"/>
          </w:tcPr>
          <w:p w:rsidR="004D5511" w:rsidRDefault="00B85641" w:rsidP="00EA001E">
            <w:pPr>
              <w:pStyle w:val="TableBodyText"/>
              <w:ind w:right="28"/>
            </w:pPr>
            <w:r>
              <w:fldChar w:fldCharType="begin"/>
            </w:r>
            <w:r>
              <w:instrText xml:space="preserve"> PAGEREF _Ref386027932 \h </w:instrText>
            </w:r>
            <w:r>
              <w:fldChar w:fldCharType="separate"/>
            </w:r>
            <w:r w:rsidR="00A57DDD">
              <w:rPr>
                <w:noProof/>
              </w:rPr>
              <w:t>40</w:t>
            </w:r>
            <w:r>
              <w:fldChar w:fldCharType="end"/>
            </w:r>
          </w:p>
        </w:tc>
      </w:tr>
      <w:tr w:rsidR="00F22FD5" w:rsidTr="00F22FD5">
        <w:tc>
          <w:tcPr>
            <w:tcW w:w="3871" w:type="pct"/>
            <w:shd w:val="clear" w:color="auto" w:fill="auto"/>
          </w:tcPr>
          <w:p w:rsidR="00F22FD5" w:rsidRDefault="00F22FD5" w:rsidP="00124F9D">
            <w:pPr>
              <w:pStyle w:val="TableUnitsRow"/>
              <w:numPr>
                <w:ilvl w:val="6"/>
                <w:numId w:val="2"/>
              </w:numPr>
              <w:tabs>
                <w:tab w:val="clear" w:pos="2520"/>
                <w:tab w:val="num" w:pos="709"/>
              </w:tabs>
              <w:ind w:left="709" w:hanging="567"/>
              <w:jc w:val="left"/>
            </w:pPr>
            <w:r>
              <w:t xml:space="preserve">Proportion of </w:t>
            </w:r>
            <w:r w:rsidR="00AA68C1">
              <w:t xml:space="preserve">working age population </w:t>
            </w:r>
            <w:r>
              <w:t>with adequate foundation skills (literacy level 3 or above)</w:t>
            </w:r>
          </w:p>
        </w:tc>
        <w:tc>
          <w:tcPr>
            <w:tcW w:w="1129" w:type="pct"/>
            <w:shd w:val="clear" w:color="auto" w:fill="auto"/>
          </w:tcPr>
          <w:p w:rsidR="00F22FD5" w:rsidRDefault="009F2EFD" w:rsidP="00EA001E">
            <w:pPr>
              <w:pStyle w:val="TableBodyText"/>
              <w:ind w:right="28"/>
            </w:pPr>
            <w:r>
              <w:fldChar w:fldCharType="begin"/>
            </w:r>
            <w:r>
              <w:instrText xml:space="preserve"> PAGEREF _Ref328392146 \h </w:instrText>
            </w:r>
            <w:r>
              <w:fldChar w:fldCharType="separate"/>
            </w:r>
            <w:r w:rsidR="00A57DDD">
              <w:rPr>
                <w:noProof/>
              </w:rPr>
              <w:t>43</w:t>
            </w:r>
            <w:r>
              <w:fldChar w:fldCharType="end"/>
            </w:r>
          </w:p>
        </w:tc>
      </w:tr>
      <w:tr w:rsidR="00F22FD5" w:rsidTr="00F22FD5">
        <w:tc>
          <w:tcPr>
            <w:tcW w:w="3871" w:type="pct"/>
            <w:shd w:val="clear" w:color="auto" w:fill="auto"/>
          </w:tcPr>
          <w:p w:rsidR="00F22FD5" w:rsidRDefault="00F22FD5" w:rsidP="00124F9D">
            <w:pPr>
              <w:pStyle w:val="TableUnitsRow"/>
              <w:numPr>
                <w:ilvl w:val="6"/>
                <w:numId w:val="2"/>
              </w:numPr>
              <w:tabs>
                <w:tab w:val="clear" w:pos="2520"/>
                <w:tab w:val="num" w:pos="709"/>
              </w:tabs>
              <w:ind w:left="709" w:hanging="567"/>
              <w:jc w:val="left"/>
            </w:pPr>
            <w:r>
              <w:t xml:space="preserve">Proportion of </w:t>
            </w:r>
            <w:r w:rsidR="00AA68C1">
              <w:t xml:space="preserve">working age population </w:t>
            </w:r>
            <w:r>
              <w:t xml:space="preserve">with or working towards a non-school </w:t>
            </w:r>
            <w:proofErr w:type="spellStart"/>
            <w:r>
              <w:t>AQF</w:t>
            </w:r>
            <w:proofErr w:type="spellEnd"/>
            <w:r>
              <w:t xml:space="preserve"> qualification</w:t>
            </w:r>
          </w:p>
        </w:tc>
        <w:tc>
          <w:tcPr>
            <w:tcW w:w="1129" w:type="pct"/>
            <w:shd w:val="clear" w:color="auto" w:fill="auto"/>
          </w:tcPr>
          <w:p w:rsidR="00F22FD5" w:rsidRDefault="009F2EFD" w:rsidP="00EA001E">
            <w:pPr>
              <w:pStyle w:val="TableBodyText"/>
              <w:ind w:right="28"/>
            </w:pPr>
            <w:r>
              <w:fldChar w:fldCharType="begin"/>
            </w:r>
            <w:r>
              <w:instrText xml:space="preserve"> PAGEREF _Ref328392150 \h </w:instrText>
            </w:r>
            <w:r>
              <w:fldChar w:fldCharType="separate"/>
            </w:r>
            <w:r w:rsidR="00A57DDD">
              <w:rPr>
                <w:noProof/>
              </w:rPr>
              <w:t>46</w:t>
            </w:r>
            <w:r>
              <w:fldChar w:fldCharType="end"/>
            </w:r>
          </w:p>
        </w:tc>
      </w:tr>
      <w:tr w:rsidR="00F22FD5" w:rsidTr="00F22FD5">
        <w:tc>
          <w:tcPr>
            <w:tcW w:w="3871" w:type="pct"/>
            <w:shd w:val="clear" w:color="auto" w:fill="auto"/>
          </w:tcPr>
          <w:p w:rsidR="00F22FD5" w:rsidRDefault="00F22FD5" w:rsidP="00124F9D">
            <w:pPr>
              <w:pStyle w:val="TableUnitsRow"/>
              <w:numPr>
                <w:ilvl w:val="6"/>
                <w:numId w:val="2"/>
              </w:numPr>
              <w:tabs>
                <w:tab w:val="clear" w:pos="2520"/>
                <w:tab w:val="num" w:pos="709"/>
              </w:tabs>
              <w:ind w:left="709" w:hanging="567"/>
              <w:jc w:val="left"/>
            </w:pPr>
            <w:r>
              <w:t>Proportion of VET graduates with improved employment status after training</w:t>
            </w:r>
          </w:p>
        </w:tc>
        <w:tc>
          <w:tcPr>
            <w:tcW w:w="1129" w:type="pct"/>
            <w:shd w:val="clear" w:color="auto" w:fill="auto"/>
          </w:tcPr>
          <w:p w:rsidR="00F22FD5" w:rsidRDefault="00904DA6" w:rsidP="004D5511">
            <w:pPr>
              <w:pStyle w:val="TableBodyText"/>
              <w:ind w:right="28"/>
            </w:pPr>
            <w:r>
              <w:fldChar w:fldCharType="begin"/>
            </w:r>
            <w:r>
              <w:instrText xml:space="preserve"> PAGEREF _Ref386028115 \h </w:instrText>
            </w:r>
            <w:r>
              <w:fldChar w:fldCharType="separate"/>
            </w:r>
            <w:r w:rsidR="00A57DDD">
              <w:rPr>
                <w:noProof/>
              </w:rPr>
              <w:t>52</w:t>
            </w:r>
            <w:r>
              <w:fldChar w:fldCharType="end"/>
            </w:r>
          </w:p>
        </w:tc>
      </w:tr>
      <w:tr w:rsidR="00F22FD5" w:rsidTr="00C020BF">
        <w:tc>
          <w:tcPr>
            <w:tcW w:w="3871" w:type="pct"/>
            <w:tcBorders>
              <w:bottom w:val="single" w:sz="6" w:space="0" w:color="auto"/>
            </w:tcBorders>
            <w:shd w:val="clear" w:color="auto" w:fill="auto"/>
          </w:tcPr>
          <w:p w:rsidR="00F22FD5" w:rsidRDefault="00F22FD5" w:rsidP="00124F9D">
            <w:pPr>
              <w:pStyle w:val="TableUnitsRow"/>
              <w:numPr>
                <w:ilvl w:val="6"/>
                <w:numId w:val="2"/>
              </w:numPr>
              <w:tabs>
                <w:tab w:val="clear" w:pos="2520"/>
                <w:tab w:val="num" w:pos="709"/>
              </w:tabs>
              <w:ind w:left="709" w:hanging="567"/>
              <w:jc w:val="left"/>
            </w:pPr>
            <w:r>
              <w:t>Proportion of VET graduates with improved education/training status after training</w:t>
            </w:r>
          </w:p>
        </w:tc>
        <w:tc>
          <w:tcPr>
            <w:tcW w:w="1129" w:type="pct"/>
            <w:tcBorders>
              <w:bottom w:val="single" w:sz="6" w:space="0" w:color="auto"/>
            </w:tcBorders>
            <w:shd w:val="clear" w:color="auto" w:fill="auto"/>
          </w:tcPr>
          <w:p w:rsidR="00F22FD5" w:rsidRDefault="00904DA6" w:rsidP="004D5511">
            <w:pPr>
              <w:pStyle w:val="TableBodyText"/>
              <w:ind w:right="28"/>
            </w:pPr>
            <w:r>
              <w:fldChar w:fldCharType="begin"/>
            </w:r>
            <w:r>
              <w:instrText xml:space="preserve"> PAGEREF _Ref328392165 \h </w:instrText>
            </w:r>
            <w:r>
              <w:fldChar w:fldCharType="separate"/>
            </w:r>
            <w:r w:rsidR="00A57DDD">
              <w:rPr>
                <w:noProof/>
              </w:rPr>
              <w:t>58</w:t>
            </w:r>
            <w:r>
              <w:fldChar w:fldCharType="end"/>
            </w:r>
          </w:p>
        </w:tc>
      </w:tr>
    </w:tbl>
    <w:p w:rsidR="00515BBB" w:rsidRDefault="00515BBB" w:rsidP="00515BBB">
      <w:pPr>
        <w:pStyle w:val="Note"/>
      </w:pPr>
      <w:proofErr w:type="spellStart"/>
      <w:r w:rsidRPr="008E77FE">
        <w:rPr>
          <w:rStyle w:val="NoteLabel"/>
        </w:rPr>
        <w:t>a</w:t>
      </w:r>
      <w:proofErr w:type="spellEnd"/>
      <w:r>
        <w:t xml:space="preserve"> The performance indicators presented in this table refer to the performance indicators in the </w:t>
      </w:r>
      <w:proofErr w:type="spellStart"/>
      <w:r>
        <w:t>NASWD</w:t>
      </w:r>
      <w:proofErr w:type="spellEnd"/>
      <w:r>
        <w:t xml:space="preserve"> (COAG </w:t>
      </w:r>
      <w:proofErr w:type="spellStart"/>
      <w:r>
        <w:t>2012b</w:t>
      </w:r>
      <w:proofErr w:type="spellEnd"/>
      <w:r>
        <w:t>).</w:t>
      </w:r>
    </w:p>
    <w:p w:rsidR="00F22FD5" w:rsidRDefault="00F22FD5" w:rsidP="00F22FD5">
      <w:pPr>
        <w:pStyle w:val="TableTitle"/>
      </w:pPr>
      <w:r>
        <w:rPr>
          <w:b w:val="0"/>
        </w:rPr>
        <w:t xml:space="preserve">Table </w:t>
      </w:r>
      <w:bookmarkStart w:id="18" w:name="OLE_LINK9"/>
      <w:r w:rsidR="00503759">
        <w:rPr>
          <w:b w:val="0"/>
          <w:noProof/>
        </w:rPr>
        <w:t>13</w:t>
      </w:r>
      <w:bookmarkEnd w:id="18"/>
      <w:r>
        <w:tab/>
        <w:t>Related performance indicator in the National Indigenous Reform Agreement</w:t>
      </w:r>
      <w:r w:rsidRPr="00F22FD5">
        <w:rPr>
          <w:rStyle w:val="NoteLabel"/>
          <w:b/>
        </w:rPr>
        <w:t>a</w:t>
      </w:r>
    </w:p>
    <w:tbl>
      <w:tblPr>
        <w:tblW w:w="5000" w:type="pct"/>
        <w:tblCellMar>
          <w:left w:w="0" w:type="dxa"/>
          <w:right w:w="0" w:type="dxa"/>
        </w:tblCellMar>
        <w:tblLook w:val="0000" w:firstRow="0" w:lastRow="0" w:firstColumn="0" w:lastColumn="0" w:noHBand="0" w:noVBand="0"/>
      </w:tblPr>
      <w:tblGrid>
        <w:gridCol w:w="6804"/>
        <w:gridCol w:w="1985"/>
      </w:tblGrid>
      <w:tr w:rsidR="00F22FD5" w:rsidTr="007F7A1F">
        <w:tc>
          <w:tcPr>
            <w:tcW w:w="3871" w:type="pct"/>
            <w:tcBorders>
              <w:top w:val="single" w:sz="6" w:space="0" w:color="auto"/>
              <w:bottom w:val="single" w:sz="6" w:space="0" w:color="auto"/>
            </w:tcBorders>
            <w:shd w:val="clear" w:color="auto" w:fill="auto"/>
          </w:tcPr>
          <w:p w:rsidR="00F22FD5" w:rsidRDefault="00F22FD5" w:rsidP="00F22FD5">
            <w:pPr>
              <w:pStyle w:val="TableColumnHeading"/>
              <w:jc w:val="left"/>
            </w:pPr>
            <w:r>
              <w:t>Performance Indicator</w:t>
            </w:r>
          </w:p>
        </w:tc>
        <w:tc>
          <w:tcPr>
            <w:tcW w:w="1129" w:type="pct"/>
            <w:tcBorders>
              <w:top w:val="single" w:sz="6" w:space="0" w:color="auto"/>
              <w:bottom w:val="single" w:sz="6" w:space="0" w:color="auto"/>
            </w:tcBorders>
            <w:shd w:val="clear" w:color="auto" w:fill="auto"/>
          </w:tcPr>
          <w:p w:rsidR="00F22FD5" w:rsidRDefault="00F22FD5" w:rsidP="00F22FD5">
            <w:pPr>
              <w:pStyle w:val="TableColumnHeading"/>
              <w:ind w:right="28"/>
            </w:pPr>
            <w:r>
              <w:t>Page no. in this report</w:t>
            </w:r>
          </w:p>
        </w:tc>
      </w:tr>
      <w:tr w:rsidR="00F22FD5" w:rsidTr="007F7A1F">
        <w:tc>
          <w:tcPr>
            <w:tcW w:w="3871" w:type="pct"/>
            <w:tcBorders>
              <w:top w:val="single" w:sz="6" w:space="0" w:color="auto"/>
              <w:bottom w:val="single" w:sz="4" w:space="0" w:color="auto"/>
            </w:tcBorders>
          </w:tcPr>
          <w:p w:rsidR="00F22FD5" w:rsidRDefault="007F7A1F" w:rsidP="00124F9D">
            <w:pPr>
              <w:pStyle w:val="TableUnitsRow"/>
              <w:numPr>
                <w:ilvl w:val="6"/>
                <w:numId w:val="2"/>
              </w:numPr>
              <w:tabs>
                <w:tab w:val="clear" w:pos="2520"/>
                <w:tab w:val="num" w:pos="709"/>
              </w:tabs>
              <w:ind w:left="709" w:hanging="567"/>
              <w:jc w:val="left"/>
            </w:pPr>
            <w:r>
              <w:t xml:space="preserve">Proportion of Indigenous </w:t>
            </w:r>
            <w:r w:rsidRPr="007F7A1F">
              <w:t xml:space="preserve">20–64 year olds with or working towards post school qualification in </w:t>
            </w:r>
            <w:proofErr w:type="spellStart"/>
            <w:r w:rsidRPr="007F7A1F">
              <w:t>AQF</w:t>
            </w:r>
            <w:proofErr w:type="spellEnd"/>
            <w:r w:rsidRPr="007F7A1F">
              <w:t xml:space="preserve"> Certificate level III or above</w:t>
            </w:r>
          </w:p>
        </w:tc>
        <w:tc>
          <w:tcPr>
            <w:tcW w:w="1129" w:type="pct"/>
            <w:tcBorders>
              <w:top w:val="single" w:sz="6" w:space="0" w:color="auto"/>
              <w:bottom w:val="single" w:sz="4" w:space="0" w:color="auto"/>
            </w:tcBorders>
          </w:tcPr>
          <w:p w:rsidR="00F22FD5" w:rsidRDefault="009F2EFD" w:rsidP="00F22FD5">
            <w:pPr>
              <w:pStyle w:val="TableUnitsRow"/>
              <w:ind w:right="28"/>
            </w:pPr>
            <w:r>
              <w:rPr>
                <w:noProof/>
              </w:rPr>
              <w:fldChar w:fldCharType="begin"/>
            </w:r>
            <w:r>
              <w:instrText xml:space="preserve"> PAGEREF _Ref355613598 \h </w:instrText>
            </w:r>
            <w:r>
              <w:rPr>
                <w:noProof/>
              </w:rPr>
            </w:r>
            <w:r>
              <w:rPr>
                <w:noProof/>
              </w:rPr>
              <w:fldChar w:fldCharType="separate"/>
            </w:r>
            <w:r w:rsidR="00A57DDD">
              <w:rPr>
                <w:noProof/>
              </w:rPr>
              <w:t>62</w:t>
            </w:r>
            <w:r>
              <w:rPr>
                <w:noProof/>
              </w:rPr>
              <w:fldChar w:fldCharType="end"/>
            </w:r>
          </w:p>
        </w:tc>
      </w:tr>
    </w:tbl>
    <w:p w:rsidR="00F22FD5" w:rsidRDefault="00F22FD5" w:rsidP="00F22FD5">
      <w:pPr>
        <w:pStyle w:val="Note"/>
      </w:pPr>
      <w:proofErr w:type="spellStart"/>
      <w:r w:rsidRPr="008E77FE">
        <w:rPr>
          <w:rStyle w:val="NoteLabel"/>
        </w:rPr>
        <w:t>a</w:t>
      </w:r>
      <w:proofErr w:type="spellEnd"/>
      <w:r w:rsidR="0052286A">
        <w:t xml:space="preserve"> </w:t>
      </w:r>
      <w:r w:rsidR="007F7A1F">
        <w:t xml:space="preserve">The performance indicator presented in this table refers to the performance indicator in the </w:t>
      </w:r>
      <w:proofErr w:type="spellStart"/>
      <w:r w:rsidR="007F7A1F">
        <w:t>NIRA</w:t>
      </w:r>
      <w:proofErr w:type="spellEnd"/>
      <w:r w:rsidR="004C0D13">
        <w:t xml:space="preserve"> </w:t>
      </w:r>
      <w:r w:rsidR="00BE626B">
        <w:t>(</w:t>
      </w:r>
      <w:r w:rsidR="00990FBC">
        <w:t xml:space="preserve">COAG </w:t>
      </w:r>
      <w:proofErr w:type="spellStart"/>
      <w:r w:rsidR="00990FBC">
        <w:t>2012</w:t>
      </w:r>
      <w:r w:rsidR="006A5AB5">
        <w:t>c</w:t>
      </w:r>
      <w:proofErr w:type="spellEnd"/>
      <w:r w:rsidR="00BE626B">
        <w:t>)</w:t>
      </w:r>
      <w:r>
        <w:t>.</w:t>
      </w:r>
    </w:p>
    <w:p w:rsidR="00EA001E" w:rsidRDefault="004C0D13" w:rsidP="004C0D13">
      <w:pPr>
        <w:pStyle w:val="BodyText"/>
      </w:pPr>
      <w:r>
        <w:t>The NASWD [para. 21] states that data for the indicators will, where statistically appropriate, be disaggregated by subgroups needed to meet reporting requirements in this and other agreements and by jurisdiction.</w:t>
      </w:r>
      <w:r w:rsidR="00EA001E">
        <w:br w:type="page"/>
      </w:r>
    </w:p>
    <w:p w:rsidR="00EA001E" w:rsidRDefault="0052286A" w:rsidP="0052286A">
      <w:pPr>
        <w:pStyle w:val="Heading3"/>
      </w:pPr>
      <w:bookmarkStart w:id="19" w:name="_Ref328392124"/>
      <w:r w:rsidRPr="0052286A">
        <w:t>Indicator 1 — Proportion of working age population with higher level qualifications (Certificate III and above)</w:t>
      </w:r>
      <w:bookmarkEnd w:id="19"/>
    </w:p>
    <w:p w:rsidR="0052286A" w:rsidRPr="0052286A" w:rsidRDefault="0052286A" w:rsidP="0052286A">
      <w:pPr>
        <w:pStyle w:val="BoxSpace"/>
      </w:pPr>
    </w:p>
    <w:tbl>
      <w:tblPr>
        <w:tblW w:w="0" w:type="auto"/>
        <w:tblInd w:w="108" w:type="dxa"/>
        <w:tblLook w:val="01E0" w:firstRow="1" w:lastRow="1" w:firstColumn="1" w:lastColumn="1" w:noHBand="0" w:noVBand="0"/>
      </w:tblPr>
      <w:tblGrid>
        <w:gridCol w:w="1985"/>
        <w:gridCol w:w="6804"/>
      </w:tblGrid>
      <w:tr w:rsidR="0052286A" w:rsidRPr="0052286A" w:rsidTr="0052286A">
        <w:trPr>
          <w:trHeight w:val="819"/>
        </w:trPr>
        <w:tc>
          <w:tcPr>
            <w:tcW w:w="1985" w:type="dxa"/>
            <w:shd w:val="clear" w:color="auto" w:fill="auto"/>
          </w:tcPr>
          <w:p w:rsidR="0052286A" w:rsidRPr="0052286A" w:rsidRDefault="0052286A" w:rsidP="0052286A">
            <w:pPr>
              <w:keepNext/>
              <w:keepLines/>
              <w:spacing w:after="40" w:line="220" w:lineRule="atLeast"/>
              <w:ind w:left="6" w:right="113"/>
              <w:rPr>
                <w:rFonts w:ascii="Arial" w:hAnsi="Arial"/>
                <w:sz w:val="20"/>
                <w:szCs w:val="20"/>
              </w:rPr>
            </w:pPr>
            <w:r w:rsidRPr="0052286A">
              <w:rPr>
                <w:rFonts w:ascii="Arial" w:hAnsi="Arial"/>
                <w:sz w:val="20"/>
                <w:szCs w:val="20"/>
              </w:rPr>
              <w:t>Key amendments from previous cycle:</w:t>
            </w:r>
          </w:p>
        </w:tc>
        <w:tc>
          <w:tcPr>
            <w:tcW w:w="6804" w:type="dxa"/>
            <w:shd w:val="clear" w:color="auto" w:fill="auto"/>
          </w:tcPr>
          <w:p w:rsidR="006A5AB5" w:rsidRPr="0052286A" w:rsidRDefault="0072519E" w:rsidP="006530F9">
            <w:pPr>
              <w:pStyle w:val="TableBodyText"/>
              <w:jc w:val="left"/>
            </w:pPr>
            <w:r w:rsidRPr="0072519E">
              <w:t>In response to a CRC recommendation, additional disaggregations are reported.</w:t>
            </w:r>
          </w:p>
        </w:tc>
      </w:tr>
      <w:tr w:rsidR="0052286A" w:rsidRPr="0052286A" w:rsidTr="0052286A">
        <w:trPr>
          <w:trHeight w:val="598"/>
        </w:trPr>
        <w:tc>
          <w:tcPr>
            <w:tcW w:w="1985" w:type="dxa"/>
            <w:shd w:val="clear" w:color="auto" w:fill="auto"/>
          </w:tcPr>
          <w:p w:rsidR="0052286A" w:rsidRPr="0052286A" w:rsidRDefault="0052286A" w:rsidP="0052286A">
            <w:pPr>
              <w:keepNext/>
              <w:keepLines/>
              <w:spacing w:after="40" w:line="220" w:lineRule="atLeast"/>
              <w:rPr>
                <w:rFonts w:ascii="Arial" w:hAnsi="Arial"/>
                <w:sz w:val="20"/>
                <w:szCs w:val="20"/>
              </w:rPr>
            </w:pPr>
            <w:r w:rsidRPr="0052286A">
              <w:rPr>
                <w:rFonts w:ascii="Arial" w:hAnsi="Arial"/>
                <w:sz w:val="20"/>
                <w:szCs w:val="20"/>
              </w:rPr>
              <w:t>Outcome area:</w:t>
            </w:r>
          </w:p>
        </w:tc>
        <w:tc>
          <w:tcPr>
            <w:tcW w:w="6804" w:type="dxa"/>
            <w:shd w:val="clear" w:color="auto" w:fill="auto"/>
          </w:tcPr>
          <w:p w:rsidR="003733DE" w:rsidRPr="0052286A" w:rsidRDefault="0072519E" w:rsidP="006530F9">
            <w:pPr>
              <w:pStyle w:val="TableBodyText"/>
              <w:jc w:val="left"/>
            </w:pPr>
            <w:r w:rsidRPr="0072519E">
              <w:t>The skill levels of the working age population are increased to meet the changing needs of the economy</w:t>
            </w:r>
          </w:p>
        </w:tc>
      </w:tr>
      <w:tr w:rsidR="0052286A" w:rsidRPr="0052286A" w:rsidTr="0052286A">
        <w:trPr>
          <w:trHeight w:val="598"/>
        </w:trPr>
        <w:tc>
          <w:tcPr>
            <w:tcW w:w="1985" w:type="dxa"/>
            <w:shd w:val="clear" w:color="auto" w:fill="auto"/>
          </w:tcPr>
          <w:p w:rsidR="0052286A" w:rsidRPr="0052286A" w:rsidRDefault="0052286A" w:rsidP="0052286A">
            <w:pPr>
              <w:keepNext/>
              <w:keepLines/>
              <w:spacing w:after="40" w:line="220" w:lineRule="atLeast"/>
              <w:rPr>
                <w:rFonts w:ascii="Arial" w:hAnsi="Arial"/>
                <w:sz w:val="20"/>
                <w:szCs w:val="20"/>
              </w:rPr>
            </w:pPr>
            <w:r w:rsidRPr="0052286A">
              <w:rPr>
                <w:rFonts w:ascii="Arial" w:hAnsi="Arial"/>
                <w:sz w:val="20"/>
                <w:szCs w:val="20"/>
              </w:rPr>
              <w:t>Related target:</w:t>
            </w:r>
          </w:p>
        </w:tc>
        <w:tc>
          <w:tcPr>
            <w:tcW w:w="6804" w:type="dxa"/>
            <w:shd w:val="clear" w:color="auto" w:fill="auto"/>
          </w:tcPr>
          <w:p w:rsidR="003733DE" w:rsidRPr="0052286A" w:rsidRDefault="0072519E" w:rsidP="006530F9">
            <w:pPr>
              <w:pStyle w:val="TableBodyText"/>
              <w:jc w:val="left"/>
            </w:pPr>
            <w:r w:rsidRPr="0072519E">
              <w:t>Halve the proportion of Australians nationally aged 20–64 without qualifications at Certificate III level and above between 2009 and 2020</w:t>
            </w:r>
          </w:p>
        </w:tc>
      </w:tr>
      <w:tr w:rsidR="0052286A" w:rsidRPr="0052286A" w:rsidTr="0052286A">
        <w:tc>
          <w:tcPr>
            <w:tcW w:w="1985" w:type="dxa"/>
            <w:shd w:val="clear" w:color="auto" w:fill="auto"/>
          </w:tcPr>
          <w:p w:rsidR="0052286A" w:rsidRPr="0052286A" w:rsidRDefault="0052286A" w:rsidP="0052286A">
            <w:pPr>
              <w:keepNext/>
              <w:keepLines/>
              <w:spacing w:after="40" w:line="220" w:lineRule="atLeast"/>
              <w:rPr>
                <w:rFonts w:ascii="Arial" w:hAnsi="Arial"/>
                <w:sz w:val="20"/>
                <w:szCs w:val="20"/>
              </w:rPr>
            </w:pPr>
            <w:r w:rsidRPr="0052286A">
              <w:rPr>
                <w:rFonts w:ascii="Arial" w:hAnsi="Arial"/>
                <w:sz w:val="20"/>
                <w:szCs w:val="20"/>
              </w:rPr>
              <w:t>Performance indicator:</w:t>
            </w:r>
          </w:p>
          <w:p w:rsidR="0052286A" w:rsidRPr="0052286A" w:rsidRDefault="0052286A" w:rsidP="0052286A">
            <w:pPr>
              <w:keepNext/>
              <w:keepLines/>
              <w:spacing w:after="40" w:line="220" w:lineRule="atLeast"/>
              <w:rPr>
                <w:rFonts w:ascii="Arial" w:hAnsi="Arial"/>
                <w:sz w:val="20"/>
                <w:szCs w:val="20"/>
              </w:rPr>
            </w:pPr>
          </w:p>
        </w:tc>
        <w:tc>
          <w:tcPr>
            <w:tcW w:w="6804" w:type="dxa"/>
            <w:shd w:val="clear" w:color="auto" w:fill="auto"/>
          </w:tcPr>
          <w:p w:rsidR="0052286A" w:rsidRPr="0052286A" w:rsidRDefault="0072519E" w:rsidP="006530F9">
            <w:pPr>
              <w:pStyle w:val="TableBodyText"/>
              <w:jc w:val="left"/>
            </w:pPr>
            <w:r w:rsidRPr="0072519E">
              <w:t>Proportion of working age population with higher level qualifications (Certificate III and above)</w:t>
            </w:r>
          </w:p>
        </w:tc>
      </w:tr>
      <w:tr w:rsidR="0052286A" w:rsidRPr="0052286A" w:rsidTr="0052286A">
        <w:tc>
          <w:tcPr>
            <w:tcW w:w="1985" w:type="dxa"/>
            <w:shd w:val="clear" w:color="auto" w:fill="auto"/>
          </w:tcPr>
          <w:p w:rsidR="0052286A" w:rsidRPr="0052286A" w:rsidRDefault="0052286A" w:rsidP="0052286A">
            <w:pPr>
              <w:keepNext/>
              <w:keepLines/>
              <w:spacing w:after="40" w:line="220" w:lineRule="atLeast"/>
              <w:rPr>
                <w:rFonts w:ascii="Arial" w:hAnsi="Arial"/>
                <w:sz w:val="20"/>
                <w:szCs w:val="20"/>
              </w:rPr>
            </w:pPr>
            <w:r w:rsidRPr="0052286A">
              <w:rPr>
                <w:rFonts w:ascii="Arial" w:hAnsi="Arial"/>
                <w:sz w:val="20"/>
                <w:szCs w:val="20"/>
              </w:rPr>
              <w:t xml:space="preserve">Measure: </w:t>
            </w:r>
          </w:p>
        </w:tc>
        <w:tc>
          <w:tcPr>
            <w:tcW w:w="6804" w:type="dxa"/>
            <w:shd w:val="clear" w:color="auto" w:fill="auto"/>
          </w:tcPr>
          <w:p w:rsidR="0072519E" w:rsidRDefault="0072519E" w:rsidP="006530F9">
            <w:pPr>
              <w:pStyle w:val="TableBodyText"/>
              <w:jc w:val="left"/>
            </w:pPr>
            <w:r>
              <w:t xml:space="preserve">Proportion of people aged 20–64 years with qualifications at or above </w:t>
            </w:r>
            <w:proofErr w:type="spellStart"/>
            <w:r>
              <w:t>AQF</w:t>
            </w:r>
            <w:proofErr w:type="spellEnd"/>
            <w:r>
              <w:t xml:space="preserve"> Certificate level III</w:t>
            </w:r>
          </w:p>
          <w:p w:rsidR="0072519E" w:rsidRDefault="0072519E" w:rsidP="006530F9">
            <w:pPr>
              <w:pStyle w:val="TableBodyText"/>
              <w:jc w:val="left"/>
            </w:pPr>
          </w:p>
          <w:p w:rsidR="0072519E" w:rsidRDefault="0072519E" w:rsidP="006530F9">
            <w:pPr>
              <w:pStyle w:val="TableBodyText"/>
              <w:jc w:val="left"/>
            </w:pPr>
            <w:r>
              <w:t>The measure is defined as:</w:t>
            </w:r>
          </w:p>
          <w:p w:rsidR="0072519E" w:rsidRDefault="0072519E" w:rsidP="006530F9">
            <w:pPr>
              <w:pStyle w:val="TableBullet"/>
            </w:pPr>
            <w:r w:rsidRPr="006530F9">
              <w:rPr>
                <w:i/>
              </w:rPr>
              <w:t>numerator</w:t>
            </w:r>
            <w:r>
              <w:t xml:space="preserve"> — people aged 20–64 years who have attained post school qualifications at or above </w:t>
            </w:r>
            <w:proofErr w:type="spellStart"/>
            <w:r>
              <w:t>AQF</w:t>
            </w:r>
            <w:proofErr w:type="spellEnd"/>
            <w:r>
              <w:t xml:space="preserve"> Certificate level III</w:t>
            </w:r>
          </w:p>
          <w:p w:rsidR="0072519E" w:rsidRDefault="0072519E" w:rsidP="006530F9">
            <w:pPr>
              <w:pStyle w:val="TableBullet"/>
            </w:pPr>
            <w:r w:rsidRPr="006530F9">
              <w:rPr>
                <w:i/>
              </w:rPr>
              <w:t>denominator</w:t>
            </w:r>
            <w:r>
              <w:t xml:space="preserve"> — total population of people aged 20–64 years</w:t>
            </w:r>
          </w:p>
          <w:p w:rsidR="0072519E" w:rsidRDefault="0072519E" w:rsidP="006530F9">
            <w:pPr>
              <w:pStyle w:val="TableBodyText"/>
              <w:jc w:val="left"/>
            </w:pPr>
            <w:r>
              <w:t>and is expressed as a percentage</w:t>
            </w:r>
          </w:p>
          <w:p w:rsidR="0072519E" w:rsidRDefault="0072519E" w:rsidP="006530F9">
            <w:pPr>
              <w:pStyle w:val="TableBodyText"/>
              <w:jc w:val="left"/>
            </w:pPr>
          </w:p>
          <w:p w:rsidR="0072519E" w:rsidRDefault="0072519E" w:rsidP="006530F9">
            <w:pPr>
              <w:pStyle w:val="TableBodyText"/>
              <w:jc w:val="left"/>
            </w:pPr>
            <w:r>
              <w:t>‘Certificate III or above’ includes Certificate III, IV, Diploma, Advanced Diploma, Associate degree, Bachelor degree and above</w:t>
            </w:r>
          </w:p>
          <w:p w:rsidR="0072519E" w:rsidRDefault="0072519E" w:rsidP="006530F9">
            <w:pPr>
              <w:pStyle w:val="TableBodyText"/>
              <w:jc w:val="left"/>
            </w:pPr>
          </w:p>
          <w:p w:rsidR="0072519E" w:rsidRDefault="0072519E" w:rsidP="006530F9">
            <w:pPr>
              <w:pStyle w:val="TableBodyText"/>
              <w:jc w:val="left"/>
            </w:pPr>
            <w:r>
              <w:t xml:space="preserve">Persons whose level of non-school qualification is determined to be certificate level but is not able to be further defined (i.e., Certificate </w:t>
            </w:r>
            <w:proofErr w:type="spellStart"/>
            <w:r>
              <w:t>nfd</w:t>
            </w:r>
            <w:proofErr w:type="spellEnd"/>
            <w:r>
              <w:t xml:space="preserve">) are assumed to have attained below Certificate level III and are therefore </w:t>
            </w:r>
            <w:r w:rsidRPr="006530F9">
              <w:rPr>
                <w:u w:val="single"/>
              </w:rPr>
              <w:t>excluded</w:t>
            </w:r>
            <w:r>
              <w:t xml:space="preserve"> from the numerator, but are </w:t>
            </w:r>
            <w:r w:rsidRPr="006530F9">
              <w:rPr>
                <w:u w:val="single"/>
              </w:rPr>
              <w:t>included</w:t>
            </w:r>
            <w:r>
              <w:t xml:space="preserve"> in the denominator, for this indicator</w:t>
            </w:r>
          </w:p>
          <w:p w:rsidR="0072519E" w:rsidRDefault="0072519E" w:rsidP="006530F9">
            <w:pPr>
              <w:pStyle w:val="TableBodyText"/>
              <w:jc w:val="left"/>
            </w:pPr>
          </w:p>
          <w:p w:rsidR="0072519E" w:rsidRDefault="0072519E" w:rsidP="006530F9">
            <w:pPr>
              <w:pStyle w:val="TableBodyText"/>
              <w:jc w:val="left"/>
            </w:pPr>
            <w:r>
              <w:t xml:space="preserve">Persons whose level of non-school qualification cannot be determined are assumed to have attained below Certificate level III and are therefore </w:t>
            </w:r>
            <w:r w:rsidRPr="006530F9">
              <w:rPr>
                <w:u w:val="single"/>
              </w:rPr>
              <w:t>excluded</w:t>
            </w:r>
            <w:r>
              <w:t xml:space="preserve"> from the numerator, but are </w:t>
            </w:r>
            <w:r w:rsidRPr="006530F9">
              <w:rPr>
                <w:u w:val="single"/>
              </w:rPr>
              <w:t>included</w:t>
            </w:r>
            <w:r>
              <w:t xml:space="preserve"> in the denominator, for this indicator</w:t>
            </w:r>
          </w:p>
          <w:p w:rsidR="0072519E" w:rsidRDefault="0072519E" w:rsidP="006530F9">
            <w:pPr>
              <w:pStyle w:val="TableBodyText"/>
              <w:jc w:val="left"/>
            </w:pPr>
          </w:p>
          <w:p w:rsidR="006A5AB5" w:rsidRDefault="0072519E" w:rsidP="006530F9">
            <w:pPr>
              <w:pStyle w:val="TableBodyText"/>
              <w:jc w:val="left"/>
            </w:pPr>
            <w:r w:rsidRPr="00270164">
              <w:rPr>
                <w:u w:val="single"/>
              </w:rPr>
              <w:t>Excludes</w:t>
            </w:r>
            <w:r w:rsidRPr="00270164">
              <w:t xml:space="preserve"> </w:t>
            </w:r>
            <w:r>
              <w:t>persons whose level of education was not stated (only applicable to Census data)</w:t>
            </w:r>
          </w:p>
          <w:p w:rsidR="00944351" w:rsidRDefault="00944351" w:rsidP="006530F9">
            <w:pPr>
              <w:pStyle w:val="TableBodyText"/>
              <w:jc w:val="left"/>
            </w:pPr>
          </w:p>
          <w:p w:rsidR="00944351" w:rsidRPr="00944351" w:rsidRDefault="00944351" w:rsidP="00944351">
            <w:pPr>
              <w:pStyle w:val="TableBodyText"/>
              <w:keepLines w:val="0"/>
              <w:jc w:val="left"/>
              <w:rPr>
                <w:rFonts w:cs="Arial"/>
              </w:rPr>
            </w:pPr>
            <w:r>
              <w:rPr>
                <w:rFonts w:cs="Arial"/>
              </w:rPr>
              <w:t xml:space="preserve">SEW data: </w:t>
            </w:r>
            <w:r w:rsidRPr="002E18C8">
              <w:rPr>
                <w:rFonts w:cs="Arial"/>
              </w:rPr>
              <w:t>Prior to the 2013 SEW, people who were permanently unable to work (PUW) were excluded from the in-scope population. In 2013, the SEW scope was expanded to include the PUW population. However, to ensure that the indicator measure presented here is comparable over time, the PUW population has been excluded from these tables.</w:t>
            </w:r>
          </w:p>
          <w:p w:rsidR="00A14D35" w:rsidRPr="0052286A" w:rsidRDefault="00A14D35" w:rsidP="006530F9">
            <w:pPr>
              <w:pStyle w:val="TableBodyText"/>
              <w:jc w:val="left"/>
            </w:pPr>
          </w:p>
        </w:tc>
      </w:tr>
      <w:tr w:rsidR="0052286A" w:rsidRPr="0052286A" w:rsidTr="0052286A">
        <w:tc>
          <w:tcPr>
            <w:tcW w:w="1985" w:type="dxa"/>
            <w:shd w:val="clear" w:color="auto" w:fill="auto"/>
          </w:tcPr>
          <w:p w:rsidR="0052286A" w:rsidRPr="0052286A" w:rsidRDefault="0052286A" w:rsidP="0052286A">
            <w:pPr>
              <w:keepNext/>
              <w:keepLines/>
              <w:spacing w:after="40" w:line="220" w:lineRule="atLeast"/>
              <w:rPr>
                <w:rFonts w:ascii="Arial" w:hAnsi="Arial"/>
                <w:sz w:val="20"/>
                <w:szCs w:val="20"/>
              </w:rPr>
            </w:pPr>
            <w:r w:rsidRPr="0052286A">
              <w:rPr>
                <w:rFonts w:ascii="Arial" w:hAnsi="Arial"/>
                <w:sz w:val="20"/>
                <w:szCs w:val="20"/>
              </w:rPr>
              <w:t>Data sources:</w:t>
            </w:r>
          </w:p>
        </w:tc>
        <w:tc>
          <w:tcPr>
            <w:tcW w:w="6804" w:type="dxa"/>
            <w:shd w:val="clear" w:color="auto" w:fill="auto"/>
          </w:tcPr>
          <w:p w:rsidR="0072519E" w:rsidRDefault="0072519E" w:rsidP="006530F9">
            <w:pPr>
              <w:pStyle w:val="TableBodyText"/>
              <w:jc w:val="left"/>
            </w:pPr>
            <w:r w:rsidRPr="006530F9">
              <w:rPr>
                <w:i/>
              </w:rPr>
              <w:t>(Main)</w:t>
            </w:r>
            <w:r>
              <w:t xml:space="preserve"> </w:t>
            </w:r>
            <w:r w:rsidRPr="006530F9">
              <w:rPr>
                <w:u w:val="single"/>
              </w:rPr>
              <w:t>Census of Population and Housing</w:t>
            </w:r>
            <w:r>
              <w:t xml:space="preserve"> (Census). Data are collected every five years</w:t>
            </w:r>
          </w:p>
          <w:p w:rsidR="0072519E" w:rsidRDefault="0072519E" w:rsidP="006530F9">
            <w:pPr>
              <w:pStyle w:val="TableBodyText"/>
              <w:jc w:val="left"/>
            </w:pPr>
          </w:p>
          <w:p w:rsidR="0072519E" w:rsidRDefault="0072519E" w:rsidP="006530F9">
            <w:pPr>
              <w:pStyle w:val="TableBodyText"/>
              <w:jc w:val="left"/>
            </w:pPr>
            <w:r w:rsidRPr="006530F9">
              <w:rPr>
                <w:i/>
              </w:rPr>
              <w:t>(Supplementary — total, SES, non-Indigenous)</w:t>
            </w:r>
            <w:r>
              <w:t xml:space="preserve"> </w:t>
            </w:r>
            <w:r w:rsidRPr="006530F9">
              <w:rPr>
                <w:u w:val="single"/>
              </w:rPr>
              <w:t>Survey of Education and Work</w:t>
            </w:r>
            <w:r>
              <w:t xml:space="preserve"> (SEW). Data are collected annually</w:t>
            </w:r>
          </w:p>
          <w:p w:rsidR="0072519E" w:rsidRDefault="0072519E" w:rsidP="006530F9">
            <w:pPr>
              <w:pStyle w:val="TableBodyText"/>
              <w:jc w:val="left"/>
            </w:pPr>
          </w:p>
          <w:p w:rsidR="00970174" w:rsidRPr="006530F9" w:rsidRDefault="0072519E" w:rsidP="006530F9">
            <w:pPr>
              <w:pStyle w:val="TableBodyText"/>
              <w:jc w:val="left"/>
            </w:pPr>
            <w:r w:rsidRPr="006530F9">
              <w:rPr>
                <w:i/>
              </w:rPr>
              <w:t>(Supplementary Indigenous)</w:t>
            </w:r>
            <w:r w:rsidRPr="006530F9">
              <w:t xml:space="preserve"> — </w:t>
            </w:r>
            <w:r w:rsidRPr="006530F9">
              <w:rPr>
                <w:u w:val="single"/>
              </w:rPr>
              <w:t xml:space="preserve">National Aboriginal and Torres Strait Islander Social Survey </w:t>
            </w:r>
            <w:r w:rsidRPr="006530F9">
              <w:t xml:space="preserve">(NATSISS) and the </w:t>
            </w:r>
            <w:r w:rsidRPr="00706045">
              <w:rPr>
                <w:u w:val="single"/>
              </w:rPr>
              <w:t>National Aboriginal and Torres Strait Islander Health Survey (NATSIHS)</w:t>
            </w:r>
            <w:r w:rsidRPr="006530F9">
              <w:t xml:space="preserve"> component of the Australian Aboriginal Torres Strait Islander Health Survey (AATSIHS). Data are collected on an alternating three-yearly cycle.</w:t>
            </w:r>
          </w:p>
        </w:tc>
      </w:tr>
      <w:tr w:rsidR="0052286A" w:rsidRPr="0052286A" w:rsidTr="0052286A">
        <w:trPr>
          <w:trHeight w:val="623"/>
        </w:trPr>
        <w:tc>
          <w:tcPr>
            <w:tcW w:w="1985" w:type="dxa"/>
            <w:shd w:val="clear" w:color="auto" w:fill="auto"/>
          </w:tcPr>
          <w:p w:rsidR="0052286A" w:rsidRPr="0052286A" w:rsidRDefault="0052286A" w:rsidP="0052286A">
            <w:pPr>
              <w:keepNext/>
              <w:keepLines/>
              <w:spacing w:after="40" w:line="220" w:lineRule="atLeast"/>
              <w:rPr>
                <w:rFonts w:ascii="Arial" w:hAnsi="Arial"/>
                <w:sz w:val="20"/>
                <w:szCs w:val="20"/>
              </w:rPr>
            </w:pPr>
            <w:r w:rsidRPr="0052286A">
              <w:rPr>
                <w:rFonts w:ascii="Arial" w:hAnsi="Arial"/>
                <w:sz w:val="20"/>
                <w:szCs w:val="20"/>
              </w:rPr>
              <w:t>Data provider:</w:t>
            </w:r>
          </w:p>
        </w:tc>
        <w:tc>
          <w:tcPr>
            <w:tcW w:w="6804" w:type="dxa"/>
            <w:shd w:val="clear" w:color="auto" w:fill="auto"/>
          </w:tcPr>
          <w:p w:rsidR="0052286A" w:rsidRPr="0052286A" w:rsidRDefault="0072519E" w:rsidP="006530F9">
            <w:pPr>
              <w:pStyle w:val="TableBodyText"/>
              <w:jc w:val="left"/>
            </w:pPr>
            <w:r w:rsidRPr="0072519E">
              <w:t>ABS</w:t>
            </w:r>
          </w:p>
        </w:tc>
      </w:tr>
      <w:tr w:rsidR="0052286A" w:rsidRPr="0052286A" w:rsidTr="0052286A">
        <w:tc>
          <w:tcPr>
            <w:tcW w:w="1985" w:type="dxa"/>
            <w:shd w:val="clear" w:color="auto" w:fill="auto"/>
          </w:tcPr>
          <w:p w:rsidR="0052286A" w:rsidRPr="0052286A" w:rsidRDefault="0052286A" w:rsidP="0052286A">
            <w:pPr>
              <w:keepNext/>
              <w:keepLines/>
              <w:spacing w:after="40" w:line="220" w:lineRule="atLeast"/>
              <w:rPr>
                <w:rFonts w:ascii="Arial" w:hAnsi="Arial"/>
                <w:sz w:val="20"/>
                <w:szCs w:val="20"/>
              </w:rPr>
            </w:pPr>
            <w:r w:rsidRPr="0052286A">
              <w:rPr>
                <w:rFonts w:ascii="Arial" w:hAnsi="Arial"/>
                <w:sz w:val="20"/>
                <w:szCs w:val="20"/>
              </w:rPr>
              <w:t>Data availability:</w:t>
            </w:r>
          </w:p>
        </w:tc>
        <w:tc>
          <w:tcPr>
            <w:tcW w:w="6804" w:type="dxa"/>
            <w:shd w:val="clear" w:color="auto" w:fill="auto"/>
          </w:tcPr>
          <w:p w:rsidR="0072519E" w:rsidRDefault="0072519E" w:rsidP="006530F9">
            <w:pPr>
              <w:pStyle w:val="TableBodyText"/>
              <w:jc w:val="left"/>
            </w:pPr>
            <w:r>
              <w:t>SEW — 2013 (Total, SES) (additional data for 2007, 2008, 2009, 2010, 2011 and 2012 for additional disaggregations* and additional 2007, 2009, 2010 and 2011 for previous disaggregations to complete time series**)</w:t>
            </w:r>
          </w:p>
          <w:p w:rsidR="0072519E" w:rsidRDefault="0072519E" w:rsidP="006530F9">
            <w:pPr>
              <w:pStyle w:val="TableBodyText"/>
              <w:jc w:val="left"/>
            </w:pPr>
          </w:p>
          <w:p w:rsidR="00970174" w:rsidRDefault="0072519E" w:rsidP="006530F9">
            <w:pPr>
              <w:pStyle w:val="TableBodyText"/>
              <w:jc w:val="left"/>
            </w:pPr>
            <w:r>
              <w:t xml:space="preserve">SEW </w:t>
            </w:r>
            <w:r w:rsidR="00137260">
              <w:t>—</w:t>
            </w:r>
            <w:r>
              <w:t xml:space="preserve"> 2012 (non-Indigenous); NATSIHS component of the AATSIHS</w:t>
            </w:r>
            <w:r w:rsidR="00B9120C">
              <w:t xml:space="preserve"> </w:t>
            </w:r>
            <w:r>
              <w:t xml:space="preserve"> 2012</w:t>
            </w:r>
            <w:r w:rsidR="00B9120C">
              <w:noBreakHyphen/>
            </w:r>
            <w:r>
              <w:t>13 (Indigenous) (SEW 2008 and 2007</w:t>
            </w:r>
            <w:r w:rsidR="00B9120C">
              <w:noBreakHyphen/>
            </w:r>
            <w:r>
              <w:t>08 NATSIHS for Indigenous disaggregations)</w:t>
            </w:r>
          </w:p>
          <w:p w:rsidR="00270164" w:rsidRPr="0052286A" w:rsidRDefault="00270164" w:rsidP="006530F9">
            <w:pPr>
              <w:pStyle w:val="TableBodyText"/>
              <w:jc w:val="left"/>
            </w:pPr>
          </w:p>
        </w:tc>
      </w:tr>
      <w:tr w:rsidR="0052286A" w:rsidRPr="0052286A" w:rsidTr="0052286A">
        <w:tc>
          <w:tcPr>
            <w:tcW w:w="1985" w:type="dxa"/>
            <w:shd w:val="clear" w:color="auto" w:fill="auto"/>
          </w:tcPr>
          <w:p w:rsidR="0052286A" w:rsidRPr="0052286A" w:rsidRDefault="0052286A" w:rsidP="0052286A">
            <w:pPr>
              <w:keepNext/>
              <w:keepLines/>
              <w:spacing w:after="40" w:line="220" w:lineRule="atLeast"/>
              <w:rPr>
                <w:rFonts w:ascii="Arial" w:hAnsi="Arial"/>
                <w:sz w:val="20"/>
                <w:szCs w:val="20"/>
              </w:rPr>
            </w:pPr>
            <w:r w:rsidRPr="0052286A">
              <w:rPr>
                <w:rFonts w:ascii="Arial" w:hAnsi="Arial"/>
                <w:sz w:val="20"/>
                <w:szCs w:val="20"/>
              </w:rPr>
              <w:t>Cross tabulations provided:</w:t>
            </w:r>
          </w:p>
        </w:tc>
        <w:tc>
          <w:tcPr>
            <w:tcW w:w="6804" w:type="dxa"/>
            <w:shd w:val="clear" w:color="auto" w:fill="auto"/>
          </w:tcPr>
          <w:p w:rsidR="0072519E" w:rsidRDefault="0072519E" w:rsidP="006530F9">
            <w:pPr>
              <w:pStyle w:val="TableBodyText"/>
              <w:jc w:val="left"/>
            </w:pPr>
            <w:r>
              <w:t>National (SEW) by:</w:t>
            </w:r>
          </w:p>
          <w:p w:rsidR="0072519E" w:rsidRDefault="0072519E" w:rsidP="00270164">
            <w:pPr>
              <w:pStyle w:val="TableBullet"/>
            </w:pPr>
            <w:r>
              <w:t xml:space="preserve">**Level of qualification (Certificate level III/IV; Diploma/Advanced Diploma; Bachelor degree or above) by age group (20–24, 25–29, </w:t>
            </w:r>
            <w:r w:rsidR="00A14D35">
              <w:br/>
            </w:r>
            <w:r>
              <w:t>30–34, 35–39, 40–44, 45–49, 50–54, 55–59, 60–64, total 20–64)</w:t>
            </w:r>
          </w:p>
          <w:p w:rsidR="0072519E" w:rsidRDefault="0072519E" w:rsidP="00270164">
            <w:pPr>
              <w:pStyle w:val="TableBullet"/>
            </w:pPr>
            <w:r>
              <w:t>*Level of qualification (Certificate level III/IV; Diploma/Advanced Diploma; Bachelor degree or above) by remoteness (combined remote/very remote areas)</w:t>
            </w:r>
            <w:r w:rsidR="00D96D63">
              <w:t xml:space="preserve"> [available for 2010 onwards only]</w:t>
            </w:r>
          </w:p>
          <w:p w:rsidR="0072519E" w:rsidRDefault="0072519E" w:rsidP="00270164">
            <w:pPr>
              <w:pStyle w:val="TableBullet"/>
            </w:pPr>
            <w:r>
              <w:t>*Level of qualification (Certificate level III/IV; Diploma/Advanced Diploma; Bachelor degree or above) by SES (SEIFA IRSD quintiles)</w:t>
            </w:r>
            <w:r w:rsidR="00D96D63">
              <w:t xml:space="preserve"> [available for 2008 onwards only]</w:t>
            </w:r>
          </w:p>
          <w:p w:rsidR="0072519E" w:rsidRDefault="0072519E" w:rsidP="00270164">
            <w:pPr>
              <w:pStyle w:val="TableBullet"/>
            </w:pPr>
            <w:r>
              <w:t>*Level of qualification (Certificate level III/IV; Diploma/Advanced Diploma; Bachelor degree or above) by Indigenous status [SEW and AATSIHS data]</w:t>
            </w:r>
          </w:p>
          <w:p w:rsidR="0072519E" w:rsidRDefault="0072519E" w:rsidP="006530F9">
            <w:pPr>
              <w:pStyle w:val="TableBodyText"/>
              <w:jc w:val="left"/>
            </w:pPr>
          </w:p>
          <w:p w:rsidR="0072519E" w:rsidRDefault="0072519E" w:rsidP="006530F9">
            <w:pPr>
              <w:pStyle w:val="TableBodyText"/>
              <w:jc w:val="left"/>
            </w:pPr>
            <w:r>
              <w:t>State and Territory (SEW), by:</w:t>
            </w:r>
          </w:p>
          <w:p w:rsidR="0072519E" w:rsidRDefault="0072519E" w:rsidP="00270164">
            <w:pPr>
              <w:pStyle w:val="TableBullet"/>
            </w:pPr>
            <w:r>
              <w:t xml:space="preserve">*Age group (20–24, 25–29, 30–34, 35–39, 40–44, 45–49, 50–54, </w:t>
            </w:r>
            <w:r w:rsidR="00A14D35">
              <w:br/>
            </w:r>
            <w:r>
              <w:t>55–59, 60–64, total 20–64)</w:t>
            </w:r>
          </w:p>
          <w:p w:rsidR="0072519E" w:rsidRDefault="0072519E" w:rsidP="00270164">
            <w:pPr>
              <w:pStyle w:val="TableBullet"/>
            </w:pPr>
            <w:r>
              <w:t xml:space="preserve">*Level of qualification (Certificate level III/IV; Diploma/Advanced Diploma; Bachelor degree or above) </w:t>
            </w:r>
          </w:p>
          <w:p w:rsidR="0072519E" w:rsidRDefault="0072519E" w:rsidP="006530F9">
            <w:pPr>
              <w:pStyle w:val="TableBodyText"/>
              <w:jc w:val="left"/>
            </w:pPr>
          </w:p>
          <w:p w:rsidR="0052286A" w:rsidRPr="0052286A" w:rsidRDefault="0072519E" w:rsidP="006530F9">
            <w:pPr>
              <w:pStyle w:val="TableBodyText"/>
              <w:jc w:val="left"/>
            </w:pPr>
            <w:r>
              <w:t>[Data disaggregations subject to availability and reliability of estimates]</w:t>
            </w:r>
          </w:p>
        </w:tc>
      </w:tr>
    </w:tbl>
    <w:p w:rsidR="00C9483E" w:rsidRDefault="00C9483E" w:rsidP="00C9483E">
      <w:pPr>
        <w:pStyle w:val="BodyText"/>
      </w:pPr>
      <w:r>
        <w:br w:type="page"/>
      </w:r>
    </w:p>
    <w:p w:rsidR="0052286A" w:rsidRDefault="0052286A" w:rsidP="00725CFC">
      <w:pPr>
        <w:pStyle w:val="BoxSpac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52286A">
        <w:tc>
          <w:tcPr>
            <w:tcW w:w="8771" w:type="dxa"/>
            <w:tcBorders>
              <w:top w:val="single" w:sz="6" w:space="0" w:color="auto"/>
              <w:bottom w:val="nil"/>
            </w:tcBorders>
          </w:tcPr>
          <w:p w:rsidR="0052286A" w:rsidRDefault="0052286A" w:rsidP="00725CFC">
            <w:pPr>
              <w:pStyle w:val="BoxTitle"/>
            </w:pPr>
            <w:r>
              <w:rPr>
                <w:b w:val="0"/>
              </w:rPr>
              <w:t xml:space="preserve">Box </w:t>
            </w:r>
            <w:r w:rsidR="00482B04">
              <w:rPr>
                <w:b w:val="0"/>
                <w:noProof/>
              </w:rPr>
              <w:t>5</w:t>
            </w:r>
            <w:r>
              <w:tab/>
              <w:t>Results</w:t>
            </w:r>
          </w:p>
        </w:tc>
      </w:tr>
      <w:tr w:rsidR="0052286A" w:rsidRPr="00207049">
        <w:trPr>
          <w:cantSplit/>
        </w:trPr>
        <w:tc>
          <w:tcPr>
            <w:tcW w:w="8771" w:type="dxa"/>
            <w:tcBorders>
              <w:top w:val="nil"/>
              <w:left w:val="single" w:sz="6" w:space="0" w:color="auto"/>
              <w:bottom w:val="nil"/>
              <w:right w:val="single" w:sz="6" w:space="0" w:color="auto"/>
            </w:tcBorders>
          </w:tcPr>
          <w:p w:rsidR="00D70037" w:rsidRDefault="00475DB6" w:rsidP="00475DB6">
            <w:pPr>
              <w:pStyle w:val="Box"/>
            </w:pPr>
            <w:r>
              <w:t xml:space="preserve">For this report, new </w:t>
            </w:r>
            <w:r w:rsidR="005075AD">
              <w:t xml:space="preserve">supplementary </w:t>
            </w:r>
            <w:r w:rsidR="00D026BF">
              <w:t xml:space="preserve">survey </w:t>
            </w:r>
            <w:r>
              <w:t>data for this indicator are available for 2013</w:t>
            </w:r>
            <w:r w:rsidR="00D026BF">
              <w:t xml:space="preserve"> and </w:t>
            </w:r>
            <w:r w:rsidR="00651721">
              <w:t xml:space="preserve">by Indigenous status </w:t>
            </w:r>
            <w:r w:rsidR="00D026BF">
              <w:t>for 2012-13:</w:t>
            </w:r>
          </w:p>
          <w:p w:rsidR="00475DB6" w:rsidRDefault="00475DB6" w:rsidP="00475DB6">
            <w:pPr>
              <w:pStyle w:val="BoxListBullet"/>
            </w:pPr>
            <w:r>
              <w:t xml:space="preserve">Data </w:t>
            </w:r>
            <w:r w:rsidR="00D026BF">
              <w:t xml:space="preserve">by </w:t>
            </w:r>
            <w:r>
              <w:t xml:space="preserve">qualification level </w:t>
            </w:r>
            <w:r w:rsidR="00D026BF">
              <w:t xml:space="preserve">by age </w:t>
            </w:r>
            <w:r>
              <w:t>are presented in table SWD.1.1.</w:t>
            </w:r>
            <w:r w:rsidR="00353E08" w:rsidRPr="00AD0469">
              <w:rPr>
                <w:noProof/>
              </w:rPr>
              <w:t xml:space="preserve"> </w:t>
            </w:r>
          </w:p>
          <w:p w:rsidR="00475DB6" w:rsidRDefault="00475DB6" w:rsidP="00475DB6">
            <w:pPr>
              <w:pStyle w:val="BoxListBullet"/>
            </w:pPr>
            <w:r>
              <w:t xml:space="preserve">Data </w:t>
            </w:r>
            <w:r w:rsidR="00D026BF">
              <w:t xml:space="preserve">by </w:t>
            </w:r>
            <w:r>
              <w:t xml:space="preserve">qualification level </w:t>
            </w:r>
            <w:r w:rsidR="00D026BF">
              <w:t xml:space="preserve">by remoteness </w:t>
            </w:r>
            <w:r>
              <w:t xml:space="preserve">are presented in table </w:t>
            </w:r>
            <w:proofErr w:type="spellStart"/>
            <w:r>
              <w:t>SWD.1.6</w:t>
            </w:r>
            <w:proofErr w:type="spellEnd"/>
            <w:r>
              <w:t>.</w:t>
            </w:r>
          </w:p>
          <w:p w:rsidR="00475DB6" w:rsidRDefault="00475DB6" w:rsidP="00475DB6">
            <w:pPr>
              <w:pStyle w:val="BoxListBullet"/>
            </w:pPr>
            <w:r>
              <w:t xml:space="preserve">Data </w:t>
            </w:r>
            <w:r w:rsidR="00D026BF">
              <w:t xml:space="preserve">by qualification level </w:t>
            </w:r>
            <w:r>
              <w:t>by socioeconomic status</w:t>
            </w:r>
            <w:r w:rsidR="00651721">
              <w:t xml:space="preserve"> (SES)</w:t>
            </w:r>
            <w:r>
              <w:t xml:space="preserve"> are presented in table</w:t>
            </w:r>
            <w:r w:rsidR="00537DB8">
              <w:t> </w:t>
            </w:r>
            <w:proofErr w:type="spellStart"/>
            <w:r>
              <w:t>SWD.1.10</w:t>
            </w:r>
            <w:proofErr w:type="spellEnd"/>
            <w:r>
              <w:t>.</w:t>
            </w:r>
          </w:p>
          <w:p w:rsidR="00A14D35" w:rsidRDefault="00A14D35" w:rsidP="00475DB6">
            <w:pPr>
              <w:pStyle w:val="BoxListBullet"/>
            </w:pPr>
            <w:r>
              <w:t xml:space="preserve">Data by Indigenous status by qualification </w:t>
            </w:r>
            <w:r w:rsidR="00B4485E">
              <w:t xml:space="preserve">level are presented in table </w:t>
            </w:r>
            <w:proofErr w:type="spellStart"/>
            <w:r w:rsidR="00B4485E">
              <w:t>SWD.1.16</w:t>
            </w:r>
            <w:proofErr w:type="spellEnd"/>
            <w:r w:rsidR="00B4485E">
              <w:t>.</w:t>
            </w:r>
          </w:p>
          <w:p w:rsidR="001E37D9" w:rsidRDefault="001E37D9" w:rsidP="00475DB6">
            <w:pPr>
              <w:pStyle w:val="BoxListBullet"/>
            </w:pPr>
            <w:r>
              <w:t xml:space="preserve">Data by State and Territory by age are presented in table </w:t>
            </w:r>
            <w:proofErr w:type="spellStart"/>
            <w:r>
              <w:t>SWD.1.18</w:t>
            </w:r>
            <w:proofErr w:type="spellEnd"/>
            <w:r>
              <w:t xml:space="preserve">. </w:t>
            </w:r>
          </w:p>
          <w:p w:rsidR="00DE3B9C" w:rsidRDefault="001E37D9" w:rsidP="00DC709C">
            <w:pPr>
              <w:pStyle w:val="BoxListBullet"/>
            </w:pPr>
            <w:r>
              <w:t xml:space="preserve">Data </w:t>
            </w:r>
            <w:r w:rsidR="00B760D4">
              <w:t xml:space="preserve">by State and Territory </w:t>
            </w:r>
            <w:r w:rsidR="00D026BF">
              <w:t xml:space="preserve">by qualification level </w:t>
            </w:r>
            <w:r>
              <w:t xml:space="preserve">are presented in table </w:t>
            </w:r>
            <w:proofErr w:type="spellStart"/>
            <w:r>
              <w:t>SWD</w:t>
            </w:r>
            <w:r w:rsidR="00DE3B9C">
              <w:t>.1.25</w:t>
            </w:r>
            <w:proofErr w:type="spellEnd"/>
            <w:r w:rsidR="00DE3B9C">
              <w:t>.</w:t>
            </w:r>
          </w:p>
          <w:p w:rsidR="00DC709C" w:rsidRDefault="005075AD" w:rsidP="00DC709C">
            <w:pPr>
              <w:pStyle w:val="Box"/>
            </w:pPr>
            <w:r>
              <w:t>Additional supplementary d</w:t>
            </w:r>
            <w:r w:rsidR="00DC709C">
              <w:t xml:space="preserve">ata have been </w:t>
            </w:r>
            <w:r>
              <w:t xml:space="preserve">reported </w:t>
            </w:r>
            <w:r w:rsidR="00DC709C">
              <w:t>to provide a comparable time series:</w:t>
            </w:r>
          </w:p>
          <w:p w:rsidR="007A52FF" w:rsidRDefault="00DC709C" w:rsidP="007A52FF">
            <w:pPr>
              <w:pStyle w:val="BoxListBullet"/>
            </w:pPr>
            <w:r>
              <w:t xml:space="preserve">Data </w:t>
            </w:r>
            <w:r w:rsidR="00D026BF">
              <w:t xml:space="preserve">by qualification level </w:t>
            </w:r>
            <w:r>
              <w:t xml:space="preserve">by age are presented in tables </w:t>
            </w:r>
            <w:proofErr w:type="spellStart"/>
            <w:r>
              <w:t>SWD.1.2</w:t>
            </w:r>
            <w:proofErr w:type="spellEnd"/>
            <w:r w:rsidR="0049327A">
              <w:rPr>
                <w:rFonts w:cs="Arial"/>
              </w:rPr>
              <w:t>−</w:t>
            </w:r>
            <w:r w:rsidR="008C26D7">
              <w:t xml:space="preserve">5 </w:t>
            </w:r>
            <w:r w:rsidR="002C6EC2">
              <w:t>(</w:t>
            </w:r>
            <w:r w:rsidR="008C26D7">
              <w:t>20</w:t>
            </w:r>
            <w:r w:rsidR="00F85085">
              <w:t>11, 2010</w:t>
            </w:r>
            <w:r w:rsidR="0049327A">
              <w:t>, 2009</w:t>
            </w:r>
            <w:r w:rsidR="00F85085">
              <w:t xml:space="preserve">, </w:t>
            </w:r>
            <w:r w:rsidR="002C6EC2">
              <w:t>2007</w:t>
            </w:r>
            <w:r w:rsidR="0049327A">
              <w:t xml:space="preserve"> data</w:t>
            </w:r>
            <w:r w:rsidR="002C6EC2">
              <w:t>)</w:t>
            </w:r>
            <w:r w:rsidR="00C61575">
              <w:t>.</w:t>
            </w:r>
          </w:p>
          <w:p w:rsidR="008C26D7" w:rsidRDefault="008C26D7" w:rsidP="008C26D7">
            <w:pPr>
              <w:pStyle w:val="BoxListBullet"/>
            </w:pPr>
            <w:r>
              <w:t xml:space="preserve">Data </w:t>
            </w:r>
            <w:r w:rsidR="00D026BF">
              <w:t xml:space="preserve">by qualification level </w:t>
            </w:r>
            <w:r>
              <w:t>by remoteness are presented in table</w:t>
            </w:r>
            <w:r w:rsidR="00537DB8">
              <w:t>s</w:t>
            </w:r>
            <w:r>
              <w:t xml:space="preserve"> </w:t>
            </w:r>
            <w:proofErr w:type="spellStart"/>
            <w:r>
              <w:t>SWD.1.7</w:t>
            </w:r>
            <w:proofErr w:type="spellEnd"/>
            <w:r w:rsidR="0049327A">
              <w:rPr>
                <w:rFonts w:cs="Arial"/>
              </w:rPr>
              <w:t>−</w:t>
            </w:r>
            <w:r>
              <w:t xml:space="preserve">9 </w:t>
            </w:r>
            <w:r w:rsidR="002C6EC2">
              <w:t>(</w:t>
            </w:r>
            <w:r>
              <w:t xml:space="preserve">2012, 2011 and </w:t>
            </w:r>
            <w:r w:rsidR="002C6EC2">
              <w:t>2010</w:t>
            </w:r>
            <w:r w:rsidR="0049327A">
              <w:t xml:space="preserve"> data</w:t>
            </w:r>
            <w:r w:rsidR="002C6EC2">
              <w:t>)</w:t>
            </w:r>
            <w:r w:rsidR="00C61575">
              <w:t>.</w:t>
            </w:r>
          </w:p>
          <w:p w:rsidR="008C26D7" w:rsidRDefault="008C26D7" w:rsidP="008C26D7">
            <w:pPr>
              <w:pStyle w:val="BoxListBullet"/>
            </w:pPr>
            <w:r>
              <w:t xml:space="preserve">Data </w:t>
            </w:r>
            <w:r w:rsidR="00D026BF">
              <w:t xml:space="preserve">by qualification level </w:t>
            </w:r>
            <w:r>
              <w:t xml:space="preserve">by </w:t>
            </w:r>
            <w:r w:rsidR="00651721">
              <w:t>SES</w:t>
            </w:r>
            <w:r>
              <w:t xml:space="preserve"> are presented in table</w:t>
            </w:r>
            <w:r w:rsidR="00537DB8">
              <w:t>s</w:t>
            </w:r>
            <w:r>
              <w:t xml:space="preserve"> </w:t>
            </w:r>
            <w:proofErr w:type="spellStart"/>
            <w:r>
              <w:t>SWD.1.11</w:t>
            </w:r>
            <w:proofErr w:type="spellEnd"/>
            <w:r>
              <w:t xml:space="preserve">-15 </w:t>
            </w:r>
            <w:r w:rsidR="002C6EC2">
              <w:t>(</w:t>
            </w:r>
            <w:r>
              <w:t>2012, 2011, 2010, 2009, 2008</w:t>
            </w:r>
            <w:r w:rsidR="0049327A">
              <w:t xml:space="preserve"> data</w:t>
            </w:r>
            <w:r w:rsidR="002C6EC2">
              <w:t>)</w:t>
            </w:r>
            <w:r w:rsidR="00C61575">
              <w:t>.</w:t>
            </w:r>
          </w:p>
          <w:p w:rsidR="008C26D7" w:rsidRDefault="008C26D7" w:rsidP="008C26D7">
            <w:pPr>
              <w:pStyle w:val="BoxListBullet"/>
            </w:pPr>
            <w:r>
              <w:t xml:space="preserve">Data </w:t>
            </w:r>
            <w:r w:rsidR="00D026BF">
              <w:t xml:space="preserve">by qualification level </w:t>
            </w:r>
            <w:r>
              <w:t xml:space="preserve">by Indigenous status are presented in table </w:t>
            </w:r>
            <w:proofErr w:type="spellStart"/>
            <w:r>
              <w:t>SWD</w:t>
            </w:r>
            <w:r w:rsidR="003D3E08">
              <w:t>.</w:t>
            </w:r>
            <w:r>
              <w:t>1.17</w:t>
            </w:r>
            <w:proofErr w:type="spellEnd"/>
            <w:r w:rsidR="002C6EC2">
              <w:t xml:space="preserve"> (2008 </w:t>
            </w:r>
            <w:r w:rsidR="0049327A">
              <w:t>data</w:t>
            </w:r>
            <w:r w:rsidR="00B4485E">
              <w:t xml:space="preserve"> only</w:t>
            </w:r>
            <w:r w:rsidR="002C6EC2">
              <w:t>)</w:t>
            </w:r>
            <w:r w:rsidR="00C61575">
              <w:t>.</w:t>
            </w:r>
          </w:p>
          <w:p w:rsidR="008C26D7" w:rsidRDefault="008C26D7" w:rsidP="008C26D7">
            <w:pPr>
              <w:pStyle w:val="BoxListBullet"/>
            </w:pPr>
            <w:r>
              <w:t>Data by State and Territory by age are presented in table</w:t>
            </w:r>
            <w:r w:rsidR="00537DB8">
              <w:t>s</w:t>
            </w:r>
            <w:r>
              <w:t xml:space="preserve"> </w:t>
            </w:r>
            <w:proofErr w:type="spellStart"/>
            <w:r>
              <w:t>SWD.1.</w:t>
            </w:r>
            <w:r w:rsidR="00F85085">
              <w:t>19</w:t>
            </w:r>
            <w:proofErr w:type="spellEnd"/>
            <w:r w:rsidR="0049327A">
              <w:rPr>
                <w:rFonts w:cs="Arial"/>
              </w:rPr>
              <w:t>−</w:t>
            </w:r>
            <w:r w:rsidR="00F85085">
              <w:t xml:space="preserve">24 </w:t>
            </w:r>
            <w:r w:rsidR="002C6EC2">
              <w:t>(</w:t>
            </w:r>
            <w:r w:rsidR="00F85085">
              <w:t>2012, 2011, 2010, 2009, 2008 and 2007</w:t>
            </w:r>
            <w:r w:rsidR="0049327A">
              <w:t xml:space="preserve"> data</w:t>
            </w:r>
            <w:r w:rsidR="002C6EC2">
              <w:t>)</w:t>
            </w:r>
            <w:r w:rsidR="00C61575">
              <w:t>.</w:t>
            </w:r>
          </w:p>
          <w:p w:rsidR="00F85085" w:rsidRDefault="00F85085" w:rsidP="008C26D7">
            <w:pPr>
              <w:pStyle w:val="BoxListBullet"/>
            </w:pPr>
            <w:r>
              <w:t xml:space="preserve">Data by State and Territory by </w:t>
            </w:r>
            <w:r w:rsidR="00397CBF">
              <w:t xml:space="preserve">qualification level </w:t>
            </w:r>
            <w:r>
              <w:t>are presented in table</w:t>
            </w:r>
            <w:r w:rsidR="00537DB8">
              <w:t>s </w:t>
            </w:r>
            <w:proofErr w:type="spellStart"/>
            <w:r>
              <w:t>SWD.1.26</w:t>
            </w:r>
            <w:proofErr w:type="spellEnd"/>
            <w:r w:rsidR="0049327A">
              <w:rPr>
                <w:rFonts w:cs="Arial"/>
              </w:rPr>
              <w:t>−</w:t>
            </w:r>
            <w:r>
              <w:t xml:space="preserve">31 </w:t>
            </w:r>
            <w:r w:rsidR="002C6EC2">
              <w:t>(</w:t>
            </w:r>
            <w:r>
              <w:t xml:space="preserve">2012, </w:t>
            </w:r>
            <w:r w:rsidR="002C6EC2">
              <w:t>2011, 2010, 2009, 2008 and 2007</w:t>
            </w:r>
            <w:r w:rsidR="0049327A">
              <w:t xml:space="preserve"> data</w:t>
            </w:r>
            <w:r w:rsidR="002C6EC2">
              <w:t>)</w:t>
            </w:r>
            <w:r w:rsidR="00537DB8">
              <w:t>.</w:t>
            </w:r>
          </w:p>
          <w:p w:rsidR="005075AD" w:rsidRPr="00207049" w:rsidRDefault="002C6EC2" w:rsidP="00537DB8">
            <w:pPr>
              <w:pStyle w:val="Box"/>
            </w:pPr>
            <w:r>
              <w:t xml:space="preserve">Data from the 2011 </w:t>
            </w:r>
            <w:r w:rsidR="00537DB8">
              <w:t xml:space="preserve">Census </w:t>
            </w:r>
            <w:r>
              <w:t xml:space="preserve">and 2006 Census are available in the 2012 NASWD performance report. Supplementary survey data for 2012 </w:t>
            </w:r>
            <w:r w:rsidR="008D049C">
              <w:t xml:space="preserve">and 2008 </w:t>
            </w:r>
            <w:r>
              <w:t xml:space="preserve">are </w:t>
            </w:r>
            <w:r w:rsidR="00B4485E">
              <w:t xml:space="preserve">also </w:t>
            </w:r>
            <w:r>
              <w:t>available in the 2012 NASWD pe</w:t>
            </w:r>
            <w:r w:rsidR="002A512C">
              <w:t>rformance report</w:t>
            </w:r>
            <w:r w:rsidR="008D049C">
              <w:t xml:space="preserve">. </w:t>
            </w:r>
          </w:p>
        </w:tc>
      </w:tr>
      <w:tr w:rsidR="0052286A">
        <w:trPr>
          <w:cantSplit/>
        </w:trPr>
        <w:tc>
          <w:tcPr>
            <w:tcW w:w="8771" w:type="dxa"/>
            <w:tcBorders>
              <w:top w:val="nil"/>
              <w:left w:val="single" w:sz="6" w:space="0" w:color="auto"/>
              <w:bottom w:val="single" w:sz="6" w:space="0" w:color="auto"/>
              <w:right w:val="single" w:sz="6" w:space="0" w:color="auto"/>
            </w:tcBorders>
          </w:tcPr>
          <w:p w:rsidR="0052286A" w:rsidRDefault="0052286A" w:rsidP="00725CFC">
            <w:pPr>
              <w:pStyle w:val="Box"/>
              <w:spacing w:before="0" w:line="120" w:lineRule="exact"/>
            </w:pPr>
          </w:p>
        </w:tc>
      </w:tr>
      <w:tr w:rsidR="0052286A">
        <w:tc>
          <w:tcPr>
            <w:tcW w:w="8771" w:type="dxa"/>
            <w:tcBorders>
              <w:top w:val="nil"/>
              <w:left w:val="nil"/>
              <w:bottom w:val="nil"/>
              <w:right w:val="nil"/>
            </w:tcBorders>
          </w:tcPr>
          <w:p w:rsidR="0052286A" w:rsidRDefault="0052286A" w:rsidP="00725CFC">
            <w:pPr>
              <w:pStyle w:val="Box"/>
              <w:keepNext w:val="0"/>
              <w:spacing w:before="60" w:after="60" w:line="80" w:lineRule="exact"/>
              <w:rPr>
                <w:b/>
                <w:color w:val="FF00FF"/>
                <w:sz w:val="14"/>
              </w:rPr>
            </w:pPr>
          </w:p>
        </w:tc>
      </w:tr>
    </w:tbl>
    <w:p w:rsidR="0052286A" w:rsidRDefault="00B966DB" w:rsidP="00725CFC">
      <w:pPr>
        <w:pStyle w:val="Heading4"/>
      </w:pPr>
      <w:r>
        <w:t>Attachment tables</w:t>
      </w:r>
    </w:p>
    <w:tbl>
      <w:tblPr>
        <w:tblW w:w="880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6864"/>
      </w:tblGrid>
      <w:tr w:rsidR="00117F40" w:rsidRPr="00117F40" w:rsidTr="00117F40">
        <w:trPr>
          <w:trHeight w:val="612"/>
        </w:trPr>
        <w:tc>
          <w:tcPr>
            <w:tcW w:w="1940" w:type="dxa"/>
            <w:shd w:val="clear" w:color="auto" w:fill="auto"/>
            <w:noWrap/>
            <w:hideMark/>
          </w:tcPr>
          <w:p w:rsidR="00117F40" w:rsidRPr="00117F40" w:rsidRDefault="00117F40" w:rsidP="00117F40">
            <w:pPr>
              <w:rPr>
                <w:rFonts w:ascii="Arial" w:hAnsi="Arial" w:cs="Arial"/>
                <w:b/>
                <w:bCs/>
                <w:sz w:val="20"/>
                <w:szCs w:val="20"/>
              </w:rPr>
            </w:pPr>
            <w:r w:rsidRPr="00117F40">
              <w:rPr>
                <w:rFonts w:ascii="Arial" w:hAnsi="Arial" w:cs="Arial"/>
                <w:b/>
                <w:bCs/>
                <w:sz w:val="20"/>
                <w:szCs w:val="20"/>
              </w:rPr>
              <w:t>Table SWD.1.1</w:t>
            </w:r>
          </w:p>
        </w:tc>
        <w:tc>
          <w:tcPr>
            <w:tcW w:w="6864" w:type="dxa"/>
            <w:shd w:val="clear" w:color="auto" w:fill="auto"/>
            <w:hideMark/>
          </w:tcPr>
          <w:p w:rsidR="00117F40" w:rsidRPr="00117F40" w:rsidRDefault="00117F40" w:rsidP="00117F40">
            <w:pPr>
              <w:jc w:val="both"/>
              <w:rPr>
                <w:rFonts w:ascii="Arial" w:hAnsi="Arial" w:cs="Arial"/>
                <w:sz w:val="20"/>
                <w:szCs w:val="20"/>
              </w:rPr>
            </w:pPr>
            <w:r w:rsidRPr="00117F40">
              <w:rPr>
                <w:rFonts w:ascii="Arial" w:hAnsi="Arial" w:cs="Arial"/>
                <w:sz w:val="20"/>
                <w:szCs w:val="20"/>
              </w:rPr>
              <w:t xml:space="preserve">Proportion of working age population with higher level qualifications (Certificate III level and above), by qualification level, by age, 2013  </w:t>
            </w:r>
          </w:p>
        </w:tc>
      </w:tr>
      <w:tr w:rsidR="00117F40" w:rsidRPr="00117F40" w:rsidTr="00117F40">
        <w:trPr>
          <w:trHeight w:val="612"/>
        </w:trPr>
        <w:tc>
          <w:tcPr>
            <w:tcW w:w="1940" w:type="dxa"/>
            <w:shd w:val="clear" w:color="auto" w:fill="auto"/>
            <w:noWrap/>
            <w:hideMark/>
          </w:tcPr>
          <w:p w:rsidR="00117F40" w:rsidRPr="00117F40" w:rsidRDefault="00117F40" w:rsidP="00117F40">
            <w:pPr>
              <w:rPr>
                <w:rFonts w:ascii="Arial" w:hAnsi="Arial" w:cs="Arial"/>
                <w:b/>
                <w:bCs/>
                <w:sz w:val="20"/>
                <w:szCs w:val="20"/>
              </w:rPr>
            </w:pPr>
            <w:r w:rsidRPr="00117F40">
              <w:rPr>
                <w:rFonts w:ascii="Arial" w:hAnsi="Arial" w:cs="Arial"/>
                <w:b/>
                <w:bCs/>
                <w:sz w:val="20"/>
                <w:szCs w:val="20"/>
              </w:rPr>
              <w:t xml:space="preserve">Table </w:t>
            </w:r>
            <w:proofErr w:type="spellStart"/>
            <w:r w:rsidRPr="00117F40">
              <w:rPr>
                <w:rFonts w:ascii="Arial" w:hAnsi="Arial" w:cs="Arial"/>
                <w:b/>
                <w:bCs/>
                <w:sz w:val="20"/>
                <w:szCs w:val="20"/>
              </w:rPr>
              <w:t>SWD.1.2</w:t>
            </w:r>
            <w:proofErr w:type="spellEnd"/>
          </w:p>
        </w:tc>
        <w:tc>
          <w:tcPr>
            <w:tcW w:w="6864" w:type="dxa"/>
            <w:shd w:val="clear" w:color="auto" w:fill="auto"/>
            <w:hideMark/>
          </w:tcPr>
          <w:p w:rsidR="00117F40" w:rsidRPr="00117F40" w:rsidRDefault="00117F40" w:rsidP="00117F40">
            <w:pPr>
              <w:jc w:val="both"/>
              <w:rPr>
                <w:rFonts w:ascii="Arial" w:hAnsi="Arial" w:cs="Arial"/>
                <w:sz w:val="20"/>
                <w:szCs w:val="20"/>
              </w:rPr>
            </w:pPr>
            <w:r w:rsidRPr="00117F40">
              <w:rPr>
                <w:rFonts w:ascii="Arial" w:hAnsi="Arial" w:cs="Arial"/>
                <w:sz w:val="20"/>
                <w:szCs w:val="20"/>
              </w:rPr>
              <w:t xml:space="preserve">Proportion of working age population with higher level qualifications (Certificate III level and above), by qualification level, by age, 2011  </w:t>
            </w:r>
          </w:p>
        </w:tc>
      </w:tr>
      <w:tr w:rsidR="00117F40" w:rsidRPr="00117F40" w:rsidTr="00117F40">
        <w:trPr>
          <w:trHeight w:val="612"/>
        </w:trPr>
        <w:tc>
          <w:tcPr>
            <w:tcW w:w="1940" w:type="dxa"/>
            <w:shd w:val="clear" w:color="auto" w:fill="auto"/>
            <w:noWrap/>
            <w:hideMark/>
          </w:tcPr>
          <w:p w:rsidR="00117F40" w:rsidRPr="00117F40" w:rsidRDefault="00117F40" w:rsidP="00117F40">
            <w:pPr>
              <w:rPr>
                <w:rFonts w:ascii="Arial" w:hAnsi="Arial" w:cs="Arial"/>
                <w:b/>
                <w:bCs/>
                <w:sz w:val="20"/>
                <w:szCs w:val="20"/>
              </w:rPr>
            </w:pPr>
            <w:r w:rsidRPr="00117F40">
              <w:rPr>
                <w:rFonts w:ascii="Arial" w:hAnsi="Arial" w:cs="Arial"/>
                <w:b/>
                <w:bCs/>
                <w:sz w:val="20"/>
                <w:szCs w:val="20"/>
              </w:rPr>
              <w:t xml:space="preserve">Table </w:t>
            </w:r>
            <w:proofErr w:type="spellStart"/>
            <w:r w:rsidRPr="00117F40">
              <w:rPr>
                <w:rFonts w:ascii="Arial" w:hAnsi="Arial" w:cs="Arial"/>
                <w:b/>
                <w:bCs/>
                <w:sz w:val="20"/>
                <w:szCs w:val="20"/>
              </w:rPr>
              <w:t>SWD.1.3</w:t>
            </w:r>
            <w:proofErr w:type="spellEnd"/>
          </w:p>
        </w:tc>
        <w:tc>
          <w:tcPr>
            <w:tcW w:w="6864" w:type="dxa"/>
            <w:shd w:val="clear" w:color="auto" w:fill="auto"/>
            <w:hideMark/>
          </w:tcPr>
          <w:p w:rsidR="00117F40" w:rsidRPr="00117F40" w:rsidRDefault="00117F40" w:rsidP="00117F40">
            <w:pPr>
              <w:jc w:val="both"/>
              <w:rPr>
                <w:rFonts w:ascii="Arial" w:hAnsi="Arial" w:cs="Arial"/>
                <w:sz w:val="20"/>
                <w:szCs w:val="20"/>
              </w:rPr>
            </w:pPr>
            <w:r w:rsidRPr="00117F40">
              <w:rPr>
                <w:rFonts w:ascii="Arial" w:hAnsi="Arial" w:cs="Arial"/>
                <w:sz w:val="20"/>
                <w:szCs w:val="20"/>
              </w:rPr>
              <w:t xml:space="preserve">Proportion of working age population with higher level qualifications (Certificate III level and above), by qualification level, by age, 2010  </w:t>
            </w:r>
          </w:p>
        </w:tc>
      </w:tr>
      <w:tr w:rsidR="00117F40" w:rsidRPr="00117F40" w:rsidTr="00117F40">
        <w:trPr>
          <w:trHeight w:val="612"/>
        </w:trPr>
        <w:tc>
          <w:tcPr>
            <w:tcW w:w="1940" w:type="dxa"/>
            <w:shd w:val="clear" w:color="auto" w:fill="auto"/>
            <w:noWrap/>
            <w:hideMark/>
          </w:tcPr>
          <w:p w:rsidR="00117F40" w:rsidRPr="00117F40" w:rsidRDefault="00117F40" w:rsidP="00117F40">
            <w:pPr>
              <w:rPr>
                <w:rFonts w:ascii="Arial" w:hAnsi="Arial" w:cs="Arial"/>
                <w:b/>
                <w:bCs/>
                <w:sz w:val="20"/>
                <w:szCs w:val="20"/>
              </w:rPr>
            </w:pPr>
            <w:r w:rsidRPr="00117F40">
              <w:rPr>
                <w:rFonts w:ascii="Arial" w:hAnsi="Arial" w:cs="Arial"/>
                <w:b/>
                <w:bCs/>
                <w:sz w:val="20"/>
                <w:szCs w:val="20"/>
              </w:rPr>
              <w:t xml:space="preserve">Table </w:t>
            </w:r>
            <w:proofErr w:type="spellStart"/>
            <w:r w:rsidRPr="00117F40">
              <w:rPr>
                <w:rFonts w:ascii="Arial" w:hAnsi="Arial" w:cs="Arial"/>
                <w:b/>
                <w:bCs/>
                <w:sz w:val="20"/>
                <w:szCs w:val="20"/>
              </w:rPr>
              <w:t>SWD.1.4</w:t>
            </w:r>
            <w:proofErr w:type="spellEnd"/>
          </w:p>
        </w:tc>
        <w:tc>
          <w:tcPr>
            <w:tcW w:w="6864" w:type="dxa"/>
            <w:shd w:val="clear" w:color="auto" w:fill="auto"/>
            <w:hideMark/>
          </w:tcPr>
          <w:p w:rsidR="00117F40" w:rsidRPr="00117F40" w:rsidRDefault="00117F40" w:rsidP="00117F40">
            <w:pPr>
              <w:jc w:val="both"/>
              <w:rPr>
                <w:rFonts w:ascii="Arial" w:hAnsi="Arial" w:cs="Arial"/>
                <w:sz w:val="20"/>
                <w:szCs w:val="20"/>
              </w:rPr>
            </w:pPr>
            <w:r w:rsidRPr="00117F40">
              <w:rPr>
                <w:rFonts w:ascii="Arial" w:hAnsi="Arial" w:cs="Arial"/>
                <w:sz w:val="20"/>
                <w:szCs w:val="20"/>
              </w:rPr>
              <w:t xml:space="preserve">Proportion of working age population with higher level qualifications (Certificate III level and above), by qualification level, by age, 2009  </w:t>
            </w:r>
          </w:p>
        </w:tc>
      </w:tr>
      <w:tr w:rsidR="00117F40" w:rsidRPr="00117F40" w:rsidTr="00117F40">
        <w:trPr>
          <w:trHeight w:val="612"/>
        </w:trPr>
        <w:tc>
          <w:tcPr>
            <w:tcW w:w="1940" w:type="dxa"/>
            <w:shd w:val="clear" w:color="auto" w:fill="auto"/>
            <w:noWrap/>
            <w:hideMark/>
          </w:tcPr>
          <w:p w:rsidR="00117F40" w:rsidRPr="00117F40" w:rsidRDefault="00117F40" w:rsidP="00117F40">
            <w:pPr>
              <w:rPr>
                <w:rFonts w:ascii="Arial" w:hAnsi="Arial" w:cs="Arial"/>
                <w:b/>
                <w:bCs/>
                <w:sz w:val="20"/>
                <w:szCs w:val="20"/>
              </w:rPr>
            </w:pPr>
            <w:r w:rsidRPr="00117F40">
              <w:rPr>
                <w:rFonts w:ascii="Arial" w:hAnsi="Arial" w:cs="Arial"/>
                <w:b/>
                <w:bCs/>
                <w:sz w:val="20"/>
                <w:szCs w:val="20"/>
              </w:rPr>
              <w:t xml:space="preserve">Table </w:t>
            </w:r>
            <w:proofErr w:type="spellStart"/>
            <w:r w:rsidRPr="00117F40">
              <w:rPr>
                <w:rFonts w:ascii="Arial" w:hAnsi="Arial" w:cs="Arial"/>
                <w:b/>
                <w:bCs/>
                <w:sz w:val="20"/>
                <w:szCs w:val="20"/>
              </w:rPr>
              <w:t>SWD.1.5</w:t>
            </w:r>
            <w:proofErr w:type="spellEnd"/>
          </w:p>
        </w:tc>
        <w:tc>
          <w:tcPr>
            <w:tcW w:w="6864" w:type="dxa"/>
            <w:shd w:val="clear" w:color="auto" w:fill="auto"/>
            <w:hideMark/>
          </w:tcPr>
          <w:p w:rsidR="00117F40" w:rsidRPr="00117F40" w:rsidRDefault="00117F40" w:rsidP="00117F40">
            <w:pPr>
              <w:jc w:val="both"/>
              <w:rPr>
                <w:rFonts w:ascii="Arial" w:hAnsi="Arial" w:cs="Arial"/>
                <w:sz w:val="20"/>
                <w:szCs w:val="20"/>
              </w:rPr>
            </w:pPr>
            <w:r w:rsidRPr="00117F40">
              <w:rPr>
                <w:rFonts w:ascii="Arial" w:hAnsi="Arial" w:cs="Arial"/>
                <w:sz w:val="20"/>
                <w:szCs w:val="20"/>
              </w:rPr>
              <w:t xml:space="preserve">Proportion of working age population with higher level qualifications (Certificate III level and above), by qualification level, by age, 2007  </w:t>
            </w:r>
          </w:p>
        </w:tc>
      </w:tr>
      <w:tr w:rsidR="00117F40" w:rsidRPr="00117F40" w:rsidTr="00117F40">
        <w:trPr>
          <w:trHeight w:val="867"/>
        </w:trPr>
        <w:tc>
          <w:tcPr>
            <w:tcW w:w="1940" w:type="dxa"/>
            <w:shd w:val="clear" w:color="auto" w:fill="auto"/>
            <w:noWrap/>
            <w:hideMark/>
          </w:tcPr>
          <w:p w:rsidR="00117F40" w:rsidRPr="00117F40" w:rsidRDefault="00117F40" w:rsidP="00117F40">
            <w:pPr>
              <w:rPr>
                <w:rFonts w:ascii="Arial" w:hAnsi="Arial" w:cs="Arial"/>
                <w:b/>
                <w:bCs/>
                <w:sz w:val="20"/>
                <w:szCs w:val="20"/>
              </w:rPr>
            </w:pPr>
            <w:r w:rsidRPr="00117F40">
              <w:rPr>
                <w:rFonts w:ascii="Arial" w:hAnsi="Arial" w:cs="Arial"/>
                <w:b/>
                <w:bCs/>
                <w:sz w:val="20"/>
                <w:szCs w:val="20"/>
              </w:rPr>
              <w:t xml:space="preserve">Table </w:t>
            </w:r>
            <w:proofErr w:type="spellStart"/>
            <w:r w:rsidRPr="00117F40">
              <w:rPr>
                <w:rFonts w:ascii="Arial" w:hAnsi="Arial" w:cs="Arial"/>
                <w:b/>
                <w:bCs/>
                <w:sz w:val="20"/>
                <w:szCs w:val="20"/>
              </w:rPr>
              <w:t>SWD.1.6</w:t>
            </w:r>
            <w:proofErr w:type="spellEnd"/>
          </w:p>
        </w:tc>
        <w:tc>
          <w:tcPr>
            <w:tcW w:w="6864" w:type="dxa"/>
            <w:shd w:val="clear" w:color="auto" w:fill="auto"/>
            <w:hideMark/>
          </w:tcPr>
          <w:p w:rsidR="00117F40" w:rsidRPr="00117F40" w:rsidRDefault="00117F40" w:rsidP="00117F40">
            <w:pPr>
              <w:jc w:val="both"/>
              <w:rPr>
                <w:rFonts w:ascii="Arial" w:hAnsi="Arial" w:cs="Arial"/>
                <w:sz w:val="20"/>
                <w:szCs w:val="20"/>
              </w:rPr>
            </w:pPr>
            <w:r w:rsidRPr="00117F40">
              <w:rPr>
                <w:rFonts w:ascii="Arial" w:hAnsi="Arial" w:cs="Arial"/>
                <w:sz w:val="20"/>
                <w:szCs w:val="20"/>
              </w:rPr>
              <w:t>Proportion of working age population with higher level qualifications (Certificate III level and above), by qualification level, by remoteness,</w:t>
            </w:r>
            <w:r w:rsidR="009015D8" w:rsidRPr="00AD0469">
              <w:rPr>
                <w:noProof/>
              </w:rPr>
              <w:t xml:space="preserve"> </w:t>
            </w:r>
            <w:r w:rsidRPr="00117F40">
              <w:rPr>
                <w:rFonts w:ascii="Arial" w:hAnsi="Arial" w:cs="Arial"/>
                <w:sz w:val="20"/>
                <w:szCs w:val="20"/>
              </w:rPr>
              <w:t xml:space="preserve"> 2013  </w:t>
            </w:r>
          </w:p>
        </w:tc>
      </w:tr>
      <w:tr w:rsidR="00117F40" w:rsidRPr="00117F40" w:rsidTr="00117F40">
        <w:trPr>
          <w:trHeight w:val="867"/>
        </w:trPr>
        <w:tc>
          <w:tcPr>
            <w:tcW w:w="1940" w:type="dxa"/>
            <w:shd w:val="clear" w:color="auto" w:fill="auto"/>
            <w:noWrap/>
            <w:hideMark/>
          </w:tcPr>
          <w:p w:rsidR="00117F40" w:rsidRPr="00117F40" w:rsidRDefault="00117F40" w:rsidP="00117F40">
            <w:pPr>
              <w:rPr>
                <w:rFonts w:ascii="Arial" w:hAnsi="Arial" w:cs="Arial"/>
                <w:b/>
                <w:bCs/>
                <w:sz w:val="20"/>
                <w:szCs w:val="20"/>
              </w:rPr>
            </w:pPr>
            <w:r w:rsidRPr="00117F40">
              <w:rPr>
                <w:rFonts w:ascii="Arial" w:hAnsi="Arial" w:cs="Arial"/>
                <w:b/>
                <w:bCs/>
                <w:sz w:val="20"/>
                <w:szCs w:val="20"/>
              </w:rPr>
              <w:t xml:space="preserve">Table </w:t>
            </w:r>
            <w:proofErr w:type="spellStart"/>
            <w:r w:rsidRPr="00117F40">
              <w:rPr>
                <w:rFonts w:ascii="Arial" w:hAnsi="Arial" w:cs="Arial"/>
                <w:b/>
                <w:bCs/>
                <w:sz w:val="20"/>
                <w:szCs w:val="20"/>
              </w:rPr>
              <w:t>SWD.1.7</w:t>
            </w:r>
            <w:proofErr w:type="spellEnd"/>
          </w:p>
        </w:tc>
        <w:tc>
          <w:tcPr>
            <w:tcW w:w="6864" w:type="dxa"/>
            <w:shd w:val="clear" w:color="auto" w:fill="auto"/>
            <w:hideMark/>
          </w:tcPr>
          <w:p w:rsidR="00117F40" w:rsidRPr="00117F40" w:rsidRDefault="00117F40" w:rsidP="00117F40">
            <w:pPr>
              <w:jc w:val="both"/>
              <w:rPr>
                <w:rFonts w:ascii="Arial" w:hAnsi="Arial" w:cs="Arial"/>
                <w:sz w:val="20"/>
                <w:szCs w:val="20"/>
              </w:rPr>
            </w:pPr>
            <w:r w:rsidRPr="00117F40">
              <w:rPr>
                <w:rFonts w:ascii="Arial" w:hAnsi="Arial" w:cs="Arial"/>
                <w:sz w:val="20"/>
                <w:szCs w:val="20"/>
              </w:rPr>
              <w:t xml:space="preserve">Proportion of working age population with higher level qualifications (Certificate III level and above), by qualification level, by remoteness, 2012  </w:t>
            </w:r>
          </w:p>
        </w:tc>
      </w:tr>
      <w:tr w:rsidR="00117F40" w:rsidRPr="00117F40" w:rsidTr="00117F40">
        <w:trPr>
          <w:trHeight w:val="867"/>
        </w:trPr>
        <w:tc>
          <w:tcPr>
            <w:tcW w:w="1940" w:type="dxa"/>
            <w:shd w:val="clear" w:color="auto" w:fill="auto"/>
            <w:noWrap/>
            <w:hideMark/>
          </w:tcPr>
          <w:p w:rsidR="00117F40" w:rsidRPr="00117F40" w:rsidRDefault="00117F40" w:rsidP="00117F40">
            <w:pPr>
              <w:rPr>
                <w:rFonts w:ascii="Arial" w:hAnsi="Arial" w:cs="Arial"/>
                <w:b/>
                <w:bCs/>
                <w:sz w:val="20"/>
                <w:szCs w:val="20"/>
              </w:rPr>
            </w:pPr>
            <w:r w:rsidRPr="00117F40">
              <w:rPr>
                <w:rFonts w:ascii="Arial" w:hAnsi="Arial" w:cs="Arial"/>
                <w:b/>
                <w:bCs/>
                <w:sz w:val="20"/>
                <w:szCs w:val="20"/>
              </w:rPr>
              <w:t xml:space="preserve">Table </w:t>
            </w:r>
            <w:proofErr w:type="spellStart"/>
            <w:r w:rsidRPr="00117F40">
              <w:rPr>
                <w:rFonts w:ascii="Arial" w:hAnsi="Arial" w:cs="Arial"/>
                <w:b/>
                <w:bCs/>
                <w:sz w:val="20"/>
                <w:szCs w:val="20"/>
              </w:rPr>
              <w:t>SWD.1.8</w:t>
            </w:r>
            <w:proofErr w:type="spellEnd"/>
          </w:p>
        </w:tc>
        <w:tc>
          <w:tcPr>
            <w:tcW w:w="6864" w:type="dxa"/>
            <w:shd w:val="clear" w:color="auto" w:fill="auto"/>
            <w:hideMark/>
          </w:tcPr>
          <w:p w:rsidR="00117F40" w:rsidRPr="00117F40" w:rsidRDefault="00117F40" w:rsidP="00117F40">
            <w:pPr>
              <w:jc w:val="both"/>
              <w:rPr>
                <w:rFonts w:ascii="Arial" w:hAnsi="Arial" w:cs="Arial"/>
                <w:sz w:val="20"/>
                <w:szCs w:val="20"/>
              </w:rPr>
            </w:pPr>
            <w:r w:rsidRPr="00117F40">
              <w:rPr>
                <w:rFonts w:ascii="Arial" w:hAnsi="Arial" w:cs="Arial"/>
                <w:sz w:val="20"/>
                <w:szCs w:val="20"/>
              </w:rPr>
              <w:t xml:space="preserve">Proportion of working age population with higher level qualifications (Certificate III level and above), by qualification level, by remoteness, 2011  </w:t>
            </w:r>
          </w:p>
        </w:tc>
      </w:tr>
      <w:tr w:rsidR="00117F40" w:rsidRPr="00117F40" w:rsidTr="00117F40">
        <w:trPr>
          <w:trHeight w:val="867"/>
        </w:trPr>
        <w:tc>
          <w:tcPr>
            <w:tcW w:w="1940" w:type="dxa"/>
            <w:shd w:val="clear" w:color="auto" w:fill="auto"/>
            <w:noWrap/>
            <w:hideMark/>
          </w:tcPr>
          <w:p w:rsidR="00117F40" w:rsidRPr="00117F40" w:rsidRDefault="00117F40" w:rsidP="00117F40">
            <w:pPr>
              <w:rPr>
                <w:rFonts w:ascii="Arial" w:hAnsi="Arial" w:cs="Arial"/>
                <w:b/>
                <w:bCs/>
                <w:sz w:val="20"/>
                <w:szCs w:val="20"/>
              </w:rPr>
            </w:pPr>
            <w:r w:rsidRPr="00117F40">
              <w:rPr>
                <w:rFonts w:ascii="Arial" w:hAnsi="Arial" w:cs="Arial"/>
                <w:b/>
                <w:bCs/>
                <w:sz w:val="20"/>
                <w:szCs w:val="20"/>
              </w:rPr>
              <w:t xml:space="preserve">Table </w:t>
            </w:r>
            <w:proofErr w:type="spellStart"/>
            <w:r w:rsidRPr="00117F40">
              <w:rPr>
                <w:rFonts w:ascii="Arial" w:hAnsi="Arial" w:cs="Arial"/>
                <w:b/>
                <w:bCs/>
                <w:sz w:val="20"/>
                <w:szCs w:val="20"/>
              </w:rPr>
              <w:t>SWD.1.9</w:t>
            </w:r>
            <w:proofErr w:type="spellEnd"/>
          </w:p>
        </w:tc>
        <w:tc>
          <w:tcPr>
            <w:tcW w:w="6864" w:type="dxa"/>
            <w:shd w:val="clear" w:color="auto" w:fill="auto"/>
            <w:hideMark/>
          </w:tcPr>
          <w:p w:rsidR="00117F40" w:rsidRPr="00117F40" w:rsidRDefault="00117F40" w:rsidP="00117F40">
            <w:pPr>
              <w:jc w:val="both"/>
              <w:rPr>
                <w:rFonts w:ascii="Arial" w:hAnsi="Arial" w:cs="Arial"/>
                <w:sz w:val="20"/>
                <w:szCs w:val="20"/>
              </w:rPr>
            </w:pPr>
            <w:r w:rsidRPr="00117F40">
              <w:rPr>
                <w:rFonts w:ascii="Arial" w:hAnsi="Arial" w:cs="Arial"/>
                <w:sz w:val="20"/>
                <w:szCs w:val="20"/>
              </w:rPr>
              <w:t xml:space="preserve">Proportion of working age population with higher level qualifications (Certificate III level and above), by qualification level, by remoteness, 2010  </w:t>
            </w:r>
          </w:p>
        </w:tc>
      </w:tr>
      <w:tr w:rsidR="00117F40" w:rsidRPr="00117F40" w:rsidTr="00117F40">
        <w:trPr>
          <w:trHeight w:val="867"/>
        </w:trPr>
        <w:tc>
          <w:tcPr>
            <w:tcW w:w="1940" w:type="dxa"/>
            <w:shd w:val="clear" w:color="auto" w:fill="auto"/>
            <w:noWrap/>
            <w:hideMark/>
          </w:tcPr>
          <w:p w:rsidR="00117F40" w:rsidRPr="00117F40" w:rsidRDefault="00117F40" w:rsidP="00117F40">
            <w:pPr>
              <w:rPr>
                <w:rFonts w:ascii="Arial" w:hAnsi="Arial" w:cs="Arial"/>
                <w:b/>
                <w:bCs/>
                <w:sz w:val="20"/>
                <w:szCs w:val="20"/>
              </w:rPr>
            </w:pPr>
            <w:r w:rsidRPr="00117F40">
              <w:rPr>
                <w:rFonts w:ascii="Arial" w:hAnsi="Arial" w:cs="Arial"/>
                <w:b/>
                <w:bCs/>
                <w:sz w:val="20"/>
                <w:szCs w:val="20"/>
              </w:rPr>
              <w:t xml:space="preserve">Table </w:t>
            </w:r>
            <w:proofErr w:type="spellStart"/>
            <w:r w:rsidRPr="00117F40">
              <w:rPr>
                <w:rFonts w:ascii="Arial" w:hAnsi="Arial" w:cs="Arial"/>
                <w:b/>
                <w:bCs/>
                <w:sz w:val="20"/>
                <w:szCs w:val="20"/>
              </w:rPr>
              <w:t>SWD.1.10</w:t>
            </w:r>
            <w:proofErr w:type="spellEnd"/>
          </w:p>
        </w:tc>
        <w:tc>
          <w:tcPr>
            <w:tcW w:w="6864" w:type="dxa"/>
            <w:shd w:val="clear" w:color="auto" w:fill="auto"/>
            <w:hideMark/>
          </w:tcPr>
          <w:p w:rsidR="00117F40" w:rsidRPr="00117F40" w:rsidRDefault="00117F40" w:rsidP="00117F40">
            <w:pPr>
              <w:jc w:val="both"/>
              <w:rPr>
                <w:rFonts w:ascii="Arial" w:hAnsi="Arial" w:cs="Arial"/>
                <w:sz w:val="20"/>
                <w:szCs w:val="20"/>
              </w:rPr>
            </w:pPr>
            <w:r w:rsidRPr="00117F40">
              <w:rPr>
                <w:rFonts w:ascii="Arial" w:hAnsi="Arial" w:cs="Arial"/>
                <w:sz w:val="20"/>
                <w:szCs w:val="20"/>
              </w:rPr>
              <w:t xml:space="preserve">Proportion of working age population with higher level qualifications (Certificate III level and above), by qualification level, by SES (SEIFA IRSD), 2013    </w:t>
            </w:r>
          </w:p>
        </w:tc>
      </w:tr>
      <w:tr w:rsidR="00117F40" w:rsidRPr="00117F40" w:rsidTr="00117F40">
        <w:trPr>
          <w:trHeight w:val="867"/>
        </w:trPr>
        <w:tc>
          <w:tcPr>
            <w:tcW w:w="1940" w:type="dxa"/>
            <w:shd w:val="clear" w:color="auto" w:fill="auto"/>
            <w:noWrap/>
            <w:hideMark/>
          </w:tcPr>
          <w:p w:rsidR="00117F40" w:rsidRPr="00117F40" w:rsidRDefault="00117F40" w:rsidP="00117F40">
            <w:pPr>
              <w:rPr>
                <w:rFonts w:ascii="Arial" w:hAnsi="Arial" w:cs="Arial"/>
                <w:b/>
                <w:bCs/>
                <w:sz w:val="20"/>
                <w:szCs w:val="20"/>
              </w:rPr>
            </w:pPr>
            <w:r w:rsidRPr="00117F40">
              <w:rPr>
                <w:rFonts w:ascii="Arial" w:hAnsi="Arial" w:cs="Arial"/>
                <w:b/>
                <w:bCs/>
                <w:sz w:val="20"/>
                <w:szCs w:val="20"/>
              </w:rPr>
              <w:t xml:space="preserve">Table </w:t>
            </w:r>
            <w:proofErr w:type="spellStart"/>
            <w:r w:rsidRPr="00117F40">
              <w:rPr>
                <w:rFonts w:ascii="Arial" w:hAnsi="Arial" w:cs="Arial"/>
                <w:b/>
                <w:bCs/>
                <w:sz w:val="20"/>
                <w:szCs w:val="20"/>
              </w:rPr>
              <w:t>SWD.1.11</w:t>
            </w:r>
            <w:proofErr w:type="spellEnd"/>
          </w:p>
        </w:tc>
        <w:tc>
          <w:tcPr>
            <w:tcW w:w="6864" w:type="dxa"/>
            <w:shd w:val="clear" w:color="auto" w:fill="auto"/>
            <w:hideMark/>
          </w:tcPr>
          <w:p w:rsidR="00117F40" w:rsidRPr="00117F40" w:rsidRDefault="00117F40" w:rsidP="00117F40">
            <w:pPr>
              <w:jc w:val="both"/>
              <w:rPr>
                <w:rFonts w:ascii="Arial" w:hAnsi="Arial" w:cs="Arial"/>
                <w:sz w:val="20"/>
                <w:szCs w:val="20"/>
              </w:rPr>
            </w:pPr>
            <w:r w:rsidRPr="00117F40">
              <w:rPr>
                <w:rFonts w:ascii="Arial" w:hAnsi="Arial" w:cs="Arial"/>
                <w:sz w:val="20"/>
                <w:szCs w:val="20"/>
              </w:rPr>
              <w:t xml:space="preserve">Proportion of working age population with higher level qualifications (Certificate III level and above), by qualification level, by SES (SEIFA IRSD), 2012    </w:t>
            </w:r>
          </w:p>
        </w:tc>
      </w:tr>
      <w:tr w:rsidR="00117F40" w:rsidRPr="00117F40" w:rsidTr="00117F40">
        <w:trPr>
          <w:trHeight w:val="867"/>
        </w:trPr>
        <w:tc>
          <w:tcPr>
            <w:tcW w:w="1940" w:type="dxa"/>
            <w:shd w:val="clear" w:color="auto" w:fill="auto"/>
            <w:noWrap/>
            <w:hideMark/>
          </w:tcPr>
          <w:p w:rsidR="00117F40" w:rsidRPr="00117F40" w:rsidRDefault="00117F40" w:rsidP="00117F40">
            <w:pPr>
              <w:rPr>
                <w:rFonts w:ascii="Arial" w:hAnsi="Arial" w:cs="Arial"/>
                <w:b/>
                <w:bCs/>
                <w:sz w:val="20"/>
                <w:szCs w:val="20"/>
              </w:rPr>
            </w:pPr>
            <w:r w:rsidRPr="00117F40">
              <w:rPr>
                <w:rFonts w:ascii="Arial" w:hAnsi="Arial" w:cs="Arial"/>
                <w:b/>
                <w:bCs/>
                <w:sz w:val="20"/>
                <w:szCs w:val="20"/>
              </w:rPr>
              <w:t xml:space="preserve">Table </w:t>
            </w:r>
            <w:proofErr w:type="spellStart"/>
            <w:r w:rsidRPr="00117F40">
              <w:rPr>
                <w:rFonts w:ascii="Arial" w:hAnsi="Arial" w:cs="Arial"/>
                <w:b/>
                <w:bCs/>
                <w:sz w:val="20"/>
                <w:szCs w:val="20"/>
              </w:rPr>
              <w:t>SWD.1.12</w:t>
            </w:r>
            <w:proofErr w:type="spellEnd"/>
          </w:p>
        </w:tc>
        <w:tc>
          <w:tcPr>
            <w:tcW w:w="6864" w:type="dxa"/>
            <w:shd w:val="clear" w:color="auto" w:fill="auto"/>
            <w:hideMark/>
          </w:tcPr>
          <w:p w:rsidR="00117F40" w:rsidRPr="00117F40" w:rsidRDefault="00117F40" w:rsidP="00117F40">
            <w:pPr>
              <w:jc w:val="both"/>
              <w:rPr>
                <w:rFonts w:ascii="Arial" w:hAnsi="Arial" w:cs="Arial"/>
                <w:sz w:val="20"/>
                <w:szCs w:val="20"/>
              </w:rPr>
            </w:pPr>
            <w:r w:rsidRPr="00117F40">
              <w:rPr>
                <w:rFonts w:ascii="Arial" w:hAnsi="Arial" w:cs="Arial"/>
                <w:sz w:val="20"/>
                <w:szCs w:val="20"/>
              </w:rPr>
              <w:t xml:space="preserve">Proportion of working age population with higher level qualifications (Certificate III level and above), by qualification level, by SES (SEIFA IRSD), 2011   </w:t>
            </w:r>
          </w:p>
        </w:tc>
      </w:tr>
      <w:tr w:rsidR="00117F40" w:rsidRPr="00117F40" w:rsidTr="00117F40">
        <w:trPr>
          <w:trHeight w:val="867"/>
        </w:trPr>
        <w:tc>
          <w:tcPr>
            <w:tcW w:w="1940" w:type="dxa"/>
            <w:shd w:val="clear" w:color="auto" w:fill="auto"/>
            <w:noWrap/>
            <w:hideMark/>
          </w:tcPr>
          <w:p w:rsidR="00117F40" w:rsidRPr="00117F40" w:rsidRDefault="00117F40" w:rsidP="00117F40">
            <w:pPr>
              <w:rPr>
                <w:rFonts w:ascii="Arial" w:hAnsi="Arial" w:cs="Arial"/>
                <w:b/>
                <w:bCs/>
                <w:sz w:val="20"/>
                <w:szCs w:val="20"/>
              </w:rPr>
            </w:pPr>
            <w:r w:rsidRPr="00117F40">
              <w:rPr>
                <w:rFonts w:ascii="Arial" w:hAnsi="Arial" w:cs="Arial"/>
                <w:b/>
                <w:bCs/>
                <w:sz w:val="20"/>
                <w:szCs w:val="20"/>
              </w:rPr>
              <w:t xml:space="preserve">Table </w:t>
            </w:r>
            <w:proofErr w:type="spellStart"/>
            <w:r w:rsidRPr="00117F40">
              <w:rPr>
                <w:rFonts w:ascii="Arial" w:hAnsi="Arial" w:cs="Arial"/>
                <w:b/>
                <w:bCs/>
                <w:sz w:val="20"/>
                <w:szCs w:val="20"/>
              </w:rPr>
              <w:t>SWD.1.13</w:t>
            </w:r>
            <w:proofErr w:type="spellEnd"/>
          </w:p>
        </w:tc>
        <w:tc>
          <w:tcPr>
            <w:tcW w:w="6864" w:type="dxa"/>
            <w:shd w:val="clear" w:color="auto" w:fill="auto"/>
            <w:hideMark/>
          </w:tcPr>
          <w:p w:rsidR="00117F40" w:rsidRPr="00117F40" w:rsidRDefault="00117F40" w:rsidP="00117F40">
            <w:pPr>
              <w:jc w:val="both"/>
              <w:rPr>
                <w:rFonts w:ascii="Arial" w:hAnsi="Arial" w:cs="Arial"/>
                <w:sz w:val="20"/>
                <w:szCs w:val="20"/>
              </w:rPr>
            </w:pPr>
            <w:r w:rsidRPr="00117F40">
              <w:rPr>
                <w:rFonts w:ascii="Arial" w:hAnsi="Arial" w:cs="Arial"/>
                <w:sz w:val="20"/>
                <w:szCs w:val="20"/>
              </w:rPr>
              <w:t xml:space="preserve">Proportion of working age population with higher level qualifications (Certificate III level and above), by qualification level, by SES (SEIFA IRSD), 2010    </w:t>
            </w:r>
          </w:p>
        </w:tc>
      </w:tr>
      <w:tr w:rsidR="00117F40" w:rsidRPr="00117F40" w:rsidTr="00117F40">
        <w:trPr>
          <w:trHeight w:val="867"/>
        </w:trPr>
        <w:tc>
          <w:tcPr>
            <w:tcW w:w="1940" w:type="dxa"/>
            <w:shd w:val="clear" w:color="auto" w:fill="auto"/>
            <w:noWrap/>
            <w:hideMark/>
          </w:tcPr>
          <w:p w:rsidR="00117F40" w:rsidRPr="00117F40" w:rsidRDefault="00117F40" w:rsidP="00117F40">
            <w:pPr>
              <w:rPr>
                <w:rFonts w:ascii="Arial" w:hAnsi="Arial" w:cs="Arial"/>
                <w:b/>
                <w:bCs/>
                <w:sz w:val="20"/>
                <w:szCs w:val="20"/>
              </w:rPr>
            </w:pPr>
            <w:r w:rsidRPr="00117F40">
              <w:rPr>
                <w:rFonts w:ascii="Arial" w:hAnsi="Arial" w:cs="Arial"/>
                <w:b/>
                <w:bCs/>
                <w:sz w:val="20"/>
                <w:szCs w:val="20"/>
              </w:rPr>
              <w:t xml:space="preserve">Table </w:t>
            </w:r>
            <w:proofErr w:type="spellStart"/>
            <w:r w:rsidRPr="00117F40">
              <w:rPr>
                <w:rFonts w:ascii="Arial" w:hAnsi="Arial" w:cs="Arial"/>
                <w:b/>
                <w:bCs/>
                <w:sz w:val="20"/>
                <w:szCs w:val="20"/>
              </w:rPr>
              <w:t>SWD.1.14</w:t>
            </w:r>
            <w:proofErr w:type="spellEnd"/>
          </w:p>
        </w:tc>
        <w:tc>
          <w:tcPr>
            <w:tcW w:w="6864" w:type="dxa"/>
            <w:shd w:val="clear" w:color="auto" w:fill="auto"/>
            <w:hideMark/>
          </w:tcPr>
          <w:p w:rsidR="00117F40" w:rsidRPr="00117F40" w:rsidRDefault="00117F40" w:rsidP="00117F40">
            <w:pPr>
              <w:jc w:val="both"/>
              <w:rPr>
                <w:rFonts w:ascii="Arial" w:hAnsi="Arial" w:cs="Arial"/>
                <w:sz w:val="20"/>
                <w:szCs w:val="20"/>
              </w:rPr>
            </w:pPr>
            <w:r w:rsidRPr="00117F40">
              <w:rPr>
                <w:rFonts w:ascii="Arial" w:hAnsi="Arial" w:cs="Arial"/>
                <w:sz w:val="20"/>
                <w:szCs w:val="20"/>
              </w:rPr>
              <w:t xml:space="preserve">Proportion of working age population with higher level qualifications (Certificate III level and above), by qualification level, by SES (SEIFA IRSD), 2009    </w:t>
            </w:r>
          </w:p>
        </w:tc>
      </w:tr>
      <w:tr w:rsidR="00117F40" w:rsidRPr="00117F40" w:rsidTr="00117F40">
        <w:trPr>
          <w:trHeight w:val="867"/>
        </w:trPr>
        <w:tc>
          <w:tcPr>
            <w:tcW w:w="1940" w:type="dxa"/>
            <w:shd w:val="clear" w:color="auto" w:fill="auto"/>
            <w:noWrap/>
            <w:hideMark/>
          </w:tcPr>
          <w:p w:rsidR="00117F40" w:rsidRPr="00117F40" w:rsidRDefault="00117F40" w:rsidP="00117F40">
            <w:pPr>
              <w:rPr>
                <w:rFonts w:ascii="Arial" w:hAnsi="Arial" w:cs="Arial"/>
                <w:b/>
                <w:bCs/>
                <w:sz w:val="20"/>
                <w:szCs w:val="20"/>
              </w:rPr>
            </w:pPr>
            <w:r w:rsidRPr="00117F40">
              <w:rPr>
                <w:rFonts w:ascii="Arial" w:hAnsi="Arial" w:cs="Arial"/>
                <w:b/>
                <w:bCs/>
                <w:sz w:val="20"/>
                <w:szCs w:val="20"/>
              </w:rPr>
              <w:t xml:space="preserve">Table </w:t>
            </w:r>
            <w:proofErr w:type="spellStart"/>
            <w:r w:rsidRPr="00117F40">
              <w:rPr>
                <w:rFonts w:ascii="Arial" w:hAnsi="Arial" w:cs="Arial"/>
                <w:b/>
                <w:bCs/>
                <w:sz w:val="20"/>
                <w:szCs w:val="20"/>
              </w:rPr>
              <w:t>SWD.1.15</w:t>
            </w:r>
            <w:proofErr w:type="spellEnd"/>
          </w:p>
        </w:tc>
        <w:tc>
          <w:tcPr>
            <w:tcW w:w="6864" w:type="dxa"/>
            <w:shd w:val="clear" w:color="auto" w:fill="auto"/>
            <w:hideMark/>
          </w:tcPr>
          <w:p w:rsidR="00117F40" w:rsidRPr="00117F40" w:rsidRDefault="00117F40" w:rsidP="00117F40">
            <w:pPr>
              <w:jc w:val="both"/>
              <w:rPr>
                <w:rFonts w:ascii="Arial" w:hAnsi="Arial" w:cs="Arial"/>
                <w:sz w:val="20"/>
                <w:szCs w:val="20"/>
              </w:rPr>
            </w:pPr>
            <w:r w:rsidRPr="00117F40">
              <w:rPr>
                <w:rFonts w:ascii="Arial" w:hAnsi="Arial" w:cs="Arial"/>
                <w:sz w:val="20"/>
                <w:szCs w:val="20"/>
              </w:rPr>
              <w:t xml:space="preserve">Proportion of working age population with higher level qualifications (Certificate III level and above), by qualification level, by SES (SEIFA IRSD), 2008    </w:t>
            </w:r>
          </w:p>
        </w:tc>
      </w:tr>
      <w:tr w:rsidR="00117F40" w:rsidRPr="00117F40" w:rsidTr="00117F40">
        <w:trPr>
          <w:trHeight w:val="867"/>
        </w:trPr>
        <w:tc>
          <w:tcPr>
            <w:tcW w:w="1940" w:type="dxa"/>
            <w:shd w:val="clear" w:color="auto" w:fill="auto"/>
            <w:noWrap/>
            <w:hideMark/>
          </w:tcPr>
          <w:p w:rsidR="00117F40" w:rsidRPr="00117F40" w:rsidRDefault="00117F40" w:rsidP="00117F40">
            <w:pPr>
              <w:rPr>
                <w:rFonts w:ascii="Arial" w:hAnsi="Arial" w:cs="Arial"/>
                <w:b/>
                <w:bCs/>
                <w:sz w:val="20"/>
                <w:szCs w:val="20"/>
              </w:rPr>
            </w:pPr>
            <w:r w:rsidRPr="00117F40">
              <w:rPr>
                <w:rFonts w:ascii="Arial" w:hAnsi="Arial" w:cs="Arial"/>
                <w:b/>
                <w:bCs/>
                <w:sz w:val="20"/>
                <w:szCs w:val="20"/>
              </w:rPr>
              <w:t xml:space="preserve">Table </w:t>
            </w:r>
            <w:proofErr w:type="spellStart"/>
            <w:r w:rsidRPr="00117F40">
              <w:rPr>
                <w:rFonts w:ascii="Arial" w:hAnsi="Arial" w:cs="Arial"/>
                <w:b/>
                <w:bCs/>
                <w:sz w:val="20"/>
                <w:szCs w:val="20"/>
              </w:rPr>
              <w:t>SWD.1.16</w:t>
            </w:r>
            <w:proofErr w:type="spellEnd"/>
          </w:p>
        </w:tc>
        <w:tc>
          <w:tcPr>
            <w:tcW w:w="6864" w:type="dxa"/>
            <w:shd w:val="clear" w:color="auto" w:fill="auto"/>
            <w:hideMark/>
          </w:tcPr>
          <w:p w:rsidR="00117F40" w:rsidRPr="00117F40" w:rsidRDefault="00117F40" w:rsidP="00C61575">
            <w:pPr>
              <w:jc w:val="both"/>
              <w:rPr>
                <w:rFonts w:ascii="Arial" w:hAnsi="Arial" w:cs="Arial"/>
                <w:sz w:val="20"/>
                <w:szCs w:val="20"/>
              </w:rPr>
            </w:pPr>
            <w:r w:rsidRPr="00117F40">
              <w:rPr>
                <w:rFonts w:ascii="Arial" w:hAnsi="Arial" w:cs="Arial"/>
                <w:sz w:val="20"/>
                <w:szCs w:val="20"/>
              </w:rPr>
              <w:t xml:space="preserve">Proportion of working age population with higher level qualifications (Certificate III level and above), by qualification level, by Indigenous status, 2012-13  </w:t>
            </w:r>
          </w:p>
        </w:tc>
      </w:tr>
      <w:tr w:rsidR="00117F40" w:rsidRPr="00117F40" w:rsidTr="00117F40">
        <w:trPr>
          <w:trHeight w:val="867"/>
        </w:trPr>
        <w:tc>
          <w:tcPr>
            <w:tcW w:w="1940" w:type="dxa"/>
            <w:shd w:val="clear" w:color="auto" w:fill="auto"/>
            <w:noWrap/>
            <w:hideMark/>
          </w:tcPr>
          <w:p w:rsidR="00117F40" w:rsidRPr="00117F40" w:rsidRDefault="00117F40" w:rsidP="00117F40">
            <w:pPr>
              <w:rPr>
                <w:rFonts w:ascii="Arial" w:hAnsi="Arial" w:cs="Arial"/>
                <w:b/>
                <w:bCs/>
                <w:sz w:val="20"/>
                <w:szCs w:val="20"/>
              </w:rPr>
            </w:pPr>
            <w:r w:rsidRPr="00117F40">
              <w:rPr>
                <w:rFonts w:ascii="Arial" w:hAnsi="Arial" w:cs="Arial"/>
                <w:b/>
                <w:bCs/>
                <w:sz w:val="20"/>
                <w:szCs w:val="20"/>
              </w:rPr>
              <w:t xml:space="preserve">Table </w:t>
            </w:r>
            <w:proofErr w:type="spellStart"/>
            <w:r w:rsidRPr="00117F40">
              <w:rPr>
                <w:rFonts w:ascii="Arial" w:hAnsi="Arial" w:cs="Arial"/>
                <w:b/>
                <w:bCs/>
                <w:sz w:val="20"/>
                <w:szCs w:val="20"/>
              </w:rPr>
              <w:t>SWD.1.17</w:t>
            </w:r>
            <w:proofErr w:type="spellEnd"/>
          </w:p>
        </w:tc>
        <w:tc>
          <w:tcPr>
            <w:tcW w:w="6864" w:type="dxa"/>
            <w:shd w:val="clear" w:color="auto" w:fill="auto"/>
            <w:hideMark/>
          </w:tcPr>
          <w:p w:rsidR="00117F40" w:rsidRPr="00117F40" w:rsidRDefault="00117F40" w:rsidP="00C61575">
            <w:pPr>
              <w:jc w:val="both"/>
              <w:rPr>
                <w:rFonts w:ascii="Arial" w:hAnsi="Arial" w:cs="Arial"/>
                <w:sz w:val="20"/>
                <w:szCs w:val="20"/>
              </w:rPr>
            </w:pPr>
            <w:r w:rsidRPr="00117F40">
              <w:rPr>
                <w:rFonts w:ascii="Arial" w:hAnsi="Arial" w:cs="Arial"/>
                <w:sz w:val="20"/>
                <w:szCs w:val="20"/>
              </w:rPr>
              <w:t xml:space="preserve">Proportion of working age population with higher level qualifications (Certificate III level and above), by qualification level, by Indigenous status, 2008  </w:t>
            </w:r>
          </w:p>
        </w:tc>
      </w:tr>
      <w:tr w:rsidR="00117F40" w:rsidRPr="00117F40" w:rsidTr="00117F40">
        <w:trPr>
          <w:trHeight w:val="612"/>
        </w:trPr>
        <w:tc>
          <w:tcPr>
            <w:tcW w:w="1940" w:type="dxa"/>
            <w:shd w:val="clear" w:color="auto" w:fill="auto"/>
            <w:noWrap/>
            <w:hideMark/>
          </w:tcPr>
          <w:p w:rsidR="00117F40" w:rsidRPr="00117F40" w:rsidRDefault="00117F40" w:rsidP="00117F40">
            <w:pPr>
              <w:rPr>
                <w:rFonts w:ascii="Arial" w:hAnsi="Arial" w:cs="Arial"/>
                <w:b/>
                <w:bCs/>
                <w:sz w:val="20"/>
                <w:szCs w:val="20"/>
              </w:rPr>
            </w:pPr>
            <w:r w:rsidRPr="00117F40">
              <w:rPr>
                <w:rFonts w:ascii="Arial" w:hAnsi="Arial" w:cs="Arial"/>
                <w:b/>
                <w:bCs/>
                <w:sz w:val="20"/>
                <w:szCs w:val="20"/>
              </w:rPr>
              <w:t xml:space="preserve">Table </w:t>
            </w:r>
            <w:proofErr w:type="spellStart"/>
            <w:r w:rsidRPr="00117F40">
              <w:rPr>
                <w:rFonts w:ascii="Arial" w:hAnsi="Arial" w:cs="Arial"/>
                <w:b/>
                <w:bCs/>
                <w:sz w:val="20"/>
                <w:szCs w:val="20"/>
              </w:rPr>
              <w:t>SWD.1.18</w:t>
            </w:r>
            <w:proofErr w:type="spellEnd"/>
          </w:p>
        </w:tc>
        <w:tc>
          <w:tcPr>
            <w:tcW w:w="6864" w:type="dxa"/>
            <w:shd w:val="clear" w:color="auto" w:fill="auto"/>
            <w:hideMark/>
          </w:tcPr>
          <w:p w:rsidR="00117F40" w:rsidRPr="00117F40" w:rsidRDefault="00117F40" w:rsidP="00117F40">
            <w:pPr>
              <w:jc w:val="both"/>
              <w:rPr>
                <w:rFonts w:ascii="Arial" w:hAnsi="Arial" w:cs="Arial"/>
                <w:sz w:val="20"/>
                <w:szCs w:val="20"/>
              </w:rPr>
            </w:pPr>
            <w:r w:rsidRPr="00117F40">
              <w:rPr>
                <w:rFonts w:ascii="Arial" w:hAnsi="Arial" w:cs="Arial"/>
                <w:sz w:val="20"/>
                <w:szCs w:val="20"/>
              </w:rPr>
              <w:t>Proportion of working age population with higher level qualifications (</w:t>
            </w:r>
            <w:proofErr w:type="spellStart"/>
            <w:r w:rsidRPr="00117F40">
              <w:rPr>
                <w:rFonts w:ascii="Arial" w:hAnsi="Arial" w:cs="Arial"/>
                <w:sz w:val="20"/>
                <w:szCs w:val="20"/>
              </w:rPr>
              <w:t>AQF</w:t>
            </w:r>
            <w:proofErr w:type="spellEnd"/>
            <w:r w:rsidRPr="00117F40">
              <w:rPr>
                <w:rFonts w:ascii="Arial" w:hAnsi="Arial" w:cs="Arial"/>
                <w:sz w:val="20"/>
                <w:szCs w:val="20"/>
              </w:rPr>
              <w:t xml:space="preserve"> Certificate III and above), by age, by State and Territory, 2013   </w:t>
            </w:r>
          </w:p>
        </w:tc>
      </w:tr>
      <w:tr w:rsidR="00117F40" w:rsidRPr="00117F40" w:rsidTr="00117F40">
        <w:trPr>
          <w:trHeight w:val="612"/>
        </w:trPr>
        <w:tc>
          <w:tcPr>
            <w:tcW w:w="1940" w:type="dxa"/>
            <w:shd w:val="clear" w:color="auto" w:fill="auto"/>
            <w:noWrap/>
            <w:hideMark/>
          </w:tcPr>
          <w:p w:rsidR="00117F40" w:rsidRPr="00117F40" w:rsidRDefault="00117F40" w:rsidP="00117F40">
            <w:pPr>
              <w:rPr>
                <w:rFonts w:ascii="Arial" w:hAnsi="Arial" w:cs="Arial"/>
                <w:b/>
                <w:bCs/>
                <w:sz w:val="20"/>
                <w:szCs w:val="20"/>
              </w:rPr>
            </w:pPr>
            <w:r w:rsidRPr="00117F40">
              <w:rPr>
                <w:rFonts w:ascii="Arial" w:hAnsi="Arial" w:cs="Arial"/>
                <w:b/>
                <w:bCs/>
                <w:sz w:val="20"/>
                <w:szCs w:val="20"/>
              </w:rPr>
              <w:t xml:space="preserve">Table </w:t>
            </w:r>
            <w:proofErr w:type="spellStart"/>
            <w:r w:rsidRPr="00117F40">
              <w:rPr>
                <w:rFonts w:ascii="Arial" w:hAnsi="Arial" w:cs="Arial"/>
                <w:b/>
                <w:bCs/>
                <w:sz w:val="20"/>
                <w:szCs w:val="20"/>
              </w:rPr>
              <w:t>SWD.1.19</w:t>
            </w:r>
            <w:proofErr w:type="spellEnd"/>
          </w:p>
        </w:tc>
        <w:tc>
          <w:tcPr>
            <w:tcW w:w="6864" w:type="dxa"/>
            <w:shd w:val="clear" w:color="auto" w:fill="auto"/>
            <w:hideMark/>
          </w:tcPr>
          <w:p w:rsidR="00117F40" w:rsidRPr="00117F40" w:rsidRDefault="00117F40" w:rsidP="00117F40">
            <w:pPr>
              <w:jc w:val="both"/>
              <w:rPr>
                <w:rFonts w:ascii="Arial" w:hAnsi="Arial" w:cs="Arial"/>
                <w:sz w:val="20"/>
                <w:szCs w:val="20"/>
              </w:rPr>
            </w:pPr>
            <w:r w:rsidRPr="00117F40">
              <w:rPr>
                <w:rFonts w:ascii="Arial" w:hAnsi="Arial" w:cs="Arial"/>
                <w:sz w:val="20"/>
                <w:szCs w:val="20"/>
              </w:rPr>
              <w:t>Proportion of working age population with higher level qualifications (</w:t>
            </w:r>
            <w:proofErr w:type="spellStart"/>
            <w:r w:rsidRPr="00117F40">
              <w:rPr>
                <w:rFonts w:ascii="Arial" w:hAnsi="Arial" w:cs="Arial"/>
                <w:sz w:val="20"/>
                <w:szCs w:val="20"/>
              </w:rPr>
              <w:t>AQF</w:t>
            </w:r>
            <w:proofErr w:type="spellEnd"/>
            <w:r w:rsidRPr="00117F40">
              <w:rPr>
                <w:rFonts w:ascii="Arial" w:hAnsi="Arial" w:cs="Arial"/>
                <w:sz w:val="20"/>
                <w:szCs w:val="20"/>
              </w:rPr>
              <w:t xml:space="preserve"> Certificate III and above), by age, by State and Territory, 2012   </w:t>
            </w:r>
          </w:p>
        </w:tc>
      </w:tr>
      <w:tr w:rsidR="00117F40" w:rsidRPr="00117F40" w:rsidTr="00117F40">
        <w:trPr>
          <w:trHeight w:val="612"/>
        </w:trPr>
        <w:tc>
          <w:tcPr>
            <w:tcW w:w="1940" w:type="dxa"/>
            <w:shd w:val="clear" w:color="auto" w:fill="auto"/>
            <w:noWrap/>
            <w:hideMark/>
          </w:tcPr>
          <w:p w:rsidR="00117F40" w:rsidRPr="00117F40" w:rsidRDefault="00117F40" w:rsidP="00117F40">
            <w:pPr>
              <w:rPr>
                <w:rFonts w:ascii="Arial" w:hAnsi="Arial" w:cs="Arial"/>
                <w:b/>
                <w:bCs/>
                <w:sz w:val="20"/>
                <w:szCs w:val="20"/>
              </w:rPr>
            </w:pPr>
            <w:r w:rsidRPr="00117F40">
              <w:rPr>
                <w:rFonts w:ascii="Arial" w:hAnsi="Arial" w:cs="Arial"/>
                <w:b/>
                <w:bCs/>
                <w:sz w:val="20"/>
                <w:szCs w:val="20"/>
              </w:rPr>
              <w:t xml:space="preserve">Table </w:t>
            </w:r>
            <w:proofErr w:type="spellStart"/>
            <w:r w:rsidRPr="00117F40">
              <w:rPr>
                <w:rFonts w:ascii="Arial" w:hAnsi="Arial" w:cs="Arial"/>
                <w:b/>
                <w:bCs/>
                <w:sz w:val="20"/>
                <w:szCs w:val="20"/>
              </w:rPr>
              <w:t>SWD.1.20</w:t>
            </w:r>
            <w:proofErr w:type="spellEnd"/>
          </w:p>
        </w:tc>
        <w:tc>
          <w:tcPr>
            <w:tcW w:w="6864" w:type="dxa"/>
            <w:shd w:val="clear" w:color="auto" w:fill="auto"/>
            <w:hideMark/>
          </w:tcPr>
          <w:p w:rsidR="00117F40" w:rsidRPr="00117F40" w:rsidRDefault="00117F40" w:rsidP="00117F40">
            <w:pPr>
              <w:jc w:val="both"/>
              <w:rPr>
                <w:rFonts w:ascii="Arial" w:hAnsi="Arial" w:cs="Arial"/>
                <w:sz w:val="20"/>
                <w:szCs w:val="20"/>
              </w:rPr>
            </w:pPr>
            <w:r w:rsidRPr="00117F40">
              <w:rPr>
                <w:rFonts w:ascii="Arial" w:hAnsi="Arial" w:cs="Arial"/>
                <w:sz w:val="20"/>
                <w:szCs w:val="20"/>
              </w:rPr>
              <w:t>Proportion of working age population with higher level qualifications (</w:t>
            </w:r>
            <w:proofErr w:type="spellStart"/>
            <w:r w:rsidRPr="00117F40">
              <w:rPr>
                <w:rFonts w:ascii="Arial" w:hAnsi="Arial" w:cs="Arial"/>
                <w:sz w:val="20"/>
                <w:szCs w:val="20"/>
              </w:rPr>
              <w:t>AQF</w:t>
            </w:r>
            <w:proofErr w:type="spellEnd"/>
            <w:r w:rsidRPr="00117F40">
              <w:rPr>
                <w:rFonts w:ascii="Arial" w:hAnsi="Arial" w:cs="Arial"/>
                <w:sz w:val="20"/>
                <w:szCs w:val="20"/>
              </w:rPr>
              <w:t xml:space="preserve"> Certificate III and above), by age, by State and Territory, 2011   </w:t>
            </w:r>
          </w:p>
        </w:tc>
      </w:tr>
      <w:tr w:rsidR="00117F40" w:rsidRPr="00117F40" w:rsidTr="00117F40">
        <w:trPr>
          <w:trHeight w:val="612"/>
        </w:trPr>
        <w:tc>
          <w:tcPr>
            <w:tcW w:w="1940" w:type="dxa"/>
            <w:shd w:val="clear" w:color="auto" w:fill="auto"/>
            <w:noWrap/>
            <w:hideMark/>
          </w:tcPr>
          <w:p w:rsidR="00117F40" w:rsidRPr="00117F40" w:rsidRDefault="00117F40" w:rsidP="00117F40">
            <w:pPr>
              <w:rPr>
                <w:rFonts w:ascii="Arial" w:hAnsi="Arial" w:cs="Arial"/>
                <w:b/>
                <w:bCs/>
                <w:sz w:val="20"/>
                <w:szCs w:val="20"/>
              </w:rPr>
            </w:pPr>
            <w:r w:rsidRPr="00117F40">
              <w:rPr>
                <w:rFonts w:ascii="Arial" w:hAnsi="Arial" w:cs="Arial"/>
                <w:b/>
                <w:bCs/>
                <w:sz w:val="20"/>
                <w:szCs w:val="20"/>
              </w:rPr>
              <w:t xml:space="preserve">Table </w:t>
            </w:r>
            <w:proofErr w:type="spellStart"/>
            <w:r w:rsidRPr="00117F40">
              <w:rPr>
                <w:rFonts w:ascii="Arial" w:hAnsi="Arial" w:cs="Arial"/>
                <w:b/>
                <w:bCs/>
                <w:sz w:val="20"/>
                <w:szCs w:val="20"/>
              </w:rPr>
              <w:t>SWD.1.21</w:t>
            </w:r>
            <w:proofErr w:type="spellEnd"/>
          </w:p>
        </w:tc>
        <w:tc>
          <w:tcPr>
            <w:tcW w:w="6864" w:type="dxa"/>
            <w:shd w:val="clear" w:color="auto" w:fill="auto"/>
            <w:hideMark/>
          </w:tcPr>
          <w:p w:rsidR="00117F40" w:rsidRPr="00117F40" w:rsidRDefault="00117F40" w:rsidP="00117F40">
            <w:pPr>
              <w:jc w:val="both"/>
              <w:rPr>
                <w:rFonts w:ascii="Arial" w:hAnsi="Arial" w:cs="Arial"/>
                <w:sz w:val="20"/>
                <w:szCs w:val="20"/>
              </w:rPr>
            </w:pPr>
            <w:r w:rsidRPr="00117F40">
              <w:rPr>
                <w:rFonts w:ascii="Arial" w:hAnsi="Arial" w:cs="Arial"/>
                <w:sz w:val="20"/>
                <w:szCs w:val="20"/>
              </w:rPr>
              <w:t>Proportion of working age population with higher level qualifications (</w:t>
            </w:r>
            <w:proofErr w:type="spellStart"/>
            <w:r w:rsidRPr="00117F40">
              <w:rPr>
                <w:rFonts w:ascii="Arial" w:hAnsi="Arial" w:cs="Arial"/>
                <w:sz w:val="20"/>
                <w:szCs w:val="20"/>
              </w:rPr>
              <w:t>AQF</w:t>
            </w:r>
            <w:proofErr w:type="spellEnd"/>
            <w:r w:rsidRPr="00117F40">
              <w:rPr>
                <w:rFonts w:ascii="Arial" w:hAnsi="Arial" w:cs="Arial"/>
                <w:sz w:val="20"/>
                <w:szCs w:val="20"/>
              </w:rPr>
              <w:t xml:space="preserve"> Certificate III and above), by age, by State and Territory, 2010   </w:t>
            </w:r>
          </w:p>
        </w:tc>
      </w:tr>
      <w:tr w:rsidR="00117F40" w:rsidRPr="00117F40" w:rsidTr="00117F40">
        <w:trPr>
          <w:trHeight w:val="612"/>
        </w:trPr>
        <w:tc>
          <w:tcPr>
            <w:tcW w:w="1940" w:type="dxa"/>
            <w:shd w:val="clear" w:color="auto" w:fill="auto"/>
            <w:noWrap/>
            <w:hideMark/>
          </w:tcPr>
          <w:p w:rsidR="00117F40" w:rsidRPr="00117F40" w:rsidRDefault="00117F40" w:rsidP="00117F40">
            <w:pPr>
              <w:rPr>
                <w:rFonts w:ascii="Arial" w:hAnsi="Arial" w:cs="Arial"/>
                <w:b/>
                <w:bCs/>
                <w:sz w:val="20"/>
                <w:szCs w:val="20"/>
              </w:rPr>
            </w:pPr>
            <w:r w:rsidRPr="00117F40">
              <w:rPr>
                <w:rFonts w:ascii="Arial" w:hAnsi="Arial" w:cs="Arial"/>
                <w:b/>
                <w:bCs/>
                <w:sz w:val="20"/>
                <w:szCs w:val="20"/>
              </w:rPr>
              <w:t xml:space="preserve">Table </w:t>
            </w:r>
            <w:proofErr w:type="spellStart"/>
            <w:r w:rsidRPr="00117F40">
              <w:rPr>
                <w:rFonts w:ascii="Arial" w:hAnsi="Arial" w:cs="Arial"/>
                <w:b/>
                <w:bCs/>
                <w:sz w:val="20"/>
                <w:szCs w:val="20"/>
              </w:rPr>
              <w:t>SWD.1.22</w:t>
            </w:r>
            <w:proofErr w:type="spellEnd"/>
          </w:p>
        </w:tc>
        <w:tc>
          <w:tcPr>
            <w:tcW w:w="6864" w:type="dxa"/>
            <w:shd w:val="clear" w:color="auto" w:fill="auto"/>
            <w:hideMark/>
          </w:tcPr>
          <w:p w:rsidR="00117F40" w:rsidRPr="00117F40" w:rsidRDefault="00117F40" w:rsidP="00117F40">
            <w:pPr>
              <w:jc w:val="both"/>
              <w:rPr>
                <w:rFonts w:ascii="Arial" w:hAnsi="Arial" w:cs="Arial"/>
                <w:sz w:val="20"/>
                <w:szCs w:val="20"/>
              </w:rPr>
            </w:pPr>
            <w:r w:rsidRPr="00117F40">
              <w:rPr>
                <w:rFonts w:ascii="Arial" w:hAnsi="Arial" w:cs="Arial"/>
                <w:sz w:val="20"/>
                <w:szCs w:val="20"/>
              </w:rPr>
              <w:t>Proportion of working age population with higher level qualifications (</w:t>
            </w:r>
            <w:proofErr w:type="spellStart"/>
            <w:r w:rsidRPr="00117F40">
              <w:rPr>
                <w:rFonts w:ascii="Arial" w:hAnsi="Arial" w:cs="Arial"/>
                <w:sz w:val="20"/>
                <w:szCs w:val="20"/>
              </w:rPr>
              <w:t>AQF</w:t>
            </w:r>
            <w:proofErr w:type="spellEnd"/>
            <w:r w:rsidRPr="00117F40">
              <w:rPr>
                <w:rFonts w:ascii="Arial" w:hAnsi="Arial" w:cs="Arial"/>
                <w:sz w:val="20"/>
                <w:szCs w:val="20"/>
              </w:rPr>
              <w:t xml:space="preserve"> Certificate III and above), by age, by State and Territory, 2009   </w:t>
            </w:r>
          </w:p>
        </w:tc>
      </w:tr>
      <w:tr w:rsidR="00117F40" w:rsidRPr="00117F40" w:rsidTr="00117F40">
        <w:trPr>
          <w:trHeight w:val="612"/>
        </w:trPr>
        <w:tc>
          <w:tcPr>
            <w:tcW w:w="1940" w:type="dxa"/>
            <w:shd w:val="clear" w:color="auto" w:fill="auto"/>
            <w:noWrap/>
            <w:hideMark/>
          </w:tcPr>
          <w:p w:rsidR="00117F40" w:rsidRPr="00117F40" w:rsidRDefault="00117F40" w:rsidP="00117F40">
            <w:pPr>
              <w:rPr>
                <w:rFonts w:ascii="Arial" w:hAnsi="Arial" w:cs="Arial"/>
                <w:b/>
                <w:bCs/>
                <w:sz w:val="20"/>
                <w:szCs w:val="20"/>
              </w:rPr>
            </w:pPr>
            <w:r w:rsidRPr="00117F40">
              <w:rPr>
                <w:rFonts w:ascii="Arial" w:hAnsi="Arial" w:cs="Arial"/>
                <w:b/>
                <w:bCs/>
                <w:sz w:val="20"/>
                <w:szCs w:val="20"/>
              </w:rPr>
              <w:t xml:space="preserve">Table </w:t>
            </w:r>
            <w:proofErr w:type="spellStart"/>
            <w:r w:rsidRPr="00117F40">
              <w:rPr>
                <w:rFonts w:ascii="Arial" w:hAnsi="Arial" w:cs="Arial"/>
                <w:b/>
                <w:bCs/>
                <w:sz w:val="20"/>
                <w:szCs w:val="20"/>
              </w:rPr>
              <w:t>SWD.1.23</w:t>
            </w:r>
            <w:proofErr w:type="spellEnd"/>
          </w:p>
        </w:tc>
        <w:tc>
          <w:tcPr>
            <w:tcW w:w="6864" w:type="dxa"/>
            <w:shd w:val="clear" w:color="auto" w:fill="auto"/>
            <w:hideMark/>
          </w:tcPr>
          <w:p w:rsidR="00117F40" w:rsidRPr="00117F40" w:rsidRDefault="00117F40" w:rsidP="00117F40">
            <w:pPr>
              <w:jc w:val="both"/>
              <w:rPr>
                <w:rFonts w:ascii="Arial" w:hAnsi="Arial" w:cs="Arial"/>
                <w:sz w:val="20"/>
                <w:szCs w:val="20"/>
              </w:rPr>
            </w:pPr>
            <w:r w:rsidRPr="00117F40">
              <w:rPr>
                <w:rFonts w:ascii="Arial" w:hAnsi="Arial" w:cs="Arial"/>
                <w:sz w:val="20"/>
                <w:szCs w:val="20"/>
              </w:rPr>
              <w:t>Proportion of working age population with higher level qualifications (</w:t>
            </w:r>
            <w:proofErr w:type="spellStart"/>
            <w:r w:rsidRPr="00117F40">
              <w:rPr>
                <w:rFonts w:ascii="Arial" w:hAnsi="Arial" w:cs="Arial"/>
                <w:sz w:val="20"/>
                <w:szCs w:val="20"/>
              </w:rPr>
              <w:t>AQF</w:t>
            </w:r>
            <w:proofErr w:type="spellEnd"/>
            <w:r w:rsidRPr="00117F40">
              <w:rPr>
                <w:rFonts w:ascii="Arial" w:hAnsi="Arial" w:cs="Arial"/>
                <w:sz w:val="20"/>
                <w:szCs w:val="20"/>
              </w:rPr>
              <w:t xml:space="preserve"> Certificate III and above), by age, by State and Territory, 2008   </w:t>
            </w:r>
          </w:p>
        </w:tc>
      </w:tr>
      <w:tr w:rsidR="00117F40" w:rsidRPr="00117F40" w:rsidTr="00117F40">
        <w:trPr>
          <w:trHeight w:val="612"/>
        </w:trPr>
        <w:tc>
          <w:tcPr>
            <w:tcW w:w="1940" w:type="dxa"/>
            <w:shd w:val="clear" w:color="auto" w:fill="auto"/>
            <w:noWrap/>
            <w:hideMark/>
          </w:tcPr>
          <w:p w:rsidR="00117F40" w:rsidRPr="00117F40" w:rsidRDefault="00117F40" w:rsidP="00117F40">
            <w:pPr>
              <w:rPr>
                <w:rFonts w:ascii="Arial" w:hAnsi="Arial" w:cs="Arial"/>
                <w:b/>
                <w:bCs/>
                <w:sz w:val="20"/>
                <w:szCs w:val="20"/>
              </w:rPr>
            </w:pPr>
            <w:r w:rsidRPr="00117F40">
              <w:rPr>
                <w:rFonts w:ascii="Arial" w:hAnsi="Arial" w:cs="Arial"/>
                <w:b/>
                <w:bCs/>
                <w:sz w:val="20"/>
                <w:szCs w:val="20"/>
              </w:rPr>
              <w:t xml:space="preserve">Table </w:t>
            </w:r>
            <w:proofErr w:type="spellStart"/>
            <w:r w:rsidRPr="00117F40">
              <w:rPr>
                <w:rFonts w:ascii="Arial" w:hAnsi="Arial" w:cs="Arial"/>
                <w:b/>
                <w:bCs/>
                <w:sz w:val="20"/>
                <w:szCs w:val="20"/>
              </w:rPr>
              <w:t>SWD.1.24</w:t>
            </w:r>
            <w:proofErr w:type="spellEnd"/>
          </w:p>
        </w:tc>
        <w:tc>
          <w:tcPr>
            <w:tcW w:w="6864" w:type="dxa"/>
            <w:shd w:val="clear" w:color="auto" w:fill="auto"/>
            <w:hideMark/>
          </w:tcPr>
          <w:p w:rsidR="00117F40" w:rsidRPr="00117F40" w:rsidRDefault="00117F40" w:rsidP="00117F40">
            <w:pPr>
              <w:jc w:val="both"/>
              <w:rPr>
                <w:rFonts w:ascii="Arial" w:hAnsi="Arial" w:cs="Arial"/>
                <w:sz w:val="20"/>
                <w:szCs w:val="20"/>
              </w:rPr>
            </w:pPr>
            <w:r w:rsidRPr="00117F40">
              <w:rPr>
                <w:rFonts w:ascii="Arial" w:hAnsi="Arial" w:cs="Arial"/>
                <w:sz w:val="20"/>
                <w:szCs w:val="20"/>
              </w:rPr>
              <w:t>Proportion of working age population with higher level qualifications (</w:t>
            </w:r>
            <w:proofErr w:type="spellStart"/>
            <w:r w:rsidRPr="00117F40">
              <w:rPr>
                <w:rFonts w:ascii="Arial" w:hAnsi="Arial" w:cs="Arial"/>
                <w:sz w:val="20"/>
                <w:szCs w:val="20"/>
              </w:rPr>
              <w:t>AQF</w:t>
            </w:r>
            <w:proofErr w:type="spellEnd"/>
            <w:r w:rsidRPr="00117F40">
              <w:rPr>
                <w:rFonts w:ascii="Arial" w:hAnsi="Arial" w:cs="Arial"/>
                <w:sz w:val="20"/>
                <w:szCs w:val="20"/>
              </w:rPr>
              <w:t xml:space="preserve"> Certificate III and above), by age, by State and Territory, 2007   </w:t>
            </w:r>
          </w:p>
        </w:tc>
      </w:tr>
      <w:tr w:rsidR="00117F40" w:rsidRPr="00117F40" w:rsidTr="00117F40">
        <w:trPr>
          <w:trHeight w:val="867"/>
        </w:trPr>
        <w:tc>
          <w:tcPr>
            <w:tcW w:w="1940" w:type="dxa"/>
            <w:shd w:val="clear" w:color="auto" w:fill="auto"/>
            <w:noWrap/>
            <w:hideMark/>
          </w:tcPr>
          <w:p w:rsidR="00117F40" w:rsidRPr="00117F40" w:rsidRDefault="00117F40" w:rsidP="00117F40">
            <w:pPr>
              <w:rPr>
                <w:rFonts w:ascii="Arial" w:hAnsi="Arial" w:cs="Arial"/>
                <w:b/>
                <w:bCs/>
                <w:sz w:val="20"/>
                <w:szCs w:val="20"/>
              </w:rPr>
            </w:pPr>
            <w:r w:rsidRPr="00117F40">
              <w:rPr>
                <w:rFonts w:ascii="Arial" w:hAnsi="Arial" w:cs="Arial"/>
                <w:b/>
                <w:bCs/>
                <w:sz w:val="20"/>
                <w:szCs w:val="20"/>
              </w:rPr>
              <w:t xml:space="preserve">Table </w:t>
            </w:r>
            <w:proofErr w:type="spellStart"/>
            <w:r w:rsidRPr="00117F40">
              <w:rPr>
                <w:rFonts w:ascii="Arial" w:hAnsi="Arial" w:cs="Arial"/>
                <w:b/>
                <w:bCs/>
                <w:sz w:val="20"/>
                <w:szCs w:val="20"/>
              </w:rPr>
              <w:t>SWD.1.25</w:t>
            </w:r>
            <w:proofErr w:type="spellEnd"/>
          </w:p>
        </w:tc>
        <w:tc>
          <w:tcPr>
            <w:tcW w:w="6864" w:type="dxa"/>
            <w:shd w:val="clear" w:color="auto" w:fill="auto"/>
            <w:hideMark/>
          </w:tcPr>
          <w:p w:rsidR="00117F40" w:rsidRPr="00117F40" w:rsidRDefault="00117F40" w:rsidP="00117F40">
            <w:pPr>
              <w:jc w:val="both"/>
              <w:rPr>
                <w:rFonts w:ascii="Arial" w:hAnsi="Arial" w:cs="Arial"/>
                <w:sz w:val="20"/>
                <w:szCs w:val="20"/>
              </w:rPr>
            </w:pPr>
            <w:r w:rsidRPr="00117F40">
              <w:rPr>
                <w:rFonts w:ascii="Arial" w:hAnsi="Arial" w:cs="Arial"/>
                <w:sz w:val="20"/>
                <w:szCs w:val="20"/>
              </w:rPr>
              <w:t>Proportion of working age population with higher level qualifications (</w:t>
            </w:r>
            <w:proofErr w:type="spellStart"/>
            <w:r w:rsidRPr="00117F40">
              <w:rPr>
                <w:rFonts w:ascii="Arial" w:hAnsi="Arial" w:cs="Arial"/>
                <w:sz w:val="20"/>
                <w:szCs w:val="20"/>
              </w:rPr>
              <w:t>AQF</w:t>
            </w:r>
            <w:proofErr w:type="spellEnd"/>
            <w:r w:rsidRPr="00117F40">
              <w:rPr>
                <w:rFonts w:ascii="Arial" w:hAnsi="Arial" w:cs="Arial"/>
                <w:sz w:val="20"/>
                <w:szCs w:val="20"/>
              </w:rPr>
              <w:t xml:space="preserve"> Certificate III level and above), by qualification level, by State and Territory, 2013    </w:t>
            </w:r>
          </w:p>
        </w:tc>
      </w:tr>
      <w:tr w:rsidR="00117F40" w:rsidRPr="00117F40" w:rsidTr="00117F40">
        <w:trPr>
          <w:trHeight w:val="867"/>
        </w:trPr>
        <w:tc>
          <w:tcPr>
            <w:tcW w:w="1940" w:type="dxa"/>
            <w:shd w:val="clear" w:color="auto" w:fill="auto"/>
            <w:noWrap/>
            <w:hideMark/>
          </w:tcPr>
          <w:p w:rsidR="00117F40" w:rsidRPr="00117F40" w:rsidRDefault="00117F40" w:rsidP="00117F40">
            <w:pPr>
              <w:rPr>
                <w:rFonts w:ascii="Arial" w:hAnsi="Arial" w:cs="Arial"/>
                <w:b/>
                <w:bCs/>
                <w:sz w:val="20"/>
                <w:szCs w:val="20"/>
              </w:rPr>
            </w:pPr>
            <w:r w:rsidRPr="00117F40">
              <w:rPr>
                <w:rFonts w:ascii="Arial" w:hAnsi="Arial" w:cs="Arial"/>
                <w:b/>
                <w:bCs/>
                <w:sz w:val="20"/>
                <w:szCs w:val="20"/>
              </w:rPr>
              <w:t xml:space="preserve">Table </w:t>
            </w:r>
            <w:proofErr w:type="spellStart"/>
            <w:r w:rsidRPr="00117F40">
              <w:rPr>
                <w:rFonts w:ascii="Arial" w:hAnsi="Arial" w:cs="Arial"/>
                <w:b/>
                <w:bCs/>
                <w:sz w:val="20"/>
                <w:szCs w:val="20"/>
              </w:rPr>
              <w:t>SWD.1.26</w:t>
            </w:r>
            <w:proofErr w:type="spellEnd"/>
          </w:p>
        </w:tc>
        <w:tc>
          <w:tcPr>
            <w:tcW w:w="6864" w:type="dxa"/>
            <w:shd w:val="clear" w:color="auto" w:fill="auto"/>
            <w:hideMark/>
          </w:tcPr>
          <w:p w:rsidR="00117F40" w:rsidRPr="00117F40" w:rsidRDefault="00117F40" w:rsidP="00117F40">
            <w:pPr>
              <w:jc w:val="both"/>
              <w:rPr>
                <w:rFonts w:ascii="Arial" w:hAnsi="Arial" w:cs="Arial"/>
                <w:sz w:val="20"/>
                <w:szCs w:val="20"/>
              </w:rPr>
            </w:pPr>
            <w:r w:rsidRPr="00117F40">
              <w:rPr>
                <w:rFonts w:ascii="Arial" w:hAnsi="Arial" w:cs="Arial"/>
                <w:sz w:val="20"/>
                <w:szCs w:val="20"/>
              </w:rPr>
              <w:t>Proportion of working age population with higher level qualifications (</w:t>
            </w:r>
            <w:proofErr w:type="spellStart"/>
            <w:r w:rsidRPr="00117F40">
              <w:rPr>
                <w:rFonts w:ascii="Arial" w:hAnsi="Arial" w:cs="Arial"/>
                <w:sz w:val="20"/>
                <w:szCs w:val="20"/>
              </w:rPr>
              <w:t>AQF</w:t>
            </w:r>
            <w:proofErr w:type="spellEnd"/>
            <w:r w:rsidRPr="00117F40">
              <w:rPr>
                <w:rFonts w:ascii="Arial" w:hAnsi="Arial" w:cs="Arial"/>
                <w:sz w:val="20"/>
                <w:szCs w:val="20"/>
              </w:rPr>
              <w:t xml:space="preserve"> Certificate III level and above), by qualification level, by State and Territory, 2012    </w:t>
            </w:r>
          </w:p>
        </w:tc>
      </w:tr>
      <w:tr w:rsidR="00117F40" w:rsidRPr="00117F40" w:rsidTr="00117F40">
        <w:trPr>
          <w:trHeight w:val="867"/>
        </w:trPr>
        <w:tc>
          <w:tcPr>
            <w:tcW w:w="1940" w:type="dxa"/>
            <w:shd w:val="clear" w:color="auto" w:fill="auto"/>
            <w:noWrap/>
            <w:hideMark/>
          </w:tcPr>
          <w:p w:rsidR="00117F40" w:rsidRPr="00117F40" w:rsidRDefault="00117F40" w:rsidP="00117F40">
            <w:pPr>
              <w:rPr>
                <w:rFonts w:ascii="Arial" w:hAnsi="Arial" w:cs="Arial"/>
                <w:b/>
                <w:bCs/>
                <w:sz w:val="20"/>
                <w:szCs w:val="20"/>
              </w:rPr>
            </w:pPr>
            <w:r w:rsidRPr="00117F40">
              <w:rPr>
                <w:rFonts w:ascii="Arial" w:hAnsi="Arial" w:cs="Arial"/>
                <w:b/>
                <w:bCs/>
                <w:sz w:val="20"/>
                <w:szCs w:val="20"/>
              </w:rPr>
              <w:t xml:space="preserve">Table </w:t>
            </w:r>
            <w:proofErr w:type="spellStart"/>
            <w:r w:rsidRPr="00117F40">
              <w:rPr>
                <w:rFonts w:ascii="Arial" w:hAnsi="Arial" w:cs="Arial"/>
                <w:b/>
                <w:bCs/>
                <w:sz w:val="20"/>
                <w:szCs w:val="20"/>
              </w:rPr>
              <w:t>SWD.1.27</w:t>
            </w:r>
            <w:proofErr w:type="spellEnd"/>
          </w:p>
        </w:tc>
        <w:tc>
          <w:tcPr>
            <w:tcW w:w="6864" w:type="dxa"/>
            <w:shd w:val="clear" w:color="auto" w:fill="auto"/>
            <w:hideMark/>
          </w:tcPr>
          <w:p w:rsidR="00117F40" w:rsidRPr="00117F40" w:rsidRDefault="00117F40" w:rsidP="00117F40">
            <w:pPr>
              <w:jc w:val="both"/>
              <w:rPr>
                <w:rFonts w:ascii="Arial" w:hAnsi="Arial" w:cs="Arial"/>
                <w:sz w:val="20"/>
                <w:szCs w:val="20"/>
              </w:rPr>
            </w:pPr>
            <w:r w:rsidRPr="00117F40">
              <w:rPr>
                <w:rFonts w:ascii="Arial" w:hAnsi="Arial" w:cs="Arial"/>
                <w:sz w:val="20"/>
                <w:szCs w:val="20"/>
              </w:rPr>
              <w:t>Proportion of working age population with higher level qualifications (</w:t>
            </w:r>
            <w:proofErr w:type="spellStart"/>
            <w:r w:rsidRPr="00117F40">
              <w:rPr>
                <w:rFonts w:ascii="Arial" w:hAnsi="Arial" w:cs="Arial"/>
                <w:sz w:val="20"/>
                <w:szCs w:val="20"/>
              </w:rPr>
              <w:t>AQF</w:t>
            </w:r>
            <w:proofErr w:type="spellEnd"/>
            <w:r w:rsidRPr="00117F40">
              <w:rPr>
                <w:rFonts w:ascii="Arial" w:hAnsi="Arial" w:cs="Arial"/>
                <w:sz w:val="20"/>
                <w:szCs w:val="20"/>
              </w:rPr>
              <w:t xml:space="preserve"> Certificate III level and above), by qualification level, by State and Territory, 2011    </w:t>
            </w:r>
          </w:p>
        </w:tc>
      </w:tr>
      <w:tr w:rsidR="00117F40" w:rsidRPr="00117F40" w:rsidTr="00117F40">
        <w:trPr>
          <w:trHeight w:val="867"/>
        </w:trPr>
        <w:tc>
          <w:tcPr>
            <w:tcW w:w="1940" w:type="dxa"/>
            <w:shd w:val="clear" w:color="auto" w:fill="auto"/>
            <w:noWrap/>
            <w:hideMark/>
          </w:tcPr>
          <w:p w:rsidR="00117F40" w:rsidRPr="00117F40" w:rsidRDefault="00117F40" w:rsidP="00117F40">
            <w:pPr>
              <w:rPr>
                <w:rFonts w:ascii="Arial" w:hAnsi="Arial" w:cs="Arial"/>
                <w:b/>
                <w:bCs/>
                <w:sz w:val="20"/>
                <w:szCs w:val="20"/>
              </w:rPr>
            </w:pPr>
            <w:r w:rsidRPr="00117F40">
              <w:rPr>
                <w:rFonts w:ascii="Arial" w:hAnsi="Arial" w:cs="Arial"/>
                <w:b/>
                <w:bCs/>
                <w:sz w:val="20"/>
                <w:szCs w:val="20"/>
              </w:rPr>
              <w:t xml:space="preserve">Table </w:t>
            </w:r>
            <w:proofErr w:type="spellStart"/>
            <w:r w:rsidRPr="00117F40">
              <w:rPr>
                <w:rFonts w:ascii="Arial" w:hAnsi="Arial" w:cs="Arial"/>
                <w:b/>
                <w:bCs/>
                <w:sz w:val="20"/>
                <w:szCs w:val="20"/>
              </w:rPr>
              <w:t>SWD.1.28</w:t>
            </w:r>
            <w:proofErr w:type="spellEnd"/>
          </w:p>
        </w:tc>
        <w:tc>
          <w:tcPr>
            <w:tcW w:w="6864" w:type="dxa"/>
            <w:shd w:val="clear" w:color="auto" w:fill="auto"/>
            <w:hideMark/>
          </w:tcPr>
          <w:p w:rsidR="00117F40" w:rsidRPr="00117F40" w:rsidRDefault="00117F40" w:rsidP="00117F40">
            <w:pPr>
              <w:jc w:val="both"/>
              <w:rPr>
                <w:rFonts w:ascii="Arial" w:hAnsi="Arial" w:cs="Arial"/>
                <w:sz w:val="20"/>
                <w:szCs w:val="20"/>
              </w:rPr>
            </w:pPr>
            <w:r w:rsidRPr="00117F40">
              <w:rPr>
                <w:rFonts w:ascii="Arial" w:hAnsi="Arial" w:cs="Arial"/>
                <w:sz w:val="20"/>
                <w:szCs w:val="20"/>
              </w:rPr>
              <w:t>Proportion of working age population with higher level qualifications (</w:t>
            </w:r>
            <w:proofErr w:type="spellStart"/>
            <w:r w:rsidRPr="00117F40">
              <w:rPr>
                <w:rFonts w:ascii="Arial" w:hAnsi="Arial" w:cs="Arial"/>
                <w:sz w:val="20"/>
                <w:szCs w:val="20"/>
              </w:rPr>
              <w:t>AQF</w:t>
            </w:r>
            <w:proofErr w:type="spellEnd"/>
            <w:r w:rsidRPr="00117F40">
              <w:rPr>
                <w:rFonts w:ascii="Arial" w:hAnsi="Arial" w:cs="Arial"/>
                <w:sz w:val="20"/>
                <w:szCs w:val="20"/>
              </w:rPr>
              <w:t xml:space="preserve"> Certificate III level and above), by qualification level, by State and Territory, 2010    </w:t>
            </w:r>
          </w:p>
        </w:tc>
      </w:tr>
      <w:tr w:rsidR="00117F40" w:rsidRPr="00117F40" w:rsidTr="00117F40">
        <w:trPr>
          <w:trHeight w:val="867"/>
        </w:trPr>
        <w:tc>
          <w:tcPr>
            <w:tcW w:w="1940" w:type="dxa"/>
            <w:shd w:val="clear" w:color="auto" w:fill="auto"/>
            <w:noWrap/>
            <w:hideMark/>
          </w:tcPr>
          <w:p w:rsidR="00117F40" w:rsidRPr="00117F40" w:rsidRDefault="00117F40" w:rsidP="00117F40">
            <w:pPr>
              <w:rPr>
                <w:rFonts w:ascii="Arial" w:hAnsi="Arial" w:cs="Arial"/>
                <w:b/>
                <w:bCs/>
                <w:sz w:val="20"/>
                <w:szCs w:val="20"/>
              </w:rPr>
            </w:pPr>
            <w:r w:rsidRPr="00117F40">
              <w:rPr>
                <w:rFonts w:ascii="Arial" w:hAnsi="Arial" w:cs="Arial"/>
                <w:b/>
                <w:bCs/>
                <w:sz w:val="20"/>
                <w:szCs w:val="20"/>
              </w:rPr>
              <w:t xml:space="preserve">Table </w:t>
            </w:r>
            <w:proofErr w:type="spellStart"/>
            <w:r w:rsidRPr="00117F40">
              <w:rPr>
                <w:rFonts w:ascii="Arial" w:hAnsi="Arial" w:cs="Arial"/>
                <w:b/>
                <w:bCs/>
                <w:sz w:val="20"/>
                <w:szCs w:val="20"/>
              </w:rPr>
              <w:t>SWD.1.29</w:t>
            </w:r>
            <w:proofErr w:type="spellEnd"/>
          </w:p>
        </w:tc>
        <w:tc>
          <w:tcPr>
            <w:tcW w:w="6864" w:type="dxa"/>
            <w:shd w:val="clear" w:color="auto" w:fill="auto"/>
            <w:hideMark/>
          </w:tcPr>
          <w:p w:rsidR="00117F40" w:rsidRPr="00117F40" w:rsidRDefault="00117F40" w:rsidP="00117F40">
            <w:pPr>
              <w:jc w:val="both"/>
              <w:rPr>
                <w:rFonts w:ascii="Arial" w:hAnsi="Arial" w:cs="Arial"/>
                <w:sz w:val="20"/>
                <w:szCs w:val="20"/>
              </w:rPr>
            </w:pPr>
            <w:r w:rsidRPr="00117F40">
              <w:rPr>
                <w:rFonts w:ascii="Arial" w:hAnsi="Arial" w:cs="Arial"/>
                <w:sz w:val="20"/>
                <w:szCs w:val="20"/>
              </w:rPr>
              <w:t>Proportion of working age population with higher level qualifications (</w:t>
            </w:r>
            <w:proofErr w:type="spellStart"/>
            <w:r w:rsidRPr="00117F40">
              <w:rPr>
                <w:rFonts w:ascii="Arial" w:hAnsi="Arial" w:cs="Arial"/>
                <w:sz w:val="20"/>
                <w:szCs w:val="20"/>
              </w:rPr>
              <w:t>AQF</w:t>
            </w:r>
            <w:proofErr w:type="spellEnd"/>
            <w:r w:rsidRPr="00117F40">
              <w:rPr>
                <w:rFonts w:ascii="Arial" w:hAnsi="Arial" w:cs="Arial"/>
                <w:sz w:val="20"/>
                <w:szCs w:val="20"/>
              </w:rPr>
              <w:t xml:space="preserve"> Certificate III level and above), by qualification level, by State and Territory, 2009    </w:t>
            </w:r>
          </w:p>
        </w:tc>
      </w:tr>
      <w:tr w:rsidR="00117F40" w:rsidRPr="00117F40" w:rsidTr="00117F40">
        <w:trPr>
          <w:trHeight w:val="867"/>
        </w:trPr>
        <w:tc>
          <w:tcPr>
            <w:tcW w:w="1940" w:type="dxa"/>
            <w:shd w:val="clear" w:color="auto" w:fill="auto"/>
            <w:noWrap/>
            <w:hideMark/>
          </w:tcPr>
          <w:p w:rsidR="00117F40" w:rsidRPr="00117F40" w:rsidRDefault="00117F40" w:rsidP="00117F40">
            <w:pPr>
              <w:rPr>
                <w:rFonts w:ascii="Arial" w:hAnsi="Arial" w:cs="Arial"/>
                <w:b/>
                <w:bCs/>
                <w:sz w:val="20"/>
                <w:szCs w:val="20"/>
              </w:rPr>
            </w:pPr>
            <w:r w:rsidRPr="00117F40">
              <w:rPr>
                <w:rFonts w:ascii="Arial" w:hAnsi="Arial" w:cs="Arial"/>
                <w:b/>
                <w:bCs/>
                <w:sz w:val="20"/>
                <w:szCs w:val="20"/>
              </w:rPr>
              <w:t xml:space="preserve">Table </w:t>
            </w:r>
            <w:proofErr w:type="spellStart"/>
            <w:r w:rsidRPr="00117F40">
              <w:rPr>
                <w:rFonts w:ascii="Arial" w:hAnsi="Arial" w:cs="Arial"/>
                <w:b/>
                <w:bCs/>
                <w:sz w:val="20"/>
                <w:szCs w:val="20"/>
              </w:rPr>
              <w:t>SWD.1.30</w:t>
            </w:r>
            <w:proofErr w:type="spellEnd"/>
          </w:p>
        </w:tc>
        <w:tc>
          <w:tcPr>
            <w:tcW w:w="6864" w:type="dxa"/>
            <w:shd w:val="clear" w:color="auto" w:fill="auto"/>
            <w:hideMark/>
          </w:tcPr>
          <w:p w:rsidR="00117F40" w:rsidRPr="00117F40" w:rsidRDefault="00117F40" w:rsidP="00117F40">
            <w:pPr>
              <w:jc w:val="both"/>
              <w:rPr>
                <w:rFonts w:ascii="Arial" w:hAnsi="Arial" w:cs="Arial"/>
                <w:sz w:val="20"/>
                <w:szCs w:val="20"/>
              </w:rPr>
            </w:pPr>
            <w:r w:rsidRPr="00117F40">
              <w:rPr>
                <w:rFonts w:ascii="Arial" w:hAnsi="Arial" w:cs="Arial"/>
                <w:sz w:val="20"/>
                <w:szCs w:val="20"/>
              </w:rPr>
              <w:t>Proportion of working age population with higher level qualifications (</w:t>
            </w:r>
            <w:proofErr w:type="spellStart"/>
            <w:r w:rsidRPr="00117F40">
              <w:rPr>
                <w:rFonts w:ascii="Arial" w:hAnsi="Arial" w:cs="Arial"/>
                <w:sz w:val="20"/>
                <w:szCs w:val="20"/>
              </w:rPr>
              <w:t>AQF</w:t>
            </w:r>
            <w:proofErr w:type="spellEnd"/>
            <w:r w:rsidRPr="00117F40">
              <w:rPr>
                <w:rFonts w:ascii="Arial" w:hAnsi="Arial" w:cs="Arial"/>
                <w:sz w:val="20"/>
                <w:szCs w:val="20"/>
              </w:rPr>
              <w:t xml:space="preserve"> Certificate III level and above), by qualification level, by State and Territory, 2008    </w:t>
            </w:r>
          </w:p>
        </w:tc>
      </w:tr>
      <w:tr w:rsidR="00117F40" w:rsidRPr="00117F40" w:rsidTr="00117F40">
        <w:trPr>
          <w:trHeight w:val="867"/>
        </w:trPr>
        <w:tc>
          <w:tcPr>
            <w:tcW w:w="1940" w:type="dxa"/>
            <w:shd w:val="clear" w:color="auto" w:fill="auto"/>
            <w:noWrap/>
            <w:hideMark/>
          </w:tcPr>
          <w:p w:rsidR="00117F40" w:rsidRPr="00117F40" w:rsidRDefault="00117F40" w:rsidP="00117F40">
            <w:pPr>
              <w:rPr>
                <w:rFonts w:ascii="Arial" w:hAnsi="Arial" w:cs="Arial"/>
                <w:b/>
                <w:bCs/>
                <w:sz w:val="20"/>
                <w:szCs w:val="20"/>
              </w:rPr>
            </w:pPr>
            <w:r w:rsidRPr="00117F40">
              <w:rPr>
                <w:rFonts w:ascii="Arial" w:hAnsi="Arial" w:cs="Arial"/>
                <w:b/>
                <w:bCs/>
                <w:sz w:val="20"/>
                <w:szCs w:val="20"/>
              </w:rPr>
              <w:t xml:space="preserve">Table </w:t>
            </w:r>
            <w:proofErr w:type="spellStart"/>
            <w:r w:rsidRPr="00117F40">
              <w:rPr>
                <w:rFonts w:ascii="Arial" w:hAnsi="Arial" w:cs="Arial"/>
                <w:b/>
                <w:bCs/>
                <w:sz w:val="20"/>
                <w:szCs w:val="20"/>
              </w:rPr>
              <w:t>SWD.1.31</w:t>
            </w:r>
            <w:proofErr w:type="spellEnd"/>
          </w:p>
        </w:tc>
        <w:tc>
          <w:tcPr>
            <w:tcW w:w="6864" w:type="dxa"/>
            <w:shd w:val="clear" w:color="auto" w:fill="auto"/>
            <w:hideMark/>
          </w:tcPr>
          <w:p w:rsidR="00117F40" w:rsidRPr="00117F40" w:rsidRDefault="00117F40" w:rsidP="00117F40">
            <w:pPr>
              <w:jc w:val="both"/>
              <w:rPr>
                <w:rFonts w:ascii="Arial" w:hAnsi="Arial" w:cs="Arial"/>
                <w:sz w:val="20"/>
                <w:szCs w:val="20"/>
              </w:rPr>
            </w:pPr>
            <w:r w:rsidRPr="00117F40">
              <w:rPr>
                <w:rFonts w:ascii="Arial" w:hAnsi="Arial" w:cs="Arial"/>
                <w:sz w:val="20"/>
                <w:szCs w:val="20"/>
              </w:rPr>
              <w:t>Proportion of working age population with higher level qualifications (</w:t>
            </w:r>
            <w:proofErr w:type="spellStart"/>
            <w:r w:rsidRPr="00117F40">
              <w:rPr>
                <w:rFonts w:ascii="Arial" w:hAnsi="Arial" w:cs="Arial"/>
                <w:sz w:val="20"/>
                <w:szCs w:val="20"/>
              </w:rPr>
              <w:t>AQF</w:t>
            </w:r>
            <w:proofErr w:type="spellEnd"/>
            <w:r w:rsidRPr="00117F40">
              <w:rPr>
                <w:rFonts w:ascii="Arial" w:hAnsi="Arial" w:cs="Arial"/>
                <w:sz w:val="20"/>
                <w:szCs w:val="20"/>
              </w:rPr>
              <w:t xml:space="preserve"> Certificate III level and above), by qualification level, by State and Territory, 2007    </w:t>
            </w:r>
          </w:p>
        </w:tc>
      </w:tr>
    </w:tbl>
    <w:p w:rsidR="00117F40" w:rsidRPr="00117F40" w:rsidRDefault="00117F40" w:rsidP="00117F40">
      <w:pPr>
        <w:pStyle w:val="BodyText"/>
      </w:pPr>
    </w:p>
    <w:p w:rsidR="008864C2" w:rsidRDefault="008864C2" w:rsidP="00725CFC">
      <w:pPr>
        <w:pStyle w:val="BoxSpac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52286A">
        <w:tc>
          <w:tcPr>
            <w:tcW w:w="8771" w:type="dxa"/>
            <w:tcBorders>
              <w:top w:val="single" w:sz="6" w:space="0" w:color="auto"/>
              <w:bottom w:val="nil"/>
            </w:tcBorders>
          </w:tcPr>
          <w:p w:rsidR="0052286A" w:rsidRDefault="0052286A" w:rsidP="00482B04">
            <w:pPr>
              <w:pStyle w:val="BoxTitle"/>
            </w:pPr>
            <w:r>
              <w:rPr>
                <w:b w:val="0"/>
              </w:rPr>
              <w:t xml:space="preserve">Box </w:t>
            </w:r>
            <w:r w:rsidR="00482B04">
              <w:rPr>
                <w:b w:val="0"/>
              </w:rPr>
              <w:t>6</w:t>
            </w:r>
            <w:r>
              <w:tab/>
              <w:t>Comment on data quality</w:t>
            </w:r>
          </w:p>
        </w:tc>
      </w:tr>
      <w:tr w:rsidR="0052286A" w:rsidRPr="00207049">
        <w:trPr>
          <w:cantSplit/>
        </w:trPr>
        <w:tc>
          <w:tcPr>
            <w:tcW w:w="8771" w:type="dxa"/>
            <w:tcBorders>
              <w:top w:val="nil"/>
              <w:left w:val="single" w:sz="6" w:space="0" w:color="auto"/>
              <w:bottom w:val="nil"/>
              <w:right w:val="single" w:sz="6" w:space="0" w:color="auto"/>
            </w:tcBorders>
          </w:tcPr>
          <w:p w:rsidR="00877534" w:rsidRDefault="008D6D43" w:rsidP="008D6D43">
            <w:pPr>
              <w:pStyle w:val="Box"/>
            </w:pPr>
            <w:r>
              <w:t xml:space="preserve">The DQS for this performance indicator has been prepared by the ABS and is included in </w:t>
            </w:r>
            <w:r w:rsidR="00537DB8">
              <w:t xml:space="preserve">its </w:t>
            </w:r>
            <w:r>
              <w:t xml:space="preserve">original form in the section </w:t>
            </w:r>
            <w:r w:rsidR="00537DB8">
              <w:t xml:space="preserve">of </w:t>
            </w:r>
            <w:r>
              <w:t>this report titled ‘Data Quality Statements’. Key points from the DQS are summarised below:</w:t>
            </w:r>
          </w:p>
          <w:p w:rsidR="008D6D43" w:rsidRDefault="00B815D1" w:rsidP="00B815D1">
            <w:pPr>
              <w:pStyle w:val="BoxListBullet"/>
            </w:pPr>
            <w:r>
              <w:t xml:space="preserve">The data provide relevant information on the proportion of the population aged </w:t>
            </w:r>
            <w:r w:rsidR="00B4485E">
              <w:br/>
            </w:r>
            <w:r>
              <w:t>20</w:t>
            </w:r>
            <w:r w:rsidR="00651721">
              <w:t>–</w:t>
            </w:r>
            <w:r>
              <w:t xml:space="preserve">64 years with </w:t>
            </w:r>
            <w:proofErr w:type="spellStart"/>
            <w:r>
              <w:t>AQF</w:t>
            </w:r>
            <w:proofErr w:type="spellEnd"/>
            <w:r>
              <w:t xml:space="preserve"> qualifications at Certificate III level or above. </w:t>
            </w:r>
          </w:p>
          <w:p w:rsidR="00B4485E" w:rsidRDefault="004B340D" w:rsidP="00B4485E">
            <w:pPr>
              <w:pStyle w:val="BoxListBullet"/>
            </w:pPr>
            <w:r>
              <w:t>Data are available every five years from the Census (main data source) and annually from the Survey of Education and Work (SEW</w:t>
            </w:r>
            <w:r w:rsidR="00537DB8">
              <w:t>) (</w:t>
            </w:r>
            <w:r>
              <w:t xml:space="preserve">supplementary data </w:t>
            </w:r>
            <w:r w:rsidRPr="006C3993">
              <w:t xml:space="preserve">source). </w:t>
            </w:r>
            <w:r>
              <w:t>For this report</w:t>
            </w:r>
            <w:r w:rsidR="00537DB8">
              <w:t>,</w:t>
            </w:r>
            <w:r>
              <w:t xml:space="preserve"> data are available for 2013 from the </w:t>
            </w:r>
            <w:r w:rsidR="00337C1A">
              <w:t>SEW</w:t>
            </w:r>
            <w:r>
              <w:t>.</w:t>
            </w:r>
            <w:r w:rsidR="00337C1A" w:rsidRPr="006C3993">
              <w:t xml:space="preserve"> </w:t>
            </w:r>
          </w:p>
          <w:p w:rsidR="004B340D" w:rsidRDefault="00337C1A" w:rsidP="00B4485E">
            <w:pPr>
              <w:pStyle w:val="BoxListBullet"/>
            </w:pPr>
            <w:r w:rsidRPr="006C3993">
              <w:t>Data are available by State and Territory by Indigenous</w:t>
            </w:r>
            <w:r w:rsidR="00651721">
              <w:t xml:space="preserve"> status and</w:t>
            </w:r>
            <w:r w:rsidRPr="006C3993">
              <w:t xml:space="preserve"> socioeconomic status.</w:t>
            </w:r>
          </w:p>
          <w:p w:rsidR="004B340D" w:rsidRDefault="004B340D" w:rsidP="004B340D">
            <w:pPr>
              <w:pStyle w:val="BoxListBullet"/>
            </w:pPr>
            <w:r>
              <w:t>The SEW is generally able to measure small changes in performance at the national level but is not designed to measure changes at the jurisdictional level with the same level of accuracy.</w:t>
            </w:r>
            <w:r w:rsidR="00B4485E">
              <w:t xml:space="preserve"> Apparent differences in results between years may not be statistically significant. To assist in interpretation, 95 per cent confidence intervals and relative standard errors are provided.</w:t>
            </w:r>
          </w:p>
          <w:p w:rsidR="00112FF4" w:rsidRDefault="004B340D" w:rsidP="00112FF4">
            <w:pPr>
              <w:pStyle w:val="BoxListBullet"/>
            </w:pPr>
            <w:r>
              <w:t>The SEW excludes persons in Indigenous communities in very remote areas, which has a minor effect on estimates by State and Territory over time, except for the NT, where remote Indigenous communities account for about</w:t>
            </w:r>
            <w:r w:rsidR="00112FF4">
              <w:t xml:space="preserve"> 15 per cent of the population.</w:t>
            </w:r>
          </w:p>
          <w:p w:rsidR="00112FF4" w:rsidRDefault="00112FF4" w:rsidP="00112FF4">
            <w:pPr>
              <w:pStyle w:val="BoxListBullet"/>
            </w:pPr>
            <w:r w:rsidRPr="000B6325">
              <w:t>Prior to the 2013 SEW, people who were permanently unable to work (PUW) were excluded from the in-scope population. In 2013, the SEW scope was expanded to include the PUW population. However, to ensure that the indicator measure presented here is comparable over time, the PUW population has been excluded from these tables.</w:t>
            </w:r>
          </w:p>
          <w:p w:rsidR="00282146" w:rsidRDefault="00282146" w:rsidP="00282146">
            <w:pPr>
              <w:pStyle w:val="BoxListBullet"/>
            </w:pPr>
            <w:r w:rsidRPr="00597C41">
              <w:t xml:space="preserve">Data for Indigenous people </w:t>
            </w:r>
            <w:r>
              <w:t xml:space="preserve">are </w:t>
            </w:r>
            <w:r w:rsidRPr="00597C41">
              <w:t xml:space="preserve">available for 2012-13 </w:t>
            </w:r>
            <w:r w:rsidR="00537DB8">
              <w:t xml:space="preserve">from the </w:t>
            </w:r>
            <w:r w:rsidRPr="00597C41">
              <w:t>NATSIHS component of the AATSIHS</w:t>
            </w:r>
            <w:r w:rsidR="00537DB8">
              <w:t xml:space="preserve">. Comparator data for non-Indigenous people </w:t>
            </w:r>
            <w:r w:rsidR="00F379EA">
              <w:t>are</w:t>
            </w:r>
            <w:r w:rsidR="00537DB8">
              <w:t xml:space="preserve"> available for</w:t>
            </w:r>
            <w:r w:rsidRPr="00597C41">
              <w:t xml:space="preserve"> 2012 </w:t>
            </w:r>
            <w:r w:rsidR="00537DB8">
              <w:t xml:space="preserve">from the </w:t>
            </w:r>
            <w:r w:rsidRPr="00597C41">
              <w:t xml:space="preserve">SEW. </w:t>
            </w:r>
            <w:r>
              <w:t xml:space="preserve">While there are a range of differences </w:t>
            </w:r>
            <w:r w:rsidR="00F379EA">
              <w:t xml:space="preserve">between </w:t>
            </w:r>
            <w:r w:rsidR="004C7405">
              <w:t>these two collections</w:t>
            </w:r>
            <w:r>
              <w:t xml:space="preserve">, these </w:t>
            </w:r>
            <w:r w:rsidR="004C7405">
              <w:t xml:space="preserve">differences </w:t>
            </w:r>
            <w:r>
              <w:t xml:space="preserve">do not affect their broad comparability for this performance indicator. </w:t>
            </w:r>
          </w:p>
          <w:p w:rsidR="00651721" w:rsidRDefault="004C7405" w:rsidP="008415BD">
            <w:pPr>
              <w:pStyle w:val="BoxListBullet"/>
            </w:pPr>
            <w:r>
              <w:t xml:space="preserve">Caution should be exercised in </w:t>
            </w:r>
            <w:r w:rsidR="00651721">
              <w:t>comparing SEW data in this report with Census data in previous reports</w:t>
            </w:r>
            <w:r>
              <w:t>, as</w:t>
            </w:r>
            <w:r w:rsidR="00651721">
              <w:t xml:space="preserve"> the</w:t>
            </w:r>
            <w:r>
              <w:t xml:space="preserve"> two collections have </w:t>
            </w:r>
            <w:r w:rsidR="00651721">
              <w:t>differences in scope, coverage, timing and collection methods. Additional information is available in the 2012 NASWD performance report.</w:t>
            </w:r>
          </w:p>
          <w:p w:rsidR="00282146" w:rsidRDefault="004B340D" w:rsidP="00112FF4">
            <w:pPr>
              <w:pStyle w:val="BoxListBullet"/>
            </w:pPr>
            <w:r>
              <w:t xml:space="preserve">Detailed explanatory notes are publicly available to assist in the interpretation of results. </w:t>
            </w:r>
            <w:r w:rsidR="00E559C8">
              <w:t>Additional data from the data source are avai</w:t>
            </w:r>
            <w:r w:rsidR="00112FF4">
              <w:t xml:space="preserve">lable </w:t>
            </w:r>
            <w:proofErr w:type="spellStart"/>
            <w:r w:rsidR="00112FF4">
              <w:t>on-line</w:t>
            </w:r>
            <w:proofErr w:type="spellEnd"/>
            <w:r w:rsidR="00112FF4">
              <w:t xml:space="preserve">, and on request. </w:t>
            </w:r>
          </w:p>
          <w:p w:rsidR="00112FF4" w:rsidRPr="00207049" w:rsidRDefault="00112FF4" w:rsidP="00112FF4">
            <w:pPr>
              <w:pStyle w:val="Continued"/>
            </w:pPr>
            <w:r>
              <w:t>(continued next page)</w:t>
            </w:r>
          </w:p>
        </w:tc>
      </w:tr>
      <w:tr w:rsidR="0052286A">
        <w:trPr>
          <w:cantSplit/>
        </w:trPr>
        <w:tc>
          <w:tcPr>
            <w:tcW w:w="8771" w:type="dxa"/>
            <w:tcBorders>
              <w:top w:val="nil"/>
              <w:left w:val="single" w:sz="6" w:space="0" w:color="auto"/>
              <w:bottom w:val="single" w:sz="6" w:space="0" w:color="auto"/>
              <w:right w:val="single" w:sz="6" w:space="0" w:color="auto"/>
            </w:tcBorders>
          </w:tcPr>
          <w:p w:rsidR="0052286A" w:rsidRDefault="0052286A" w:rsidP="00725CFC">
            <w:pPr>
              <w:pStyle w:val="Box"/>
              <w:spacing w:before="0" w:line="120" w:lineRule="exact"/>
            </w:pPr>
          </w:p>
        </w:tc>
      </w:tr>
      <w:tr w:rsidR="0052286A">
        <w:tc>
          <w:tcPr>
            <w:tcW w:w="8771" w:type="dxa"/>
            <w:tcBorders>
              <w:top w:val="nil"/>
              <w:left w:val="nil"/>
              <w:bottom w:val="nil"/>
              <w:right w:val="nil"/>
            </w:tcBorders>
          </w:tcPr>
          <w:p w:rsidR="0052286A" w:rsidRDefault="0052286A" w:rsidP="00725CFC">
            <w:pPr>
              <w:pStyle w:val="Box"/>
              <w:keepNext w:val="0"/>
              <w:spacing w:before="60" w:after="60" w:line="80" w:lineRule="exact"/>
              <w:rPr>
                <w:b/>
                <w:color w:val="FF00FF"/>
                <w:sz w:val="14"/>
              </w:rPr>
            </w:pPr>
          </w:p>
        </w:tc>
      </w:tr>
    </w:tbl>
    <w:p w:rsidR="00112FF4" w:rsidRDefault="00112FF4" w:rsidP="00112FF4">
      <w:pPr>
        <w:pStyle w:val="BoxSpaceAbove"/>
      </w:pPr>
      <w:bookmarkStart w:id="20" w:name="_Ref328392136"/>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112FF4" w:rsidTr="00B85641">
        <w:tc>
          <w:tcPr>
            <w:tcW w:w="8771" w:type="dxa"/>
            <w:tcBorders>
              <w:top w:val="single" w:sz="6" w:space="0" w:color="auto"/>
              <w:bottom w:val="nil"/>
            </w:tcBorders>
          </w:tcPr>
          <w:p w:rsidR="00112FF4" w:rsidRDefault="00112FF4" w:rsidP="00112FF4">
            <w:pPr>
              <w:pStyle w:val="BoxTitle"/>
            </w:pPr>
            <w:r>
              <w:rPr>
                <w:b w:val="0"/>
              </w:rPr>
              <w:t>Box 6</w:t>
            </w:r>
            <w:r>
              <w:tab/>
            </w:r>
            <w:r w:rsidRPr="00112FF4">
              <w:rPr>
                <w:b w:val="0"/>
              </w:rPr>
              <w:t>(continued)</w:t>
            </w:r>
          </w:p>
        </w:tc>
      </w:tr>
      <w:tr w:rsidR="00112FF4" w:rsidRPr="00207049" w:rsidTr="00B85641">
        <w:trPr>
          <w:cantSplit/>
        </w:trPr>
        <w:tc>
          <w:tcPr>
            <w:tcW w:w="8771" w:type="dxa"/>
            <w:tcBorders>
              <w:top w:val="nil"/>
              <w:left w:val="single" w:sz="6" w:space="0" w:color="auto"/>
              <w:bottom w:val="nil"/>
              <w:right w:val="single" w:sz="6" w:space="0" w:color="auto"/>
            </w:tcBorders>
          </w:tcPr>
          <w:p w:rsidR="00112FF4" w:rsidRDefault="00112FF4" w:rsidP="00B85641">
            <w:pPr>
              <w:pStyle w:val="Box"/>
            </w:pPr>
            <w:r>
              <w:t>The Steering Committee also notes the following issues:</w:t>
            </w:r>
          </w:p>
          <w:p w:rsidR="00112FF4" w:rsidRDefault="00112FF4" w:rsidP="00B85641">
            <w:pPr>
              <w:pStyle w:val="BoxListBullet"/>
            </w:pPr>
            <w:r w:rsidRPr="000B6325">
              <w:t>The Steering Committee recommends that further analysis be conducted to determine whether future reports should include the PUW population for this indicator.</w:t>
            </w:r>
          </w:p>
          <w:p w:rsidR="00112FF4" w:rsidRDefault="00112FF4" w:rsidP="00B85641">
            <w:pPr>
              <w:pStyle w:val="BoxListBullet"/>
            </w:pPr>
            <w:r w:rsidRPr="00FE1905">
              <w:t xml:space="preserve">Data reported by socioeconomic status </w:t>
            </w:r>
            <w:r>
              <w:t xml:space="preserve">from </w:t>
            </w:r>
            <w:r w:rsidRPr="00FE1905">
              <w:t>2012</w:t>
            </w:r>
            <w:r>
              <w:t xml:space="preserve"> onwards</w:t>
            </w:r>
            <w:r w:rsidRPr="00FE1905">
              <w:t xml:space="preserve"> ar</w:t>
            </w:r>
            <w:r>
              <w:t>e based on the 2011 SEIFA classification (data for prior years were based on the 2006 SEIFA classification)</w:t>
            </w:r>
            <w:r w:rsidRPr="00FE1905">
              <w:t>.</w:t>
            </w:r>
            <w:r>
              <w:t xml:space="preserve"> Caution should be used in interpreting change over time.</w:t>
            </w:r>
            <w:r w:rsidRPr="00FE1905">
              <w:t xml:space="preserve"> </w:t>
            </w:r>
          </w:p>
          <w:p w:rsidR="00112FF4" w:rsidRDefault="00112FF4" w:rsidP="00B85641">
            <w:pPr>
              <w:pStyle w:val="BoxListBullet"/>
            </w:pPr>
            <w:r>
              <w:t xml:space="preserve">Different definitions of ‘working age population’ are used in different reporting contexts. For the purpose of NASWD performance reporting, ‘working age population’ is defined as people aged 20–64 years, for consistency of reporting across NASWD targets and indicators. </w:t>
            </w:r>
          </w:p>
          <w:p w:rsidR="00112FF4" w:rsidRPr="00207049" w:rsidRDefault="00112FF4" w:rsidP="00B85641">
            <w:pPr>
              <w:pStyle w:val="BoxListBullet"/>
            </w:pPr>
            <w:r>
              <w:t>NATSIHS data in this report are preliminary. Final data are anticipated to be available in June 2014.</w:t>
            </w:r>
          </w:p>
        </w:tc>
      </w:tr>
      <w:tr w:rsidR="00112FF4" w:rsidTr="00B85641">
        <w:trPr>
          <w:cantSplit/>
        </w:trPr>
        <w:tc>
          <w:tcPr>
            <w:tcW w:w="8771" w:type="dxa"/>
            <w:tcBorders>
              <w:top w:val="nil"/>
              <w:left w:val="single" w:sz="6" w:space="0" w:color="auto"/>
              <w:bottom w:val="single" w:sz="6" w:space="0" w:color="auto"/>
              <w:right w:val="single" w:sz="6" w:space="0" w:color="auto"/>
            </w:tcBorders>
          </w:tcPr>
          <w:p w:rsidR="00112FF4" w:rsidRDefault="00112FF4" w:rsidP="00B85641">
            <w:pPr>
              <w:pStyle w:val="Box"/>
              <w:spacing w:before="0" w:line="120" w:lineRule="exact"/>
            </w:pPr>
          </w:p>
        </w:tc>
      </w:tr>
    </w:tbl>
    <w:p w:rsidR="00112FF4" w:rsidRDefault="00112FF4" w:rsidP="00112FF4">
      <w:pPr>
        <w:pStyle w:val="BodyText"/>
        <w:rPr>
          <w:rFonts w:ascii="Arial" w:hAnsi="Arial"/>
        </w:rPr>
      </w:pPr>
      <w:r>
        <w:br w:type="page"/>
      </w:r>
    </w:p>
    <w:p w:rsidR="0052286A" w:rsidRDefault="0052286A" w:rsidP="00772CE4">
      <w:pPr>
        <w:pStyle w:val="Heading3"/>
      </w:pPr>
      <w:bookmarkStart w:id="21" w:name="_Ref386027932"/>
      <w:r w:rsidRPr="0052286A">
        <w:t>Indicator 2 — Proportion of employers satisfied that training meets their needs</w:t>
      </w:r>
      <w:bookmarkEnd w:id="20"/>
      <w:bookmarkEnd w:id="21"/>
    </w:p>
    <w:p w:rsidR="0052286A" w:rsidRPr="0052286A" w:rsidRDefault="0052286A" w:rsidP="0052286A">
      <w:pPr>
        <w:pStyle w:val="BoxSpace"/>
      </w:pPr>
    </w:p>
    <w:tbl>
      <w:tblPr>
        <w:tblW w:w="0" w:type="auto"/>
        <w:tblInd w:w="108" w:type="dxa"/>
        <w:tblLayout w:type="fixed"/>
        <w:tblLook w:val="01E0" w:firstRow="1" w:lastRow="1" w:firstColumn="1" w:lastColumn="1" w:noHBand="0" w:noVBand="0"/>
      </w:tblPr>
      <w:tblGrid>
        <w:gridCol w:w="2127"/>
        <w:gridCol w:w="6662"/>
      </w:tblGrid>
      <w:tr w:rsidR="0052286A" w:rsidTr="0052286A">
        <w:trPr>
          <w:trHeight w:val="598"/>
        </w:trPr>
        <w:tc>
          <w:tcPr>
            <w:tcW w:w="2127" w:type="dxa"/>
          </w:tcPr>
          <w:p w:rsidR="0052286A" w:rsidRPr="00366033" w:rsidRDefault="0052286A" w:rsidP="0052286A">
            <w:pPr>
              <w:pStyle w:val="TableBodyText"/>
              <w:jc w:val="left"/>
            </w:pPr>
            <w:r w:rsidRPr="00366033">
              <w:t xml:space="preserve">Key amendments from </w:t>
            </w:r>
            <w:r>
              <w:t>previous</w:t>
            </w:r>
            <w:r w:rsidRPr="00366033">
              <w:t xml:space="preserve"> cycle:</w:t>
            </w:r>
            <w:r w:rsidRPr="00366033">
              <w:tab/>
            </w:r>
          </w:p>
        </w:tc>
        <w:tc>
          <w:tcPr>
            <w:tcW w:w="6662" w:type="dxa"/>
          </w:tcPr>
          <w:p w:rsidR="0052286A" w:rsidRPr="00963DC5" w:rsidRDefault="0072519E" w:rsidP="00963DC5">
            <w:pPr>
              <w:pStyle w:val="TableBodyText"/>
              <w:jc w:val="left"/>
            </w:pPr>
            <w:r w:rsidRPr="00963DC5">
              <w:t>In response to a CRC recommendation, additional disaggregations are reported.</w:t>
            </w:r>
          </w:p>
        </w:tc>
      </w:tr>
      <w:tr w:rsidR="0052286A" w:rsidTr="0052286A">
        <w:trPr>
          <w:trHeight w:val="598"/>
        </w:trPr>
        <w:tc>
          <w:tcPr>
            <w:tcW w:w="2127" w:type="dxa"/>
          </w:tcPr>
          <w:p w:rsidR="0052286A" w:rsidRDefault="0052286A" w:rsidP="0052286A">
            <w:pPr>
              <w:pStyle w:val="TableBodyText"/>
              <w:jc w:val="left"/>
            </w:pPr>
            <w:r>
              <w:t>Outcome:</w:t>
            </w:r>
          </w:p>
        </w:tc>
        <w:tc>
          <w:tcPr>
            <w:tcW w:w="6662" w:type="dxa"/>
          </w:tcPr>
          <w:p w:rsidR="00970174" w:rsidRPr="00963DC5" w:rsidRDefault="0072519E" w:rsidP="00963DC5">
            <w:pPr>
              <w:pStyle w:val="TableBodyText"/>
              <w:jc w:val="left"/>
            </w:pPr>
            <w:r w:rsidRPr="00963DC5">
              <w:t>The skill levels of the working age population are increased to meet the changing needs of the economy</w:t>
            </w:r>
          </w:p>
        </w:tc>
      </w:tr>
      <w:tr w:rsidR="0052286A" w:rsidTr="00725CFC">
        <w:tc>
          <w:tcPr>
            <w:tcW w:w="2127" w:type="dxa"/>
          </w:tcPr>
          <w:p w:rsidR="0052286A" w:rsidRDefault="0052286A" w:rsidP="0052286A">
            <w:pPr>
              <w:pStyle w:val="TableBodyText"/>
              <w:jc w:val="left"/>
            </w:pPr>
            <w:r>
              <w:t xml:space="preserve">Performance indicator: </w:t>
            </w:r>
          </w:p>
          <w:p w:rsidR="0052286A" w:rsidRPr="000E5A86" w:rsidRDefault="0052286A" w:rsidP="0052286A">
            <w:pPr>
              <w:pStyle w:val="TableBodyText"/>
              <w:jc w:val="left"/>
            </w:pPr>
          </w:p>
        </w:tc>
        <w:tc>
          <w:tcPr>
            <w:tcW w:w="6662" w:type="dxa"/>
          </w:tcPr>
          <w:p w:rsidR="0052286A" w:rsidRPr="00963DC5" w:rsidRDefault="0072519E" w:rsidP="00963DC5">
            <w:pPr>
              <w:pStyle w:val="TableBodyText"/>
              <w:jc w:val="left"/>
            </w:pPr>
            <w:r w:rsidRPr="00963DC5">
              <w:t>Proportion of employers satisfied that training meets their needs</w:t>
            </w:r>
          </w:p>
        </w:tc>
      </w:tr>
      <w:tr w:rsidR="0052286A" w:rsidTr="00725CFC">
        <w:tc>
          <w:tcPr>
            <w:tcW w:w="2127" w:type="dxa"/>
          </w:tcPr>
          <w:p w:rsidR="0052286A" w:rsidRDefault="0052286A" w:rsidP="0052286A">
            <w:pPr>
              <w:pStyle w:val="TableBodyText"/>
              <w:jc w:val="left"/>
            </w:pPr>
            <w:r w:rsidRPr="000E5A86">
              <w:t>Measure</w:t>
            </w:r>
            <w:r>
              <w:t xml:space="preserve">: </w:t>
            </w:r>
          </w:p>
        </w:tc>
        <w:tc>
          <w:tcPr>
            <w:tcW w:w="6662" w:type="dxa"/>
          </w:tcPr>
          <w:p w:rsidR="0072519E" w:rsidRPr="00963DC5" w:rsidRDefault="0072519E" w:rsidP="00963DC5">
            <w:pPr>
              <w:pStyle w:val="TableBodyText"/>
              <w:jc w:val="left"/>
            </w:pPr>
            <w:r w:rsidRPr="00963DC5">
              <w:t>Proportion of employers satisfied that training meets their needs</w:t>
            </w:r>
          </w:p>
          <w:p w:rsidR="0072519E" w:rsidRPr="00963DC5" w:rsidRDefault="0072519E" w:rsidP="00963DC5">
            <w:pPr>
              <w:pStyle w:val="TableBodyText"/>
              <w:jc w:val="left"/>
            </w:pPr>
          </w:p>
          <w:p w:rsidR="0072519E" w:rsidRPr="00963DC5" w:rsidRDefault="0072519E" w:rsidP="00963DC5">
            <w:pPr>
              <w:pStyle w:val="TableBodyText"/>
              <w:jc w:val="left"/>
            </w:pPr>
            <w:r w:rsidRPr="00963DC5">
              <w:t>The measure is defined as:</w:t>
            </w:r>
          </w:p>
          <w:p w:rsidR="0072519E" w:rsidRPr="00963DC5" w:rsidRDefault="0072519E" w:rsidP="00963DC5">
            <w:pPr>
              <w:pStyle w:val="TableBullet"/>
            </w:pPr>
            <w:r w:rsidRPr="00963DC5">
              <w:rPr>
                <w:i/>
              </w:rPr>
              <w:t xml:space="preserve">numerator </w:t>
            </w:r>
            <w:r w:rsidRPr="00963DC5">
              <w:t>— Employers (by employer type) who responded that they were satisfied or very satisfied with training as a way of meeting their skill needs</w:t>
            </w:r>
          </w:p>
          <w:p w:rsidR="0072519E" w:rsidRPr="00963DC5" w:rsidRDefault="0072519E" w:rsidP="00963DC5">
            <w:pPr>
              <w:pStyle w:val="TableBullet"/>
            </w:pPr>
            <w:r w:rsidRPr="00963DC5">
              <w:rPr>
                <w:i/>
              </w:rPr>
              <w:t>denominator</w:t>
            </w:r>
            <w:r w:rsidRPr="00963DC5">
              <w:t xml:space="preserve"> — Employers engaged with the VET system (by employer type)</w:t>
            </w:r>
          </w:p>
          <w:p w:rsidR="0072519E" w:rsidRPr="00963DC5" w:rsidRDefault="0072519E" w:rsidP="00963DC5">
            <w:pPr>
              <w:pStyle w:val="TableBodyText"/>
              <w:jc w:val="left"/>
            </w:pPr>
            <w:r w:rsidRPr="00963DC5">
              <w:t xml:space="preserve">and is expressed as a </w:t>
            </w:r>
            <w:r w:rsidRPr="00137260">
              <w:rPr>
                <w:i/>
              </w:rPr>
              <w:t>percentage</w:t>
            </w:r>
          </w:p>
          <w:p w:rsidR="0072519E" w:rsidRPr="00963DC5" w:rsidRDefault="0072519E" w:rsidP="00963DC5">
            <w:pPr>
              <w:pStyle w:val="TableBodyText"/>
              <w:jc w:val="left"/>
            </w:pPr>
          </w:p>
          <w:p w:rsidR="0072519E" w:rsidRPr="00963DC5" w:rsidRDefault="0072519E" w:rsidP="00963DC5">
            <w:pPr>
              <w:pStyle w:val="TableBodyText"/>
              <w:jc w:val="left"/>
            </w:pPr>
            <w:r w:rsidRPr="00963DC5">
              <w:t>‘Employer type’ includes:</w:t>
            </w:r>
          </w:p>
          <w:p w:rsidR="0072519E" w:rsidRPr="00963DC5" w:rsidRDefault="0072519E" w:rsidP="00963DC5">
            <w:pPr>
              <w:pStyle w:val="TableBullet"/>
            </w:pPr>
            <w:r w:rsidRPr="00963DC5">
              <w:t>Employers with vocational qualifications as a job requirement</w:t>
            </w:r>
          </w:p>
          <w:p w:rsidR="0072519E" w:rsidRPr="00963DC5" w:rsidRDefault="0072519E" w:rsidP="00963DC5">
            <w:pPr>
              <w:pStyle w:val="TableBullet"/>
            </w:pPr>
            <w:r w:rsidRPr="00963DC5">
              <w:t>Employers with apprentices/trainees</w:t>
            </w:r>
          </w:p>
          <w:p w:rsidR="0072519E" w:rsidRPr="00963DC5" w:rsidRDefault="0072519E" w:rsidP="00963DC5">
            <w:pPr>
              <w:pStyle w:val="TableBullet"/>
            </w:pPr>
            <w:r w:rsidRPr="00963DC5">
              <w:t>Employers using nationally recognised training</w:t>
            </w:r>
          </w:p>
          <w:p w:rsidR="0072519E" w:rsidRPr="00963DC5" w:rsidRDefault="0072519E" w:rsidP="00963DC5">
            <w:pPr>
              <w:pStyle w:val="TableBodyText"/>
              <w:jc w:val="left"/>
            </w:pPr>
          </w:p>
          <w:p w:rsidR="0072519E" w:rsidRPr="00963DC5" w:rsidRDefault="0072519E" w:rsidP="00963DC5">
            <w:pPr>
              <w:pStyle w:val="TableBodyText"/>
              <w:jc w:val="left"/>
            </w:pPr>
            <w:r w:rsidRPr="00963DC5">
              <w:t>Does not include employers for whom a response to the satisfaction question was not stated</w:t>
            </w:r>
          </w:p>
          <w:p w:rsidR="00970174" w:rsidRDefault="0072519E" w:rsidP="00963DC5">
            <w:pPr>
              <w:pStyle w:val="TableBodyText"/>
              <w:jc w:val="left"/>
            </w:pPr>
            <w:r w:rsidRPr="00963DC5">
              <w:t>Does not include employer satisfaction with unaccredited training or informal training.</w:t>
            </w:r>
          </w:p>
          <w:p w:rsidR="00963DC5" w:rsidRPr="00963DC5" w:rsidRDefault="00963DC5" w:rsidP="00963DC5">
            <w:pPr>
              <w:pStyle w:val="TableBodyText"/>
              <w:jc w:val="left"/>
            </w:pPr>
          </w:p>
        </w:tc>
      </w:tr>
      <w:tr w:rsidR="0052286A" w:rsidTr="0052286A">
        <w:tc>
          <w:tcPr>
            <w:tcW w:w="2127" w:type="dxa"/>
          </w:tcPr>
          <w:p w:rsidR="0052286A" w:rsidRPr="000E5A86" w:rsidRDefault="0052286A" w:rsidP="0052286A">
            <w:pPr>
              <w:pStyle w:val="TableBodyText"/>
              <w:jc w:val="left"/>
            </w:pPr>
            <w:r>
              <w:t>Data source:</w:t>
            </w:r>
          </w:p>
        </w:tc>
        <w:tc>
          <w:tcPr>
            <w:tcW w:w="6662" w:type="dxa"/>
          </w:tcPr>
          <w:p w:rsidR="00970174" w:rsidRDefault="0072519E" w:rsidP="00963DC5">
            <w:pPr>
              <w:pStyle w:val="TableBodyText"/>
              <w:jc w:val="left"/>
            </w:pPr>
            <w:r w:rsidRPr="00270164">
              <w:rPr>
                <w:u w:val="single"/>
              </w:rPr>
              <w:t>Survey of Employer Use and Views</w:t>
            </w:r>
            <w:r w:rsidRPr="00963DC5">
              <w:t xml:space="preserve"> (</w:t>
            </w:r>
            <w:proofErr w:type="spellStart"/>
            <w:r w:rsidRPr="00963DC5">
              <w:t>SEUV</w:t>
            </w:r>
            <w:proofErr w:type="spellEnd"/>
            <w:r w:rsidRPr="00963DC5">
              <w:t>). Data are collected every two years</w:t>
            </w:r>
          </w:p>
          <w:p w:rsidR="00270164" w:rsidRPr="00963DC5" w:rsidRDefault="00270164" w:rsidP="00963DC5">
            <w:pPr>
              <w:pStyle w:val="TableBodyText"/>
              <w:jc w:val="left"/>
            </w:pPr>
          </w:p>
        </w:tc>
      </w:tr>
      <w:tr w:rsidR="0052286A" w:rsidTr="0052286A">
        <w:tc>
          <w:tcPr>
            <w:tcW w:w="2127" w:type="dxa"/>
          </w:tcPr>
          <w:p w:rsidR="0052286A" w:rsidRDefault="0052286A" w:rsidP="0052286A">
            <w:pPr>
              <w:pStyle w:val="TableBodyText"/>
              <w:jc w:val="left"/>
            </w:pPr>
            <w:r w:rsidRPr="000E5A86">
              <w:t>Data provider:</w:t>
            </w:r>
          </w:p>
        </w:tc>
        <w:tc>
          <w:tcPr>
            <w:tcW w:w="6662" w:type="dxa"/>
          </w:tcPr>
          <w:p w:rsidR="00970174" w:rsidRDefault="009B37CB" w:rsidP="00963DC5">
            <w:pPr>
              <w:pStyle w:val="TableBodyText"/>
              <w:jc w:val="left"/>
            </w:pPr>
            <w:r w:rsidRPr="00963DC5">
              <w:t>NCVER</w:t>
            </w:r>
          </w:p>
          <w:p w:rsidR="00270164" w:rsidRPr="00963DC5" w:rsidRDefault="00270164" w:rsidP="00963DC5">
            <w:pPr>
              <w:pStyle w:val="TableBodyText"/>
              <w:jc w:val="left"/>
            </w:pPr>
          </w:p>
        </w:tc>
      </w:tr>
      <w:tr w:rsidR="0052286A" w:rsidTr="0052286A">
        <w:tc>
          <w:tcPr>
            <w:tcW w:w="2127" w:type="dxa"/>
          </w:tcPr>
          <w:p w:rsidR="0052286A" w:rsidRPr="000E5A86" w:rsidRDefault="0052286A" w:rsidP="0052286A">
            <w:pPr>
              <w:pStyle w:val="TableBodyText"/>
              <w:jc w:val="left"/>
            </w:pPr>
            <w:r w:rsidRPr="000E5A86">
              <w:t>Data availability</w:t>
            </w:r>
            <w:r>
              <w:t>:</w:t>
            </w:r>
          </w:p>
        </w:tc>
        <w:tc>
          <w:tcPr>
            <w:tcW w:w="6662" w:type="dxa"/>
          </w:tcPr>
          <w:p w:rsidR="00970174" w:rsidRDefault="009B37CB" w:rsidP="00963DC5">
            <w:pPr>
              <w:pStyle w:val="TableBodyText"/>
              <w:jc w:val="left"/>
            </w:pPr>
            <w:proofErr w:type="spellStart"/>
            <w:r w:rsidRPr="00963DC5">
              <w:t>SEUV</w:t>
            </w:r>
            <w:proofErr w:type="spellEnd"/>
            <w:r w:rsidRPr="00963DC5">
              <w:t xml:space="preserve"> </w:t>
            </w:r>
            <w:r w:rsidR="00137260">
              <w:t xml:space="preserve">— </w:t>
            </w:r>
            <w:r w:rsidRPr="00963DC5">
              <w:t>2013 (additional data disaggregations by industry type for 2007, 2009 and 2011)</w:t>
            </w:r>
          </w:p>
          <w:p w:rsidR="00270164" w:rsidRPr="00963DC5" w:rsidRDefault="00270164" w:rsidP="00963DC5">
            <w:pPr>
              <w:pStyle w:val="TableBodyText"/>
              <w:jc w:val="left"/>
            </w:pPr>
          </w:p>
        </w:tc>
      </w:tr>
      <w:tr w:rsidR="0052286A" w:rsidTr="0052286A">
        <w:trPr>
          <w:trHeight w:val="1145"/>
        </w:trPr>
        <w:tc>
          <w:tcPr>
            <w:tcW w:w="2127" w:type="dxa"/>
          </w:tcPr>
          <w:p w:rsidR="0052286A" w:rsidRPr="000E5A86" w:rsidRDefault="0052286A" w:rsidP="0052286A">
            <w:pPr>
              <w:pStyle w:val="TableBodyText"/>
              <w:jc w:val="left"/>
            </w:pPr>
            <w:r>
              <w:t>Cross tabulations provided:</w:t>
            </w:r>
          </w:p>
        </w:tc>
        <w:tc>
          <w:tcPr>
            <w:tcW w:w="6662" w:type="dxa"/>
          </w:tcPr>
          <w:p w:rsidR="009B37CB" w:rsidRPr="00963DC5" w:rsidRDefault="009B37CB" w:rsidP="00963DC5">
            <w:pPr>
              <w:pStyle w:val="TableBodyText"/>
              <w:jc w:val="left"/>
            </w:pPr>
            <w:r w:rsidRPr="00963DC5">
              <w:t>National, by:</w:t>
            </w:r>
          </w:p>
          <w:p w:rsidR="009B37CB" w:rsidRPr="00963DC5" w:rsidRDefault="009B37CB" w:rsidP="00963DC5">
            <w:pPr>
              <w:pStyle w:val="TableBullet"/>
            </w:pPr>
            <w:r w:rsidRPr="00963DC5">
              <w:t xml:space="preserve">Industry type </w:t>
            </w:r>
          </w:p>
          <w:p w:rsidR="009B37CB" w:rsidRPr="00963DC5" w:rsidRDefault="009B37CB" w:rsidP="00963DC5">
            <w:pPr>
              <w:pStyle w:val="TableBodyText"/>
              <w:jc w:val="left"/>
            </w:pPr>
          </w:p>
          <w:p w:rsidR="009B37CB" w:rsidRPr="00963DC5" w:rsidRDefault="009B37CB" w:rsidP="00963DC5">
            <w:pPr>
              <w:pStyle w:val="TableBodyText"/>
              <w:jc w:val="left"/>
            </w:pPr>
            <w:r w:rsidRPr="00963DC5">
              <w:t>State and Territory, by:</w:t>
            </w:r>
          </w:p>
          <w:p w:rsidR="0052286A" w:rsidRDefault="009B37CB" w:rsidP="00963DC5">
            <w:pPr>
              <w:pStyle w:val="TableBullet"/>
            </w:pPr>
            <w:r w:rsidRPr="00963DC5">
              <w:t>type of training (formal vocational qualifications; apprenticeships or traineeships; nationally recognised training; total)</w:t>
            </w:r>
          </w:p>
          <w:p w:rsidR="00963DC5" w:rsidRPr="00963DC5" w:rsidRDefault="00963DC5" w:rsidP="00963DC5">
            <w:pPr>
              <w:pStyle w:val="TableBullet"/>
              <w:numPr>
                <w:ilvl w:val="0"/>
                <w:numId w:val="0"/>
              </w:numPr>
              <w:ind w:left="170"/>
            </w:pPr>
          </w:p>
        </w:tc>
      </w:tr>
    </w:tbl>
    <w:p w:rsidR="009D6A03" w:rsidRDefault="009D6A03"/>
    <w:p w:rsidR="00555811" w:rsidRDefault="00555811" w:rsidP="00555811">
      <w:pPr>
        <w:pStyle w:val="BoxSpac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555811" w:rsidTr="006420EA">
        <w:tc>
          <w:tcPr>
            <w:tcW w:w="8771" w:type="dxa"/>
            <w:tcBorders>
              <w:top w:val="single" w:sz="6" w:space="0" w:color="auto"/>
              <w:bottom w:val="nil"/>
            </w:tcBorders>
          </w:tcPr>
          <w:p w:rsidR="00555811" w:rsidRDefault="00555811" w:rsidP="00482B04">
            <w:pPr>
              <w:pStyle w:val="BoxTitle"/>
            </w:pPr>
            <w:r>
              <w:rPr>
                <w:b w:val="0"/>
              </w:rPr>
              <w:t xml:space="preserve">Box </w:t>
            </w:r>
            <w:r w:rsidR="00482B04">
              <w:rPr>
                <w:b w:val="0"/>
              </w:rPr>
              <w:t>7</w:t>
            </w:r>
            <w:r>
              <w:tab/>
              <w:t>Results</w:t>
            </w:r>
          </w:p>
        </w:tc>
      </w:tr>
      <w:tr w:rsidR="00555811" w:rsidRPr="00E559C8" w:rsidTr="006420EA">
        <w:trPr>
          <w:cantSplit/>
        </w:trPr>
        <w:tc>
          <w:tcPr>
            <w:tcW w:w="8771" w:type="dxa"/>
            <w:tcBorders>
              <w:top w:val="nil"/>
              <w:left w:val="single" w:sz="6" w:space="0" w:color="auto"/>
              <w:bottom w:val="nil"/>
              <w:right w:val="single" w:sz="6" w:space="0" w:color="auto"/>
            </w:tcBorders>
          </w:tcPr>
          <w:p w:rsidR="00555811" w:rsidRPr="00E559C8" w:rsidRDefault="00E559C8" w:rsidP="00E559C8">
            <w:pPr>
              <w:pStyle w:val="Box"/>
            </w:pPr>
            <w:r w:rsidRPr="00E559C8">
              <w:t>For this report, new data for this indicator are available for 2013:</w:t>
            </w:r>
          </w:p>
          <w:p w:rsidR="00E559C8" w:rsidRDefault="00221EFD" w:rsidP="00221EFD">
            <w:pPr>
              <w:pStyle w:val="BoxListBullet"/>
            </w:pPr>
            <w:r>
              <w:t xml:space="preserve">Data by State and Territory are presented in table </w:t>
            </w:r>
            <w:proofErr w:type="spellStart"/>
            <w:r>
              <w:t>SWD.2.1</w:t>
            </w:r>
            <w:proofErr w:type="spellEnd"/>
            <w:r>
              <w:t>.</w:t>
            </w:r>
          </w:p>
          <w:p w:rsidR="00C70CD6" w:rsidRDefault="00C70CD6" w:rsidP="00C70CD6">
            <w:pPr>
              <w:pStyle w:val="BoxListBullet"/>
            </w:pPr>
            <w:r>
              <w:t xml:space="preserve">Data by industry type are presented in table </w:t>
            </w:r>
            <w:proofErr w:type="spellStart"/>
            <w:r>
              <w:t>SWD.2.2</w:t>
            </w:r>
            <w:proofErr w:type="spellEnd"/>
            <w:r w:rsidR="00E0011D">
              <w:rPr>
                <w:rFonts w:cs="Arial"/>
              </w:rPr>
              <w:t>−</w:t>
            </w:r>
            <w:r>
              <w:t>4.</w:t>
            </w:r>
            <w:r w:rsidR="00353E08" w:rsidRPr="00AD0469">
              <w:rPr>
                <w:noProof/>
              </w:rPr>
              <w:t xml:space="preserve"> </w:t>
            </w:r>
          </w:p>
          <w:p w:rsidR="00C70CD6" w:rsidRDefault="00C70CD6" w:rsidP="00C70CD6">
            <w:pPr>
              <w:pStyle w:val="Box"/>
            </w:pPr>
            <w:r>
              <w:t xml:space="preserve">Additional </w:t>
            </w:r>
            <w:r w:rsidR="00745C50">
              <w:t xml:space="preserve">data </w:t>
            </w:r>
            <w:r w:rsidR="002F1DCD">
              <w:t>for</w:t>
            </w:r>
            <w:r>
              <w:t xml:space="preserve"> 2011, 2009 and 2007 are reported in tables 2.2</w:t>
            </w:r>
            <w:r w:rsidR="008335A0">
              <w:rPr>
                <w:rFonts w:cs="Arial"/>
              </w:rPr>
              <w:t>−</w:t>
            </w:r>
            <w:r>
              <w:t>4</w:t>
            </w:r>
            <w:r w:rsidR="008335A0">
              <w:t xml:space="preserve"> to provide a comparable time series</w:t>
            </w:r>
            <w:r>
              <w:t>.</w:t>
            </w:r>
          </w:p>
          <w:p w:rsidR="00C70CD6" w:rsidRPr="00E559C8" w:rsidRDefault="00745C50" w:rsidP="002F1DCD">
            <w:pPr>
              <w:pStyle w:val="Box"/>
            </w:pPr>
            <w:r>
              <w:t>Data for 2011 are available in the 2011 NASWD performance report. Data for 2009, 2007 and 2005 are available in the 2010 NASWD pe</w:t>
            </w:r>
            <w:r w:rsidR="004F52CE">
              <w:t>rformance report.</w:t>
            </w:r>
          </w:p>
        </w:tc>
      </w:tr>
      <w:tr w:rsidR="00555811" w:rsidTr="006420EA">
        <w:trPr>
          <w:cantSplit/>
        </w:trPr>
        <w:tc>
          <w:tcPr>
            <w:tcW w:w="8771" w:type="dxa"/>
            <w:tcBorders>
              <w:top w:val="nil"/>
              <w:left w:val="single" w:sz="6" w:space="0" w:color="auto"/>
              <w:bottom w:val="single" w:sz="6" w:space="0" w:color="auto"/>
              <w:right w:val="single" w:sz="6" w:space="0" w:color="auto"/>
            </w:tcBorders>
          </w:tcPr>
          <w:p w:rsidR="00555811" w:rsidRDefault="00555811" w:rsidP="006420EA">
            <w:pPr>
              <w:pStyle w:val="Box"/>
              <w:spacing w:before="0" w:line="120" w:lineRule="exact"/>
            </w:pPr>
          </w:p>
        </w:tc>
      </w:tr>
      <w:tr w:rsidR="00555811" w:rsidTr="006420EA">
        <w:tc>
          <w:tcPr>
            <w:tcW w:w="8771" w:type="dxa"/>
            <w:tcBorders>
              <w:top w:val="nil"/>
              <w:left w:val="nil"/>
              <w:bottom w:val="nil"/>
              <w:right w:val="nil"/>
            </w:tcBorders>
          </w:tcPr>
          <w:p w:rsidR="00555811" w:rsidRDefault="00555811" w:rsidP="006420EA">
            <w:pPr>
              <w:pStyle w:val="Box"/>
              <w:keepNext w:val="0"/>
              <w:spacing w:before="60" w:after="60" w:line="80" w:lineRule="exact"/>
              <w:rPr>
                <w:b/>
                <w:color w:val="FF00FF"/>
                <w:sz w:val="14"/>
              </w:rPr>
            </w:pPr>
          </w:p>
        </w:tc>
      </w:tr>
    </w:tbl>
    <w:p w:rsidR="00555811" w:rsidRDefault="00555811" w:rsidP="00555811">
      <w:pPr>
        <w:pStyle w:val="Heading4"/>
      </w:pPr>
      <w:r>
        <w:t>Attachment tables</w:t>
      </w:r>
    </w:p>
    <w:tbl>
      <w:tblPr>
        <w:tblW w:w="880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6864"/>
      </w:tblGrid>
      <w:tr w:rsidR="00117F40" w:rsidRPr="00117F40" w:rsidTr="00600E52">
        <w:trPr>
          <w:trHeight w:val="612"/>
        </w:trPr>
        <w:tc>
          <w:tcPr>
            <w:tcW w:w="1940" w:type="dxa"/>
            <w:shd w:val="clear" w:color="auto" w:fill="auto"/>
            <w:noWrap/>
            <w:hideMark/>
          </w:tcPr>
          <w:p w:rsidR="00117F40" w:rsidRPr="00117F40" w:rsidRDefault="00117F40" w:rsidP="00117F40">
            <w:pPr>
              <w:rPr>
                <w:rFonts w:ascii="Arial" w:hAnsi="Arial" w:cs="Arial"/>
                <w:b/>
                <w:bCs/>
                <w:sz w:val="20"/>
                <w:szCs w:val="20"/>
              </w:rPr>
            </w:pPr>
            <w:r w:rsidRPr="00117F40">
              <w:rPr>
                <w:rFonts w:ascii="Arial" w:hAnsi="Arial" w:cs="Arial"/>
                <w:b/>
                <w:bCs/>
                <w:sz w:val="20"/>
                <w:szCs w:val="20"/>
              </w:rPr>
              <w:t xml:space="preserve">Table </w:t>
            </w:r>
            <w:proofErr w:type="spellStart"/>
            <w:r w:rsidRPr="00117F40">
              <w:rPr>
                <w:rFonts w:ascii="Arial" w:hAnsi="Arial" w:cs="Arial"/>
                <w:b/>
                <w:bCs/>
                <w:sz w:val="20"/>
                <w:szCs w:val="20"/>
              </w:rPr>
              <w:t>SWD.2.1</w:t>
            </w:r>
            <w:proofErr w:type="spellEnd"/>
          </w:p>
        </w:tc>
        <w:tc>
          <w:tcPr>
            <w:tcW w:w="6864" w:type="dxa"/>
            <w:shd w:val="clear" w:color="auto" w:fill="auto"/>
            <w:hideMark/>
          </w:tcPr>
          <w:p w:rsidR="00117F40" w:rsidRPr="00117F40" w:rsidRDefault="00117F40" w:rsidP="00117F40">
            <w:pPr>
              <w:jc w:val="both"/>
              <w:rPr>
                <w:rFonts w:ascii="Arial" w:hAnsi="Arial" w:cs="Arial"/>
                <w:sz w:val="20"/>
                <w:szCs w:val="20"/>
              </w:rPr>
            </w:pPr>
            <w:r w:rsidRPr="00117F40">
              <w:rPr>
                <w:rFonts w:ascii="Arial" w:hAnsi="Arial" w:cs="Arial"/>
                <w:sz w:val="20"/>
                <w:szCs w:val="20"/>
              </w:rPr>
              <w:t>Proportion of employers satisfied that training meets their needs, 2013</w:t>
            </w:r>
          </w:p>
        </w:tc>
      </w:tr>
      <w:tr w:rsidR="00117F40" w:rsidRPr="00117F40" w:rsidTr="00600E52">
        <w:trPr>
          <w:trHeight w:val="612"/>
        </w:trPr>
        <w:tc>
          <w:tcPr>
            <w:tcW w:w="1940" w:type="dxa"/>
            <w:shd w:val="clear" w:color="auto" w:fill="auto"/>
            <w:noWrap/>
            <w:hideMark/>
          </w:tcPr>
          <w:p w:rsidR="00117F40" w:rsidRPr="00117F40" w:rsidRDefault="00117F40" w:rsidP="00117F40">
            <w:pPr>
              <w:rPr>
                <w:rFonts w:ascii="Arial" w:hAnsi="Arial" w:cs="Arial"/>
                <w:b/>
                <w:bCs/>
                <w:sz w:val="20"/>
                <w:szCs w:val="20"/>
              </w:rPr>
            </w:pPr>
            <w:r w:rsidRPr="00117F40">
              <w:rPr>
                <w:rFonts w:ascii="Arial" w:hAnsi="Arial" w:cs="Arial"/>
                <w:b/>
                <w:bCs/>
                <w:sz w:val="20"/>
                <w:szCs w:val="20"/>
              </w:rPr>
              <w:t xml:space="preserve">Table </w:t>
            </w:r>
            <w:proofErr w:type="spellStart"/>
            <w:r w:rsidRPr="00117F40">
              <w:rPr>
                <w:rFonts w:ascii="Arial" w:hAnsi="Arial" w:cs="Arial"/>
                <w:b/>
                <w:bCs/>
                <w:sz w:val="20"/>
                <w:szCs w:val="20"/>
              </w:rPr>
              <w:t>SWD.2.2</w:t>
            </w:r>
            <w:proofErr w:type="spellEnd"/>
          </w:p>
        </w:tc>
        <w:tc>
          <w:tcPr>
            <w:tcW w:w="6864" w:type="dxa"/>
            <w:shd w:val="clear" w:color="auto" w:fill="auto"/>
            <w:hideMark/>
          </w:tcPr>
          <w:p w:rsidR="00117F40" w:rsidRPr="00117F40" w:rsidRDefault="00117F40" w:rsidP="00117F40">
            <w:pPr>
              <w:jc w:val="both"/>
              <w:rPr>
                <w:rFonts w:ascii="Arial" w:hAnsi="Arial" w:cs="Arial"/>
                <w:sz w:val="20"/>
                <w:szCs w:val="20"/>
              </w:rPr>
            </w:pPr>
            <w:r w:rsidRPr="00117F40">
              <w:rPr>
                <w:rFonts w:ascii="Arial" w:hAnsi="Arial" w:cs="Arial"/>
                <w:sz w:val="20"/>
                <w:szCs w:val="20"/>
              </w:rPr>
              <w:t>Proportion of employers who are satisfied that training meets their needs, by industry type, 2013, 2011, 2009, 2007</w:t>
            </w:r>
          </w:p>
        </w:tc>
      </w:tr>
      <w:tr w:rsidR="00117F40" w:rsidRPr="00117F40" w:rsidTr="00600E52">
        <w:trPr>
          <w:trHeight w:val="867"/>
        </w:trPr>
        <w:tc>
          <w:tcPr>
            <w:tcW w:w="1940" w:type="dxa"/>
            <w:shd w:val="clear" w:color="auto" w:fill="auto"/>
            <w:noWrap/>
            <w:hideMark/>
          </w:tcPr>
          <w:p w:rsidR="00117F40" w:rsidRPr="00117F40" w:rsidRDefault="00117F40" w:rsidP="00117F40">
            <w:pPr>
              <w:rPr>
                <w:rFonts w:ascii="Arial" w:hAnsi="Arial" w:cs="Arial"/>
                <w:b/>
                <w:bCs/>
                <w:sz w:val="20"/>
                <w:szCs w:val="20"/>
              </w:rPr>
            </w:pPr>
            <w:r w:rsidRPr="00117F40">
              <w:rPr>
                <w:rFonts w:ascii="Arial" w:hAnsi="Arial" w:cs="Arial"/>
                <w:b/>
                <w:bCs/>
                <w:sz w:val="20"/>
                <w:szCs w:val="20"/>
              </w:rPr>
              <w:t xml:space="preserve">Table </w:t>
            </w:r>
            <w:proofErr w:type="spellStart"/>
            <w:r w:rsidRPr="00117F40">
              <w:rPr>
                <w:rFonts w:ascii="Arial" w:hAnsi="Arial" w:cs="Arial"/>
                <w:b/>
                <w:bCs/>
                <w:sz w:val="20"/>
                <w:szCs w:val="20"/>
              </w:rPr>
              <w:t>SWD.2.3</w:t>
            </w:r>
            <w:proofErr w:type="spellEnd"/>
          </w:p>
        </w:tc>
        <w:tc>
          <w:tcPr>
            <w:tcW w:w="6864" w:type="dxa"/>
            <w:shd w:val="clear" w:color="auto" w:fill="auto"/>
            <w:hideMark/>
          </w:tcPr>
          <w:p w:rsidR="00117F40" w:rsidRPr="00117F40" w:rsidRDefault="00117F40" w:rsidP="00117F40">
            <w:pPr>
              <w:jc w:val="both"/>
              <w:rPr>
                <w:rFonts w:ascii="Arial" w:hAnsi="Arial" w:cs="Arial"/>
                <w:sz w:val="20"/>
                <w:szCs w:val="20"/>
              </w:rPr>
            </w:pPr>
            <w:r w:rsidRPr="00117F40">
              <w:rPr>
                <w:rFonts w:ascii="Arial" w:hAnsi="Arial" w:cs="Arial"/>
                <w:sz w:val="20"/>
                <w:szCs w:val="20"/>
              </w:rPr>
              <w:t xml:space="preserve">Relative standard error of proportion of employers who are satisfied that training meets their needs, by industry type, 2013, 2011, 2009, 2007 </w:t>
            </w:r>
          </w:p>
        </w:tc>
      </w:tr>
      <w:tr w:rsidR="00117F40" w:rsidRPr="00117F40" w:rsidTr="00600E52">
        <w:trPr>
          <w:trHeight w:val="867"/>
        </w:trPr>
        <w:tc>
          <w:tcPr>
            <w:tcW w:w="1940" w:type="dxa"/>
            <w:shd w:val="clear" w:color="auto" w:fill="auto"/>
            <w:noWrap/>
            <w:hideMark/>
          </w:tcPr>
          <w:p w:rsidR="00117F40" w:rsidRPr="00117F40" w:rsidRDefault="00117F40" w:rsidP="00117F40">
            <w:pPr>
              <w:rPr>
                <w:rFonts w:ascii="Arial" w:hAnsi="Arial" w:cs="Arial"/>
                <w:b/>
                <w:bCs/>
                <w:sz w:val="20"/>
                <w:szCs w:val="20"/>
              </w:rPr>
            </w:pPr>
            <w:r w:rsidRPr="00117F40">
              <w:rPr>
                <w:rFonts w:ascii="Arial" w:hAnsi="Arial" w:cs="Arial"/>
                <w:b/>
                <w:bCs/>
                <w:sz w:val="20"/>
                <w:szCs w:val="20"/>
              </w:rPr>
              <w:t xml:space="preserve">Table </w:t>
            </w:r>
            <w:proofErr w:type="spellStart"/>
            <w:r w:rsidRPr="00117F40">
              <w:rPr>
                <w:rFonts w:ascii="Arial" w:hAnsi="Arial" w:cs="Arial"/>
                <w:b/>
                <w:bCs/>
                <w:sz w:val="20"/>
                <w:szCs w:val="20"/>
              </w:rPr>
              <w:t>SWD.2.4</w:t>
            </w:r>
            <w:proofErr w:type="spellEnd"/>
          </w:p>
        </w:tc>
        <w:tc>
          <w:tcPr>
            <w:tcW w:w="6864" w:type="dxa"/>
            <w:shd w:val="clear" w:color="auto" w:fill="auto"/>
            <w:hideMark/>
          </w:tcPr>
          <w:p w:rsidR="00117F40" w:rsidRPr="00117F40" w:rsidRDefault="00117F40" w:rsidP="00117F40">
            <w:pPr>
              <w:jc w:val="both"/>
              <w:rPr>
                <w:rFonts w:ascii="Arial" w:hAnsi="Arial" w:cs="Arial"/>
                <w:sz w:val="20"/>
                <w:szCs w:val="20"/>
              </w:rPr>
            </w:pPr>
            <w:r w:rsidRPr="00117F40">
              <w:rPr>
                <w:rFonts w:ascii="Arial" w:hAnsi="Arial" w:cs="Arial"/>
                <w:sz w:val="20"/>
                <w:szCs w:val="20"/>
              </w:rPr>
              <w:t>95 per cent confidence intervals of proportion of employers who are satisfied that training meets their needs, by industry type, 2013, 2011, 2009, 2007</w:t>
            </w:r>
          </w:p>
        </w:tc>
      </w:tr>
    </w:tbl>
    <w:p w:rsidR="00E559C8" w:rsidRPr="00E559C8" w:rsidRDefault="00E559C8" w:rsidP="00E559C8">
      <w:pPr>
        <w:pStyle w:val="BodyText"/>
      </w:pPr>
    </w:p>
    <w:p w:rsidR="00555811" w:rsidRDefault="00555811"/>
    <w:p w:rsidR="00E559C8" w:rsidRDefault="00E559C8"/>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3D29CA" w:rsidTr="0092249A">
        <w:tc>
          <w:tcPr>
            <w:tcW w:w="8771" w:type="dxa"/>
            <w:tcBorders>
              <w:top w:val="single" w:sz="6" w:space="0" w:color="auto"/>
              <w:left w:val="single" w:sz="4" w:space="0" w:color="auto"/>
              <w:bottom w:val="nil"/>
            </w:tcBorders>
          </w:tcPr>
          <w:p w:rsidR="003D29CA" w:rsidRDefault="003D29CA" w:rsidP="00482B04">
            <w:pPr>
              <w:pStyle w:val="BoxTitle"/>
            </w:pPr>
            <w:r>
              <w:rPr>
                <w:b w:val="0"/>
              </w:rPr>
              <w:t xml:space="preserve">Box </w:t>
            </w:r>
            <w:r w:rsidR="00482B04">
              <w:rPr>
                <w:b w:val="0"/>
              </w:rPr>
              <w:t>8</w:t>
            </w:r>
            <w:r>
              <w:tab/>
              <w:t>Comment on data quality</w:t>
            </w:r>
          </w:p>
        </w:tc>
      </w:tr>
      <w:tr w:rsidR="003D29CA" w:rsidRPr="00E559C8" w:rsidTr="0092249A">
        <w:trPr>
          <w:cantSplit/>
        </w:trPr>
        <w:tc>
          <w:tcPr>
            <w:tcW w:w="8771" w:type="dxa"/>
            <w:tcBorders>
              <w:top w:val="nil"/>
              <w:left w:val="single" w:sz="4" w:space="0" w:color="auto"/>
              <w:bottom w:val="nil"/>
              <w:right w:val="single" w:sz="6" w:space="0" w:color="auto"/>
            </w:tcBorders>
          </w:tcPr>
          <w:p w:rsidR="00C131F6" w:rsidRPr="00E559C8" w:rsidRDefault="00E559C8" w:rsidP="00E559C8">
            <w:pPr>
              <w:pStyle w:val="Box"/>
            </w:pPr>
            <w:r w:rsidRPr="00E559C8">
              <w:t xml:space="preserve">The DQS for this indicator has been prepared by the NCVER and is included in its original form in the section </w:t>
            </w:r>
            <w:r w:rsidR="00EA4AE1">
              <w:t>of</w:t>
            </w:r>
            <w:r w:rsidR="00EA4AE1" w:rsidRPr="00E559C8">
              <w:t xml:space="preserve"> </w:t>
            </w:r>
            <w:r w:rsidRPr="00E559C8">
              <w:t xml:space="preserve">this report titled ‘Data Quality Statements’. Key points from the DQS are summarised below. </w:t>
            </w:r>
          </w:p>
          <w:p w:rsidR="00E559C8" w:rsidRDefault="00E559C8" w:rsidP="00E559C8">
            <w:pPr>
              <w:pStyle w:val="BoxListBullet"/>
            </w:pPr>
            <w:r>
              <w:t xml:space="preserve">The data provide relevant information on the proportion of employers engaged in the VET system who are satisfied that training meets their needs. </w:t>
            </w:r>
          </w:p>
          <w:p w:rsidR="00EA4AE1" w:rsidRDefault="00EA4AE1" w:rsidP="00EA4AE1">
            <w:pPr>
              <w:pStyle w:val="BoxListBullet"/>
            </w:pPr>
            <w:r>
              <w:t xml:space="preserve">Data are of acceptable accuracy at the State and Territory level. </w:t>
            </w:r>
          </w:p>
          <w:p w:rsidR="00E559C8" w:rsidRDefault="00E559C8" w:rsidP="00E559C8">
            <w:pPr>
              <w:pStyle w:val="BoxListBullet"/>
            </w:pPr>
            <w:r>
              <w:t>Biennial data are available from the Survey of Employer Use and Views (</w:t>
            </w:r>
            <w:proofErr w:type="spellStart"/>
            <w:r>
              <w:t>SEUV</w:t>
            </w:r>
            <w:proofErr w:type="spellEnd"/>
            <w:r>
              <w:t xml:space="preserve">). The most recent data are for 2013. </w:t>
            </w:r>
          </w:p>
          <w:p w:rsidR="00A14072" w:rsidRDefault="00A14072" w:rsidP="00A14072">
            <w:pPr>
              <w:pStyle w:val="BoxListBullet"/>
            </w:pPr>
            <w:r>
              <w:t xml:space="preserve">Detailed explanatory notes are publicly available to assist in the interpretation of results. </w:t>
            </w:r>
          </w:p>
          <w:p w:rsidR="00A14072" w:rsidRDefault="00A14072" w:rsidP="00A14072">
            <w:pPr>
              <w:pStyle w:val="BoxListBullet"/>
            </w:pPr>
            <w:r>
              <w:t xml:space="preserve">Additional data from the data source are available </w:t>
            </w:r>
            <w:proofErr w:type="spellStart"/>
            <w:r>
              <w:t>on-line</w:t>
            </w:r>
            <w:proofErr w:type="spellEnd"/>
            <w:r>
              <w:t xml:space="preserve">, and on request. </w:t>
            </w:r>
          </w:p>
          <w:p w:rsidR="00A14072" w:rsidRDefault="00A14072" w:rsidP="00A14072">
            <w:pPr>
              <w:pStyle w:val="Box"/>
            </w:pPr>
            <w:r>
              <w:t>The Steering Committee also notes the following issue:</w:t>
            </w:r>
          </w:p>
          <w:p w:rsidR="00585B4E" w:rsidRPr="00E559C8" w:rsidRDefault="00136E5D" w:rsidP="00EA4AE1">
            <w:pPr>
              <w:pStyle w:val="BoxListBullet"/>
            </w:pPr>
            <w:r>
              <w:t xml:space="preserve">Following a review of the 2011 </w:t>
            </w:r>
            <w:proofErr w:type="spellStart"/>
            <w:r w:rsidR="008415BD">
              <w:t>SEUV</w:t>
            </w:r>
            <w:proofErr w:type="spellEnd"/>
            <w:r w:rsidR="00585B4E">
              <w:t xml:space="preserve">, </w:t>
            </w:r>
            <w:r>
              <w:t xml:space="preserve">changes </w:t>
            </w:r>
            <w:r w:rsidR="00585B4E">
              <w:t xml:space="preserve">were </w:t>
            </w:r>
            <w:r>
              <w:t xml:space="preserve">made to the </w:t>
            </w:r>
            <w:r w:rsidR="00A756FA">
              <w:t xml:space="preserve">2013 survey </w:t>
            </w:r>
            <w:r>
              <w:t>content and methodology</w:t>
            </w:r>
            <w:r w:rsidR="00EA4AE1">
              <w:t xml:space="preserve"> to improve the reliability of data for reporting against key survey measures,</w:t>
            </w:r>
            <w:r>
              <w:t xml:space="preserve"> including </w:t>
            </w:r>
            <w:r w:rsidR="00B872F2">
              <w:t xml:space="preserve">an increased sample size </w:t>
            </w:r>
            <w:r w:rsidR="00EA4AE1">
              <w:t xml:space="preserve">to achieve </w:t>
            </w:r>
            <w:r>
              <w:t>target confidence intervals</w:t>
            </w:r>
            <w:r w:rsidR="00FA1E26">
              <w:t xml:space="preserve">. </w:t>
            </w:r>
            <w:r w:rsidR="008415BD">
              <w:t>However, f</w:t>
            </w:r>
            <w:r w:rsidR="002B7490">
              <w:t>or the satisfaction component</w:t>
            </w:r>
            <w:r w:rsidR="00585B4E">
              <w:t xml:space="preserve"> </w:t>
            </w:r>
            <w:r w:rsidR="008415BD">
              <w:t>of the survey</w:t>
            </w:r>
            <w:r w:rsidR="00EA4AE1">
              <w:t>,</w:t>
            </w:r>
            <w:r w:rsidR="008415BD">
              <w:t xml:space="preserve"> </w:t>
            </w:r>
            <w:r w:rsidR="002B7490">
              <w:t xml:space="preserve">target confidence intervals </w:t>
            </w:r>
            <w:r w:rsidR="00FA1E26">
              <w:t>were not achieved</w:t>
            </w:r>
            <w:r>
              <w:t>.</w:t>
            </w:r>
            <w:r w:rsidR="00585B4E">
              <w:t xml:space="preserve"> </w:t>
            </w:r>
            <w:r>
              <w:t>R</w:t>
            </w:r>
            <w:r w:rsidR="00847B93">
              <w:t>obust jurisdiction</w:t>
            </w:r>
            <w:r w:rsidR="00585B4E">
              <w:t xml:space="preserve"> </w:t>
            </w:r>
            <w:r w:rsidR="00847B93">
              <w:t xml:space="preserve">level estimates for </w:t>
            </w:r>
            <w:r w:rsidR="008415BD">
              <w:t xml:space="preserve">the </w:t>
            </w:r>
            <w:r>
              <w:t xml:space="preserve">satisfaction component are </w:t>
            </w:r>
            <w:r w:rsidR="008415BD">
              <w:t>important</w:t>
            </w:r>
            <w:r w:rsidR="00847B93">
              <w:t xml:space="preserve"> </w:t>
            </w:r>
            <w:r w:rsidR="00CC32F4">
              <w:t xml:space="preserve">and </w:t>
            </w:r>
            <w:r w:rsidR="003D5319">
              <w:t xml:space="preserve">should be a priority </w:t>
            </w:r>
            <w:r w:rsidR="00CC32F4">
              <w:t>considerat</w:t>
            </w:r>
            <w:r>
              <w:t xml:space="preserve">ion for the 2015 </w:t>
            </w:r>
            <w:proofErr w:type="spellStart"/>
            <w:r w:rsidR="008415BD">
              <w:t>SEUV</w:t>
            </w:r>
            <w:proofErr w:type="spellEnd"/>
            <w:r>
              <w:t xml:space="preserve"> design.</w:t>
            </w:r>
          </w:p>
        </w:tc>
      </w:tr>
      <w:tr w:rsidR="003D29CA" w:rsidTr="0092249A">
        <w:trPr>
          <w:cantSplit/>
        </w:trPr>
        <w:tc>
          <w:tcPr>
            <w:tcW w:w="8771" w:type="dxa"/>
            <w:tcBorders>
              <w:top w:val="nil"/>
              <w:left w:val="single" w:sz="4" w:space="0" w:color="auto"/>
              <w:bottom w:val="single" w:sz="6" w:space="0" w:color="auto"/>
              <w:right w:val="single" w:sz="6" w:space="0" w:color="auto"/>
            </w:tcBorders>
          </w:tcPr>
          <w:p w:rsidR="003D29CA" w:rsidRDefault="003D29CA" w:rsidP="00725CFC">
            <w:pPr>
              <w:pStyle w:val="Box"/>
              <w:spacing w:before="0" w:line="120" w:lineRule="exact"/>
            </w:pPr>
          </w:p>
        </w:tc>
      </w:tr>
      <w:tr w:rsidR="003D29CA" w:rsidTr="0092249A">
        <w:tc>
          <w:tcPr>
            <w:tcW w:w="8771" w:type="dxa"/>
            <w:tcBorders>
              <w:top w:val="single" w:sz="6" w:space="0" w:color="auto"/>
              <w:left w:val="nil"/>
              <w:bottom w:val="nil"/>
              <w:right w:val="nil"/>
            </w:tcBorders>
          </w:tcPr>
          <w:p w:rsidR="003D29CA" w:rsidRDefault="003D29CA" w:rsidP="00725CFC">
            <w:pPr>
              <w:pStyle w:val="Box"/>
              <w:keepNext w:val="0"/>
              <w:spacing w:before="60" w:after="60" w:line="80" w:lineRule="exact"/>
              <w:rPr>
                <w:b/>
                <w:color w:val="FF00FF"/>
                <w:sz w:val="14"/>
              </w:rPr>
            </w:pPr>
          </w:p>
        </w:tc>
      </w:tr>
    </w:tbl>
    <w:p w:rsidR="00C652DF" w:rsidRDefault="00C652DF" w:rsidP="00C652DF">
      <w:pPr>
        <w:pStyle w:val="Heading3"/>
      </w:pPr>
      <w:bookmarkStart w:id="22" w:name="_Ref328392146"/>
      <w:r w:rsidRPr="00C652DF">
        <w:t>Indicator 3 — Proportion of working age population with adequate foundation skills (literacy level 3 or above)</w:t>
      </w:r>
      <w:bookmarkEnd w:id="22"/>
    </w:p>
    <w:p w:rsidR="00C652DF" w:rsidRPr="00C652DF" w:rsidRDefault="00C652DF" w:rsidP="00C652DF">
      <w:pPr>
        <w:pStyle w:val="BoxSpace"/>
      </w:pPr>
    </w:p>
    <w:tbl>
      <w:tblPr>
        <w:tblW w:w="0" w:type="auto"/>
        <w:tblInd w:w="108" w:type="dxa"/>
        <w:tblLook w:val="01E0" w:firstRow="1" w:lastRow="1" w:firstColumn="1" w:lastColumn="1" w:noHBand="0" w:noVBand="0"/>
      </w:tblPr>
      <w:tblGrid>
        <w:gridCol w:w="1985"/>
        <w:gridCol w:w="6804"/>
      </w:tblGrid>
      <w:tr w:rsidR="00C652DF" w:rsidTr="009F2D0A">
        <w:trPr>
          <w:trHeight w:val="1803"/>
        </w:trPr>
        <w:tc>
          <w:tcPr>
            <w:tcW w:w="1985" w:type="dxa"/>
            <w:shd w:val="clear" w:color="auto" w:fill="auto"/>
          </w:tcPr>
          <w:p w:rsidR="00C652DF" w:rsidRPr="00366033" w:rsidRDefault="00C652DF" w:rsidP="00CE215C">
            <w:pPr>
              <w:pStyle w:val="TableBodyText"/>
              <w:jc w:val="left"/>
            </w:pPr>
            <w:r w:rsidRPr="00366033">
              <w:t xml:space="preserve">Key amendments from </w:t>
            </w:r>
            <w:r>
              <w:t>previous</w:t>
            </w:r>
            <w:r w:rsidRPr="00366033">
              <w:t xml:space="preserve"> cycle:</w:t>
            </w:r>
          </w:p>
        </w:tc>
        <w:tc>
          <w:tcPr>
            <w:tcW w:w="6804" w:type="dxa"/>
            <w:shd w:val="clear" w:color="auto" w:fill="auto"/>
          </w:tcPr>
          <w:p w:rsidR="009B37CB" w:rsidRDefault="009B37CB" w:rsidP="00963DC5">
            <w:pPr>
              <w:pStyle w:val="TableBullet"/>
            </w:pPr>
            <w:r>
              <w:t>PIAAC data have been revised as final data are now available to update preliminary data included in the previous report</w:t>
            </w:r>
            <w:r w:rsidR="00E073DB">
              <w:t>, along with amended levels of literacy and numeracy achievement</w:t>
            </w:r>
          </w:p>
          <w:p w:rsidR="009B37CB" w:rsidRDefault="009B37CB" w:rsidP="00963DC5">
            <w:pPr>
              <w:pStyle w:val="TableBullet"/>
            </w:pPr>
            <w:r>
              <w:t>In response to a CRC recommendation, additional disaggregations are reported</w:t>
            </w:r>
          </w:p>
          <w:p w:rsidR="00C652DF" w:rsidRDefault="009B37CB" w:rsidP="00963DC5">
            <w:pPr>
              <w:pStyle w:val="TableBullet"/>
            </w:pPr>
            <w:r>
              <w:t xml:space="preserve">A measure </w:t>
            </w:r>
            <w:r w:rsidR="008415BD">
              <w:t xml:space="preserve">of ‘adequate’ foundation skills </w:t>
            </w:r>
            <w:r>
              <w:t>has yet to be determined for the PIAAC data. The previous measure for this indicator was based on an assessment of the 2006 Adult Literacy and Life Skills Survey (ALLS) data.</w:t>
            </w:r>
          </w:p>
          <w:p w:rsidR="008415BD" w:rsidRPr="00970174" w:rsidRDefault="008415BD" w:rsidP="00CA0CB8">
            <w:pPr>
              <w:pStyle w:val="TableBullet"/>
              <w:numPr>
                <w:ilvl w:val="0"/>
                <w:numId w:val="0"/>
              </w:numPr>
              <w:ind w:left="170"/>
            </w:pPr>
          </w:p>
        </w:tc>
      </w:tr>
      <w:tr w:rsidR="00C652DF" w:rsidTr="00CE215C">
        <w:trPr>
          <w:trHeight w:val="682"/>
        </w:trPr>
        <w:tc>
          <w:tcPr>
            <w:tcW w:w="1985" w:type="dxa"/>
            <w:shd w:val="clear" w:color="auto" w:fill="auto"/>
          </w:tcPr>
          <w:p w:rsidR="00C652DF" w:rsidRDefault="00C652DF" w:rsidP="00CE215C">
            <w:pPr>
              <w:pStyle w:val="TableBodyText"/>
              <w:ind w:left="34"/>
              <w:jc w:val="left"/>
            </w:pPr>
            <w:r>
              <w:t>Outcome area:</w:t>
            </w:r>
          </w:p>
        </w:tc>
        <w:tc>
          <w:tcPr>
            <w:tcW w:w="6804" w:type="dxa"/>
            <w:shd w:val="clear" w:color="auto" w:fill="auto"/>
          </w:tcPr>
          <w:p w:rsidR="00C652DF" w:rsidRPr="00970174" w:rsidRDefault="009B37CB" w:rsidP="004A7F7C">
            <w:pPr>
              <w:pStyle w:val="TableBodyText"/>
              <w:jc w:val="left"/>
            </w:pPr>
            <w:r w:rsidRPr="009B37CB">
              <w:t>All working age Australians have the opportunity to develop skills</w:t>
            </w:r>
          </w:p>
        </w:tc>
      </w:tr>
      <w:tr w:rsidR="00C652DF" w:rsidTr="00CE215C">
        <w:trPr>
          <w:trHeight w:val="844"/>
        </w:trPr>
        <w:tc>
          <w:tcPr>
            <w:tcW w:w="1985" w:type="dxa"/>
            <w:shd w:val="clear" w:color="auto" w:fill="auto"/>
          </w:tcPr>
          <w:p w:rsidR="00C652DF" w:rsidRPr="000E5A86" w:rsidRDefault="00C652DF" w:rsidP="00CE215C">
            <w:pPr>
              <w:pStyle w:val="TableBodyText"/>
              <w:ind w:left="34"/>
              <w:jc w:val="left"/>
            </w:pPr>
            <w:r>
              <w:t>Performance indicator:</w:t>
            </w:r>
          </w:p>
        </w:tc>
        <w:tc>
          <w:tcPr>
            <w:tcW w:w="6804" w:type="dxa"/>
            <w:shd w:val="clear" w:color="auto" w:fill="auto"/>
          </w:tcPr>
          <w:p w:rsidR="00C652DF" w:rsidRPr="00970174" w:rsidRDefault="009B37CB" w:rsidP="004A7F7C">
            <w:pPr>
              <w:pStyle w:val="TableBodyText"/>
              <w:jc w:val="left"/>
            </w:pPr>
            <w:r w:rsidRPr="009B37CB">
              <w:t>Proportion of working age population with adequate foundation skills (literacy level 3 or above)</w:t>
            </w:r>
          </w:p>
        </w:tc>
      </w:tr>
      <w:tr w:rsidR="00C652DF" w:rsidTr="00CE215C">
        <w:trPr>
          <w:trHeight w:val="1709"/>
        </w:trPr>
        <w:tc>
          <w:tcPr>
            <w:tcW w:w="1985" w:type="dxa"/>
            <w:shd w:val="clear" w:color="auto" w:fill="auto"/>
          </w:tcPr>
          <w:p w:rsidR="00C652DF" w:rsidRDefault="00C652DF" w:rsidP="00CE215C">
            <w:pPr>
              <w:pStyle w:val="TableBodyText"/>
              <w:ind w:left="34"/>
              <w:jc w:val="left"/>
            </w:pPr>
            <w:r w:rsidRPr="000E5A86">
              <w:t>Measure</w:t>
            </w:r>
            <w:r>
              <w:t xml:space="preserve">: </w:t>
            </w:r>
          </w:p>
        </w:tc>
        <w:tc>
          <w:tcPr>
            <w:tcW w:w="6804" w:type="dxa"/>
            <w:shd w:val="clear" w:color="auto" w:fill="auto"/>
          </w:tcPr>
          <w:p w:rsidR="009B37CB" w:rsidRDefault="009B37CB" w:rsidP="004A7F7C">
            <w:pPr>
              <w:pStyle w:val="TableBodyText"/>
              <w:jc w:val="left"/>
            </w:pPr>
            <w:r>
              <w:t xml:space="preserve">Proportion of people aged 20–64 years with literacy level [X]* or above for literacy and numeracy </w:t>
            </w:r>
          </w:p>
          <w:p w:rsidR="009B37CB" w:rsidRDefault="009B37CB" w:rsidP="004A7F7C">
            <w:pPr>
              <w:pStyle w:val="TableBodyText"/>
              <w:jc w:val="left"/>
            </w:pPr>
          </w:p>
          <w:p w:rsidR="009B37CB" w:rsidRDefault="009B37CB" w:rsidP="004A7F7C">
            <w:pPr>
              <w:pStyle w:val="TableBodyText"/>
              <w:jc w:val="left"/>
            </w:pPr>
            <w:r>
              <w:t>The measure is defined as:</w:t>
            </w:r>
          </w:p>
          <w:p w:rsidR="009B37CB" w:rsidRDefault="009B37CB" w:rsidP="00963DC5">
            <w:pPr>
              <w:pStyle w:val="TableBullet"/>
            </w:pPr>
            <w:r w:rsidRPr="00270164">
              <w:rPr>
                <w:i/>
              </w:rPr>
              <w:t>numerator</w:t>
            </w:r>
            <w:r>
              <w:t xml:space="preserve"> — total number of people aged 20–64 years at </w:t>
            </w:r>
            <w:proofErr w:type="spellStart"/>
            <w:r>
              <w:t>PIACC</w:t>
            </w:r>
            <w:proofErr w:type="spellEnd"/>
            <w:r>
              <w:t xml:space="preserve"> literacy and numeracy levels [X]* or above </w:t>
            </w:r>
          </w:p>
          <w:p w:rsidR="009B37CB" w:rsidRDefault="009B37CB" w:rsidP="00963DC5">
            <w:pPr>
              <w:pStyle w:val="TableBullet"/>
            </w:pPr>
            <w:r w:rsidRPr="00270164">
              <w:rPr>
                <w:i/>
              </w:rPr>
              <w:t>denominator</w:t>
            </w:r>
            <w:r>
              <w:t xml:space="preserve"> — total population of all people aged 20–64 years</w:t>
            </w:r>
          </w:p>
          <w:p w:rsidR="009B37CB" w:rsidRDefault="009B37CB" w:rsidP="004A7F7C">
            <w:pPr>
              <w:pStyle w:val="TableBodyText"/>
              <w:jc w:val="left"/>
            </w:pPr>
            <w:r>
              <w:t>and expressed as a percentage</w:t>
            </w:r>
          </w:p>
          <w:p w:rsidR="009B37CB" w:rsidRDefault="009B37CB" w:rsidP="004A7F7C">
            <w:pPr>
              <w:pStyle w:val="TableBodyText"/>
              <w:jc w:val="left"/>
            </w:pPr>
          </w:p>
          <w:p w:rsidR="00970174" w:rsidRDefault="009B37CB" w:rsidP="004A7F7C">
            <w:pPr>
              <w:pStyle w:val="TableBodyText"/>
              <w:jc w:val="left"/>
            </w:pPr>
            <w:r>
              <w:t xml:space="preserve">*Measure to be determined post </w:t>
            </w:r>
            <w:r w:rsidR="00811124">
              <w:t xml:space="preserve">further analysis of the </w:t>
            </w:r>
            <w:r>
              <w:t>remodelled ALLS data.</w:t>
            </w:r>
            <w:r w:rsidR="009D2B5C">
              <w:t xml:space="preserve"> </w:t>
            </w:r>
          </w:p>
          <w:p w:rsidR="00270164" w:rsidRPr="00970174" w:rsidRDefault="00270164" w:rsidP="004A7F7C">
            <w:pPr>
              <w:pStyle w:val="TableBodyText"/>
              <w:jc w:val="left"/>
            </w:pPr>
          </w:p>
        </w:tc>
      </w:tr>
      <w:tr w:rsidR="00C652DF" w:rsidTr="00CE215C">
        <w:trPr>
          <w:trHeight w:val="574"/>
        </w:trPr>
        <w:tc>
          <w:tcPr>
            <w:tcW w:w="1985" w:type="dxa"/>
            <w:shd w:val="clear" w:color="auto" w:fill="auto"/>
          </w:tcPr>
          <w:p w:rsidR="00C652DF" w:rsidRPr="000E5A86" w:rsidRDefault="00C652DF" w:rsidP="00CE215C">
            <w:pPr>
              <w:pStyle w:val="TableBodyText"/>
              <w:ind w:left="34"/>
              <w:jc w:val="left"/>
            </w:pPr>
            <w:r>
              <w:t>Data source:</w:t>
            </w:r>
          </w:p>
        </w:tc>
        <w:tc>
          <w:tcPr>
            <w:tcW w:w="6804" w:type="dxa"/>
            <w:shd w:val="clear" w:color="auto" w:fill="auto"/>
          </w:tcPr>
          <w:p w:rsidR="00970174" w:rsidRDefault="009D2B5C" w:rsidP="004A7F7C">
            <w:pPr>
              <w:pStyle w:val="TableBodyText"/>
              <w:jc w:val="left"/>
            </w:pPr>
            <w:r w:rsidRPr="00270164">
              <w:rPr>
                <w:u w:val="single"/>
              </w:rPr>
              <w:t>Programme for the International Assessment of Adult competencies</w:t>
            </w:r>
            <w:r w:rsidRPr="009D2B5C">
              <w:t xml:space="preserve"> (PIAAC).</w:t>
            </w:r>
          </w:p>
          <w:p w:rsidR="00963DC5" w:rsidRPr="00970174" w:rsidRDefault="00963DC5" w:rsidP="004A7F7C">
            <w:pPr>
              <w:pStyle w:val="TableBodyText"/>
              <w:jc w:val="left"/>
            </w:pPr>
          </w:p>
        </w:tc>
      </w:tr>
      <w:tr w:rsidR="00C652DF" w:rsidTr="00CE215C">
        <w:trPr>
          <w:trHeight w:val="582"/>
        </w:trPr>
        <w:tc>
          <w:tcPr>
            <w:tcW w:w="1985" w:type="dxa"/>
            <w:shd w:val="clear" w:color="auto" w:fill="auto"/>
          </w:tcPr>
          <w:p w:rsidR="00C652DF" w:rsidRDefault="00C652DF" w:rsidP="00CE215C">
            <w:pPr>
              <w:pStyle w:val="TableBodyText"/>
              <w:ind w:left="34"/>
              <w:jc w:val="left"/>
            </w:pPr>
            <w:r w:rsidRPr="000E5A86">
              <w:t>Data provider:</w:t>
            </w:r>
          </w:p>
        </w:tc>
        <w:tc>
          <w:tcPr>
            <w:tcW w:w="6804" w:type="dxa"/>
            <w:shd w:val="clear" w:color="auto" w:fill="auto"/>
          </w:tcPr>
          <w:p w:rsidR="00C652DF" w:rsidRPr="00970174" w:rsidRDefault="009D2B5C" w:rsidP="004A7F7C">
            <w:pPr>
              <w:pStyle w:val="TableBodyText"/>
              <w:jc w:val="left"/>
            </w:pPr>
            <w:r w:rsidRPr="009D2B5C">
              <w:t>ABS</w:t>
            </w:r>
          </w:p>
        </w:tc>
      </w:tr>
      <w:tr w:rsidR="00C652DF" w:rsidTr="00CE215C">
        <w:trPr>
          <w:trHeight w:val="646"/>
        </w:trPr>
        <w:tc>
          <w:tcPr>
            <w:tcW w:w="1985" w:type="dxa"/>
            <w:shd w:val="clear" w:color="auto" w:fill="auto"/>
          </w:tcPr>
          <w:p w:rsidR="00C652DF" w:rsidRPr="000E5A86" w:rsidRDefault="00C652DF" w:rsidP="00CE215C">
            <w:pPr>
              <w:pStyle w:val="TableBodyText"/>
              <w:ind w:left="34"/>
              <w:jc w:val="left"/>
            </w:pPr>
            <w:r w:rsidRPr="000E5A86">
              <w:t>Data availability</w:t>
            </w:r>
            <w:r>
              <w:t>:</w:t>
            </w:r>
          </w:p>
        </w:tc>
        <w:tc>
          <w:tcPr>
            <w:tcW w:w="6804" w:type="dxa"/>
            <w:shd w:val="clear" w:color="auto" w:fill="auto"/>
          </w:tcPr>
          <w:p w:rsidR="00C652DF" w:rsidRPr="00970174" w:rsidRDefault="009D2B5C" w:rsidP="004A7F7C">
            <w:pPr>
              <w:pStyle w:val="TableBodyText"/>
              <w:jc w:val="left"/>
            </w:pPr>
            <w:r w:rsidRPr="009D2B5C">
              <w:t>PIAAC – 2011</w:t>
            </w:r>
          </w:p>
        </w:tc>
      </w:tr>
      <w:tr w:rsidR="00C652DF" w:rsidTr="00CE215C">
        <w:tc>
          <w:tcPr>
            <w:tcW w:w="1985" w:type="dxa"/>
            <w:shd w:val="clear" w:color="auto" w:fill="auto"/>
          </w:tcPr>
          <w:p w:rsidR="00C652DF" w:rsidRPr="000E5A86" w:rsidRDefault="00C652DF" w:rsidP="00CE215C">
            <w:pPr>
              <w:pStyle w:val="TableBodyText"/>
              <w:ind w:left="34"/>
              <w:jc w:val="left"/>
            </w:pPr>
            <w:r>
              <w:t>Cross tabulations provided:</w:t>
            </w:r>
          </w:p>
        </w:tc>
        <w:tc>
          <w:tcPr>
            <w:tcW w:w="6804" w:type="dxa"/>
            <w:shd w:val="clear" w:color="auto" w:fill="auto"/>
          </w:tcPr>
          <w:p w:rsidR="009D2B5C" w:rsidRDefault="009D2B5C" w:rsidP="00270164">
            <w:pPr>
              <w:pStyle w:val="TableBodyText"/>
              <w:jc w:val="left"/>
            </w:pPr>
            <w:r>
              <w:t>For each of literacy and numeracy - National, by literacy level, by:</w:t>
            </w:r>
          </w:p>
          <w:p w:rsidR="009D2B5C" w:rsidRDefault="009D2B5C" w:rsidP="004A7F7C">
            <w:pPr>
              <w:pStyle w:val="TableBullet"/>
            </w:pPr>
            <w:r>
              <w:t>Age group (20-24, 25-29, 30-34, 35-49, 40-44, 45-49, 50-54, 55-59, 60-64, total 20-64)</w:t>
            </w:r>
          </w:p>
          <w:p w:rsidR="009D2B5C" w:rsidRDefault="009D2B5C" w:rsidP="004A7F7C">
            <w:pPr>
              <w:pStyle w:val="TableBullet"/>
            </w:pPr>
            <w:r>
              <w:t>remoteness (combined remote/very remote)</w:t>
            </w:r>
          </w:p>
          <w:p w:rsidR="009D2B5C" w:rsidRDefault="009D2B5C" w:rsidP="004A7F7C">
            <w:pPr>
              <w:pStyle w:val="TableBullet"/>
            </w:pPr>
            <w:r>
              <w:t>SES (SEIFA IRSD quintiles)</w:t>
            </w:r>
          </w:p>
          <w:p w:rsidR="00C652DF" w:rsidRDefault="009D2B5C" w:rsidP="00137260">
            <w:pPr>
              <w:pStyle w:val="TableBullet"/>
            </w:pPr>
            <w:r>
              <w:t>highest l</w:t>
            </w:r>
            <w:r w:rsidR="00137260">
              <w:t xml:space="preserve">evel of educational attainment </w:t>
            </w:r>
          </w:p>
          <w:p w:rsidR="00137260" w:rsidRPr="00970174" w:rsidRDefault="00137260" w:rsidP="00137260">
            <w:pPr>
              <w:pStyle w:val="TableBullet"/>
              <w:numPr>
                <w:ilvl w:val="0"/>
                <w:numId w:val="0"/>
              </w:numPr>
              <w:ind w:left="170"/>
            </w:pPr>
          </w:p>
        </w:tc>
      </w:tr>
    </w:tbl>
    <w:p w:rsidR="00FC0A31" w:rsidRDefault="00FC0A31" w:rsidP="00BD6767">
      <w:pPr>
        <w:pStyle w:val="BoxSpace"/>
      </w:pPr>
    </w:p>
    <w:p w:rsidR="00FC0A31" w:rsidRDefault="00FC0A31" w:rsidP="00FC0A31">
      <w:pPr>
        <w:pStyle w:val="BodyText"/>
      </w:pPr>
      <w:r>
        <w:br w:type="page"/>
      </w:r>
    </w:p>
    <w:p w:rsidR="00BD6767" w:rsidRDefault="00BD6767" w:rsidP="00BD6767">
      <w:pPr>
        <w:pStyle w:val="BoxSpac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BD6767" w:rsidTr="00BD6767">
        <w:tc>
          <w:tcPr>
            <w:tcW w:w="8771" w:type="dxa"/>
            <w:tcBorders>
              <w:top w:val="single" w:sz="6" w:space="0" w:color="auto"/>
              <w:bottom w:val="nil"/>
            </w:tcBorders>
          </w:tcPr>
          <w:p w:rsidR="00BD6767" w:rsidRDefault="00BD6767" w:rsidP="00482B04">
            <w:pPr>
              <w:pStyle w:val="BoxTitle"/>
            </w:pPr>
            <w:r>
              <w:rPr>
                <w:b w:val="0"/>
              </w:rPr>
              <w:t xml:space="preserve">Box </w:t>
            </w:r>
            <w:r w:rsidR="00482B04">
              <w:rPr>
                <w:b w:val="0"/>
              </w:rPr>
              <w:t>9</w:t>
            </w:r>
            <w:r>
              <w:tab/>
              <w:t>Results</w:t>
            </w:r>
          </w:p>
        </w:tc>
      </w:tr>
      <w:tr w:rsidR="00BD6767" w:rsidRPr="00745C50" w:rsidTr="00BD6767">
        <w:trPr>
          <w:cantSplit/>
        </w:trPr>
        <w:tc>
          <w:tcPr>
            <w:tcW w:w="8771" w:type="dxa"/>
            <w:tcBorders>
              <w:top w:val="nil"/>
              <w:left w:val="single" w:sz="6" w:space="0" w:color="auto"/>
              <w:bottom w:val="nil"/>
              <w:right w:val="single" w:sz="6" w:space="0" w:color="auto"/>
            </w:tcBorders>
          </w:tcPr>
          <w:p w:rsidR="001F3270" w:rsidRDefault="00745C50" w:rsidP="00573754">
            <w:pPr>
              <w:pStyle w:val="Box"/>
            </w:pPr>
            <w:r>
              <w:t>For this report final data for this indicator are available for 2011-12</w:t>
            </w:r>
            <w:r w:rsidR="008415BD">
              <w:t>.</w:t>
            </w:r>
            <w:r w:rsidR="00353E08" w:rsidRPr="00AD0469">
              <w:rPr>
                <w:noProof/>
              </w:rPr>
              <w:t xml:space="preserve"> </w:t>
            </w:r>
          </w:p>
          <w:p w:rsidR="00745C50" w:rsidRDefault="00745C50" w:rsidP="00745C50">
            <w:pPr>
              <w:pStyle w:val="BoxListBullet"/>
            </w:pPr>
            <w:r>
              <w:t xml:space="preserve">Data by State and Territory by literacy </w:t>
            </w:r>
            <w:r w:rsidR="00D919BA">
              <w:t xml:space="preserve">and numeracy </w:t>
            </w:r>
            <w:r>
              <w:t xml:space="preserve">levels </w:t>
            </w:r>
            <w:r w:rsidR="00D919BA">
              <w:t>are presented in tables</w:t>
            </w:r>
            <w:r w:rsidR="00EA4AE1">
              <w:t> </w:t>
            </w:r>
            <w:proofErr w:type="spellStart"/>
            <w:r w:rsidR="00D919BA">
              <w:t>SWD.3.1</w:t>
            </w:r>
            <w:proofErr w:type="spellEnd"/>
            <w:r w:rsidR="00D919BA">
              <w:t>-3.2.</w:t>
            </w:r>
          </w:p>
          <w:p w:rsidR="00D919BA" w:rsidRDefault="00D919BA" w:rsidP="00D919BA">
            <w:pPr>
              <w:pStyle w:val="BoxListBullet"/>
            </w:pPr>
            <w:r>
              <w:t>Data by age group by literacy and numeracy levels are presented in tables</w:t>
            </w:r>
            <w:r w:rsidR="00EA4AE1">
              <w:t> </w:t>
            </w:r>
            <w:proofErr w:type="spellStart"/>
            <w:r>
              <w:t>SWD.3.3</w:t>
            </w:r>
            <w:proofErr w:type="spellEnd"/>
            <w:r>
              <w:t>-3.4.</w:t>
            </w:r>
          </w:p>
          <w:p w:rsidR="00D919BA" w:rsidRDefault="00D919BA" w:rsidP="00D919BA">
            <w:pPr>
              <w:pStyle w:val="BoxListBullet"/>
            </w:pPr>
            <w:r>
              <w:t xml:space="preserve">Data by socioeconomic status by literacy and numeracy levels are presented in tables </w:t>
            </w:r>
            <w:proofErr w:type="spellStart"/>
            <w:r>
              <w:t>SWD.3.5</w:t>
            </w:r>
            <w:proofErr w:type="spellEnd"/>
            <w:r>
              <w:t>-</w:t>
            </w:r>
            <w:r w:rsidR="008415BD">
              <w:t>3.</w:t>
            </w:r>
            <w:r>
              <w:t>6.</w:t>
            </w:r>
          </w:p>
          <w:p w:rsidR="00D919BA" w:rsidRDefault="00D919BA" w:rsidP="00D919BA">
            <w:pPr>
              <w:pStyle w:val="BoxListBullet"/>
            </w:pPr>
            <w:r>
              <w:t xml:space="preserve">Data by remoteness by literacy and numeracy levels are presented in tables </w:t>
            </w:r>
            <w:proofErr w:type="spellStart"/>
            <w:r>
              <w:t>SWD.3.7</w:t>
            </w:r>
            <w:proofErr w:type="spellEnd"/>
            <w:r>
              <w:t>-3.8.</w:t>
            </w:r>
          </w:p>
          <w:p w:rsidR="00B315AC" w:rsidRDefault="00B315AC" w:rsidP="00B315AC">
            <w:pPr>
              <w:pStyle w:val="BoxListBullet"/>
            </w:pPr>
            <w:r>
              <w:t xml:space="preserve">Data by level of educational attainment by literacy and numeracy levels are presented in tables </w:t>
            </w:r>
            <w:proofErr w:type="spellStart"/>
            <w:r>
              <w:t>SWD.3.9</w:t>
            </w:r>
            <w:proofErr w:type="spellEnd"/>
            <w:r>
              <w:t>-3.10.</w:t>
            </w:r>
          </w:p>
          <w:p w:rsidR="0000553E" w:rsidRPr="00745C50" w:rsidRDefault="0000553E" w:rsidP="00EA4AE1">
            <w:pPr>
              <w:pStyle w:val="Box"/>
            </w:pPr>
            <w:r>
              <w:t xml:space="preserve">Data from the 2006 Adult Literacy and Life Skills Survey are available in the 2008 baseline NASWD report. </w:t>
            </w:r>
          </w:p>
        </w:tc>
      </w:tr>
      <w:tr w:rsidR="00BD6767" w:rsidTr="00BD6767">
        <w:trPr>
          <w:cantSplit/>
        </w:trPr>
        <w:tc>
          <w:tcPr>
            <w:tcW w:w="8771" w:type="dxa"/>
            <w:tcBorders>
              <w:top w:val="nil"/>
              <w:left w:val="single" w:sz="6" w:space="0" w:color="auto"/>
              <w:bottom w:val="single" w:sz="6" w:space="0" w:color="auto"/>
              <w:right w:val="single" w:sz="6" w:space="0" w:color="auto"/>
            </w:tcBorders>
          </w:tcPr>
          <w:p w:rsidR="00BD6767" w:rsidRDefault="00BD6767" w:rsidP="00BD6767">
            <w:pPr>
              <w:pStyle w:val="Box"/>
              <w:spacing w:before="0" w:line="120" w:lineRule="exact"/>
            </w:pPr>
          </w:p>
        </w:tc>
      </w:tr>
      <w:tr w:rsidR="00BD6767" w:rsidTr="00BD6767">
        <w:tc>
          <w:tcPr>
            <w:tcW w:w="8771" w:type="dxa"/>
            <w:tcBorders>
              <w:top w:val="nil"/>
              <w:left w:val="nil"/>
              <w:bottom w:val="nil"/>
              <w:right w:val="nil"/>
            </w:tcBorders>
          </w:tcPr>
          <w:p w:rsidR="00BD6767" w:rsidRDefault="00BD6767" w:rsidP="00BD6767">
            <w:pPr>
              <w:pStyle w:val="Box"/>
              <w:keepNext w:val="0"/>
              <w:spacing w:before="60" w:after="60" w:line="80" w:lineRule="exact"/>
              <w:rPr>
                <w:b/>
                <w:color w:val="FF00FF"/>
                <w:sz w:val="14"/>
              </w:rPr>
            </w:pPr>
          </w:p>
        </w:tc>
      </w:tr>
    </w:tbl>
    <w:p w:rsidR="00BD6767" w:rsidRDefault="00BD6767" w:rsidP="00736D24">
      <w:pPr>
        <w:pStyle w:val="Heading4"/>
      </w:pPr>
      <w:r>
        <w:t>Attachment tables</w:t>
      </w:r>
    </w:p>
    <w:tbl>
      <w:tblPr>
        <w:tblW w:w="880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6864"/>
      </w:tblGrid>
      <w:tr w:rsidR="00BA18A3" w:rsidRPr="00BA18A3" w:rsidTr="00BA18A3">
        <w:trPr>
          <w:trHeight w:val="612"/>
        </w:trPr>
        <w:tc>
          <w:tcPr>
            <w:tcW w:w="1940" w:type="dxa"/>
            <w:shd w:val="clear" w:color="auto" w:fill="auto"/>
            <w:noWrap/>
            <w:hideMark/>
          </w:tcPr>
          <w:p w:rsidR="00BA18A3" w:rsidRPr="00BA18A3" w:rsidRDefault="00BA18A3" w:rsidP="00BA18A3">
            <w:pPr>
              <w:rPr>
                <w:rFonts w:ascii="Arial" w:hAnsi="Arial" w:cs="Arial"/>
                <w:b/>
                <w:bCs/>
                <w:sz w:val="20"/>
                <w:szCs w:val="20"/>
              </w:rPr>
            </w:pPr>
            <w:r w:rsidRPr="00BA18A3">
              <w:rPr>
                <w:rFonts w:ascii="Arial" w:hAnsi="Arial" w:cs="Arial"/>
                <w:b/>
                <w:bCs/>
                <w:sz w:val="20"/>
                <w:szCs w:val="20"/>
              </w:rPr>
              <w:t xml:space="preserve">Table </w:t>
            </w:r>
            <w:proofErr w:type="spellStart"/>
            <w:r w:rsidRPr="00BA18A3">
              <w:rPr>
                <w:rFonts w:ascii="Arial" w:hAnsi="Arial" w:cs="Arial"/>
                <w:b/>
                <w:bCs/>
                <w:sz w:val="20"/>
                <w:szCs w:val="20"/>
              </w:rPr>
              <w:t>SWD.3.1</w:t>
            </w:r>
            <w:proofErr w:type="spellEnd"/>
          </w:p>
        </w:tc>
        <w:tc>
          <w:tcPr>
            <w:tcW w:w="6864" w:type="dxa"/>
            <w:shd w:val="clear" w:color="auto" w:fill="auto"/>
            <w:hideMark/>
          </w:tcPr>
          <w:p w:rsidR="00BA18A3" w:rsidRPr="00BA18A3" w:rsidRDefault="00BA18A3" w:rsidP="00BA18A3">
            <w:pPr>
              <w:jc w:val="both"/>
              <w:rPr>
                <w:rFonts w:ascii="Arial" w:hAnsi="Arial" w:cs="Arial"/>
                <w:sz w:val="20"/>
                <w:szCs w:val="20"/>
              </w:rPr>
            </w:pPr>
            <w:r w:rsidRPr="00BA18A3">
              <w:rPr>
                <w:rFonts w:ascii="Arial" w:hAnsi="Arial" w:cs="Arial"/>
                <w:sz w:val="20"/>
                <w:szCs w:val="20"/>
              </w:rPr>
              <w:t xml:space="preserve">Proportion the population aged 20–64 years at </w:t>
            </w:r>
            <w:proofErr w:type="spellStart"/>
            <w:r w:rsidRPr="00BA18A3">
              <w:rPr>
                <w:rFonts w:ascii="Arial" w:hAnsi="Arial" w:cs="Arial"/>
                <w:sz w:val="20"/>
                <w:szCs w:val="20"/>
              </w:rPr>
              <w:t>PIACC</w:t>
            </w:r>
            <w:proofErr w:type="spellEnd"/>
            <w:r w:rsidRPr="00BA18A3">
              <w:rPr>
                <w:rFonts w:ascii="Arial" w:hAnsi="Arial" w:cs="Arial"/>
                <w:sz w:val="20"/>
                <w:szCs w:val="20"/>
              </w:rPr>
              <w:t xml:space="preserve"> literacy levels (Below 1/1, 2, 3 and 4/5), by State and Territory, 2011–12 </w:t>
            </w:r>
          </w:p>
        </w:tc>
      </w:tr>
      <w:tr w:rsidR="00BA18A3" w:rsidRPr="00BA18A3" w:rsidTr="00BA18A3">
        <w:trPr>
          <w:trHeight w:val="612"/>
        </w:trPr>
        <w:tc>
          <w:tcPr>
            <w:tcW w:w="1940" w:type="dxa"/>
            <w:shd w:val="clear" w:color="auto" w:fill="auto"/>
            <w:noWrap/>
            <w:hideMark/>
          </w:tcPr>
          <w:p w:rsidR="00BA18A3" w:rsidRPr="00BA18A3" w:rsidRDefault="00BA18A3" w:rsidP="00BA18A3">
            <w:pPr>
              <w:rPr>
                <w:rFonts w:ascii="Arial" w:hAnsi="Arial" w:cs="Arial"/>
                <w:b/>
                <w:bCs/>
                <w:sz w:val="20"/>
                <w:szCs w:val="20"/>
              </w:rPr>
            </w:pPr>
            <w:r w:rsidRPr="00BA18A3">
              <w:rPr>
                <w:rFonts w:ascii="Arial" w:hAnsi="Arial" w:cs="Arial"/>
                <w:b/>
                <w:bCs/>
                <w:sz w:val="20"/>
                <w:szCs w:val="20"/>
              </w:rPr>
              <w:t xml:space="preserve">Table </w:t>
            </w:r>
            <w:proofErr w:type="spellStart"/>
            <w:r w:rsidRPr="00BA18A3">
              <w:rPr>
                <w:rFonts w:ascii="Arial" w:hAnsi="Arial" w:cs="Arial"/>
                <w:b/>
                <w:bCs/>
                <w:sz w:val="20"/>
                <w:szCs w:val="20"/>
              </w:rPr>
              <w:t>SWD.3.2</w:t>
            </w:r>
            <w:proofErr w:type="spellEnd"/>
          </w:p>
        </w:tc>
        <w:tc>
          <w:tcPr>
            <w:tcW w:w="6864" w:type="dxa"/>
            <w:shd w:val="clear" w:color="auto" w:fill="auto"/>
            <w:hideMark/>
          </w:tcPr>
          <w:p w:rsidR="00BA18A3" w:rsidRPr="00BA18A3" w:rsidRDefault="00BA18A3" w:rsidP="00BA18A3">
            <w:pPr>
              <w:jc w:val="both"/>
              <w:rPr>
                <w:rFonts w:ascii="Arial" w:hAnsi="Arial" w:cs="Arial"/>
                <w:sz w:val="20"/>
                <w:szCs w:val="20"/>
              </w:rPr>
            </w:pPr>
            <w:r w:rsidRPr="00BA18A3">
              <w:rPr>
                <w:rFonts w:ascii="Arial" w:hAnsi="Arial" w:cs="Arial"/>
                <w:sz w:val="20"/>
                <w:szCs w:val="20"/>
              </w:rPr>
              <w:t xml:space="preserve">Proportion the population aged 20–64 years at </w:t>
            </w:r>
            <w:proofErr w:type="spellStart"/>
            <w:r w:rsidRPr="00BA18A3">
              <w:rPr>
                <w:rFonts w:ascii="Arial" w:hAnsi="Arial" w:cs="Arial"/>
                <w:sz w:val="20"/>
                <w:szCs w:val="20"/>
              </w:rPr>
              <w:t>PIACC</w:t>
            </w:r>
            <w:proofErr w:type="spellEnd"/>
            <w:r w:rsidRPr="00BA18A3">
              <w:rPr>
                <w:rFonts w:ascii="Arial" w:hAnsi="Arial" w:cs="Arial"/>
                <w:sz w:val="20"/>
                <w:szCs w:val="20"/>
              </w:rPr>
              <w:t xml:space="preserve"> numeracy levels (Below 1/1, 2, 3 and 4/5), by State and Territory, 2011–12 </w:t>
            </w:r>
          </w:p>
        </w:tc>
      </w:tr>
      <w:tr w:rsidR="00BA18A3" w:rsidRPr="00BA18A3" w:rsidTr="00BA18A3">
        <w:trPr>
          <w:trHeight w:val="612"/>
        </w:trPr>
        <w:tc>
          <w:tcPr>
            <w:tcW w:w="1940" w:type="dxa"/>
            <w:shd w:val="clear" w:color="auto" w:fill="auto"/>
            <w:noWrap/>
            <w:hideMark/>
          </w:tcPr>
          <w:p w:rsidR="00BA18A3" w:rsidRPr="00BA18A3" w:rsidRDefault="00BA18A3" w:rsidP="00BA18A3">
            <w:pPr>
              <w:rPr>
                <w:rFonts w:ascii="Arial" w:hAnsi="Arial" w:cs="Arial"/>
                <w:b/>
                <w:bCs/>
                <w:sz w:val="20"/>
                <w:szCs w:val="20"/>
              </w:rPr>
            </w:pPr>
            <w:r w:rsidRPr="00BA18A3">
              <w:rPr>
                <w:rFonts w:ascii="Arial" w:hAnsi="Arial" w:cs="Arial"/>
                <w:b/>
                <w:bCs/>
                <w:sz w:val="20"/>
                <w:szCs w:val="20"/>
              </w:rPr>
              <w:t xml:space="preserve">Table </w:t>
            </w:r>
            <w:proofErr w:type="spellStart"/>
            <w:r w:rsidRPr="00BA18A3">
              <w:rPr>
                <w:rFonts w:ascii="Arial" w:hAnsi="Arial" w:cs="Arial"/>
                <w:b/>
                <w:bCs/>
                <w:sz w:val="20"/>
                <w:szCs w:val="20"/>
              </w:rPr>
              <w:t>SWD.3.3</w:t>
            </w:r>
            <w:proofErr w:type="spellEnd"/>
          </w:p>
        </w:tc>
        <w:tc>
          <w:tcPr>
            <w:tcW w:w="6864" w:type="dxa"/>
            <w:shd w:val="clear" w:color="auto" w:fill="auto"/>
            <w:hideMark/>
          </w:tcPr>
          <w:p w:rsidR="00BA18A3" w:rsidRPr="00BA18A3" w:rsidRDefault="00BA18A3" w:rsidP="00BA18A3">
            <w:pPr>
              <w:jc w:val="both"/>
              <w:rPr>
                <w:rFonts w:ascii="Arial" w:hAnsi="Arial" w:cs="Arial"/>
                <w:sz w:val="20"/>
                <w:szCs w:val="20"/>
              </w:rPr>
            </w:pPr>
            <w:r w:rsidRPr="00BA18A3">
              <w:rPr>
                <w:rFonts w:ascii="Arial" w:hAnsi="Arial" w:cs="Arial"/>
                <w:sz w:val="20"/>
                <w:szCs w:val="20"/>
              </w:rPr>
              <w:t xml:space="preserve">Proportion the population aged 20–64 years at </w:t>
            </w:r>
            <w:proofErr w:type="spellStart"/>
            <w:r w:rsidRPr="00BA18A3">
              <w:rPr>
                <w:rFonts w:ascii="Arial" w:hAnsi="Arial" w:cs="Arial"/>
                <w:sz w:val="20"/>
                <w:szCs w:val="20"/>
              </w:rPr>
              <w:t>PIACC</w:t>
            </w:r>
            <w:proofErr w:type="spellEnd"/>
            <w:r w:rsidRPr="00BA18A3">
              <w:rPr>
                <w:rFonts w:ascii="Arial" w:hAnsi="Arial" w:cs="Arial"/>
                <w:sz w:val="20"/>
                <w:szCs w:val="20"/>
              </w:rPr>
              <w:t xml:space="preserve"> literacy levels (Below 1/1, 2, 3 and 4/5), by age 2011–12 </w:t>
            </w:r>
          </w:p>
        </w:tc>
      </w:tr>
      <w:tr w:rsidR="00BA18A3" w:rsidRPr="00BA18A3" w:rsidTr="00BA18A3">
        <w:trPr>
          <w:trHeight w:val="612"/>
        </w:trPr>
        <w:tc>
          <w:tcPr>
            <w:tcW w:w="1940" w:type="dxa"/>
            <w:shd w:val="clear" w:color="auto" w:fill="auto"/>
            <w:noWrap/>
            <w:hideMark/>
          </w:tcPr>
          <w:p w:rsidR="00BA18A3" w:rsidRPr="00BA18A3" w:rsidRDefault="00BA18A3" w:rsidP="00BA18A3">
            <w:pPr>
              <w:rPr>
                <w:rFonts w:ascii="Arial" w:hAnsi="Arial" w:cs="Arial"/>
                <w:b/>
                <w:bCs/>
                <w:sz w:val="20"/>
                <w:szCs w:val="20"/>
              </w:rPr>
            </w:pPr>
            <w:r w:rsidRPr="00BA18A3">
              <w:rPr>
                <w:rFonts w:ascii="Arial" w:hAnsi="Arial" w:cs="Arial"/>
                <w:b/>
                <w:bCs/>
                <w:sz w:val="20"/>
                <w:szCs w:val="20"/>
              </w:rPr>
              <w:t xml:space="preserve">Table </w:t>
            </w:r>
            <w:proofErr w:type="spellStart"/>
            <w:r w:rsidRPr="00BA18A3">
              <w:rPr>
                <w:rFonts w:ascii="Arial" w:hAnsi="Arial" w:cs="Arial"/>
                <w:b/>
                <w:bCs/>
                <w:sz w:val="20"/>
                <w:szCs w:val="20"/>
              </w:rPr>
              <w:t>SWD.3.4</w:t>
            </w:r>
            <w:proofErr w:type="spellEnd"/>
          </w:p>
        </w:tc>
        <w:tc>
          <w:tcPr>
            <w:tcW w:w="6864" w:type="dxa"/>
            <w:shd w:val="clear" w:color="auto" w:fill="auto"/>
            <w:hideMark/>
          </w:tcPr>
          <w:p w:rsidR="00BA18A3" w:rsidRPr="00BA18A3" w:rsidRDefault="00BA18A3" w:rsidP="00BA18A3">
            <w:pPr>
              <w:jc w:val="both"/>
              <w:rPr>
                <w:rFonts w:ascii="Arial" w:hAnsi="Arial" w:cs="Arial"/>
                <w:sz w:val="20"/>
                <w:szCs w:val="20"/>
              </w:rPr>
            </w:pPr>
            <w:r w:rsidRPr="00BA18A3">
              <w:rPr>
                <w:rFonts w:ascii="Arial" w:hAnsi="Arial" w:cs="Arial"/>
                <w:sz w:val="20"/>
                <w:szCs w:val="20"/>
              </w:rPr>
              <w:t xml:space="preserve">Proportion the population aged 20–64 years at </w:t>
            </w:r>
            <w:proofErr w:type="spellStart"/>
            <w:r w:rsidRPr="00BA18A3">
              <w:rPr>
                <w:rFonts w:ascii="Arial" w:hAnsi="Arial" w:cs="Arial"/>
                <w:sz w:val="20"/>
                <w:szCs w:val="20"/>
              </w:rPr>
              <w:t>PIACC</w:t>
            </w:r>
            <w:proofErr w:type="spellEnd"/>
            <w:r w:rsidRPr="00BA18A3">
              <w:rPr>
                <w:rFonts w:ascii="Arial" w:hAnsi="Arial" w:cs="Arial"/>
                <w:sz w:val="20"/>
                <w:szCs w:val="20"/>
              </w:rPr>
              <w:t xml:space="preserve"> numeracy levels (Below 1/1, 2, 3 and 4/5), by age 2011–12 </w:t>
            </w:r>
          </w:p>
        </w:tc>
      </w:tr>
      <w:tr w:rsidR="00BA18A3" w:rsidRPr="00BA18A3" w:rsidTr="00BA18A3">
        <w:trPr>
          <w:trHeight w:val="612"/>
        </w:trPr>
        <w:tc>
          <w:tcPr>
            <w:tcW w:w="1940" w:type="dxa"/>
            <w:shd w:val="clear" w:color="auto" w:fill="auto"/>
            <w:noWrap/>
            <w:hideMark/>
          </w:tcPr>
          <w:p w:rsidR="00BA18A3" w:rsidRPr="00BA18A3" w:rsidRDefault="00BA18A3" w:rsidP="00BA18A3">
            <w:pPr>
              <w:rPr>
                <w:rFonts w:ascii="Arial" w:hAnsi="Arial" w:cs="Arial"/>
                <w:b/>
                <w:bCs/>
                <w:sz w:val="20"/>
                <w:szCs w:val="20"/>
              </w:rPr>
            </w:pPr>
            <w:r w:rsidRPr="00BA18A3">
              <w:rPr>
                <w:rFonts w:ascii="Arial" w:hAnsi="Arial" w:cs="Arial"/>
                <w:b/>
                <w:bCs/>
                <w:sz w:val="20"/>
                <w:szCs w:val="20"/>
              </w:rPr>
              <w:t xml:space="preserve">Table </w:t>
            </w:r>
            <w:proofErr w:type="spellStart"/>
            <w:r w:rsidRPr="00BA18A3">
              <w:rPr>
                <w:rFonts w:ascii="Arial" w:hAnsi="Arial" w:cs="Arial"/>
                <w:b/>
                <w:bCs/>
                <w:sz w:val="20"/>
                <w:szCs w:val="20"/>
              </w:rPr>
              <w:t>SWD.3.5</w:t>
            </w:r>
            <w:proofErr w:type="spellEnd"/>
          </w:p>
        </w:tc>
        <w:tc>
          <w:tcPr>
            <w:tcW w:w="6864" w:type="dxa"/>
            <w:shd w:val="clear" w:color="auto" w:fill="auto"/>
            <w:hideMark/>
          </w:tcPr>
          <w:p w:rsidR="00BA18A3" w:rsidRPr="00BA18A3" w:rsidRDefault="00BA18A3" w:rsidP="00BA18A3">
            <w:pPr>
              <w:jc w:val="both"/>
              <w:rPr>
                <w:rFonts w:ascii="Arial" w:hAnsi="Arial" w:cs="Arial"/>
                <w:sz w:val="20"/>
                <w:szCs w:val="20"/>
              </w:rPr>
            </w:pPr>
            <w:r w:rsidRPr="00BA18A3">
              <w:rPr>
                <w:rFonts w:ascii="Arial" w:hAnsi="Arial" w:cs="Arial"/>
                <w:sz w:val="20"/>
                <w:szCs w:val="20"/>
              </w:rPr>
              <w:t xml:space="preserve">Proportion the population aged 20–64 years at </w:t>
            </w:r>
            <w:proofErr w:type="spellStart"/>
            <w:r w:rsidRPr="00BA18A3">
              <w:rPr>
                <w:rFonts w:ascii="Arial" w:hAnsi="Arial" w:cs="Arial"/>
                <w:sz w:val="20"/>
                <w:szCs w:val="20"/>
              </w:rPr>
              <w:t>PIACC</w:t>
            </w:r>
            <w:proofErr w:type="spellEnd"/>
            <w:r w:rsidRPr="00BA18A3">
              <w:rPr>
                <w:rFonts w:ascii="Arial" w:hAnsi="Arial" w:cs="Arial"/>
                <w:sz w:val="20"/>
                <w:szCs w:val="20"/>
              </w:rPr>
              <w:t xml:space="preserve"> literacy levels (Below 1/1, 2, 3 and 4/5), by SES (SEIFA IRSD) 2011–12  </w:t>
            </w:r>
          </w:p>
        </w:tc>
      </w:tr>
      <w:tr w:rsidR="00BA18A3" w:rsidRPr="00BA18A3" w:rsidTr="00BA18A3">
        <w:trPr>
          <w:trHeight w:val="612"/>
        </w:trPr>
        <w:tc>
          <w:tcPr>
            <w:tcW w:w="1940" w:type="dxa"/>
            <w:shd w:val="clear" w:color="auto" w:fill="auto"/>
            <w:noWrap/>
            <w:hideMark/>
          </w:tcPr>
          <w:p w:rsidR="00BA18A3" w:rsidRPr="00BA18A3" w:rsidRDefault="00BA18A3" w:rsidP="00BA18A3">
            <w:pPr>
              <w:rPr>
                <w:rFonts w:ascii="Arial" w:hAnsi="Arial" w:cs="Arial"/>
                <w:b/>
                <w:bCs/>
                <w:sz w:val="20"/>
                <w:szCs w:val="20"/>
              </w:rPr>
            </w:pPr>
            <w:r w:rsidRPr="00BA18A3">
              <w:rPr>
                <w:rFonts w:ascii="Arial" w:hAnsi="Arial" w:cs="Arial"/>
                <w:b/>
                <w:bCs/>
                <w:sz w:val="20"/>
                <w:szCs w:val="20"/>
              </w:rPr>
              <w:t xml:space="preserve">Table </w:t>
            </w:r>
            <w:proofErr w:type="spellStart"/>
            <w:r w:rsidRPr="00BA18A3">
              <w:rPr>
                <w:rFonts w:ascii="Arial" w:hAnsi="Arial" w:cs="Arial"/>
                <w:b/>
                <w:bCs/>
                <w:sz w:val="20"/>
                <w:szCs w:val="20"/>
              </w:rPr>
              <w:t>SWD.3.6</w:t>
            </w:r>
            <w:proofErr w:type="spellEnd"/>
          </w:p>
        </w:tc>
        <w:tc>
          <w:tcPr>
            <w:tcW w:w="6864" w:type="dxa"/>
            <w:shd w:val="clear" w:color="auto" w:fill="auto"/>
            <w:hideMark/>
          </w:tcPr>
          <w:p w:rsidR="00BA18A3" w:rsidRPr="00BA18A3" w:rsidRDefault="00BA18A3" w:rsidP="00BA18A3">
            <w:pPr>
              <w:jc w:val="both"/>
              <w:rPr>
                <w:rFonts w:ascii="Arial" w:hAnsi="Arial" w:cs="Arial"/>
                <w:sz w:val="20"/>
                <w:szCs w:val="20"/>
              </w:rPr>
            </w:pPr>
            <w:r w:rsidRPr="00BA18A3">
              <w:rPr>
                <w:rFonts w:ascii="Arial" w:hAnsi="Arial" w:cs="Arial"/>
                <w:sz w:val="20"/>
                <w:szCs w:val="20"/>
              </w:rPr>
              <w:t xml:space="preserve">Proportion the population aged 20–64 years at </w:t>
            </w:r>
            <w:proofErr w:type="spellStart"/>
            <w:r w:rsidRPr="00BA18A3">
              <w:rPr>
                <w:rFonts w:ascii="Arial" w:hAnsi="Arial" w:cs="Arial"/>
                <w:sz w:val="20"/>
                <w:szCs w:val="20"/>
              </w:rPr>
              <w:t>PIACC</w:t>
            </w:r>
            <w:proofErr w:type="spellEnd"/>
            <w:r w:rsidRPr="00BA18A3">
              <w:rPr>
                <w:rFonts w:ascii="Arial" w:hAnsi="Arial" w:cs="Arial"/>
                <w:sz w:val="20"/>
                <w:szCs w:val="20"/>
              </w:rPr>
              <w:t xml:space="preserve"> numeracy levels (Below 1/1, 2, 3 and 4/5), by SES (SEIFA IRSD) 2011–12  </w:t>
            </w:r>
          </w:p>
        </w:tc>
      </w:tr>
      <w:tr w:rsidR="00BA18A3" w:rsidRPr="00BA18A3" w:rsidTr="00BA18A3">
        <w:trPr>
          <w:trHeight w:val="612"/>
        </w:trPr>
        <w:tc>
          <w:tcPr>
            <w:tcW w:w="1940" w:type="dxa"/>
            <w:shd w:val="clear" w:color="auto" w:fill="auto"/>
            <w:noWrap/>
            <w:hideMark/>
          </w:tcPr>
          <w:p w:rsidR="00BA18A3" w:rsidRPr="00BA18A3" w:rsidRDefault="00BA18A3" w:rsidP="00BA18A3">
            <w:pPr>
              <w:rPr>
                <w:rFonts w:ascii="Arial" w:hAnsi="Arial" w:cs="Arial"/>
                <w:b/>
                <w:bCs/>
                <w:sz w:val="20"/>
                <w:szCs w:val="20"/>
              </w:rPr>
            </w:pPr>
            <w:r w:rsidRPr="00BA18A3">
              <w:rPr>
                <w:rFonts w:ascii="Arial" w:hAnsi="Arial" w:cs="Arial"/>
                <w:b/>
                <w:bCs/>
                <w:sz w:val="20"/>
                <w:szCs w:val="20"/>
              </w:rPr>
              <w:t xml:space="preserve">Table </w:t>
            </w:r>
            <w:proofErr w:type="spellStart"/>
            <w:r w:rsidRPr="00BA18A3">
              <w:rPr>
                <w:rFonts w:ascii="Arial" w:hAnsi="Arial" w:cs="Arial"/>
                <w:b/>
                <w:bCs/>
                <w:sz w:val="20"/>
                <w:szCs w:val="20"/>
              </w:rPr>
              <w:t>SWD.3.7</w:t>
            </w:r>
            <w:proofErr w:type="spellEnd"/>
          </w:p>
        </w:tc>
        <w:tc>
          <w:tcPr>
            <w:tcW w:w="6864" w:type="dxa"/>
            <w:shd w:val="clear" w:color="auto" w:fill="auto"/>
            <w:hideMark/>
          </w:tcPr>
          <w:p w:rsidR="00BA18A3" w:rsidRPr="00BA18A3" w:rsidRDefault="00BA18A3" w:rsidP="00BA18A3">
            <w:pPr>
              <w:jc w:val="both"/>
              <w:rPr>
                <w:rFonts w:ascii="Arial" w:hAnsi="Arial" w:cs="Arial"/>
                <w:sz w:val="20"/>
                <w:szCs w:val="20"/>
              </w:rPr>
            </w:pPr>
            <w:r w:rsidRPr="00BA18A3">
              <w:rPr>
                <w:rFonts w:ascii="Arial" w:hAnsi="Arial" w:cs="Arial"/>
                <w:sz w:val="20"/>
                <w:szCs w:val="20"/>
              </w:rPr>
              <w:t xml:space="preserve">Proportion the population aged 20–64 years at </w:t>
            </w:r>
            <w:proofErr w:type="spellStart"/>
            <w:r w:rsidRPr="00BA18A3">
              <w:rPr>
                <w:rFonts w:ascii="Arial" w:hAnsi="Arial" w:cs="Arial"/>
                <w:sz w:val="20"/>
                <w:szCs w:val="20"/>
              </w:rPr>
              <w:t>PIACC</w:t>
            </w:r>
            <w:proofErr w:type="spellEnd"/>
            <w:r w:rsidRPr="00BA18A3">
              <w:rPr>
                <w:rFonts w:ascii="Arial" w:hAnsi="Arial" w:cs="Arial"/>
                <w:sz w:val="20"/>
                <w:szCs w:val="20"/>
              </w:rPr>
              <w:t xml:space="preserve"> literacy levels (Below 1/1, 2, 3 and 4/5), by remoteness 2011–12 </w:t>
            </w:r>
          </w:p>
        </w:tc>
      </w:tr>
      <w:tr w:rsidR="00BA18A3" w:rsidRPr="00BA18A3" w:rsidTr="00BA18A3">
        <w:trPr>
          <w:trHeight w:val="612"/>
        </w:trPr>
        <w:tc>
          <w:tcPr>
            <w:tcW w:w="1940" w:type="dxa"/>
            <w:shd w:val="clear" w:color="auto" w:fill="auto"/>
            <w:noWrap/>
            <w:hideMark/>
          </w:tcPr>
          <w:p w:rsidR="00BA18A3" w:rsidRPr="00BA18A3" w:rsidRDefault="00BA18A3" w:rsidP="00BA18A3">
            <w:pPr>
              <w:rPr>
                <w:rFonts w:ascii="Arial" w:hAnsi="Arial" w:cs="Arial"/>
                <w:b/>
                <w:bCs/>
                <w:sz w:val="20"/>
                <w:szCs w:val="20"/>
              </w:rPr>
            </w:pPr>
            <w:r w:rsidRPr="00BA18A3">
              <w:rPr>
                <w:rFonts w:ascii="Arial" w:hAnsi="Arial" w:cs="Arial"/>
                <w:b/>
                <w:bCs/>
                <w:sz w:val="20"/>
                <w:szCs w:val="20"/>
              </w:rPr>
              <w:t xml:space="preserve">Table </w:t>
            </w:r>
            <w:proofErr w:type="spellStart"/>
            <w:r w:rsidRPr="00BA18A3">
              <w:rPr>
                <w:rFonts w:ascii="Arial" w:hAnsi="Arial" w:cs="Arial"/>
                <w:b/>
                <w:bCs/>
                <w:sz w:val="20"/>
                <w:szCs w:val="20"/>
              </w:rPr>
              <w:t>SWD.3.8</w:t>
            </w:r>
            <w:proofErr w:type="spellEnd"/>
          </w:p>
        </w:tc>
        <w:tc>
          <w:tcPr>
            <w:tcW w:w="6864" w:type="dxa"/>
            <w:shd w:val="clear" w:color="auto" w:fill="auto"/>
            <w:hideMark/>
          </w:tcPr>
          <w:p w:rsidR="00BA18A3" w:rsidRPr="00BA18A3" w:rsidRDefault="00BA18A3" w:rsidP="00BA18A3">
            <w:pPr>
              <w:jc w:val="both"/>
              <w:rPr>
                <w:rFonts w:ascii="Arial" w:hAnsi="Arial" w:cs="Arial"/>
                <w:sz w:val="20"/>
                <w:szCs w:val="20"/>
              </w:rPr>
            </w:pPr>
            <w:r w:rsidRPr="00BA18A3">
              <w:rPr>
                <w:rFonts w:ascii="Arial" w:hAnsi="Arial" w:cs="Arial"/>
                <w:sz w:val="20"/>
                <w:szCs w:val="20"/>
              </w:rPr>
              <w:t xml:space="preserve">Proportion the population aged 20–64 years at </w:t>
            </w:r>
            <w:proofErr w:type="spellStart"/>
            <w:r w:rsidRPr="00BA18A3">
              <w:rPr>
                <w:rFonts w:ascii="Arial" w:hAnsi="Arial" w:cs="Arial"/>
                <w:sz w:val="20"/>
                <w:szCs w:val="20"/>
              </w:rPr>
              <w:t>PIACC</w:t>
            </w:r>
            <w:proofErr w:type="spellEnd"/>
            <w:r w:rsidRPr="00BA18A3">
              <w:rPr>
                <w:rFonts w:ascii="Arial" w:hAnsi="Arial" w:cs="Arial"/>
                <w:sz w:val="20"/>
                <w:szCs w:val="20"/>
              </w:rPr>
              <w:t xml:space="preserve"> numeracy levels (Below 1/1, 2, 3 and 4/5), by remoteness 2011–12 </w:t>
            </w:r>
          </w:p>
        </w:tc>
      </w:tr>
      <w:tr w:rsidR="00BA18A3" w:rsidRPr="00BA18A3" w:rsidTr="00BA18A3">
        <w:trPr>
          <w:trHeight w:val="867"/>
        </w:trPr>
        <w:tc>
          <w:tcPr>
            <w:tcW w:w="1940" w:type="dxa"/>
            <w:shd w:val="clear" w:color="auto" w:fill="auto"/>
            <w:noWrap/>
            <w:hideMark/>
          </w:tcPr>
          <w:p w:rsidR="00BA18A3" w:rsidRPr="00BA18A3" w:rsidRDefault="00BA18A3" w:rsidP="00BA18A3">
            <w:pPr>
              <w:rPr>
                <w:rFonts w:ascii="Arial" w:hAnsi="Arial" w:cs="Arial"/>
                <w:b/>
                <w:bCs/>
                <w:sz w:val="20"/>
                <w:szCs w:val="20"/>
              </w:rPr>
            </w:pPr>
            <w:r w:rsidRPr="00BA18A3">
              <w:rPr>
                <w:rFonts w:ascii="Arial" w:hAnsi="Arial" w:cs="Arial"/>
                <w:b/>
                <w:bCs/>
                <w:sz w:val="20"/>
                <w:szCs w:val="20"/>
              </w:rPr>
              <w:t xml:space="preserve">Table </w:t>
            </w:r>
            <w:proofErr w:type="spellStart"/>
            <w:r w:rsidRPr="00BA18A3">
              <w:rPr>
                <w:rFonts w:ascii="Arial" w:hAnsi="Arial" w:cs="Arial"/>
                <w:b/>
                <w:bCs/>
                <w:sz w:val="20"/>
                <w:szCs w:val="20"/>
              </w:rPr>
              <w:t>SWD.3.9</w:t>
            </w:r>
            <w:proofErr w:type="spellEnd"/>
          </w:p>
        </w:tc>
        <w:tc>
          <w:tcPr>
            <w:tcW w:w="6864" w:type="dxa"/>
            <w:shd w:val="clear" w:color="auto" w:fill="auto"/>
            <w:hideMark/>
          </w:tcPr>
          <w:p w:rsidR="00BA18A3" w:rsidRPr="00BA18A3" w:rsidRDefault="00BA18A3" w:rsidP="00BA18A3">
            <w:pPr>
              <w:jc w:val="both"/>
              <w:rPr>
                <w:rFonts w:ascii="Arial" w:hAnsi="Arial" w:cs="Arial"/>
                <w:sz w:val="20"/>
                <w:szCs w:val="20"/>
              </w:rPr>
            </w:pPr>
            <w:r w:rsidRPr="00BA18A3">
              <w:rPr>
                <w:rFonts w:ascii="Arial" w:hAnsi="Arial" w:cs="Arial"/>
                <w:sz w:val="20"/>
                <w:szCs w:val="20"/>
              </w:rPr>
              <w:t xml:space="preserve">Proportion the population aged 20–64 years at </w:t>
            </w:r>
            <w:proofErr w:type="spellStart"/>
            <w:r w:rsidRPr="00BA18A3">
              <w:rPr>
                <w:rFonts w:ascii="Arial" w:hAnsi="Arial" w:cs="Arial"/>
                <w:sz w:val="20"/>
                <w:szCs w:val="20"/>
              </w:rPr>
              <w:t>PIACC</w:t>
            </w:r>
            <w:proofErr w:type="spellEnd"/>
            <w:r w:rsidRPr="00BA18A3">
              <w:rPr>
                <w:rFonts w:ascii="Arial" w:hAnsi="Arial" w:cs="Arial"/>
                <w:sz w:val="20"/>
                <w:szCs w:val="20"/>
              </w:rPr>
              <w:t xml:space="preserve"> literacy levels (Below 1/1, 2, 3 and 4/5), by highest level of educational attainment 2011–12</w:t>
            </w:r>
          </w:p>
        </w:tc>
      </w:tr>
      <w:tr w:rsidR="00BA18A3" w:rsidRPr="00BA18A3" w:rsidTr="00BA18A3">
        <w:trPr>
          <w:trHeight w:val="867"/>
        </w:trPr>
        <w:tc>
          <w:tcPr>
            <w:tcW w:w="1940" w:type="dxa"/>
            <w:shd w:val="clear" w:color="auto" w:fill="auto"/>
            <w:noWrap/>
            <w:hideMark/>
          </w:tcPr>
          <w:p w:rsidR="00BA18A3" w:rsidRPr="00BA18A3" w:rsidRDefault="00BA18A3" w:rsidP="00BA18A3">
            <w:pPr>
              <w:rPr>
                <w:rFonts w:ascii="Arial" w:hAnsi="Arial" w:cs="Arial"/>
                <w:b/>
                <w:bCs/>
                <w:sz w:val="20"/>
                <w:szCs w:val="20"/>
              </w:rPr>
            </w:pPr>
            <w:r w:rsidRPr="00BA18A3">
              <w:rPr>
                <w:rFonts w:ascii="Arial" w:hAnsi="Arial" w:cs="Arial"/>
                <w:b/>
                <w:bCs/>
                <w:sz w:val="20"/>
                <w:szCs w:val="20"/>
              </w:rPr>
              <w:t xml:space="preserve">Table </w:t>
            </w:r>
            <w:proofErr w:type="spellStart"/>
            <w:r w:rsidRPr="00BA18A3">
              <w:rPr>
                <w:rFonts w:ascii="Arial" w:hAnsi="Arial" w:cs="Arial"/>
                <w:b/>
                <w:bCs/>
                <w:sz w:val="20"/>
                <w:szCs w:val="20"/>
              </w:rPr>
              <w:t>SWD.3.10</w:t>
            </w:r>
            <w:proofErr w:type="spellEnd"/>
          </w:p>
        </w:tc>
        <w:tc>
          <w:tcPr>
            <w:tcW w:w="6864" w:type="dxa"/>
            <w:shd w:val="clear" w:color="auto" w:fill="auto"/>
            <w:hideMark/>
          </w:tcPr>
          <w:p w:rsidR="00BA18A3" w:rsidRPr="00BA18A3" w:rsidRDefault="00BA18A3" w:rsidP="00BA18A3">
            <w:pPr>
              <w:jc w:val="both"/>
              <w:rPr>
                <w:rFonts w:ascii="Arial" w:hAnsi="Arial" w:cs="Arial"/>
                <w:sz w:val="20"/>
                <w:szCs w:val="20"/>
              </w:rPr>
            </w:pPr>
            <w:r w:rsidRPr="00BA18A3">
              <w:rPr>
                <w:rFonts w:ascii="Arial" w:hAnsi="Arial" w:cs="Arial"/>
                <w:sz w:val="20"/>
                <w:szCs w:val="20"/>
              </w:rPr>
              <w:t xml:space="preserve">Proportion the population aged 20–64 years at </w:t>
            </w:r>
            <w:proofErr w:type="spellStart"/>
            <w:r w:rsidRPr="00BA18A3">
              <w:rPr>
                <w:rFonts w:ascii="Arial" w:hAnsi="Arial" w:cs="Arial"/>
                <w:sz w:val="20"/>
                <w:szCs w:val="20"/>
              </w:rPr>
              <w:t>PIACC</w:t>
            </w:r>
            <w:proofErr w:type="spellEnd"/>
            <w:r w:rsidRPr="00BA18A3">
              <w:rPr>
                <w:rFonts w:ascii="Arial" w:hAnsi="Arial" w:cs="Arial"/>
                <w:sz w:val="20"/>
                <w:szCs w:val="20"/>
              </w:rPr>
              <w:t xml:space="preserve"> numeracy levels (Below 1/1, 2, 3 and 4/5), by highest level of educational attainment 2011–12</w:t>
            </w:r>
          </w:p>
        </w:tc>
      </w:tr>
    </w:tbl>
    <w:p w:rsidR="00430F28" w:rsidRPr="00430F28" w:rsidRDefault="00430F28" w:rsidP="00430F28">
      <w:pPr>
        <w:pStyle w:val="BodyText"/>
      </w:pPr>
    </w:p>
    <w:p w:rsidR="00E00475" w:rsidRDefault="00E00475" w:rsidP="00CE215C">
      <w:pPr>
        <w:pStyle w:val="BoxSpac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CE215C">
        <w:tc>
          <w:tcPr>
            <w:tcW w:w="8771" w:type="dxa"/>
            <w:tcBorders>
              <w:top w:val="single" w:sz="6" w:space="0" w:color="auto"/>
              <w:bottom w:val="nil"/>
            </w:tcBorders>
          </w:tcPr>
          <w:p w:rsidR="00CE215C" w:rsidRDefault="00CE215C" w:rsidP="00482B04">
            <w:pPr>
              <w:pStyle w:val="BoxTitle"/>
            </w:pPr>
            <w:r>
              <w:rPr>
                <w:b w:val="0"/>
              </w:rPr>
              <w:t xml:space="preserve">Box </w:t>
            </w:r>
            <w:r w:rsidR="009664F7">
              <w:rPr>
                <w:b w:val="0"/>
                <w:noProof/>
              </w:rPr>
              <w:t>1</w:t>
            </w:r>
            <w:r w:rsidR="00482B04">
              <w:rPr>
                <w:b w:val="0"/>
                <w:noProof/>
              </w:rPr>
              <w:t>0</w:t>
            </w:r>
            <w:r>
              <w:tab/>
              <w:t>Comment on data quality</w:t>
            </w:r>
          </w:p>
        </w:tc>
      </w:tr>
      <w:tr w:rsidR="00CE215C" w:rsidRPr="00745C50">
        <w:trPr>
          <w:cantSplit/>
        </w:trPr>
        <w:tc>
          <w:tcPr>
            <w:tcW w:w="8771" w:type="dxa"/>
            <w:tcBorders>
              <w:top w:val="nil"/>
              <w:left w:val="single" w:sz="6" w:space="0" w:color="auto"/>
              <w:bottom w:val="nil"/>
              <w:right w:val="single" w:sz="6" w:space="0" w:color="auto"/>
            </w:tcBorders>
          </w:tcPr>
          <w:p w:rsidR="007F6919" w:rsidRDefault="00745C50" w:rsidP="00073F28">
            <w:pPr>
              <w:pStyle w:val="Box"/>
            </w:pPr>
            <w:r>
              <w:t xml:space="preserve">The DQS for this performance indicator </w:t>
            </w:r>
            <w:r w:rsidR="00633843">
              <w:t xml:space="preserve">has been prepared by the ABS and is included in its original form in the section </w:t>
            </w:r>
            <w:r w:rsidR="003D0761">
              <w:t xml:space="preserve">of </w:t>
            </w:r>
            <w:r w:rsidR="00633843">
              <w:t xml:space="preserve">this report titled ‘Data Quality Statements’. Key points from the DQS are summarised below. </w:t>
            </w:r>
          </w:p>
          <w:p w:rsidR="00633843" w:rsidRDefault="00633843" w:rsidP="00633843">
            <w:pPr>
              <w:pStyle w:val="BoxListBullet"/>
            </w:pPr>
            <w:r>
              <w:t xml:space="preserve">The data provide relevant information on the proportion of the population aged </w:t>
            </w:r>
            <w:r w:rsidR="003D5319">
              <w:br/>
            </w:r>
            <w:r>
              <w:t>20</w:t>
            </w:r>
            <w:r w:rsidR="008415BD">
              <w:t>–</w:t>
            </w:r>
            <w:r>
              <w:t xml:space="preserve">64 years </w:t>
            </w:r>
            <w:r w:rsidR="008415BD">
              <w:t>by literacy and numeracy level</w:t>
            </w:r>
            <w:r>
              <w:t xml:space="preserve">. </w:t>
            </w:r>
          </w:p>
          <w:p w:rsidR="00633843" w:rsidRDefault="00633843" w:rsidP="00633843">
            <w:pPr>
              <w:pStyle w:val="BoxListBullet"/>
            </w:pPr>
            <w:r>
              <w:t xml:space="preserve">Data are available by State and Territory. Data are available by socioeconomic status and remoteness, but </w:t>
            </w:r>
            <w:r w:rsidR="003D0761">
              <w:t xml:space="preserve">are </w:t>
            </w:r>
            <w:r>
              <w:t xml:space="preserve">not available by Indigenous status. </w:t>
            </w:r>
          </w:p>
          <w:p w:rsidR="00633843" w:rsidRPr="00A327B4" w:rsidRDefault="00A327B4" w:rsidP="00A327B4">
            <w:pPr>
              <w:pStyle w:val="BoxListBullet"/>
            </w:pPr>
            <w:r w:rsidRPr="00A327B4">
              <w:rPr>
                <w:szCs w:val="22"/>
              </w:rPr>
              <w:t xml:space="preserve">The literacy and numeracy scores for earlier surveys </w:t>
            </w:r>
            <w:r w:rsidR="003D0761">
              <w:rPr>
                <w:szCs w:val="22"/>
              </w:rPr>
              <w:t>(</w:t>
            </w:r>
            <w:r w:rsidRPr="00A327B4">
              <w:rPr>
                <w:szCs w:val="22"/>
              </w:rPr>
              <w:t>the 1996 Survey of Aspects of Literacy (SAL) and the 2006 Adult Literacy and Life skills Survey (ALLS)</w:t>
            </w:r>
            <w:r w:rsidR="003D0761">
              <w:rPr>
                <w:szCs w:val="22"/>
              </w:rPr>
              <w:t>)</w:t>
            </w:r>
            <w:r w:rsidRPr="00A327B4">
              <w:rPr>
                <w:szCs w:val="22"/>
              </w:rPr>
              <w:t xml:space="preserve"> have been remodelled to </w:t>
            </w:r>
            <w:r w:rsidR="003D5319">
              <w:rPr>
                <w:szCs w:val="22"/>
              </w:rPr>
              <w:t xml:space="preserve">assist </w:t>
            </w:r>
            <w:r w:rsidRPr="00A327B4">
              <w:rPr>
                <w:szCs w:val="22"/>
              </w:rPr>
              <w:t xml:space="preserve">comparisons with scores from PIAAC. </w:t>
            </w:r>
            <w:r w:rsidRPr="00A327B4">
              <w:rPr>
                <w:color w:val="000000" w:themeColor="text1"/>
                <w:szCs w:val="22"/>
              </w:rPr>
              <w:t xml:space="preserve">However, </w:t>
            </w:r>
            <w:r w:rsidR="003D0761">
              <w:rPr>
                <w:color w:val="000000" w:themeColor="text1"/>
                <w:szCs w:val="22"/>
              </w:rPr>
              <w:t xml:space="preserve">the </w:t>
            </w:r>
            <w:r w:rsidRPr="00A327B4">
              <w:rPr>
                <w:color w:val="000000" w:themeColor="text1"/>
                <w:szCs w:val="22"/>
              </w:rPr>
              <w:t xml:space="preserve">ABS recommends that time series </w:t>
            </w:r>
            <w:r w:rsidR="003D0761">
              <w:rPr>
                <w:color w:val="000000" w:themeColor="text1"/>
                <w:szCs w:val="22"/>
              </w:rPr>
              <w:t>comparisons not be made</w:t>
            </w:r>
            <w:r w:rsidRPr="00A327B4">
              <w:rPr>
                <w:color w:val="000000" w:themeColor="text1"/>
                <w:szCs w:val="22"/>
              </w:rPr>
              <w:t xml:space="preserve"> at this stage. Further work needs to be undertaken to determine whether </w:t>
            </w:r>
            <w:r w:rsidR="003D0761">
              <w:rPr>
                <w:color w:val="000000" w:themeColor="text1"/>
                <w:szCs w:val="22"/>
              </w:rPr>
              <w:t>there has been</w:t>
            </w:r>
            <w:r w:rsidRPr="00A327B4">
              <w:rPr>
                <w:color w:val="000000" w:themeColor="text1"/>
                <w:szCs w:val="22"/>
              </w:rPr>
              <w:t xml:space="preserve"> a break in series.</w:t>
            </w:r>
          </w:p>
          <w:p w:rsidR="00633843" w:rsidRDefault="00633843" w:rsidP="00633843">
            <w:pPr>
              <w:pStyle w:val="BoxListBullet"/>
            </w:pPr>
            <w:r>
              <w:t>Th</w:t>
            </w:r>
            <w:r w:rsidR="003D0761">
              <w:t xml:space="preserve">e </w:t>
            </w:r>
            <w:proofErr w:type="spellStart"/>
            <w:r w:rsidR="003D0761">
              <w:t>PIACC</w:t>
            </w:r>
            <w:proofErr w:type="spellEnd"/>
            <w:r>
              <w:t xml:space="preserve"> </w:t>
            </w:r>
            <w:r w:rsidR="003D0761">
              <w:t xml:space="preserve">survey </w:t>
            </w:r>
            <w:r>
              <w:t>sample included only private dwellings</w:t>
            </w:r>
            <w:r w:rsidR="0096115C">
              <w:t xml:space="preserve"> from states and territories (excluding Indigenous communities or people in very remote areas)</w:t>
            </w:r>
            <w:r>
              <w:t>.</w:t>
            </w:r>
          </w:p>
          <w:p w:rsidR="00633843" w:rsidRDefault="00633843" w:rsidP="00633843">
            <w:pPr>
              <w:pStyle w:val="BoxListBullet"/>
            </w:pPr>
            <w:r>
              <w:t xml:space="preserve">Detailed explanatory notes are publicly available to assist in the interpretation of results. </w:t>
            </w:r>
          </w:p>
          <w:p w:rsidR="00633843" w:rsidRDefault="00633843" w:rsidP="00633843">
            <w:pPr>
              <w:pStyle w:val="BoxListBullet"/>
            </w:pPr>
            <w:r>
              <w:t xml:space="preserve">Additional data from the data source are available </w:t>
            </w:r>
            <w:proofErr w:type="spellStart"/>
            <w:r>
              <w:t>on-line</w:t>
            </w:r>
            <w:proofErr w:type="spellEnd"/>
            <w:r>
              <w:t xml:space="preserve">, and on request. </w:t>
            </w:r>
          </w:p>
          <w:p w:rsidR="00633843" w:rsidRDefault="00633843" w:rsidP="00633843">
            <w:pPr>
              <w:pStyle w:val="Box"/>
            </w:pPr>
            <w:r>
              <w:t>The Steering Committee also notes the following issues:</w:t>
            </w:r>
          </w:p>
          <w:p w:rsidR="00633843" w:rsidRDefault="00633843" w:rsidP="00633843">
            <w:pPr>
              <w:pStyle w:val="BoxListBullet"/>
            </w:pPr>
            <w:r>
              <w:t>The OECD proposes to conduct the PIAAC survey every ten years</w:t>
            </w:r>
            <w:r w:rsidR="003D0761">
              <w:t xml:space="preserve">, with the </w:t>
            </w:r>
            <w:r>
              <w:t xml:space="preserve">next survey proposed to be conducted in 2021. </w:t>
            </w:r>
            <w:r w:rsidR="003D0761">
              <w:t>Depending on the anticipated speed of change, m</w:t>
            </w:r>
            <w:r>
              <w:t xml:space="preserve">ore frequent data </w:t>
            </w:r>
            <w:r w:rsidR="003D0761">
              <w:t xml:space="preserve">may be </w:t>
            </w:r>
            <w:r>
              <w:t xml:space="preserve">required to monitor </w:t>
            </w:r>
            <w:r w:rsidR="003D0761">
              <w:t xml:space="preserve">this </w:t>
            </w:r>
            <w:r>
              <w:t>indicator</w:t>
            </w:r>
            <w:r w:rsidR="00C61575">
              <w:t>.</w:t>
            </w:r>
          </w:p>
          <w:p w:rsidR="00A327B4" w:rsidRPr="00745C50" w:rsidRDefault="00A327B4" w:rsidP="003D0761">
            <w:pPr>
              <w:pStyle w:val="BoxListBullet"/>
            </w:pPr>
            <w:r>
              <w:t>Further analysis of the remodelled ALLS data against PIAAC data is a priority</w:t>
            </w:r>
            <w:r w:rsidR="003A1FCD">
              <w:t xml:space="preserve"> to ensure accurate </w:t>
            </w:r>
            <w:r>
              <w:t>time series compar</w:t>
            </w:r>
            <w:r w:rsidR="003A1FCD">
              <w:t>isons.</w:t>
            </w:r>
          </w:p>
        </w:tc>
      </w:tr>
      <w:tr w:rsidR="00CE215C">
        <w:trPr>
          <w:cantSplit/>
        </w:trPr>
        <w:tc>
          <w:tcPr>
            <w:tcW w:w="8771" w:type="dxa"/>
            <w:tcBorders>
              <w:top w:val="nil"/>
              <w:left w:val="single" w:sz="6" w:space="0" w:color="auto"/>
              <w:bottom w:val="single" w:sz="6" w:space="0" w:color="auto"/>
              <w:right w:val="single" w:sz="6" w:space="0" w:color="auto"/>
            </w:tcBorders>
          </w:tcPr>
          <w:p w:rsidR="00CE215C" w:rsidRDefault="00CE215C" w:rsidP="00725CFC">
            <w:pPr>
              <w:pStyle w:val="Box"/>
              <w:spacing w:before="0" w:line="120" w:lineRule="exact"/>
            </w:pPr>
          </w:p>
        </w:tc>
      </w:tr>
      <w:tr w:rsidR="00CE215C">
        <w:tc>
          <w:tcPr>
            <w:tcW w:w="8771" w:type="dxa"/>
            <w:tcBorders>
              <w:top w:val="nil"/>
              <w:left w:val="nil"/>
              <w:bottom w:val="nil"/>
              <w:right w:val="nil"/>
            </w:tcBorders>
          </w:tcPr>
          <w:p w:rsidR="00CE215C" w:rsidRDefault="00CE215C" w:rsidP="00725CFC">
            <w:pPr>
              <w:pStyle w:val="Box"/>
              <w:keepNext w:val="0"/>
              <w:spacing w:before="60" w:after="60" w:line="80" w:lineRule="exact"/>
              <w:rPr>
                <w:b/>
                <w:color w:val="FF00FF"/>
                <w:sz w:val="14"/>
              </w:rPr>
            </w:pPr>
          </w:p>
        </w:tc>
      </w:tr>
    </w:tbl>
    <w:p w:rsidR="00CE215C" w:rsidRDefault="00CE215C" w:rsidP="00CE215C">
      <w:pPr>
        <w:pStyle w:val="BodyText"/>
      </w:pPr>
      <w:r>
        <w:br w:type="page"/>
      </w:r>
    </w:p>
    <w:p w:rsidR="00CE215C" w:rsidRDefault="00CE215C" w:rsidP="00CE215C">
      <w:pPr>
        <w:pStyle w:val="Heading3"/>
      </w:pPr>
      <w:bookmarkStart w:id="23" w:name="_Ref328392150"/>
      <w:r w:rsidRPr="00CE215C">
        <w:t xml:space="preserve">Indicator 4 — Proportion of working age population with or working towards a non-school </w:t>
      </w:r>
      <w:proofErr w:type="spellStart"/>
      <w:r w:rsidRPr="00CE215C">
        <w:t>AQF</w:t>
      </w:r>
      <w:proofErr w:type="spellEnd"/>
      <w:r w:rsidRPr="00CE215C">
        <w:t xml:space="preserve"> qualification</w:t>
      </w:r>
      <w:bookmarkEnd w:id="23"/>
    </w:p>
    <w:p w:rsidR="00CE215C" w:rsidRPr="00CE215C" w:rsidRDefault="00CE215C" w:rsidP="00CE215C">
      <w:pPr>
        <w:pStyle w:val="BoxSpace"/>
      </w:pPr>
    </w:p>
    <w:tbl>
      <w:tblPr>
        <w:tblW w:w="0" w:type="auto"/>
        <w:tblInd w:w="108" w:type="dxa"/>
        <w:tblLook w:val="01E0" w:firstRow="1" w:lastRow="1" w:firstColumn="1" w:lastColumn="1" w:noHBand="0" w:noVBand="0"/>
      </w:tblPr>
      <w:tblGrid>
        <w:gridCol w:w="2014"/>
        <w:gridCol w:w="6775"/>
      </w:tblGrid>
      <w:tr w:rsidR="00CE215C" w:rsidTr="001B5488">
        <w:trPr>
          <w:trHeight w:val="598"/>
        </w:trPr>
        <w:tc>
          <w:tcPr>
            <w:tcW w:w="2014" w:type="dxa"/>
          </w:tcPr>
          <w:p w:rsidR="00CE215C" w:rsidRPr="00366033" w:rsidRDefault="00CE215C" w:rsidP="00CE215C">
            <w:pPr>
              <w:pStyle w:val="TableBodyText"/>
              <w:jc w:val="left"/>
            </w:pPr>
            <w:r w:rsidRPr="00366033">
              <w:t xml:space="preserve">Key amendments from </w:t>
            </w:r>
            <w:r>
              <w:t>previous</w:t>
            </w:r>
            <w:r w:rsidRPr="00366033">
              <w:t xml:space="preserve"> cycle:</w:t>
            </w:r>
            <w:r w:rsidRPr="00366033">
              <w:tab/>
            </w:r>
          </w:p>
        </w:tc>
        <w:tc>
          <w:tcPr>
            <w:tcW w:w="6775" w:type="dxa"/>
          </w:tcPr>
          <w:p w:rsidR="00CE215C" w:rsidRPr="00A2195F" w:rsidRDefault="009D2B5C" w:rsidP="0024008E">
            <w:pPr>
              <w:pStyle w:val="TableBodyText"/>
              <w:jc w:val="left"/>
            </w:pPr>
            <w:r w:rsidRPr="009D2B5C">
              <w:t>In response to a CRC recommendation, additional disaggregations are reported.</w:t>
            </w:r>
          </w:p>
        </w:tc>
      </w:tr>
      <w:tr w:rsidR="00CE215C" w:rsidTr="001B5488">
        <w:trPr>
          <w:trHeight w:val="598"/>
        </w:trPr>
        <w:tc>
          <w:tcPr>
            <w:tcW w:w="2014" w:type="dxa"/>
          </w:tcPr>
          <w:p w:rsidR="00CE215C" w:rsidRDefault="00CE215C" w:rsidP="00CE215C">
            <w:pPr>
              <w:pStyle w:val="TableBodyText"/>
              <w:jc w:val="left"/>
            </w:pPr>
            <w:r>
              <w:t>Outcome:</w:t>
            </w:r>
          </w:p>
        </w:tc>
        <w:tc>
          <w:tcPr>
            <w:tcW w:w="6775" w:type="dxa"/>
          </w:tcPr>
          <w:p w:rsidR="00CE215C" w:rsidRPr="0023437B" w:rsidRDefault="009D2B5C" w:rsidP="0024008E">
            <w:pPr>
              <w:pStyle w:val="TableBodyText"/>
              <w:jc w:val="left"/>
            </w:pPr>
            <w:r w:rsidRPr="009D2B5C">
              <w:t>All working age Australians have the opportunity to develop skills</w:t>
            </w:r>
          </w:p>
        </w:tc>
      </w:tr>
      <w:tr w:rsidR="00CE215C" w:rsidTr="001B5488">
        <w:tc>
          <w:tcPr>
            <w:tcW w:w="2014" w:type="dxa"/>
          </w:tcPr>
          <w:p w:rsidR="00CE215C" w:rsidRDefault="00CE215C" w:rsidP="00CE215C">
            <w:pPr>
              <w:pStyle w:val="TableBodyText"/>
              <w:jc w:val="left"/>
            </w:pPr>
            <w:r>
              <w:t xml:space="preserve">Performance indicator: </w:t>
            </w:r>
          </w:p>
          <w:p w:rsidR="00CE215C" w:rsidRPr="000E5A86" w:rsidRDefault="00CE215C" w:rsidP="00CE215C">
            <w:pPr>
              <w:pStyle w:val="TableBodyText"/>
              <w:jc w:val="left"/>
            </w:pPr>
          </w:p>
        </w:tc>
        <w:tc>
          <w:tcPr>
            <w:tcW w:w="6775" w:type="dxa"/>
          </w:tcPr>
          <w:p w:rsidR="00CE215C" w:rsidRPr="00F43E29" w:rsidRDefault="009D2B5C" w:rsidP="0004301B">
            <w:pPr>
              <w:pStyle w:val="TableBodyText"/>
              <w:jc w:val="left"/>
            </w:pPr>
            <w:r w:rsidRPr="009D2B5C">
              <w:t>Proportion of working age populatio</w:t>
            </w:r>
            <w:r w:rsidR="0004301B">
              <w:t>n with or working towards a non</w:t>
            </w:r>
            <w:r w:rsidR="0004301B">
              <w:rPr>
                <w:rFonts w:cs="Arial"/>
              </w:rPr>
              <w:t>−</w:t>
            </w:r>
            <w:r w:rsidRPr="009D2B5C">
              <w:t xml:space="preserve">school </w:t>
            </w:r>
            <w:proofErr w:type="spellStart"/>
            <w:r w:rsidRPr="009D2B5C">
              <w:t>AQF</w:t>
            </w:r>
            <w:proofErr w:type="spellEnd"/>
            <w:r w:rsidRPr="009D2B5C">
              <w:t xml:space="preserve"> qualification</w:t>
            </w:r>
          </w:p>
        </w:tc>
      </w:tr>
      <w:tr w:rsidR="00CE215C" w:rsidTr="001B5488">
        <w:tc>
          <w:tcPr>
            <w:tcW w:w="2014" w:type="dxa"/>
          </w:tcPr>
          <w:p w:rsidR="00CE215C" w:rsidRDefault="00CE215C" w:rsidP="00CE215C">
            <w:pPr>
              <w:pStyle w:val="TableBodyText"/>
              <w:jc w:val="left"/>
            </w:pPr>
            <w:r w:rsidRPr="000E5A86">
              <w:t>Measure</w:t>
            </w:r>
            <w:r>
              <w:t xml:space="preserve">: </w:t>
            </w:r>
          </w:p>
        </w:tc>
        <w:tc>
          <w:tcPr>
            <w:tcW w:w="6775" w:type="dxa"/>
          </w:tcPr>
          <w:p w:rsidR="009D2B5C" w:rsidRDefault="009D2B5C" w:rsidP="0024008E">
            <w:pPr>
              <w:pStyle w:val="TableBodyText"/>
              <w:jc w:val="left"/>
            </w:pPr>
            <w:r>
              <w:t>Proportion of people aged 20–64 year</w:t>
            </w:r>
            <w:r w:rsidR="0004301B">
              <w:t>s with or working towards a non</w:t>
            </w:r>
            <w:r w:rsidR="0004301B">
              <w:rPr>
                <w:rFonts w:cs="Arial"/>
              </w:rPr>
              <w:t>−</w:t>
            </w:r>
            <w:r>
              <w:t>school qualification</w:t>
            </w:r>
          </w:p>
          <w:p w:rsidR="009D2B5C" w:rsidRDefault="009D2B5C" w:rsidP="0024008E">
            <w:pPr>
              <w:pStyle w:val="TableBodyText"/>
              <w:jc w:val="left"/>
            </w:pPr>
          </w:p>
          <w:p w:rsidR="009D2B5C" w:rsidRDefault="009D2B5C" w:rsidP="0024008E">
            <w:pPr>
              <w:pStyle w:val="TableBodyText"/>
              <w:jc w:val="left"/>
            </w:pPr>
            <w:r>
              <w:t>The measure is defined as:</w:t>
            </w:r>
          </w:p>
          <w:p w:rsidR="009D2B5C" w:rsidRDefault="009D2B5C" w:rsidP="0024008E">
            <w:pPr>
              <w:pStyle w:val="TableBullet"/>
            </w:pPr>
            <w:r w:rsidRPr="0024008E">
              <w:rPr>
                <w:i/>
              </w:rPr>
              <w:t>numerator</w:t>
            </w:r>
            <w:r>
              <w:t xml:space="preserve"> — people aged 20–64 years who have attained or are working towards a non-school qualification </w:t>
            </w:r>
          </w:p>
          <w:p w:rsidR="009D2B5C" w:rsidRDefault="009D2B5C" w:rsidP="0024008E">
            <w:pPr>
              <w:pStyle w:val="TableBullet"/>
            </w:pPr>
            <w:r w:rsidRPr="0024008E">
              <w:rPr>
                <w:i/>
              </w:rPr>
              <w:t>denominator</w:t>
            </w:r>
            <w:r>
              <w:t xml:space="preserve"> — total population of people aged 20–64 years</w:t>
            </w:r>
          </w:p>
          <w:p w:rsidR="009D2B5C" w:rsidRDefault="009D2B5C" w:rsidP="0024008E">
            <w:pPr>
              <w:pStyle w:val="TableBodyText"/>
              <w:jc w:val="left"/>
            </w:pPr>
            <w:r>
              <w:t>and is expressed as a percentage</w:t>
            </w:r>
          </w:p>
          <w:p w:rsidR="009D2B5C" w:rsidRDefault="009D2B5C" w:rsidP="0024008E">
            <w:pPr>
              <w:pStyle w:val="TableBodyText"/>
              <w:jc w:val="left"/>
            </w:pPr>
          </w:p>
          <w:p w:rsidR="009D2B5C" w:rsidRDefault="009D2B5C" w:rsidP="0024008E">
            <w:pPr>
              <w:pStyle w:val="TableBodyText"/>
              <w:jc w:val="left"/>
            </w:pPr>
            <w:r>
              <w:t>For persons 'with' a non-school qualification:</w:t>
            </w:r>
          </w:p>
          <w:p w:rsidR="009D2B5C" w:rsidRDefault="009D2B5C" w:rsidP="0024008E">
            <w:pPr>
              <w:pStyle w:val="TableBullet"/>
            </w:pPr>
            <w:r>
              <w:t>Census data exclude persons whose level of education was not stated (not applicable to survey data as there are no 'not stated' responses)</w:t>
            </w:r>
          </w:p>
          <w:p w:rsidR="009D2B5C" w:rsidRDefault="009D2B5C" w:rsidP="0024008E">
            <w:pPr>
              <w:pStyle w:val="TableBodyText"/>
              <w:jc w:val="left"/>
            </w:pPr>
          </w:p>
          <w:p w:rsidR="009D2B5C" w:rsidRDefault="009D2B5C" w:rsidP="0024008E">
            <w:pPr>
              <w:pStyle w:val="TableBodyText"/>
              <w:jc w:val="left"/>
            </w:pPr>
            <w:r>
              <w:t>For persons 'working towards' a non-school qualification:</w:t>
            </w:r>
          </w:p>
          <w:p w:rsidR="009D2B5C" w:rsidRDefault="009D2B5C" w:rsidP="0024008E">
            <w:pPr>
              <w:pStyle w:val="TableBullet"/>
            </w:pPr>
            <w:r>
              <w:t xml:space="preserve">Level of qualification is not available for people 'working towards' post school qualifications. Therefore, people working towards any non-school qualification are </w:t>
            </w:r>
            <w:r w:rsidRPr="00E9026C">
              <w:rPr>
                <w:u w:val="single"/>
              </w:rPr>
              <w:t>included</w:t>
            </w:r>
            <w:r>
              <w:t xml:space="preserve"> in the calculations for this indicator</w:t>
            </w:r>
          </w:p>
          <w:p w:rsidR="006B63B5" w:rsidRDefault="009D2B5C" w:rsidP="0024008E">
            <w:pPr>
              <w:pStyle w:val="TableBullet"/>
            </w:pPr>
            <w:r>
              <w:t xml:space="preserve">Census data </w:t>
            </w:r>
            <w:r w:rsidRPr="00E9026C">
              <w:rPr>
                <w:u w:val="single"/>
              </w:rPr>
              <w:t>include</w:t>
            </w:r>
            <w:r>
              <w:t xml:space="preserve"> persons where ‘institution’ is stated but ‘full/part time status’ is not stated (</w:t>
            </w:r>
            <w:r w:rsidRPr="00E9026C">
              <w:rPr>
                <w:u w:val="single"/>
              </w:rPr>
              <w:t>excludes</w:t>
            </w:r>
            <w:r>
              <w:t xml:space="preserve"> persons where ‘institution’ and ‘full/part time status’ are both not stated.</w:t>
            </w:r>
          </w:p>
          <w:p w:rsidR="00853C13" w:rsidRDefault="00853C13" w:rsidP="00853C13">
            <w:pPr>
              <w:pStyle w:val="TableBullet"/>
              <w:numPr>
                <w:ilvl w:val="0"/>
                <w:numId w:val="0"/>
              </w:numPr>
              <w:ind w:left="170"/>
            </w:pPr>
          </w:p>
          <w:p w:rsidR="00853C13" w:rsidRDefault="00853C13" w:rsidP="00853C13">
            <w:pPr>
              <w:pStyle w:val="TableBodyText"/>
              <w:keepLines w:val="0"/>
              <w:jc w:val="left"/>
              <w:rPr>
                <w:rFonts w:cs="Arial"/>
              </w:rPr>
            </w:pPr>
            <w:r>
              <w:rPr>
                <w:rFonts w:cs="Arial"/>
              </w:rPr>
              <w:t xml:space="preserve">SEW data: </w:t>
            </w:r>
            <w:r w:rsidRPr="002E18C8">
              <w:rPr>
                <w:rFonts w:cs="Arial"/>
              </w:rPr>
              <w:t>Prior to the 2013 SEW, people who were permanently unable to work (PUW) were excluded from the in-scope population. In 2013, the SEW scope was expanded to include the PUW population. However, to ensure that the indicator measure presented here is comparable over time, the PUW population has been excluded from these tables.</w:t>
            </w:r>
          </w:p>
          <w:p w:rsidR="00853C13" w:rsidRPr="00D977CB" w:rsidRDefault="00853C13" w:rsidP="00853C13">
            <w:pPr>
              <w:pStyle w:val="TableBodyText"/>
              <w:keepLines w:val="0"/>
              <w:jc w:val="left"/>
            </w:pPr>
          </w:p>
        </w:tc>
      </w:tr>
      <w:tr w:rsidR="00CE215C" w:rsidTr="001B5488">
        <w:tc>
          <w:tcPr>
            <w:tcW w:w="2014" w:type="dxa"/>
          </w:tcPr>
          <w:p w:rsidR="00CE215C" w:rsidRPr="000E5A86" w:rsidRDefault="00CE215C" w:rsidP="00CE215C">
            <w:pPr>
              <w:pStyle w:val="TableBodyText"/>
              <w:jc w:val="left"/>
            </w:pPr>
            <w:r>
              <w:t>Data source:</w:t>
            </w:r>
          </w:p>
        </w:tc>
        <w:tc>
          <w:tcPr>
            <w:tcW w:w="6775" w:type="dxa"/>
          </w:tcPr>
          <w:p w:rsidR="009D2B5C" w:rsidRDefault="009D2B5C" w:rsidP="0024008E">
            <w:pPr>
              <w:pStyle w:val="TableBodyText"/>
              <w:jc w:val="left"/>
            </w:pPr>
            <w:r w:rsidRPr="00E9026C">
              <w:rPr>
                <w:i/>
              </w:rPr>
              <w:t>(Main)</w:t>
            </w:r>
            <w:r>
              <w:t xml:space="preserve"> </w:t>
            </w:r>
            <w:r w:rsidRPr="00E9026C">
              <w:rPr>
                <w:u w:val="single"/>
              </w:rPr>
              <w:t>Census of Population and Housing</w:t>
            </w:r>
            <w:r>
              <w:t xml:space="preserve"> (Census). Data are collected every 5 years</w:t>
            </w:r>
          </w:p>
          <w:p w:rsidR="009D2B5C" w:rsidRDefault="009D2B5C" w:rsidP="0024008E">
            <w:pPr>
              <w:pStyle w:val="TableBodyText"/>
              <w:jc w:val="left"/>
            </w:pPr>
          </w:p>
          <w:p w:rsidR="009D2B5C" w:rsidRDefault="009D2B5C" w:rsidP="0024008E">
            <w:pPr>
              <w:pStyle w:val="TableBodyText"/>
              <w:jc w:val="left"/>
            </w:pPr>
            <w:r>
              <w:t>(</w:t>
            </w:r>
            <w:r w:rsidRPr="00E9026C">
              <w:rPr>
                <w:i/>
              </w:rPr>
              <w:t>Supplementary — total, SES, non-Indigenous</w:t>
            </w:r>
            <w:r>
              <w:t xml:space="preserve">) — </w:t>
            </w:r>
            <w:r w:rsidRPr="00E9026C">
              <w:rPr>
                <w:u w:val="single"/>
              </w:rPr>
              <w:t>Survey of Education and Work</w:t>
            </w:r>
            <w:r>
              <w:t xml:space="preserve"> (SEW). Data are collected annually</w:t>
            </w:r>
          </w:p>
          <w:p w:rsidR="009D2B5C" w:rsidRDefault="009D2B5C" w:rsidP="0024008E">
            <w:pPr>
              <w:pStyle w:val="TableBodyText"/>
              <w:jc w:val="left"/>
            </w:pPr>
          </w:p>
          <w:p w:rsidR="006B63B5" w:rsidRDefault="009D2B5C" w:rsidP="0024008E">
            <w:pPr>
              <w:pStyle w:val="TableBodyText"/>
              <w:jc w:val="left"/>
            </w:pPr>
            <w:r>
              <w:t>(</w:t>
            </w:r>
            <w:r w:rsidRPr="00E9026C">
              <w:rPr>
                <w:i/>
              </w:rPr>
              <w:t>Supplementary Indigenous</w:t>
            </w:r>
            <w:r>
              <w:t xml:space="preserve">) — </w:t>
            </w:r>
            <w:r w:rsidRPr="00E9026C">
              <w:rPr>
                <w:u w:val="single"/>
              </w:rPr>
              <w:t xml:space="preserve">National Aboriginal and Torres Strait Islander Social Survey </w:t>
            </w:r>
            <w:r>
              <w:t xml:space="preserve">(NATSISS) and </w:t>
            </w:r>
            <w:r w:rsidRPr="00E9026C">
              <w:rPr>
                <w:u w:val="single"/>
              </w:rPr>
              <w:t xml:space="preserve">National Aboriginal and Torres Strait Islander Health Survey </w:t>
            </w:r>
            <w:r>
              <w:t xml:space="preserve">(NATSIHS) component of the Australian </w:t>
            </w:r>
            <w:r w:rsidRPr="00E9026C">
              <w:rPr>
                <w:u w:val="single"/>
              </w:rPr>
              <w:t>Aboriginal and Torres Strait Islander Health Survey</w:t>
            </w:r>
            <w:r>
              <w:t xml:space="preserve"> (AATSIHS). Data are collected three yearly.</w:t>
            </w:r>
          </w:p>
          <w:p w:rsidR="0024008E" w:rsidRPr="00F43E29" w:rsidRDefault="0024008E" w:rsidP="0024008E">
            <w:pPr>
              <w:pStyle w:val="TableBodyText"/>
              <w:jc w:val="left"/>
            </w:pPr>
          </w:p>
        </w:tc>
      </w:tr>
      <w:tr w:rsidR="00CE215C" w:rsidTr="001B5488">
        <w:tc>
          <w:tcPr>
            <w:tcW w:w="2014" w:type="dxa"/>
          </w:tcPr>
          <w:p w:rsidR="00CE215C" w:rsidRDefault="00CE215C" w:rsidP="00CE215C">
            <w:pPr>
              <w:pStyle w:val="TableBodyText"/>
              <w:jc w:val="left"/>
            </w:pPr>
            <w:r w:rsidRPr="000E5A86">
              <w:t>Data provider:</w:t>
            </w:r>
          </w:p>
        </w:tc>
        <w:tc>
          <w:tcPr>
            <w:tcW w:w="6775" w:type="dxa"/>
          </w:tcPr>
          <w:p w:rsidR="006B63B5" w:rsidRDefault="009D2B5C" w:rsidP="0024008E">
            <w:pPr>
              <w:pStyle w:val="TableBodyText"/>
              <w:jc w:val="left"/>
            </w:pPr>
            <w:r w:rsidRPr="009D2B5C">
              <w:t>ABS</w:t>
            </w:r>
          </w:p>
          <w:p w:rsidR="00E9026C" w:rsidRPr="005A2016" w:rsidRDefault="00E9026C" w:rsidP="0024008E">
            <w:pPr>
              <w:pStyle w:val="TableBodyText"/>
              <w:jc w:val="left"/>
            </w:pPr>
          </w:p>
        </w:tc>
      </w:tr>
      <w:tr w:rsidR="00CE215C" w:rsidTr="001B5488">
        <w:tc>
          <w:tcPr>
            <w:tcW w:w="2014" w:type="dxa"/>
          </w:tcPr>
          <w:p w:rsidR="00CE215C" w:rsidRPr="000E5A86" w:rsidRDefault="00CE215C" w:rsidP="00CE215C">
            <w:pPr>
              <w:pStyle w:val="TableBodyText"/>
              <w:jc w:val="left"/>
            </w:pPr>
            <w:r w:rsidRPr="000E5A86">
              <w:t>Data availability</w:t>
            </w:r>
            <w:r>
              <w:t>:</w:t>
            </w:r>
          </w:p>
        </w:tc>
        <w:tc>
          <w:tcPr>
            <w:tcW w:w="6775" w:type="dxa"/>
          </w:tcPr>
          <w:p w:rsidR="009D2B5C" w:rsidRDefault="009D2B5C" w:rsidP="0024008E">
            <w:pPr>
              <w:pStyle w:val="TableBodyText"/>
              <w:jc w:val="left"/>
            </w:pPr>
            <w:r>
              <w:t xml:space="preserve">SEW — 2013 (total, SES) (additional data for 2007, 2008, 2009, 2010, 2011 and 2012 </w:t>
            </w:r>
            <w:r w:rsidR="00C61575">
              <w:t>for additional disaggregations*)</w:t>
            </w:r>
          </w:p>
          <w:p w:rsidR="0024008E" w:rsidRDefault="0024008E" w:rsidP="0024008E">
            <w:pPr>
              <w:pStyle w:val="TableBodyText"/>
              <w:jc w:val="left"/>
            </w:pPr>
          </w:p>
          <w:p w:rsidR="006B63B5" w:rsidRDefault="009D2B5C" w:rsidP="0024008E">
            <w:pPr>
              <w:pStyle w:val="TableBodyText"/>
              <w:jc w:val="left"/>
            </w:pPr>
            <w:r>
              <w:t xml:space="preserve">SEW </w:t>
            </w:r>
            <w:r w:rsidR="003C5668">
              <w:t xml:space="preserve">— </w:t>
            </w:r>
            <w:r>
              <w:t>2012 (non-Indigenous); NATSIHS component of the AATSIHS - 2012</w:t>
            </w:r>
            <w:r w:rsidR="00B9120C">
              <w:noBreakHyphen/>
            </w:r>
            <w:r>
              <w:t>13 (Indigenous) (SEW 2008 and 2007</w:t>
            </w:r>
            <w:r w:rsidR="00B9120C">
              <w:noBreakHyphen/>
            </w:r>
            <w:r>
              <w:t>08 NATSIHS for Indigenous disaggregation)</w:t>
            </w:r>
          </w:p>
          <w:p w:rsidR="0024008E" w:rsidRPr="005A2016" w:rsidRDefault="0024008E" w:rsidP="0024008E">
            <w:pPr>
              <w:pStyle w:val="TableBodyText"/>
              <w:jc w:val="left"/>
            </w:pPr>
          </w:p>
        </w:tc>
      </w:tr>
      <w:tr w:rsidR="00CE215C" w:rsidTr="001B5488">
        <w:tc>
          <w:tcPr>
            <w:tcW w:w="2014" w:type="dxa"/>
          </w:tcPr>
          <w:p w:rsidR="00CE215C" w:rsidRPr="000E5A86" w:rsidRDefault="00CE215C" w:rsidP="00CE215C">
            <w:pPr>
              <w:pStyle w:val="TableBodyText"/>
              <w:jc w:val="left"/>
            </w:pPr>
            <w:r>
              <w:t>Cross tabulations provided:</w:t>
            </w:r>
          </w:p>
        </w:tc>
        <w:tc>
          <w:tcPr>
            <w:tcW w:w="6775" w:type="dxa"/>
          </w:tcPr>
          <w:p w:rsidR="009D2B5C" w:rsidRDefault="009D2B5C" w:rsidP="0024008E">
            <w:pPr>
              <w:pStyle w:val="TableBodyText"/>
              <w:jc w:val="left"/>
            </w:pPr>
            <w:r>
              <w:t>National, by:</w:t>
            </w:r>
          </w:p>
          <w:p w:rsidR="009D2B5C" w:rsidRDefault="009D2B5C" w:rsidP="00E9026C">
            <w:pPr>
              <w:pStyle w:val="TableBullet"/>
            </w:pPr>
            <w:r>
              <w:t>*Completed study/currently studying/total, by remoteness (combined remote/very remote)</w:t>
            </w:r>
            <w:r w:rsidR="007602D4">
              <w:t xml:space="preserve"> [available for 2010 onwards]</w:t>
            </w:r>
          </w:p>
          <w:p w:rsidR="009D2B5C" w:rsidRDefault="003C5668" w:rsidP="00E9026C">
            <w:pPr>
              <w:pStyle w:val="TableBullet"/>
            </w:pPr>
            <w:r>
              <w:t>*</w:t>
            </w:r>
            <w:r w:rsidR="009D2B5C">
              <w:t>Completed study/currently studying/total, by SES (SEIFA IRSD quintiles)</w:t>
            </w:r>
          </w:p>
          <w:p w:rsidR="009D2B5C" w:rsidRDefault="009D2B5C" w:rsidP="0024008E">
            <w:pPr>
              <w:pStyle w:val="TableBodyText"/>
              <w:jc w:val="left"/>
            </w:pPr>
          </w:p>
          <w:p w:rsidR="009D2B5C" w:rsidRDefault="009D2B5C" w:rsidP="0024008E">
            <w:pPr>
              <w:pStyle w:val="TableBodyText"/>
              <w:jc w:val="left"/>
            </w:pPr>
            <w:r>
              <w:t>State and Territory, by:</w:t>
            </w:r>
          </w:p>
          <w:p w:rsidR="009D2B5C" w:rsidRDefault="009D2B5C" w:rsidP="00E9026C">
            <w:pPr>
              <w:pStyle w:val="TableBullet"/>
            </w:pPr>
            <w:r>
              <w:t>*Completed study/currently studying/total, by Indigenous status</w:t>
            </w:r>
          </w:p>
          <w:p w:rsidR="009D2B5C" w:rsidRDefault="009D2B5C" w:rsidP="0024008E">
            <w:pPr>
              <w:pStyle w:val="TableBodyText"/>
              <w:jc w:val="left"/>
            </w:pPr>
          </w:p>
          <w:p w:rsidR="009D2B5C" w:rsidRDefault="009D2B5C" w:rsidP="0024008E">
            <w:pPr>
              <w:pStyle w:val="TableBodyText"/>
              <w:jc w:val="left"/>
            </w:pPr>
            <w:r>
              <w:t>State and Territory, by:</w:t>
            </w:r>
          </w:p>
          <w:p w:rsidR="00CE215C" w:rsidRPr="00863441" w:rsidRDefault="00675FAA" w:rsidP="00E9026C">
            <w:pPr>
              <w:pStyle w:val="TableBullet"/>
            </w:pPr>
            <w:r>
              <w:t>*</w:t>
            </w:r>
            <w:r w:rsidR="009D2B5C">
              <w:t>(currently studying only) Level of non-school qualification (Certificate level I/II; Certificate level III/IV; Diploma/Advanced Diploma; Bachelor degree or above)</w:t>
            </w:r>
          </w:p>
        </w:tc>
      </w:tr>
    </w:tbl>
    <w:p w:rsidR="00CE215C" w:rsidRDefault="00CE215C" w:rsidP="00725CFC">
      <w:pPr>
        <w:pStyle w:val="BoxSpac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CE215C" w:rsidTr="0092249A">
        <w:tc>
          <w:tcPr>
            <w:tcW w:w="8771" w:type="dxa"/>
            <w:tcBorders>
              <w:top w:val="single" w:sz="6" w:space="0" w:color="auto"/>
              <w:bottom w:val="nil"/>
            </w:tcBorders>
          </w:tcPr>
          <w:p w:rsidR="00CE215C" w:rsidRDefault="00CE215C" w:rsidP="00482B04">
            <w:pPr>
              <w:pStyle w:val="BoxTitle"/>
            </w:pPr>
            <w:r>
              <w:rPr>
                <w:b w:val="0"/>
              </w:rPr>
              <w:t xml:space="preserve">Box </w:t>
            </w:r>
            <w:r w:rsidR="00503759">
              <w:rPr>
                <w:b w:val="0"/>
                <w:noProof/>
              </w:rPr>
              <w:t>1</w:t>
            </w:r>
            <w:r w:rsidR="00482B04">
              <w:rPr>
                <w:b w:val="0"/>
                <w:noProof/>
              </w:rPr>
              <w:t>1</w:t>
            </w:r>
            <w:r>
              <w:tab/>
              <w:t>Results</w:t>
            </w:r>
          </w:p>
        </w:tc>
      </w:tr>
      <w:tr w:rsidR="00CE215C" w:rsidRPr="00B315AC" w:rsidTr="0092249A">
        <w:trPr>
          <w:cantSplit/>
        </w:trPr>
        <w:tc>
          <w:tcPr>
            <w:tcW w:w="8771" w:type="dxa"/>
            <w:tcBorders>
              <w:top w:val="nil"/>
              <w:left w:val="single" w:sz="4" w:space="0" w:color="auto"/>
              <w:bottom w:val="nil"/>
              <w:right w:val="single" w:sz="6" w:space="0" w:color="auto"/>
            </w:tcBorders>
          </w:tcPr>
          <w:p w:rsidR="007F6919" w:rsidRDefault="00916015" w:rsidP="00DB127B">
            <w:pPr>
              <w:pStyle w:val="Box"/>
            </w:pPr>
            <w:r>
              <w:t>For this report, new supplementary survey data are available for 2013</w:t>
            </w:r>
            <w:r w:rsidR="003D5319">
              <w:t xml:space="preserve"> and </w:t>
            </w:r>
            <w:r w:rsidR="008415BD">
              <w:t xml:space="preserve">by Indigenous status </w:t>
            </w:r>
            <w:r w:rsidR="003D5319">
              <w:t>for 2012-13.</w:t>
            </w:r>
          </w:p>
          <w:p w:rsidR="00916015" w:rsidRDefault="00916015" w:rsidP="00916015">
            <w:pPr>
              <w:pStyle w:val="BoxListBullet"/>
            </w:pPr>
            <w:r>
              <w:t xml:space="preserve">Data by socioeconomic status </w:t>
            </w:r>
            <w:r w:rsidR="008415BD">
              <w:t xml:space="preserve">(SES) </w:t>
            </w:r>
            <w:r>
              <w:t xml:space="preserve">are presented in table </w:t>
            </w:r>
            <w:proofErr w:type="spellStart"/>
            <w:r>
              <w:t>SWD.4.1</w:t>
            </w:r>
            <w:proofErr w:type="spellEnd"/>
            <w:r>
              <w:t>.</w:t>
            </w:r>
          </w:p>
          <w:p w:rsidR="00064038" w:rsidRDefault="00064038" w:rsidP="00916015">
            <w:pPr>
              <w:pStyle w:val="BoxListBullet"/>
            </w:pPr>
            <w:r>
              <w:t xml:space="preserve">Data by remoteness are presented in table </w:t>
            </w:r>
            <w:proofErr w:type="spellStart"/>
            <w:r>
              <w:t>SWD.4.7</w:t>
            </w:r>
            <w:proofErr w:type="spellEnd"/>
            <w:r>
              <w:t>.</w:t>
            </w:r>
          </w:p>
          <w:p w:rsidR="003D5319" w:rsidRDefault="00064038" w:rsidP="00C16834">
            <w:pPr>
              <w:pStyle w:val="BoxListBullet"/>
            </w:pPr>
            <w:r>
              <w:t>Data by State and Territory by qualification level a</w:t>
            </w:r>
            <w:r w:rsidR="003D5319">
              <w:t xml:space="preserve">re presented in table </w:t>
            </w:r>
            <w:proofErr w:type="spellStart"/>
            <w:r w:rsidR="003D5319">
              <w:t>SWD.4.11</w:t>
            </w:r>
            <w:proofErr w:type="spellEnd"/>
            <w:r w:rsidR="003D5319">
              <w:t>.</w:t>
            </w:r>
          </w:p>
          <w:p w:rsidR="00C16834" w:rsidRDefault="003D5319" w:rsidP="00C16834">
            <w:pPr>
              <w:pStyle w:val="BoxListBullet"/>
            </w:pPr>
            <w:r>
              <w:t>D</w:t>
            </w:r>
            <w:r w:rsidR="00C16834">
              <w:t xml:space="preserve">ata by Indigenous status are presented in table </w:t>
            </w:r>
            <w:proofErr w:type="spellStart"/>
            <w:r w:rsidR="00C16834">
              <w:t>SWD.4.18</w:t>
            </w:r>
            <w:proofErr w:type="spellEnd"/>
            <w:r w:rsidR="00C16834">
              <w:t>.</w:t>
            </w:r>
          </w:p>
          <w:p w:rsidR="00D7597A" w:rsidRDefault="00D7597A" w:rsidP="00C16834">
            <w:pPr>
              <w:pStyle w:val="BoxListBullet"/>
            </w:pPr>
            <w:r>
              <w:t xml:space="preserve">Data by State and Territory are presented in table </w:t>
            </w:r>
            <w:proofErr w:type="spellStart"/>
            <w:r>
              <w:t>SWD.4.20</w:t>
            </w:r>
            <w:proofErr w:type="spellEnd"/>
            <w:r>
              <w:t>.</w:t>
            </w:r>
          </w:p>
          <w:p w:rsidR="00916015" w:rsidRDefault="00466C06" w:rsidP="00916015">
            <w:pPr>
              <w:pStyle w:val="Box"/>
            </w:pPr>
            <w:r>
              <w:t xml:space="preserve">Additional </w:t>
            </w:r>
            <w:r w:rsidR="00916015">
              <w:t>data for 2012, 2011, 2010, 2009</w:t>
            </w:r>
            <w:r w:rsidR="00064038">
              <w:t>,</w:t>
            </w:r>
            <w:r w:rsidR="00916015">
              <w:t xml:space="preserve"> 2008</w:t>
            </w:r>
            <w:r w:rsidR="00064038">
              <w:t xml:space="preserve"> and 2007</w:t>
            </w:r>
            <w:r w:rsidR="00916015">
              <w:t xml:space="preserve"> are reported</w:t>
            </w:r>
            <w:r>
              <w:t xml:space="preserve"> to ensure a comparable time series</w:t>
            </w:r>
            <w:r w:rsidR="00916015">
              <w:t>:</w:t>
            </w:r>
          </w:p>
          <w:p w:rsidR="00916015" w:rsidRDefault="00916015" w:rsidP="00916015">
            <w:pPr>
              <w:pStyle w:val="BoxListBullet"/>
            </w:pPr>
            <w:r>
              <w:t xml:space="preserve">Data by </w:t>
            </w:r>
            <w:r w:rsidR="008415BD">
              <w:t>SES</w:t>
            </w:r>
            <w:r>
              <w:t xml:space="preserve"> are presented in tables </w:t>
            </w:r>
            <w:proofErr w:type="spellStart"/>
            <w:r>
              <w:t>SWD.4.2</w:t>
            </w:r>
            <w:proofErr w:type="spellEnd"/>
            <w:r w:rsidR="00731995">
              <w:rPr>
                <w:rFonts w:cs="Arial"/>
              </w:rPr>
              <w:t>−</w:t>
            </w:r>
            <w:r w:rsidR="00064038">
              <w:t>6 (2007 not available)</w:t>
            </w:r>
          </w:p>
          <w:p w:rsidR="00916015" w:rsidRDefault="00916015" w:rsidP="00064038">
            <w:pPr>
              <w:pStyle w:val="BoxListBullet"/>
            </w:pPr>
            <w:r>
              <w:t xml:space="preserve">Data by </w:t>
            </w:r>
            <w:r w:rsidR="00064038">
              <w:t>remoteness are presented in table</w:t>
            </w:r>
            <w:r w:rsidR="00466C06">
              <w:t xml:space="preserve"> </w:t>
            </w:r>
            <w:proofErr w:type="spellStart"/>
            <w:r w:rsidR="00466C06">
              <w:t>SWD.4.8</w:t>
            </w:r>
            <w:proofErr w:type="spellEnd"/>
            <w:r w:rsidR="00C61575">
              <w:rPr>
                <w:rFonts w:cs="Arial"/>
              </w:rPr>
              <w:t>−</w:t>
            </w:r>
            <w:r w:rsidR="00C61575">
              <w:t>10</w:t>
            </w:r>
            <w:r w:rsidR="00466C06">
              <w:t xml:space="preserve"> (2012, 2011, 2010</w:t>
            </w:r>
            <w:r w:rsidR="00DF13FD">
              <w:t xml:space="preserve"> data</w:t>
            </w:r>
            <w:r w:rsidR="00064038">
              <w:t>)</w:t>
            </w:r>
          </w:p>
          <w:p w:rsidR="00064038" w:rsidRDefault="00064038" w:rsidP="00C16834">
            <w:pPr>
              <w:pStyle w:val="BoxListBullet"/>
            </w:pPr>
            <w:r>
              <w:t>Data by State and Territory by qualification level are presented in table</w:t>
            </w:r>
            <w:r w:rsidR="003D5319">
              <w:t>s</w:t>
            </w:r>
            <w:r w:rsidR="004B512C">
              <w:t> </w:t>
            </w:r>
            <w:proofErr w:type="spellStart"/>
            <w:r>
              <w:t>SWD.4.12</w:t>
            </w:r>
            <w:proofErr w:type="spellEnd"/>
            <w:r w:rsidR="00731995">
              <w:rPr>
                <w:rFonts w:cs="Arial"/>
              </w:rPr>
              <w:t>−</w:t>
            </w:r>
            <w:r>
              <w:t>17</w:t>
            </w:r>
            <w:r w:rsidR="00C16834">
              <w:t>.</w:t>
            </w:r>
            <w:r w:rsidR="00353E08" w:rsidRPr="00AD0469">
              <w:rPr>
                <w:noProof/>
              </w:rPr>
              <w:t xml:space="preserve"> </w:t>
            </w:r>
          </w:p>
          <w:p w:rsidR="00C16834" w:rsidRDefault="003D5319" w:rsidP="003D5319">
            <w:pPr>
              <w:pStyle w:val="BoxListBullet"/>
            </w:pPr>
            <w:r>
              <w:t xml:space="preserve">Data by </w:t>
            </w:r>
            <w:r w:rsidR="00C16834">
              <w:t xml:space="preserve">Indigenous status </w:t>
            </w:r>
            <w:r>
              <w:t xml:space="preserve">are presented in table </w:t>
            </w:r>
            <w:proofErr w:type="spellStart"/>
            <w:r>
              <w:t>SWD.4.19</w:t>
            </w:r>
            <w:proofErr w:type="spellEnd"/>
            <w:r>
              <w:t xml:space="preserve"> (2008 only).</w:t>
            </w:r>
          </w:p>
          <w:p w:rsidR="00314362" w:rsidRDefault="00314362" w:rsidP="00314362">
            <w:pPr>
              <w:pStyle w:val="Box"/>
            </w:pPr>
            <w:r>
              <w:t>Main data from the 2011 and 2006 Census are available in the 2012 NASWD performance report.</w:t>
            </w:r>
          </w:p>
          <w:p w:rsidR="00807FA5" w:rsidRPr="00B315AC" w:rsidRDefault="00314362" w:rsidP="009C0EE0">
            <w:pPr>
              <w:pStyle w:val="Box"/>
            </w:pPr>
            <w:r>
              <w:t>Supplementary survey data for</w:t>
            </w:r>
            <w:r w:rsidR="009C0EE0">
              <w:t>:</w:t>
            </w:r>
            <w:r>
              <w:t xml:space="preserve"> 2012 are available in the 2012 NASWD performance report; </w:t>
            </w:r>
            <w:r w:rsidR="009C0EE0">
              <w:t xml:space="preserve">and for </w:t>
            </w:r>
            <w:r>
              <w:t>2011, 2010, 2009 and 2008 (total population) and 2008 (Indigenous population) are available in the 2011 NASWD performance report.</w:t>
            </w:r>
          </w:p>
        </w:tc>
      </w:tr>
      <w:tr w:rsidR="00CE215C">
        <w:trPr>
          <w:cantSplit/>
        </w:trPr>
        <w:tc>
          <w:tcPr>
            <w:tcW w:w="8771" w:type="dxa"/>
            <w:tcBorders>
              <w:top w:val="nil"/>
              <w:left w:val="single" w:sz="6" w:space="0" w:color="auto"/>
              <w:bottom w:val="single" w:sz="6" w:space="0" w:color="auto"/>
              <w:right w:val="single" w:sz="6" w:space="0" w:color="auto"/>
            </w:tcBorders>
          </w:tcPr>
          <w:p w:rsidR="00CE215C" w:rsidRDefault="00CE215C" w:rsidP="00725CFC">
            <w:pPr>
              <w:pStyle w:val="Box"/>
              <w:spacing w:before="0" w:line="120" w:lineRule="exact"/>
            </w:pPr>
          </w:p>
        </w:tc>
      </w:tr>
      <w:tr w:rsidR="00CE215C">
        <w:tc>
          <w:tcPr>
            <w:tcW w:w="8771" w:type="dxa"/>
            <w:tcBorders>
              <w:top w:val="nil"/>
              <w:left w:val="nil"/>
              <w:bottom w:val="nil"/>
              <w:right w:val="nil"/>
            </w:tcBorders>
          </w:tcPr>
          <w:p w:rsidR="00CE215C" w:rsidRDefault="00CE215C" w:rsidP="00725CFC">
            <w:pPr>
              <w:pStyle w:val="Box"/>
              <w:keepNext w:val="0"/>
              <w:spacing w:before="60" w:after="60" w:line="80" w:lineRule="exact"/>
              <w:rPr>
                <w:b/>
                <w:color w:val="FF00FF"/>
                <w:sz w:val="14"/>
              </w:rPr>
            </w:pPr>
          </w:p>
        </w:tc>
      </w:tr>
    </w:tbl>
    <w:p w:rsidR="00CE215C" w:rsidRDefault="008864C2" w:rsidP="00772CE4">
      <w:pPr>
        <w:pStyle w:val="Heading4"/>
      </w:pPr>
      <w:r>
        <w:t>Attachment tables</w:t>
      </w:r>
    </w:p>
    <w:tbl>
      <w:tblPr>
        <w:tblW w:w="880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6864"/>
      </w:tblGrid>
      <w:tr w:rsidR="00BA18A3" w:rsidRPr="00BA18A3" w:rsidTr="00BA18A3">
        <w:trPr>
          <w:trHeight w:val="867"/>
        </w:trPr>
        <w:tc>
          <w:tcPr>
            <w:tcW w:w="1940" w:type="dxa"/>
            <w:shd w:val="clear" w:color="auto" w:fill="auto"/>
            <w:noWrap/>
            <w:hideMark/>
          </w:tcPr>
          <w:p w:rsidR="00BA18A3" w:rsidRPr="00BA18A3" w:rsidRDefault="00BA18A3" w:rsidP="00BA18A3">
            <w:pPr>
              <w:rPr>
                <w:rFonts w:ascii="Arial" w:hAnsi="Arial" w:cs="Arial"/>
                <w:b/>
                <w:bCs/>
                <w:sz w:val="20"/>
                <w:szCs w:val="20"/>
              </w:rPr>
            </w:pPr>
            <w:r w:rsidRPr="00BA18A3">
              <w:rPr>
                <w:rFonts w:ascii="Arial" w:hAnsi="Arial" w:cs="Arial"/>
                <w:b/>
                <w:bCs/>
                <w:sz w:val="20"/>
                <w:szCs w:val="20"/>
              </w:rPr>
              <w:t xml:space="preserve">Table </w:t>
            </w:r>
            <w:proofErr w:type="spellStart"/>
            <w:r w:rsidRPr="00BA18A3">
              <w:rPr>
                <w:rFonts w:ascii="Arial" w:hAnsi="Arial" w:cs="Arial"/>
                <w:b/>
                <w:bCs/>
                <w:sz w:val="20"/>
                <w:szCs w:val="20"/>
              </w:rPr>
              <w:t>SWD.4.1</w:t>
            </w:r>
            <w:proofErr w:type="spellEnd"/>
          </w:p>
        </w:tc>
        <w:tc>
          <w:tcPr>
            <w:tcW w:w="6864" w:type="dxa"/>
            <w:shd w:val="clear" w:color="auto" w:fill="auto"/>
            <w:hideMark/>
          </w:tcPr>
          <w:p w:rsidR="00BA18A3" w:rsidRPr="00BA18A3" w:rsidRDefault="00BA18A3" w:rsidP="00BA18A3">
            <w:pPr>
              <w:jc w:val="both"/>
              <w:rPr>
                <w:rFonts w:ascii="Arial" w:hAnsi="Arial" w:cs="Arial"/>
                <w:sz w:val="20"/>
                <w:szCs w:val="20"/>
              </w:rPr>
            </w:pPr>
            <w:r w:rsidRPr="00BA18A3">
              <w:rPr>
                <w:rFonts w:ascii="Arial" w:hAnsi="Arial" w:cs="Arial"/>
                <w:sz w:val="20"/>
                <w:szCs w:val="20"/>
              </w:rPr>
              <w:t xml:space="preserve">Proportion of 20–64 year old population with a non-school qualification or who are currently studying for a non-school qualification, by SEIFA IRSD, 2013 </w:t>
            </w:r>
          </w:p>
        </w:tc>
      </w:tr>
      <w:tr w:rsidR="00BA18A3" w:rsidRPr="00BA18A3" w:rsidTr="00E907C1">
        <w:trPr>
          <w:trHeight w:val="689"/>
        </w:trPr>
        <w:tc>
          <w:tcPr>
            <w:tcW w:w="1940" w:type="dxa"/>
            <w:shd w:val="clear" w:color="auto" w:fill="auto"/>
            <w:noWrap/>
            <w:hideMark/>
          </w:tcPr>
          <w:p w:rsidR="00BA18A3" w:rsidRPr="00BA18A3" w:rsidRDefault="00BA18A3" w:rsidP="00BA18A3">
            <w:pPr>
              <w:rPr>
                <w:rFonts w:ascii="Arial" w:hAnsi="Arial" w:cs="Arial"/>
                <w:b/>
                <w:bCs/>
                <w:sz w:val="20"/>
                <w:szCs w:val="20"/>
              </w:rPr>
            </w:pPr>
            <w:r w:rsidRPr="00BA18A3">
              <w:rPr>
                <w:rFonts w:ascii="Arial" w:hAnsi="Arial" w:cs="Arial"/>
                <w:b/>
                <w:bCs/>
                <w:sz w:val="20"/>
                <w:szCs w:val="20"/>
              </w:rPr>
              <w:t xml:space="preserve">Table </w:t>
            </w:r>
            <w:proofErr w:type="spellStart"/>
            <w:r w:rsidRPr="00BA18A3">
              <w:rPr>
                <w:rFonts w:ascii="Arial" w:hAnsi="Arial" w:cs="Arial"/>
                <w:b/>
                <w:bCs/>
                <w:sz w:val="20"/>
                <w:szCs w:val="20"/>
              </w:rPr>
              <w:t>SWD.4.2</w:t>
            </w:r>
            <w:proofErr w:type="spellEnd"/>
          </w:p>
        </w:tc>
        <w:tc>
          <w:tcPr>
            <w:tcW w:w="6864" w:type="dxa"/>
            <w:shd w:val="clear" w:color="auto" w:fill="auto"/>
            <w:hideMark/>
          </w:tcPr>
          <w:p w:rsidR="00BA18A3" w:rsidRPr="00BA18A3" w:rsidRDefault="00BA18A3" w:rsidP="00BA18A3">
            <w:pPr>
              <w:jc w:val="both"/>
              <w:rPr>
                <w:rFonts w:ascii="Arial" w:hAnsi="Arial" w:cs="Arial"/>
                <w:sz w:val="20"/>
                <w:szCs w:val="20"/>
              </w:rPr>
            </w:pPr>
            <w:r w:rsidRPr="00BA18A3">
              <w:rPr>
                <w:rFonts w:ascii="Arial" w:hAnsi="Arial" w:cs="Arial"/>
                <w:sz w:val="20"/>
                <w:szCs w:val="20"/>
              </w:rPr>
              <w:t xml:space="preserve">Proportion of 20–64 year old population with a non-school qualification or who are currently studying for a non-school qualification, by SEIFA IRSD, 2012 </w:t>
            </w:r>
          </w:p>
        </w:tc>
      </w:tr>
      <w:tr w:rsidR="00BA18A3" w:rsidRPr="00BA18A3" w:rsidTr="00E907C1">
        <w:trPr>
          <w:trHeight w:val="699"/>
        </w:trPr>
        <w:tc>
          <w:tcPr>
            <w:tcW w:w="1940" w:type="dxa"/>
            <w:shd w:val="clear" w:color="auto" w:fill="auto"/>
            <w:noWrap/>
            <w:hideMark/>
          </w:tcPr>
          <w:p w:rsidR="00BA18A3" w:rsidRPr="00BA18A3" w:rsidRDefault="00BA18A3" w:rsidP="00BA18A3">
            <w:pPr>
              <w:rPr>
                <w:rFonts w:ascii="Arial" w:hAnsi="Arial" w:cs="Arial"/>
                <w:b/>
                <w:bCs/>
                <w:sz w:val="20"/>
                <w:szCs w:val="20"/>
              </w:rPr>
            </w:pPr>
            <w:r w:rsidRPr="00BA18A3">
              <w:rPr>
                <w:rFonts w:ascii="Arial" w:hAnsi="Arial" w:cs="Arial"/>
                <w:b/>
                <w:bCs/>
                <w:sz w:val="20"/>
                <w:szCs w:val="20"/>
              </w:rPr>
              <w:t xml:space="preserve">Table </w:t>
            </w:r>
            <w:proofErr w:type="spellStart"/>
            <w:r w:rsidRPr="00BA18A3">
              <w:rPr>
                <w:rFonts w:ascii="Arial" w:hAnsi="Arial" w:cs="Arial"/>
                <w:b/>
                <w:bCs/>
                <w:sz w:val="20"/>
                <w:szCs w:val="20"/>
              </w:rPr>
              <w:t>SWD.4.3</w:t>
            </w:r>
            <w:proofErr w:type="spellEnd"/>
          </w:p>
        </w:tc>
        <w:tc>
          <w:tcPr>
            <w:tcW w:w="6864" w:type="dxa"/>
            <w:shd w:val="clear" w:color="auto" w:fill="auto"/>
            <w:hideMark/>
          </w:tcPr>
          <w:p w:rsidR="00BA18A3" w:rsidRPr="00BA18A3" w:rsidRDefault="00BA18A3" w:rsidP="00BA18A3">
            <w:pPr>
              <w:jc w:val="both"/>
              <w:rPr>
                <w:rFonts w:ascii="Arial" w:hAnsi="Arial" w:cs="Arial"/>
                <w:sz w:val="20"/>
                <w:szCs w:val="20"/>
              </w:rPr>
            </w:pPr>
            <w:r w:rsidRPr="00BA18A3">
              <w:rPr>
                <w:rFonts w:ascii="Arial" w:hAnsi="Arial" w:cs="Arial"/>
                <w:sz w:val="20"/>
                <w:szCs w:val="20"/>
              </w:rPr>
              <w:t>Proportion of 20–64 year old population with a non-school qualification or who are currently studying for a non-school qua</w:t>
            </w:r>
            <w:r w:rsidR="00E907C1">
              <w:rPr>
                <w:rFonts w:ascii="Arial" w:hAnsi="Arial" w:cs="Arial"/>
                <w:sz w:val="20"/>
                <w:szCs w:val="20"/>
              </w:rPr>
              <w:t>lification, by SEIFA IRSD, 2011</w:t>
            </w:r>
          </w:p>
        </w:tc>
      </w:tr>
      <w:tr w:rsidR="00BA18A3" w:rsidRPr="00BA18A3" w:rsidTr="00BA18A3">
        <w:trPr>
          <w:trHeight w:val="867"/>
        </w:trPr>
        <w:tc>
          <w:tcPr>
            <w:tcW w:w="1940" w:type="dxa"/>
            <w:shd w:val="clear" w:color="auto" w:fill="auto"/>
            <w:noWrap/>
            <w:hideMark/>
          </w:tcPr>
          <w:p w:rsidR="00BA18A3" w:rsidRPr="00BA18A3" w:rsidRDefault="00BA18A3" w:rsidP="00BA18A3">
            <w:pPr>
              <w:rPr>
                <w:rFonts w:ascii="Arial" w:hAnsi="Arial" w:cs="Arial"/>
                <w:b/>
                <w:bCs/>
                <w:sz w:val="20"/>
                <w:szCs w:val="20"/>
              </w:rPr>
            </w:pPr>
            <w:r w:rsidRPr="00BA18A3">
              <w:rPr>
                <w:rFonts w:ascii="Arial" w:hAnsi="Arial" w:cs="Arial"/>
                <w:b/>
                <w:bCs/>
                <w:sz w:val="20"/>
                <w:szCs w:val="20"/>
              </w:rPr>
              <w:t xml:space="preserve">Table </w:t>
            </w:r>
            <w:proofErr w:type="spellStart"/>
            <w:r w:rsidRPr="00BA18A3">
              <w:rPr>
                <w:rFonts w:ascii="Arial" w:hAnsi="Arial" w:cs="Arial"/>
                <w:b/>
                <w:bCs/>
                <w:sz w:val="20"/>
                <w:szCs w:val="20"/>
              </w:rPr>
              <w:t>SWD.4.4</w:t>
            </w:r>
            <w:proofErr w:type="spellEnd"/>
          </w:p>
        </w:tc>
        <w:tc>
          <w:tcPr>
            <w:tcW w:w="6864" w:type="dxa"/>
            <w:shd w:val="clear" w:color="auto" w:fill="auto"/>
            <w:hideMark/>
          </w:tcPr>
          <w:p w:rsidR="00BA18A3" w:rsidRPr="00BA18A3" w:rsidRDefault="00BA18A3" w:rsidP="00BA18A3">
            <w:pPr>
              <w:jc w:val="both"/>
              <w:rPr>
                <w:rFonts w:ascii="Arial" w:hAnsi="Arial" w:cs="Arial"/>
                <w:sz w:val="20"/>
                <w:szCs w:val="20"/>
              </w:rPr>
            </w:pPr>
            <w:r w:rsidRPr="00BA18A3">
              <w:rPr>
                <w:rFonts w:ascii="Arial" w:hAnsi="Arial" w:cs="Arial"/>
                <w:sz w:val="20"/>
                <w:szCs w:val="20"/>
              </w:rPr>
              <w:t xml:space="preserve">Proportion of 20–64 year old population with a non-school qualification or who are currently studying for a non-school qualification, by SEIFA IRSD, 2010 </w:t>
            </w:r>
          </w:p>
        </w:tc>
      </w:tr>
      <w:tr w:rsidR="00BA18A3" w:rsidRPr="00BA18A3" w:rsidTr="00E907C1">
        <w:trPr>
          <w:trHeight w:val="678"/>
        </w:trPr>
        <w:tc>
          <w:tcPr>
            <w:tcW w:w="1940" w:type="dxa"/>
            <w:shd w:val="clear" w:color="auto" w:fill="auto"/>
            <w:noWrap/>
            <w:hideMark/>
          </w:tcPr>
          <w:p w:rsidR="00BA18A3" w:rsidRPr="00BA18A3" w:rsidRDefault="00BA18A3" w:rsidP="00BA18A3">
            <w:pPr>
              <w:rPr>
                <w:rFonts w:ascii="Arial" w:hAnsi="Arial" w:cs="Arial"/>
                <w:b/>
                <w:bCs/>
                <w:sz w:val="20"/>
                <w:szCs w:val="20"/>
              </w:rPr>
            </w:pPr>
            <w:r w:rsidRPr="00BA18A3">
              <w:rPr>
                <w:rFonts w:ascii="Arial" w:hAnsi="Arial" w:cs="Arial"/>
                <w:b/>
                <w:bCs/>
                <w:sz w:val="20"/>
                <w:szCs w:val="20"/>
              </w:rPr>
              <w:t xml:space="preserve">Table </w:t>
            </w:r>
            <w:proofErr w:type="spellStart"/>
            <w:r w:rsidRPr="00BA18A3">
              <w:rPr>
                <w:rFonts w:ascii="Arial" w:hAnsi="Arial" w:cs="Arial"/>
                <w:b/>
                <w:bCs/>
                <w:sz w:val="20"/>
                <w:szCs w:val="20"/>
              </w:rPr>
              <w:t>SWD.4.5</w:t>
            </w:r>
            <w:proofErr w:type="spellEnd"/>
          </w:p>
        </w:tc>
        <w:tc>
          <w:tcPr>
            <w:tcW w:w="6864" w:type="dxa"/>
            <w:shd w:val="clear" w:color="auto" w:fill="auto"/>
            <w:hideMark/>
          </w:tcPr>
          <w:p w:rsidR="00BA18A3" w:rsidRPr="00BA18A3" w:rsidRDefault="00BA18A3" w:rsidP="00BA18A3">
            <w:pPr>
              <w:jc w:val="both"/>
              <w:rPr>
                <w:rFonts w:ascii="Arial" w:hAnsi="Arial" w:cs="Arial"/>
                <w:sz w:val="20"/>
                <w:szCs w:val="20"/>
              </w:rPr>
            </w:pPr>
            <w:r w:rsidRPr="00BA18A3">
              <w:rPr>
                <w:rFonts w:ascii="Arial" w:hAnsi="Arial" w:cs="Arial"/>
                <w:sz w:val="20"/>
                <w:szCs w:val="20"/>
              </w:rPr>
              <w:t xml:space="preserve">Proportion of 20–64 year old population with a non-school qualification or who are currently studying for a non-school qualification, by SEIFA IRSD, 2009 </w:t>
            </w:r>
          </w:p>
        </w:tc>
      </w:tr>
      <w:tr w:rsidR="00BA18A3" w:rsidRPr="00BA18A3" w:rsidTr="00E907C1">
        <w:trPr>
          <w:trHeight w:val="675"/>
        </w:trPr>
        <w:tc>
          <w:tcPr>
            <w:tcW w:w="1940" w:type="dxa"/>
            <w:shd w:val="clear" w:color="auto" w:fill="auto"/>
            <w:noWrap/>
            <w:hideMark/>
          </w:tcPr>
          <w:p w:rsidR="00BA18A3" w:rsidRPr="00BA18A3" w:rsidRDefault="00BA18A3" w:rsidP="00BA18A3">
            <w:pPr>
              <w:rPr>
                <w:rFonts w:ascii="Arial" w:hAnsi="Arial" w:cs="Arial"/>
                <w:b/>
                <w:bCs/>
                <w:sz w:val="20"/>
                <w:szCs w:val="20"/>
              </w:rPr>
            </w:pPr>
            <w:r w:rsidRPr="00BA18A3">
              <w:rPr>
                <w:rFonts w:ascii="Arial" w:hAnsi="Arial" w:cs="Arial"/>
                <w:b/>
                <w:bCs/>
                <w:sz w:val="20"/>
                <w:szCs w:val="20"/>
              </w:rPr>
              <w:t xml:space="preserve">Table </w:t>
            </w:r>
            <w:proofErr w:type="spellStart"/>
            <w:r w:rsidRPr="00BA18A3">
              <w:rPr>
                <w:rFonts w:ascii="Arial" w:hAnsi="Arial" w:cs="Arial"/>
                <w:b/>
                <w:bCs/>
                <w:sz w:val="20"/>
                <w:szCs w:val="20"/>
              </w:rPr>
              <w:t>SWD.4.6</w:t>
            </w:r>
            <w:proofErr w:type="spellEnd"/>
          </w:p>
        </w:tc>
        <w:tc>
          <w:tcPr>
            <w:tcW w:w="6864" w:type="dxa"/>
            <w:shd w:val="clear" w:color="auto" w:fill="auto"/>
            <w:hideMark/>
          </w:tcPr>
          <w:p w:rsidR="00BA18A3" w:rsidRPr="00BA18A3" w:rsidRDefault="00BA18A3" w:rsidP="00BA18A3">
            <w:pPr>
              <w:jc w:val="both"/>
              <w:rPr>
                <w:rFonts w:ascii="Arial" w:hAnsi="Arial" w:cs="Arial"/>
                <w:sz w:val="20"/>
                <w:szCs w:val="20"/>
              </w:rPr>
            </w:pPr>
            <w:r w:rsidRPr="00BA18A3">
              <w:rPr>
                <w:rFonts w:ascii="Arial" w:hAnsi="Arial" w:cs="Arial"/>
                <w:sz w:val="20"/>
                <w:szCs w:val="20"/>
              </w:rPr>
              <w:t xml:space="preserve">Proportion of 20–64 year old population with a non-school qualification or who are currently studying for a non-school qualification, by SEIFA IRSD, 2008 </w:t>
            </w:r>
          </w:p>
        </w:tc>
      </w:tr>
      <w:tr w:rsidR="00BA18A3" w:rsidRPr="00BA18A3" w:rsidTr="00BA18A3">
        <w:trPr>
          <w:trHeight w:val="612"/>
        </w:trPr>
        <w:tc>
          <w:tcPr>
            <w:tcW w:w="1940" w:type="dxa"/>
            <w:shd w:val="clear" w:color="auto" w:fill="auto"/>
            <w:noWrap/>
            <w:hideMark/>
          </w:tcPr>
          <w:p w:rsidR="00BA18A3" w:rsidRPr="00BA18A3" w:rsidRDefault="00BA18A3" w:rsidP="00BA18A3">
            <w:pPr>
              <w:rPr>
                <w:rFonts w:ascii="Arial" w:hAnsi="Arial" w:cs="Arial"/>
                <w:b/>
                <w:bCs/>
                <w:sz w:val="20"/>
                <w:szCs w:val="20"/>
              </w:rPr>
            </w:pPr>
            <w:r w:rsidRPr="00BA18A3">
              <w:rPr>
                <w:rFonts w:ascii="Arial" w:hAnsi="Arial" w:cs="Arial"/>
                <w:b/>
                <w:bCs/>
                <w:sz w:val="20"/>
                <w:szCs w:val="20"/>
              </w:rPr>
              <w:t xml:space="preserve">Table </w:t>
            </w:r>
            <w:proofErr w:type="spellStart"/>
            <w:r w:rsidRPr="00BA18A3">
              <w:rPr>
                <w:rFonts w:ascii="Arial" w:hAnsi="Arial" w:cs="Arial"/>
                <w:b/>
                <w:bCs/>
                <w:sz w:val="20"/>
                <w:szCs w:val="20"/>
              </w:rPr>
              <w:t>SWD.4.7</w:t>
            </w:r>
            <w:proofErr w:type="spellEnd"/>
          </w:p>
        </w:tc>
        <w:tc>
          <w:tcPr>
            <w:tcW w:w="6864" w:type="dxa"/>
            <w:shd w:val="clear" w:color="auto" w:fill="auto"/>
            <w:hideMark/>
          </w:tcPr>
          <w:p w:rsidR="00BA18A3" w:rsidRPr="00BA18A3" w:rsidRDefault="00BA18A3" w:rsidP="00BA18A3">
            <w:pPr>
              <w:jc w:val="both"/>
              <w:rPr>
                <w:rFonts w:ascii="Arial" w:hAnsi="Arial" w:cs="Arial"/>
                <w:sz w:val="20"/>
                <w:szCs w:val="20"/>
              </w:rPr>
            </w:pPr>
            <w:r w:rsidRPr="00BA18A3">
              <w:rPr>
                <w:rFonts w:ascii="Arial" w:hAnsi="Arial" w:cs="Arial"/>
                <w:sz w:val="20"/>
                <w:szCs w:val="20"/>
              </w:rPr>
              <w:t>Proportion of 20–64 year old population with a non-school qualification</w:t>
            </w:r>
            <w:r w:rsidR="007A18EF">
              <w:rPr>
                <w:rFonts w:ascii="Arial" w:hAnsi="Arial" w:cs="Arial"/>
                <w:sz w:val="20"/>
                <w:szCs w:val="20"/>
              </w:rPr>
              <w:t xml:space="preserve"> or currently studying for a non-school qualification</w:t>
            </w:r>
            <w:r w:rsidRPr="00BA18A3">
              <w:rPr>
                <w:rFonts w:ascii="Arial" w:hAnsi="Arial" w:cs="Arial"/>
                <w:sz w:val="20"/>
                <w:szCs w:val="20"/>
              </w:rPr>
              <w:t>, by remoteness, 2013</w:t>
            </w:r>
          </w:p>
        </w:tc>
      </w:tr>
      <w:tr w:rsidR="00BA18A3" w:rsidRPr="00BA18A3" w:rsidTr="00BA18A3">
        <w:trPr>
          <w:trHeight w:val="612"/>
        </w:trPr>
        <w:tc>
          <w:tcPr>
            <w:tcW w:w="1940" w:type="dxa"/>
            <w:shd w:val="clear" w:color="auto" w:fill="auto"/>
            <w:noWrap/>
            <w:hideMark/>
          </w:tcPr>
          <w:p w:rsidR="00BA18A3" w:rsidRPr="00BA18A3" w:rsidRDefault="00BA18A3" w:rsidP="00BA18A3">
            <w:pPr>
              <w:rPr>
                <w:rFonts w:ascii="Arial" w:hAnsi="Arial" w:cs="Arial"/>
                <w:b/>
                <w:bCs/>
                <w:sz w:val="20"/>
                <w:szCs w:val="20"/>
              </w:rPr>
            </w:pPr>
            <w:r w:rsidRPr="00BA18A3">
              <w:rPr>
                <w:rFonts w:ascii="Arial" w:hAnsi="Arial" w:cs="Arial"/>
                <w:b/>
                <w:bCs/>
                <w:sz w:val="20"/>
                <w:szCs w:val="20"/>
              </w:rPr>
              <w:t xml:space="preserve">Table </w:t>
            </w:r>
            <w:proofErr w:type="spellStart"/>
            <w:r w:rsidRPr="00BA18A3">
              <w:rPr>
                <w:rFonts w:ascii="Arial" w:hAnsi="Arial" w:cs="Arial"/>
                <w:b/>
                <w:bCs/>
                <w:sz w:val="20"/>
                <w:szCs w:val="20"/>
              </w:rPr>
              <w:t>SWD.4.8</w:t>
            </w:r>
            <w:proofErr w:type="spellEnd"/>
          </w:p>
        </w:tc>
        <w:tc>
          <w:tcPr>
            <w:tcW w:w="6864" w:type="dxa"/>
            <w:shd w:val="clear" w:color="auto" w:fill="auto"/>
            <w:hideMark/>
          </w:tcPr>
          <w:p w:rsidR="00BA18A3" w:rsidRPr="00BA18A3" w:rsidRDefault="00BA18A3" w:rsidP="00BA18A3">
            <w:pPr>
              <w:jc w:val="both"/>
              <w:rPr>
                <w:rFonts w:ascii="Arial" w:hAnsi="Arial" w:cs="Arial"/>
                <w:sz w:val="20"/>
                <w:szCs w:val="20"/>
              </w:rPr>
            </w:pPr>
            <w:r w:rsidRPr="00BA18A3">
              <w:rPr>
                <w:rFonts w:ascii="Arial" w:hAnsi="Arial" w:cs="Arial"/>
                <w:sz w:val="20"/>
                <w:szCs w:val="20"/>
              </w:rPr>
              <w:t>Proportion of 20–64 year old population with a non-school qualification</w:t>
            </w:r>
            <w:r w:rsidR="007A18EF">
              <w:rPr>
                <w:rFonts w:ascii="Arial" w:hAnsi="Arial" w:cs="Arial"/>
                <w:sz w:val="20"/>
                <w:szCs w:val="20"/>
              </w:rPr>
              <w:t xml:space="preserve"> or currently studying for a non-school qualification</w:t>
            </w:r>
            <w:r w:rsidRPr="00BA18A3">
              <w:rPr>
                <w:rFonts w:ascii="Arial" w:hAnsi="Arial" w:cs="Arial"/>
                <w:sz w:val="20"/>
                <w:szCs w:val="20"/>
              </w:rPr>
              <w:t xml:space="preserve">, by remoteness, 2012 </w:t>
            </w:r>
          </w:p>
        </w:tc>
      </w:tr>
      <w:tr w:rsidR="00BA18A3" w:rsidRPr="00BA18A3" w:rsidTr="00BA18A3">
        <w:trPr>
          <w:trHeight w:val="612"/>
        </w:trPr>
        <w:tc>
          <w:tcPr>
            <w:tcW w:w="1940" w:type="dxa"/>
            <w:shd w:val="clear" w:color="auto" w:fill="auto"/>
            <w:noWrap/>
            <w:hideMark/>
          </w:tcPr>
          <w:p w:rsidR="00BA18A3" w:rsidRPr="00BA18A3" w:rsidRDefault="00BA18A3" w:rsidP="00BA18A3">
            <w:pPr>
              <w:rPr>
                <w:rFonts w:ascii="Arial" w:hAnsi="Arial" w:cs="Arial"/>
                <w:b/>
                <w:bCs/>
                <w:sz w:val="20"/>
                <w:szCs w:val="20"/>
              </w:rPr>
            </w:pPr>
            <w:r w:rsidRPr="00BA18A3">
              <w:rPr>
                <w:rFonts w:ascii="Arial" w:hAnsi="Arial" w:cs="Arial"/>
                <w:b/>
                <w:bCs/>
                <w:sz w:val="20"/>
                <w:szCs w:val="20"/>
              </w:rPr>
              <w:t xml:space="preserve">Table </w:t>
            </w:r>
            <w:proofErr w:type="spellStart"/>
            <w:r w:rsidRPr="00BA18A3">
              <w:rPr>
                <w:rFonts w:ascii="Arial" w:hAnsi="Arial" w:cs="Arial"/>
                <w:b/>
                <w:bCs/>
                <w:sz w:val="20"/>
                <w:szCs w:val="20"/>
              </w:rPr>
              <w:t>SWD.4.9</w:t>
            </w:r>
            <w:proofErr w:type="spellEnd"/>
          </w:p>
        </w:tc>
        <w:tc>
          <w:tcPr>
            <w:tcW w:w="6864" w:type="dxa"/>
            <w:shd w:val="clear" w:color="auto" w:fill="auto"/>
            <w:hideMark/>
          </w:tcPr>
          <w:p w:rsidR="00BA18A3" w:rsidRPr="00BA18A3" w:rsidRDefault="00BA18A3" w:rsidP="00BA18A3">
            <w:pPr>
              <w:jc w:val="both"/>
              <w:rPr>
                <w:rFonts w:ascii="Arial" w:hAnsi="Arial" w:cs="Arial"/>
                <w:sz w:val="20"/>
                <w:szCs w:val="20"/>
              </w:rPr>
            </w:pPr>
            <w:r w:rsidRPr="00BA18A3">
              <w:rPr>
                <w:rFonts w:ascii="Arial" w:hAnsi="Arial" w:cs="Arial"/>
                <w:sz w:val="20"/>
                <w:szCs w:val="20"/>
              </w:rPr>
              <w:t>Proportion of 20–64 year old population with a non-school qualification</w:t>
            </w:r>
            <w:r w:rsidR="00945BAF">
              <w:rPr>
                <w:rFonts w:ascii="Arial" w:hAnsi="Arial" w:cs="Arial"/>
                <w:sz w:val="20"/>
                <w:szCs w:val="20"/>
              </w:rPr>
              <w:t xml:space="preserve"> or currently studying for a non-school qualification</w:t>
            </w:r>
            <w:r w:rsidRPr="00BA18A3">
              <w:rPr>
                <w:rFonts w:ascii="Arial" w:hAnsi="Arial" w:cs="Arial"/>
                <w:sz w:val="20"/>
                <w:szCs w:val="20"/>
              </w:rPr>
              <w:t xml:space="preserve">, by remoteness, 2011 </w:t>
            </w:r>
          </w:p>
        </w:tc>
      </w:tr>
      <w:tr w:rsidR="00BA18A3" w:rsidRPr="00BA18A3" w:rsidTr="00BA18A3">
        <w:trPr>
          <w:trHeight w:val="612"/>
        </w:trPr>
        <w:tc>
          <w:tcPr>
            <w:tcW w:w="1940" w:type="dxa"/>
            <w:shd w:val="clear" w:color="auto" w:fill="auto"/>
            <w:noWrap/>
            <w:hideMark/>
          </w:tcPr>
          <w:p w:rsidR="00BA18A3" w:rsidRPr="00BA18A3" w:rsidRDefault="00BA18A3" w:rsidP="00BA18A3">
            <w:pPr>
              <w:rPr>
                <w:rFonts w:ascii="Arial" w:hAnsi="Arial" w:cs="Arial"/>
                <w:b/>
                <w:bCs/>
                <w:sz w:val="20"/>
                <w:szCs w:val="20"/>
              </w:rPr>
            </w:pPr>
            <w:r w:rsidRPr="00BA18A3">
              <w:rPr>
                <w:rFonts w:ascii="Arial" w:hAnsi="Arial" w:cs="Arial"/>
                <w:b/>
                <w:bCs/>
                <w:sz w:val="20"/>
                <w:szCs w:val="20"/>
              </w:rPr>
              <w:t xml:space="preserve">Table </w:t>
            </w:r>
            <w:proofErr w:type="spellStart"/>
            <w:r w:rsidRPr="00BA18A3">
              <w:rPr>
                <w:rFonts w:ascii="Arial" w:hAnsi="Arial" w:cs="Arial"/>
                <w:b/>
                <w:bCs/>
                <w:sz w:val="20"/>
                <w:szCs w:val="20"/>
              </w:rPr>
              <w:t>SWD.4.10</w:t>
            </w:r>
            <w:proofErr w:type="spellEnd"/>
          </w:p>
        </w:tc>
        <w:tc>
          <w:tcPr>
            <w:tcW w:w="6864" w:type="dxa"/>
            <w:shd w:val="clear" w:color="auto" w:fill="auto"/>
            <w:hideMark/>
          </w:tcPr>
          <w:p w:rsidR="00BA18A3" w:rsidRPr="00BA18A3" w:rsidRDefault="00BA18A3" w:rsidP="00BA18A3">
            <w:pPr>
              <w:jc w:val="both"/>
              <w:rPr>
                <w:rFonts w:ascii="Arial" w:hAnsi="Arial" w:cs="Arial"/>
                <w:sz w:val="20"/>
                <w:szCs w:val="20"/>
              </w:rPr>
            </w:pPr>
            <w:r w:rsidRPr="00BA18A3">
              <w:rPr>
                <w:rFonts w:ascii="Arial" w:hAnsi="Arial" w:cs="Arial"/>
                <w:sz w:val="20"/>
                <w:szCs w:val="20"/>
              </w:rPr>
              <w:t>Proportion of 20–64 year old population with a non-school qualification</w:t>
            </w:r>
            <w:r w:rsidR="00945BAF">
              <w:rPr>
                <w:rFonts w:ascii="Arial" w:hAnsi="Arial" w:cs="Arial"/>
                <w:sz w:val="20"/>
                <w:szCs w:val="20"/>
              </w:rPr>
              <w:t xml:space="preserve"> or currently studying for a non-school qualification</w:t>
            </w:r>
            <w:r w:rsidRPr="00BA18A3">
              <w:rPr>
                <w:rFonts w:ascii="Arial" w:hAnsi="Arial" w:cs="Arial"/>
                <w:sz w:val="20"/>
                <w:szCs w:val="20"/>
              </w:rPr>
              <w:t xml:space="preserve">, by remoteness, 2010 </w:t>
            </w:r>
          </w:p>
        </w:tc>
      </w:tr>
      <w:tr w:rsidR="00BA18A3" w:rsidRPr="00BA18A3" w:rsidTr="00BA18A3">
        <w:trPr>
          <w:trHeight w:val="612"/>
        </w:trPr>
        <w:tc>
          <w:tcPr>
            <w:tcW w:w="1940" w:type="dxa"/>
            <w:shd w:val="clear" w:color="auto" w:fill="auto"/>
            <w:noWrap/>
            <w:hideMark/>
          </w:tcPr>
          <w:p w:rsidR="00BA18A3" w:rsidRPr="00BA18A3" w:rsidRDefault="00BA18A3" w:rsidP="00BA18A3">
            <w:pPr>
              <w:rPr>
                <w:rFonts w:ascii="Arial" w:hAnsi="Arial" w:cs="Arial"/>
                <w:b/>
                <w:bCs/>
                <w:sz w:val="20"/>
                <w:szCs w:val="20"/>
              </w:rPr>
            </w:pPr>
            <w:r w:rsidRPr="00BA18A3">
              <w:rPr>
                <w:rFonts w:ascii="Arial" w:hAnsi="Arial" w:cs="Arial"/>
                <w:b/>
                <w:bCs/>
                <w:sz w:val="20"/>
                <w:szCs w:val="20"/>
              </w:rPr>
              <w:t xml:space="preserve">Table </w:t>
            </w:r>
            <w:proofErr w:type="spellStart"/>
            <w:r w:rsidRPr="00BA18A3">
              <w:rPr>
                <w:rFonts w:ascii="Arial" w:hAnsi="Arial" w:cs="Arial"/>
                <w:b/>
                <w:bCs/>
                <w:sz w:val="20"/>
                <w:szCs w:val="20"/>
              </w:rPr>
              <w:t>SWD.4.11</w:t>
            </w:r>
            <w:proofErr w:type="spellEnd"/>
          </w:p>
        </w:tc>
        <w:tc>
          <w:tcPr>
            <w:tcW w:w="6864" w:type="dxa"/>
            <w:shd w:val="clear" w:color="auto" w:fill="auto"/>
            <w:hideMark/>
          </w:tcPr>
          <w:p w:rsidR="00BA18A3" w:rsidRPr="00BA18A3" w:rsidRDefault="00BA18A3" w:rsidP="00BA18A3">
            <w:pPr>
              <w:jc w:val="both"/>
              <w:rPr>
                <w:rFonts w:ascii="Arial" w:hAnsi="Arial" w:cs="Arial"/>
                <w:sz w:val="20"/>
                <w:szCs w:val="20"/>
              </w:rPr>
            </w:pPr>
            <w:r w:rsidRPr="00BA18A3">
              <w:rPr>
                <w:rFonts w:ascii="Arial" w:hAnsi="Arial" w:cs="Arial"/>
                <w:sz w:val="20"/>
                <w:szCs w:val="20"/>
              </w:rPr>
              <w:t xml:space="preserve">Proportion of 20–64 year old population currently studying for a non-school qualification, by level of qualification, 2013  </w:t>
            </w:r>
          </w:p>
        </w:tc>
      </w:tr>
      <w:tr w:rsidR="00BA18A3" w:rsidRPr="00BA18A3" w:rsidTr="00BA18A3">
        <w:trPr>
          <w:trHeight w:val="612"/>
        </w:trPr>
        <w:tc>
          <w:tcPr>
            <w:tcW w:w="1940" w:type="dxa"/>
            <w:shd w:val="clear" w:color="auto" w:fill="auto"/>
            <w:noWrap/>
            <w:hideMark/>
          </w:tcPr>
          <w:p w:rsidR="00BA18A3" w:rsidRPr="00BA18A3" w:rsidRDefault="00BA18A3" w:rsidP="00BA18A3">
            <w:pPr>
              <w:rPr>
                <w:rFonts w:ascii="Arial" w:hAnsi="Arial" w:cs="Arial"/>
                <w:b/>
                <w:bCs/>
                <w:sz w:val="20"/>
                <w:szCs w:val="20"/>
              </w:rPr>
            </w:pPr>
            <w:r w:rsidRPr="00BA18A3">
              <w:rPr>
                <w:rFonts w:ascii="Arial" w:hAnsi="Arial" w:cs="Arial"/>
                <w:b/>
                <w:bCs/>
                <w:sz w:val="20"/>
                <w:szCs w:val="20"/>
              </w:rPr>
              <w:t xml:space="preserve">Table </w:t>
            </w:r>
            <w:proofErr w:type="spellStart"/>
            <w:r w:rsidRPr="00BA18A3">
              <w:rPr>
                <w:rFonts w:ascii="Arial" w:hAnsi="Arial" w:cs="Arial"/>
                <w:b/>
                <w:bCs/>
                <w:sz w:val="20"/>
                <w:szCs w:val="20"/>
              </w:rPr>
              <w:t>SWD.4.12</w:t>
            </w:r>
            <w:proofErr w:type="spellEnd"/>
          </w:p>
        </w:tc>
        <w:tc>
          <w:tcPr>
            <w:tcW w:w="6864" w:type="dxa"/>
            <w:shd w:val="clear" w:color="auto" w:fill="auto"/>
            <w:hideMark/>
          </w:tcPr>
          <w:p w:rsidR="00BA18A3" w:rsidRPr="00BA18A3" w:rsidRDefault="00BA18A3" w:rsidP="00BA18A3">
            <w:pPr>
              <w:jc w:val="both"/>
              <w:rPr>
                <w:rFonts w:ascii="Arial" w:hAnsi="Arial" w:cs="Arial"/>
                <w:sz w:val="20"/>
                <w:szCs w:val="20"/>
              </w:rPr>
            </w:pPr>
            <w:r w:rsidRPr="00BA18A3">
              <w:rPr>
                <w:rFonts w:ascii="Arial" w:hAnsi="Arial" w:cs="Arial"/>
                <w:sz w:val="20"/>
                <w:szCs w:val="20"/>
              </w:rPr>
              <w:t xml:space="preserve">Proportion of 20–64 year old population currently studying for a non-school qualification, by level of qualification, 2012  </w:t>
            </w:r>
          </w:p>
        </w:tc>
      </w:tr>
      <w:tr w:rsidR="00BA18A3" w:rsidRPr="00BA18A3" w:rsidTr="00BA18A3">
        <w:trPr>
          <w:trHeight w:val="612"/>
        </w:trPr>
        <w:tc>
          <w:tcPr>
            <w:tcW w:w="1940" w:type="dxa"/>
            <w:shd w:val="clear" w:color="auto" w:fill="auto"/>
            <w:noWrap/>
            <w:hideMark/>
          </w:tcPr>
          <w:p w:rsidR="00BA18A3" w:rsidRPr="00BA18A3" w:rsidRDefault="00BA18A3" w:rsidP="00BA18A3">
            <w:pPr>
              <w:rPr>
                <w:rFonts w:ascii="Arial" w:hAnsi="Arial" w:cs="Arial"/>
                <w:b/>
                <w:bCs/>
                <w:sz w:val="20"/>
                <w:szCs w:val="20"/>
              </w:rPr>
            </w:pPr>
            <w:r w:rsidRPr="00BA18A3">
              <w:rPr>
                <w:rFonts w:ascii="Arial" w:hAnsi="Arial" w:cs="Arial"/>
                <w:b/>
                <w:bCs/>
                <w:sz w:val="20"/>
                <w:szCs w:val="20"/>
              </w:rPr>
              <w:t xml:space="preserve">Table </w:t>
            </w:r>
            <w:proofErr w:type="spellStart"/>
            <w:r w:rsidRPr="00BA18A3">
              <w:rPr>
                <w:rFonts w:ascii="Arial" w:hAnsi="Arial" w:cs="Arial"/>
                <w:b/>
                <w:bCs/>
                <w:sz w:val="20"/>
                <w:szCs w:val="20"/>
              </w:rPr>
              <w:t>SWD.4.13</w:t>
            </w:r>
            <w:proofErr w:type="spellEnd"/>
          </w:p>
        </w:tc>
        <w:tc>
          <w:tcPr>
            <w:tcW w:w="6864" w:type="dxa"/>
            <w:shd w:val="clear" w:color="auto" w:fill="auto"/>
            <w:hideMark/>
          </w:tcPr>
          <w:p w:rsidR="00BA18A3" w:rsidRPr="00BA18A3" w:rsidRDefault="00BA18A3" w:rsidP="00BA18A3">
            <w:pPr>
              <w:jc w:val="both"/>
              <w:rPr>
                <w:rFonts w:ascii="Arial" w:hAnsi="Arial" w:cs="Arial"/>
                <w:sz w:val="20"/>
                <w:szCs w:val="20"/>
              </w:rPr>
            </w:pPr>
            <w:r w:rsidRPr="00BA18A3">
              <w:rPr>
                <w:rFonts w:ascii="Arial" w:hAnsi="Arial" w:cs="Arial"/>
                <w:sz w:val="20"/>
                <w:szCs w:val="20"/>
              </w:rPr>
              <w:t xml:space="preserve">Proportion of 20–64 year old population currently studying for a non-school qualification, by level of qualification, 2011  </w:t>
            </w:r>
          </w:p>
        </w:tc>
      </w:tr>
      <w:tr w:rsidR="00BA18A3" w:rsidRPr="00BA18A3" w:rsidTr="00BA18A3">
        <w:trPr>
          <w:trHeight w:val="612"/>
        </w:trPr>
        <w:tc>
          <w:tcPr>
            <w:tcW w:w="1940" w:type="dxa"/>
            <w:shd w:val="clear" w:color="auto" w:fill="auto"/>
            <w:noWrap/>
            <w:hideMark/>
          </w:tcPr>
          <w:p w:rsidR="00BA18A3" w:rsidRPr="00BA18A3" w:rsidRDefault="00BA18A3" w:rsidP="00BA18A3">
            <w:pPr>
              <w:rPr>
                <w:rFonts w:ascii="Arial" w:hAnsi="Arial" w:cs="Arial"/>
                <w:b/>
                <w:bCs/>
                <w:sz w:val="20"/>
                <w:szCs w:val="20"/>
              </w:rPr>
            </w:pPr>
            <w:r w:rsidRPr="00BA18A3">
              <w:rPr>
                <w:rFonts w:ascii="Arial" w:hAnsi="Arial" w:cs="Arial"/>
                <w:b/>
                <w:bCs/>
                <w:sz w:val="20"/>
                <w:szCs w:val="20"/>
              </w:rPr>
              <w:t xml:space="preserve">Table </w:t>
            </w:r>
            <w:proofErr w:type="spellStart"/>
            <w:r w:rsidRPr="00BA18A3">
              <w:rPr>
                <w:rFonts w:ascii="Arial" w:hAnsi="Arial" w:cs="Arial"/>
                <w:b/>
                <w:bCs/>
                <w:sz w:val="20"/>
                <w:szCs w:val="20"/>
              </w:rPr>
              <w:t>SWD.4.14</w:t>
            </w:r>
            <w:proofErr w:type="spellEnd"/>
          </w:p>
        </w:tc>
        <w:tc>
          <w:tcPr>
            <w:tcW w:w="6864" w:type="dxa"/>
            <w:shd w:val="clear" w:color="auto" w:fill="auto"/>
            <w:hideMark/>
          </w:tcPr>
          <w:p w:rsidR="00BA18A3" w:rsidRPr="00BA18A3" w:rsidRDefault="00BA18A3" w:rsidP="00BA18A3">
            <w:pPr>
              <w:jc w:val="both"/>
              <w:rPr>
                <w:rFonts w:ascii="Arial" w:hAnsi="Arial" w:cs="Arial"/>
                <w:sz w:val="20"/>
                <w:szCs w:val="20"/>
              </w:rPr>
            </w:pPr>
            <w:r w:rsidRPr="00BA18A3">
              <w:rPr>
                <w:rFonts w:ascii="Arial" w:hAnsi="Arial" w:cs="Arial"/>
                <w:sz w:val="20"/>
                <w:szCs w:val="20"/>
              </w:rPr>
              <w:t xml:space="preserve">Proportion of 20–64 year old population currently studying for a non-school qualification, by level of qualification, 2010  </w:t>
            </w:r>
          </w:p>
        </w:tc>
      </w:tr>
      <w:tr w:rsidR="00BA18A3" w:rsidRPr="00BA18A3" w:rsidTr="00BA18A3">
        <w:trPr>
          <w:trHeight w:val="612"/>
        </w:trPr>
        <w:tc>
          <w:tcPr>
            <w:tcW w:w="1940" w:type="dxa"/>
            <w:shd w:val="clear" w:color="auto" w:fill="auto"/>
            <w:noWrap/>
            <w:hideMark/>
          </w:tcPr>
          <w:p w:rsidR="00BA18A3" w:rsidRPr="00BA18A3" w:rsidRDefault="00BA18A3" w:rsidP="00BA18A3">
            <w:pPr>
              <w:rPr>
                <w:rFonts w:ascii="Arial" w:hAnsi="Arial" w:cs="Arial"/>
                <w:b/>
                <w:bCs/>
                <w:sz w:val="20"/>
                <w:szCs w:val="20"/>
              </w:rPr>
            </w:pPr>
            <w:r w:rsidRPr="00BA18A3">
              <w:rPr>
                <w:rFonts w:ascii="Arial" w:hAnsi="Arial" w:cs="Arial"/>
                <w:b/>
                <w:bCs/>
                <w:sz w:val="20"/>
                <w:szCs w:val="20"/>
              </w:rPr>
              <w:t xml:space="preserve">Table </w:t>
            </w:r>
            <w:proofErr w:type="spellStart"/>
            <w:r w:rsidRPr="00BA18A3">
              <w:rPr>
                <w:rFonts w:ascii="Arial" w:hAnsi="Arial" w:cs="Arial"/>
                <w:b/>
                <w:bCs/>
                <w:sz w:val="20"/>
                <w:szCs w:val="20"/>
              </w:rPr>
              <w:t>SWD.4.15</w:t>
            </w:r>
            <w:proofErr w:type="spellEnd"/>
          </w:p>
        </w:tc>
        <w:tc>
          <w:tcPr>
            <w:tcW w:w="6864" w:type="dxa"/>
            <w:shd w:val="clear" w:color="auto" w:fill="auto"/>
            <w:hideMark/>
          </w:tcPr>
          <w:p w:rsidR="00BA18A3" w:rsidRPr="00BA18A3" w:rsidRDefault="00BA18A3" w:rsidP="00BA18A3">
            <w:pPr>
              <w:jc w:val="both"/>
              <w:rPr>
                <w:rFonts w:ascii="Arial" w:hAnsi="Arial" w:cs="Arial"/>
                <w:sz w:val="20"/>
                <w:szCs w:val="20"/>
              </w:rPr>
            </w:pPr>
            <w:r w:rsidRPr="00BA18A3">
              <w:rPr>
                <w:rFonts w:ascii="Arial" w:hAnsi="Arial" w:cs="Arial"/>
                <w:sz w:val="20"/>
                <w:szCs w:val="20"/>
              </w:rPr>
              <w:t xml:space="preserve">Proportion of 20–64 year old population currently studying for a non-school qualification, by level of qualification, 2009  </w:t>
            </w:r>
          </w:p>
        </w:tc>
      </w:tr>
      <w:tr w:rsidR="00BA18A3" w:rsidRPr="00BA18A3" w:rsidTr="00BA18A3">
        <w:trPr>
          <w:trHeight w:val="612"/>
        </w:trPr>
        <w:tc>
          <w:tcPr>
            <w:tcW w:w="1940" w:type="dxa"/>
            <w:shd w:val="clear" w:color="auto" w:fill="auto"/>
            <w:noWrap/>
            <w:hideMark/>
          </w:tcPr>
          <w:p w:rsidR="00BA18A3" w:rsidRPr="00BA18A3" w:rsidRDefault="00BA18A3" w:rsidP="00BA18A3">
            <w:pPr>
              <w:rPr>
                <w:rFonts w:ascii="Arial" w:hAnsi="Arial" w:cs="Arial"/>
                <w:b/>
                <w:bCs/>
                <w:sz w:val="20"/>
                <w:szCs w:val="20"/>
              </w:rPr>
            </w:pPr>
            <w:r w:rsidRPr="00BA18A3">
              <w:rPr>
                <w:rFonts w:ascii="Arial" w:hAnsi="Arial" w:cs="Arial"/>
                <w:b/>
                <w:bCs/>
                <w:sz w:val="20"/>
                <w:szCs w:val="20"/>
              </w:rPr>
              <w:t xml:space="preserve">Table </w:t>
            </w:r>
            <w:proofErr w:type="spellStart"/>
            <w:r w:rsidRPr="00BA18A3">
              <w:rPr>
                <w:rFonts w:ascii="Arial" w:hAnsi="Arial" w:cs="Arial"/>
                <w:b/>
                <w:bCs/>
                <w:sz w:val="20"/>
                <w:szCs w:val="20"/>
              </w:rPr>
              <w:t>SWD.4.16</w:t>
            </w:r>
            <w:proofErr w:type="spellEnd"/>
          </w:p>
        </w:tc>
        <w:tc>
          <w:tcPr>
            <w:tcW w:w="6864" w:type="dxa"/>
            <w:shd w:val="clear" w:color="auto" w:fill="auto"/>
            <w:hideMark/>
          </w:tcPr>
          <w:p w:rsidR="00BA18A3" w:rsidRPr="00BA18A3" w:rsidRDefault="00BA18A3" w:rsidP="00BA18A3">
            <w:pPr>
              <w:jc w:val="both"/>
              <w:rPr>
                <w:rFonts w:ascii="Arial" w:hAnsi="Arial" w:cs="Arial"/>
                <w:sz w:val="20"/>
                <w:szCs w:val="20"/>
              </w:rPr>
            </w:pPr>
            <w:r w:rsidRPr="00BA18A3">
              <w:rPr>
                <w:rFonts w:ascii="Arial" w:hAnsi="Arial" w:cs="Arial"/>
                <w:sz w:val="20"/>
                <w:szCs w:val="20"/>
              </w:rPr>
              <w:t xml:space="preserve">Proportion of 20–64 year old population currently studying for a non-school qualification, by level of qualification, 2008  </w:t>
            </w:r>
          </w:p>
        </w:tc>
      </w:tr>
      <w:tr w:rsidR="00BA18A3" w:rsidRPr="00BA18A3" w:rsidTr="00BA18A3">
        <w:trPr>
          <w:trHeight w:val="612"/>
        </w:trPr>
        <w:tc>
          <w:tcPr>
            <w:tcW w:w="1940" w:type="dxa"/>
            <w:shd w:val="clear" w:color="auto" w:fill="auto"/>
            <w:noWrap/>
            <w:hideMark/>
          </w:tcPr>
          <w:p w:rsidR="00BA18A3" w:rsidRPr="00BA18A3" w:rsidRDefault="00BA18A3" w:rsidP="00BA18A3">
            <w:pPr>
              <w:rPr>
                <w:rFonts w:ascii="Arial" w:hAnsi="Arial" w:cs="Arial"/>
                <w:b/>
                <w:bCs/>
                <w:sz w:val="20"/>
                <w:szCs w:val="20"/>
              </w:rPr>
            </w:pPr>
            <w:r w:rsidRPr="00BA18A3">
              <w:rPr>
                <w:rFonts w:ascii="Arial" w:hAnsi="Arial" w:cs="Arial"/>
                <w:b/>
                <w:bCs/>
                <w:sz w:val="20"/>
                <w:szCs w:val="20"/>
              </w:rPr>
              <w:t xml:space="preserve">Table </w:t>
            </w:r>
            <w:proofErr w:type="spellStart"/>
            <w:r w:rsidRPr="00BA18A3">
              <w:rPr>
                <w:rFonts w:ascii="Arial" w:hAnsi="Arial" w:cs="Arial"/>
                <w:b/>
                <w:bCs/>
                <w:sz w:val="20"/>
                <w:szCs w:val="20"/>
              </w:rPr>
              <w:t>SWD.4.17</w:t>
            </w:r>
            <w:proofErr w:type="spellEnd"/>
          </w:p>
        </w:tc>
        <w:tc>
          <w:tcPr>
            <w:tcW w:w="6864" w:type="dxa"/>
            <w:shd w:val="clear" w:color="auto" w:fill="auto"/>
            <w:hideMark/>
          </w:tcPr>
          <w:p w:rsidR="00BA18A3" w:rsidRPr="00BA18A3" w:rsidRDefault="00BA18A3" w:rsidP="00BA18A3">
            <w:pPr>
              <w:jc w:val="both"/>
              <w:rPr>
                <w:rFonts w:ascii="Arial" w:hAnsi="Arial" w:cs="Arial"/>
                <w:sz w:val="20"/>
                <w:szCs w:val="20"/>
              </w:rPr>
            </w:pPr>
            <w:r w:rsidRPr="00BA18A3">
              <w:rPr>
                <w:rFonts w:ascii="Arial" w:hAnsi="Arial" w:cs="Arial"/>
                <w:sz w:val="20"/>
                <w:szCs w:val="20"/>
              </w:rPr>
              <w:t xml:space="preserve">Proportion of 20–64 year old population currently studying for a non-school qualification, by level of qualification, 2007  </w:t>
            </w:r>
          </w:p>
        </w:tc>
      </w:tr>
      <w:tr w:rsidR="00BA18A3" w:rsidRPr="00BA18A3" w:rsidTr="00E907C1">
        <w:trPr>
          <w:trHeight w:val="716"/>
        </w:trPr>
        <w:tc>
          <w:tcPr>
            <w:tcW w:w="1940" w:type="dxa"/>
            <w:shd w:val="clear" w:color="auto" w:fill="auto"/>
            <w:noWrap/>
            <w:hideMark/>
          </w:tcPr>
          <w:p w:rsidR="00BA18A3" w:rsidRPr="00BA18A3" w:rsidRDefault="00BA18A3" w:rsidP="00BA18A3">
            <w:pPr>
              <w:rPr>
                <w:rFonts w:ascii="Arial" w:hAnsi="Arial" w:cs="Arial"/>
                <w:b/>
                <w:bCs/>
                <w:sz w:val="20"/>
                <w:szCs w:val="20"/>
              </w:rPr>
            </w:pPr>
            <w:r w:rsidRPr="00BA18A3">
              <w:rPr>
                <w:rFonts w:ascii="Arial" w:hAnsi="Arial" w:cs="Arial"/>
                <w:b/>
                <w:bCs/>
                <w:sz w:val="20"/>
                <w:szCs w:val="20"/>
              </w:rPr>
              <w:t xml:space="preserve">Table </w:t>
            </w:r>
            <w:proofErr w:type="spellStart"/>
            <w:r w:rsidRPr="00BA18A3">
              <w:rPr>
                <w:rFonts w:ascii="Arial" w:hAnsi="Arial" w:cs="Arial"/>
                <w:b/>
                <w:bCs/>
                <w:sz w:val="20"/>
                <w:szCs w:val="20"/>
              </w:rPr>
              <w:t>SWD.4.18</w:t>
            </w:r>
            <w:proofErr w:type="spellEnd"/>
          </w:p>
        </w:tc>
        <w:tc>
          <w:tcPr>
            <w:tcW w:w="6864" w:type="dxa"/>
            <w:shd w:val="clear" w:color="auto" w:fill="auto"/>
            <w:hideMark/>
          </w:tcPr>
          <w:p w:rsidR="00BA18A3" w:rsidRPr="00BA18A3" w:rsidRDefault="00BA18A3" w:rsidP="00D7597A">
            <w:pPr>
              <w:jc w:val="both"/>
              <w:rPr>
                <w:rFonts w:ascii="Arial" w:hAnsi="Arial" w:cs="Arial"/>
                <w:sz w:val="20"/>
                <w:szCs w:val="20"/>
              </w:rPr>
            </w:pPr>
            <w:r w:rsidRPr="00BA18A3">
              <w:rPr>
                <w:rFonts w:ascii="Arial" w:hAnsi="Arial" w:cs="Arial"/>
                <w:sz w:val="20"/>
                <w:szCs w:val="20"/>
              </w:rPr>
              <w:t>Proportion of 20–64 year old population with a non-school qualification or who are currently studying for a non-school qualification, by Indig</w:t>
            </w:r>
            <w:r w:rsidR="00D7597A">
              <w:rPr>
                <w:rFonts w:ascii="Arial" w:hAnsi="Arial" w:cs="Arial"/>
                <w:sz w:val="20"/>
                <w:szCs w:val="20"/>
              </w:rPr>
              <w:t>e</w:t>
            </w:r>
            <w:r w:rsidRPr="00BA18A3">
              <w:rPr>
                <w:rFonts w:ascii="Arial" w:hAnsi="Arial" w:cs="Arial"/>
                <w:sz w:val="20"/>
                <w:szCs w:val="20"/>
              </w:rPr>
              <w:t>nous status, 2012-13</w:t>
            </w:r>
          </w:p>
        </w:tc>
      </w:tr>
      <w:tr w:rsidR="00BA18A3" w:rsidRPr="00BA18A3" w:rsidTr="00E907C1">
        <w:trPr>
          <w:trHeight w:val="757"/>
        </w:trPr>
        <w:tc>
          <w:tcPr>
            <w:tcW w:w="1940" w:type="dxa"/>
            <w:shd w:val="clear" w:color="auto" w:fill="auto"/>
            <w:noWrap/>
            <w:hideMark/>
          </w:tcPr>
          <w:p w:rsidR="00BA18A3" w:rsidRPr="00BA18A3" w:rsidRDefault="00BA18A3" w:rsidP="00BA18A3">
            <w:pPr>
              <w:rPr>
                <w:rFonts w:ascii="Arial" w:hAnsi="Arial" w:cs="Arial"/>
                <w:b/>
                <w:bCs/>
                <w:sz w:val="20"/>
                <w:szCs w:val="20"/>
              </w:rPr>
            </w:pPr>
            <w:r w:rsidRPr="00BA18A3">
              <w:rPr>
                <w:rFonts w:ascii="Arial" w:hAnsi="Arial" w:cs="Arial"/>
                <w:b/>
                <w:bCs/>
                <w:sz w:val="20"/>
                <w:szCs w:val="20"/>
              </w:rPr>
              <w:t xml:space="preserve">Table </w:t>
            </w:r>
            <w:proofErr w:type="spellStart"/>
            <w:r w:rsidRPr="00BA18A3">
              <w:rPr>
                <w:rFonts w:ascii="Arial" w:hAnsi="Arial" w:cs="Arial"/>
                <w:b/>
                <w:bCs/>
                <w:sz w:val="20"/>
                <w:szCs w:val="20"/>
              </w:rPr>
              <w:t>SWD.4.19</w:t>
            </w:r>
            <w:proofErr w:type="spellEnd"/>
          </w:p>
        </w:tc>
        <w:tc>
          <w:tcPr>
            <w:tcW w:w="6864" w:type="dxa"/>
            <w:shd w:val="clear" w:color="auto" w:fill="auto"/>
            <w:hideMark/>
          </w:tcPr>
          <w:p w:rsidR="00BA18A3" w:rsidRPr="00BA18A3" w:rsidRDefault="00BA18A3" w:rsidP="00D7597A">
            <w:pPr>
              <w:jc w:val="both"/>
              <w:rPr>
                <w:rFonts w:ascii="Arial" w:hAnsi="Arial" w:cs="Arial"/>
                <w:sz w:val="20"/>
                <w:szCs w:val="20"/>
              </w:rPr>
            </w:pPr>
            <w:r w:rsidRPr="00BA18A3">
              <w:rPr>
                <w:rFonts w:ascii="Arial" w:hAnsi="Arial" w:cs="Arial"/>
                <w:sz w:val="20"/>
                <w:szCs w:val="20"/>
              </w:rPr>
              <w:t>Proportion of 20–64 year old population with a non-school qualification or who are currently studying for a non-school qualification, by Indig</w:t>
            </w:r>
            <w:r w:rsidR="00D7597A">
              <w:rPr>
                <w:rFonts w:ascii="Arial" w:hAnsi="Arial" w:cs="Arial"/>
                <w:sz w:val="20"/>
                <w:szCs w:val="20"/>
              </w:rPr>
              <w:t>e</w:t>
            </w:r>
            <w:r w:rsidRPr="00BA18A3">
              <w:rPr>
                <w:rFonts w:ascii="Arial" w:hAnsi="Arial" w:cs="Arial"/>
                <w:sz w:val="20"/>
                <w:szCs w:val="20"/>
              </w:rPr>
              <w:t>nous status, 2008</w:t>
            </w:r>
          </w:p>
        </w:tc>
      </w:tr>
      <w:tr w:rsidR="00D7597A" w:rsidRPr="00BA18A3" w:rsidTr="00E907C1">
        <w:trPr>
          <w:trHeight w:val="757"/>
        </w:trPr>
        <w:tc>
          <w:tcPr>
            <w:tcW w:w="1940" w:type="dxa"/>
            <w:shd w:val="clear" w:color="auto" w:fill="auto"/>
            <w:noWrap/>
          </w:tcPr>
          <w:p w:rsidR="00D7597A" w:rsidRPr="00BA18A3" w:rsidRDefault="00D7597A" w:rsidP="00BA18A3">
            <w:pPr>
              <w:rPr>
                <w:rFonts w:ascii="Arial" w:hAnsi="Arial" w:cs="Arial"/>
                <w:b/>
                <w:bCs/>
                <w:sz w:val="20"/>
                <w:szCs w:val="20"/>
              </w:rPr>
            </w:pPr>
            <w:r>
              <w:rPr>
                <w:rFonts w:ascii="Arial" w:hAnsi="Arial" w:cs="Arial"/>
                <w:b/>
                <w:bCs/>
                <w:sz w:val="20"/>
                <w:szCs w:val="20"/>
              </w:rPr>
              <w:t xml:space="preserve">Table </w:t>
            </w:r>
            <w:proofErr w:type="spellStart"/>
            <w:r>
              <w:rPr>
                <w:rFonts w:ascii="Arial" w:hAnsi="Arial" w:cs="Arial"/>
                <w:b/>
                <w:bCs/>
                <w:sz w:val="20"/>
                <w:szCs w:val="20"/>
              </w:rPr>
              <w:t>SWD.4.20</w:t>
            </w:r>
            <w:proofErr w:type="spellEnd"/>
          </w:p>
        </w:tc>
        <w:tc>
          <w:tcPr>
            <w:tcW w:w="6864" w:type="dxa"/>
            <w:shd w:val="clear" w:color="auto" w:fill="auto"/>
          </w:tcPr>
          <w:p w:rsidR="00D7597A" w:rsidRPr="00BA18A3" w:rsidRDefault="00D7597A" w:rsidP="007A18EF">
            <w:pPr>
              <w:jc w:val="both"/>
              <w:rPr>
                <w:rFonts w:ascii="Arial" w:hAnsi="Arial" w:cs="Arial"/>
                <w:sz w:val="20"/>
                <w:szCs w:val="20"/>
              </w:rPr>
            </w:pPr>
            <w:r w:rsidRPr="00BA18A3">
              <w:rPr>
                <w:rFonts w:ascii="Arial" w:hAnsi="Arial" w:cs="Arial"/>
                <w:sz w:val="20"/>
                <w:szCs w:val="20"/>
              </w:rPr>
              <w:t xml:space="preserve">Proportion of 20–64 year old population with a non-school qualification or who are currently studying for a non-school qualification, by </w:t>
            </w:r>
            <w:r w:rsidR="007A18EF">
              <w:rPr>
                <w:rFonts w:ascii="Arial" w:hAnsi="Arial" w:cs="Arial"/>
                <w:sz w:val="20"/>
                <w:szCs w:val="20"/>
              </w:rPr>
              <w:t>State and Territory</w:t>
            </w:r>
            <w:r>
              <w:rPr>
                <w:rFonts w:ascii="Arial" w:hAnsi="Arial" w:cs="Arial"/>
                <w:sz w:val="20"/>
                <w:szCs w:val="20"/>
              </w:rPr>
              <w:t>, 2013</w:t>
            </w:r>
          </w:p>
        </w:tc>
      </w:tr>
    </w:tbl>
    <w:p w:rsidR="00CE215C" w:rsidRDefault="00CE215C" w:rsidP="00725CFC">
      <w:pPr>
        <w:pStyle w:val="BoxSpac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CE215C" w:rsidTr="00C418DA">
        <w:trPr>
          <w:trHeight w:val="371"/>
        </w:trPr>
        <w:tc>
          <w:tcPr>
            <w:tcW w:w="8771" w:type="dxa"/>
            <w:tcBorders>
              <w:top w:val="single" w:sz="6" w:space="0" w:color="auto"/>
              <w:bottom w:val="nil"/>
            </w:tcBorders>
          </w:tcPr>
          <w:p w:rsidR="00CE215C" w:rsidRDefault="00CE215C" w:rsidP="00482B04">
            <w:pPr>
              <w:pStyle w:val="BoxTitle"/>
            </w:pPr>
            <w:r>
              <w:rPr>
                <w:b w:val="0"/>
              </w:rPr>
              <w:t xml:space="preserve">Box </w:t>
            </w:r>
            <w:r w:rsidR="009664F7">
              <w:rPr>
                <w:b w:val="0"/>
                <w:noProof/>
              </w:rPr>
              <w:t>1</w:t>
            </w:r>
            <w:r w:rsidR="00482B04">
              <w:rPr>
                <w:b w:val="0"/>
                <w:noProof/>
              </w:rPr>
              <w:t>2</w:t>
            </w:r>
            <w:r>
              <w:tab/>
              <w:t>Comment on data quality</w:t>
            </w:r>
          </w:p>
        </w:tc>
      </w:tr>
      <w:tr w:rsidR="00CE215C" w:rsidRPr="00ED7D21">
        <w:trPr>
          <w:cantSplit/>
        </w:trPr>
        <w:tc>
          <w:tcPr>
            <w:tcW w:w="8771" w:type="dxa"/>
            <w:tcBorders>
              <w:top w:val="nil"/>
              <w:left w:val="single" w:sz="6" w:space="0" w:color="auto"/>
              <w:bottom w:val="nil"/>
              <w:right w:val="single" w:sz="6" w:space="0" w:color="auto"/>
            </w:tcBorders>
          </w:tcPr>
          <w:p w:rsidR="00AB6DF3" w:rsidRDefault="00B315AC" w:rsidP="00073F28">
            <w:pPr>
              <w:pStyle w:val="Box"/>
            </w:pPr>
            <w:r>
              <w:t xml:space="preserve">The DQS for this performance indicator has been prepared by the ABS and is included in its original form in the section </w:t>
            </w:r>
            <w:r w:rsidR="00F379EA">
              <w:t xml:space="preserve">of </w:t>
            </w:r>
            <w:r>
              <w:t>this report titled ‘Data Quality Statements’. Key points fr</w:t>
            </w:r>
            <w:r w:rsidR="000B0AA4">
              <w:t>om the DQS are summarised below.</w:t>
            </w:r>
          </w:p>
          <w:p w:rsidR="00B315AC" w:rsidRDefault="00B315AC" w:rsidP="00F379EA">
            <w:pPr>
              <w:pStyle w:val="BoxListBullet"/>
            </w:pPr>
            <w:r>
              <w:t>The data provide relevant information on the proportion of the population aged 20</w:t>
            </w:r>
            <w:r w:rsidR="000B0AA4">
              <w:rPr>
                <w:rFonts w:cs="Arial"/>
              </w:rPr>
              <w:t>−</w:t>
            </w:r>
            <w:r>
              <w:t xml:space="preserve">64 years with or working towards a non-school </w:t>
            </w:r>
            <w:proofErr w:type="spellStart"/>
            <w:r>
              <w:t>AQF</w:t>
            </w:r>
            <w:proofErr w:type="spellEnd"/>
            <w:r>
              <w:t xml:space="preserve"> qualification. </w:t>
            </w:r>
          </w:p>
          <w:p w:rsidR="00D56E70" w:rsidRDefault="00337C1A" w:rsidP="00F379EA">
            <w:pPr>
              <w:pStyle w:val="BoxListBullet"/>
            </w:pPr>
            <w:r>
              <w:t>Data are available every five years from the Census (main data source) and annually from the Survey of Education and Work (SEW</w:t>
            </w:r>
            <w:r w:rsidR="00F379EA">
              <w:t>) (</w:t>
            </w:r>
            <w:r>
              <w:t>supplementary data source). For this report</w:t>
            </w:r>
            <w:r w:rsidR="00F379EA">
              <w:t>,</w:t>
            </w:r>
            <w:r>
              <w:t xml:space="preserve"> data are availa</w:t>
            </w:r>
            <w:r w:rsidR="00D56E70">
              <w:t>ble for 2013 from the SEW</w:t>
            </w:r>
            <w:r w:rsidR="004E762A">
              <w:t>.</w:t>
            </w:r>
            <w:r w:rsidR="00D56E70">
              <w:t xml:space="preserve"> </w:t>
            </w:r>
          </w:p>
          <w:p w:rsidR="00D5021E" w:rsidRDefault="00D5021E" w:rsidP="00F379EA">
            <w:pPr>
              <w:pStyle w:val="BoxListBullet"/>
            </w:pPr>
            <w:r>
              <w:t>The SEW is generally able to measure small changes in performance at the national level but is not designed to measure changes at the jurisdictional level with the same level of accuracy.</w:t>
            </w:r>
            <w:r w:rsidR="00D56E70">
              <w:t xml:space="preserve"> Apparent differences in results between years may not be statistically significant. To assist in interpretation, 95 per cent confidence intervals and relative standard errors are provided.</w:t>
            </w:r>
          </w:p>
          <w:p w:rsidR="00D5021E" w:rsidRDefault="00D5021E" w:rsidP="00F379EA">
            <w:pPr>
              <w:pStyle w:val="BoxListBullet"/>
            </w:pPr>
            <w:r>
              <w:t xml:space="preserve">The SEW excludes persons in Indigenous communities in very remote areas, which has a minor effect on estimates by State and Territory over time, except for the NT, where remote Indigenous communities account for about 15 per cent of the population. </w:t>
            </w:r>
          </w:p>
          <w:p w:rsidR="00853C13" w:rsidRDefault="00387627" w:rsidP="00387627">
            <w:pPr>
              <w:pStyle w:val="BoxListBullet"/>
            </w:pPr>
            <w:r w:rsidRPr="000B6325">
              <w:t>Prior to the 2013 SEW, people who were permanently unable to work (PUW) were excluded from the in-scope population. In 2013, the SEW scope was expanded to include the PUW population. However, to ensure that the indicator measure presented here is comparable over time, the PUW population has been excluded from these tables.</w:t>
            </w:r>
          </w:p>
          <w:p w:rsidR="00F81D17" w:rsidRDefault="00597C41" w:rsidP="00F379EA">
            <w:pPr>
              <w:pStyle w:val="BoxListBullet"/>
            </w:pPr>
            <w:r w:rsidRPr="00597C41">
              <w:t xml:space="preserve">Data for Indigenous people </w:t>
            </w:r>
            <w:r w:rsidR="00D10A35">
              <w:t xml:space="preserve">are </w:t>
            </w:r>
            <w:r w:rsidRPr="00597C41">
              <w:t xml:space="preserve">available for 2012-13 </w:t>
            </w:r>
            <w:r w:rsidR="00F379EA">
              <w:t xml:space="preserve">from the </w:t>
            </w:r>
            <w:r w:rsidRPr="00597C41">
              <w:t>NATSIHS component of the AATSIHS</w:t>
            </w:r>
            <w:r w:rsidR="00F379EA">
              <w:t xml:space="preserve">. </w:t>
            </w:r>
            <w:r w:rsidR="00F379EA" w:rsidRPr="00F379EA">
              <w:t xml:space="preserve">Comparator data for non-Indigenous people </w:t>
            </w:r>
            <w:r w:rsidR="00F379EA">
              <w:t>are</w:t>
            </w:r>
            <w:r w:rsidR="00F379EA" w:rsidRPr="00F379EA">
              <w:t xml:space="preserve"> available for 2012 from the SEW. While there are a range of differences between these two collections, these differences do not affect their broad comparability for this performance indicator. </w:t>
            </w:r>
          </w:p>
          <w:p w:rsidR="00F379EA" w:rsidRDefault="00F379EA" w:rsidP="00F379EA">
            <w:pPr>
              <w:pStyle w:val="BoxListBullet"/>
            </w:pPr>
            <w:r>
              <w:t>Caution should be exercised in comparing SEW data in this report with Census data in previous reports, as the two collections have differences in scope, coverage, timing and collection methods. Additional information is available in the 2012 NASWD performance report.</w:t>
            </w:r>
          </w:p>
          <w:p w:rsidR="00916015" w:rsidRDefault="00916015" w:rsidP="00F379EA">
            <w:pPr>
              <w:pStyle w:val="BoxListBullet"/>
            </w:pPr>
            <w:r>
              <w:t xml:space="preserve">Detailed explanatory notes are available to assist the interpretation of results. </w:t>
            </w:r>
          </w:p>
          <w:p w:rsidR="00916015" w:rsidRDefault="00916015" w:rsidP="00F379EA">
            <w:pPr>
              <w:pStyle w:val="BoxListBullet"/>
            </w:pPr>
            <w:r>
              <w:t xml:space="preserve">Additional data from the data source are available </w:t>
            </w:r>
            <w:proofErr w:type="spellStart"/>
            <w:r>
              <w:t>on-line</w:t>
            </w:r>
            <w:proofErr w:type="spellEnd"/>
            <w:r>
              <w:t xml:space="preserve">, and on request. </w:t>
            </w:r>
          </w:p>
          <w:p w:rsidR="00916015" w:rsidRDefault="00916015" w:rsidP="00916015">
            <w:pPr>
              <w:pStyle w:val="Box"/>
            </w:pPr>
            <w:r>
              <w:t xml:space="preserve">The Steering Committee also </w:t>
            </w:r>
            <w:r w:rsidR="00F66FC7">
              <w:t>notes the following issues</w:t>
            </w:r>
            <w:r>
              <w:t>:</w:t>
            </w:r>
          </w:p>
          <w:p w:rsidR="00387627" w:rsidRDefault="00387627" w:rsidP="00387627">
            <w:pPr>
              <w:pStyle w:val="BoxListBullet"/>
            </w:pPr>
            <w:r w:rsidRPr="000B6325">
              <w:t>The Steering Committee recommends that further analysis be conducted to determine whether future reports should include the PUW population for this indicator.</w:t>
            </w:r>
          </w:p>
          <w:p w:rsidR="008415BD" w:rsidRDefault="008415BD" w:rsidP="00F379EA">
            <w:pPr>
              <w:pStyle w:val="BoxListBullet"/>
            </w:pPr>
            <w:r w:rsidRPr="00FE1905">
              <w:t xml:space="preserve">Data reported by socioeconomic status </w:t>
            </w:r>
            <w:r>
              <w:t xml:space="preserve">from </w:t>
            </w:r>
            <w:r w:rsidRPr="00FE1905">
              <w:t>2012</w:t>
            </w:r>
            <w:r>
              <w:t xml:space="preserve"> onwards</w:t>
            </w:r>
            <w:r w:rsidRPr="00FE1905">
              <w:t xml:space="preserve"> ar</w:t>
            </w:r>
            <w:r>
              <w:t>e based on the 2011 SEIFA classification (data for prior years were based on the 2006 SEIFA classification)</w:t>
            </w:r>
            <w:r w:rsidRPr="00FE1905">
              <w:t>.</w:t>
            </w:r>
            <w:r>
              <w:t xml:space="preserve"> Caution should be used in interpreting change over time.</w:t>
            </w:r>
            <w:r w:rsidRPr="00FE1905">
              <w:t xml:space="preserve"> </w:t>
            </w:r>
          </w:p>
          <w:p w:rsidR="00282146" w:rsidRPr="00B315AC" w:rsidRDefault="00387627" w:rsidP="00387627">
            <w:pPr>
              <w:pStyle w:val="Continued"/>
            </w:pPr>
            <w:r>
              <w:t>(continued next page)</w:t>
            </w:r>
          </w:p>
        </w:tc>
      </w:tr>
      <w:tr w:rsidR="00CE215C">
        <w:trPr>
          <w:cantSplit/>
        </w:trPr>
        <w:tc>
          <w:tcPr>
            <w:tcW w:w="8771" w:type="dxa"/>
            <w:tcBorders>
              <w:top w:val="nil"/>
              <w:left w:val="single" w:sz="6" w:space="0" w:color="auto"/>
              <w:bottom w:val="single" w:sz="6" w:space="0" w:color="auto"/>
              <w:right w:val="single" w:sz="6" w:space="0" w:color="auto"/>
            </w:tcBorders>
          </w:tcPr>
          <w:p w:rsidR="00CE215C" w:rsidRDefault="00CE215C" w:rsidP="00725CFC">
            <w:pPr>
              <w:pStyle w:val="Box"/>
              <w:spacing w:before="0" w:line="120" w:lineRule="exact"/>
            </w:pPr>
          </w:p>
        </w:tc>
      </w:tr>
      <w:tr w:rsidR="00CE215C">
        <w:tc>
          <w:tcPr>
            <w:tcW w:w="8771" w:type="dxa"/>
            <w:tcBorders>
              <w:top w:val="nil"/>
              <w:left w:val="nil"/>
              <w:bottom w:val="nil"/>
              <w:right w:val="nil"/>
            </w:tcBorders>
          </w:tcPr>
          <w:p w:rsidR="00CE215C" w:rsidRDefault="00CE215C" w:rsidP="00725CFC">
            <w:pPr>
              <w:pStyle w:val="Box"/>
              <w:keepNext w:val="0"/>
              <w:spacing w:before="60" w:after="60" w:line="80" w:lineRule="exact"/>
              <w:rPr>
                <w:b/>
                <w:color w:val="FF00FF"/>
                <w:sz w:val="14"/>
              </w:rPr>
            </w:pPr>
          </w:p>
        </w:tc>
      </w:tr>
      <w:tr w:rsidR="00387627" w:rsidTr="00B85641">
        <w:tc>
          <w:tcPr>
            <w:tcW w:w="8771" w:type="dxa"/>
            <w:tcBorders>
              <w:top w:val="single" w:sz="6" w:space="0" w:color="auto"/>
              <w:bottom w:val="nil"/>
            </w:tcBorders>
          </w:tcPr>
          <w:p w:rsidR="00387627" w:rsidRDefault="00387627" w:rsidP="00387627">
            <w:pPr>
              <w:pStyle w:val="BoxTitle"/>
            </w:pPr>
            <w:bookmarkStart w:id="24" w:name="_Ref328392160"/>
            <w:r>
              <w:rPr>
                <w:b w:val="0"/>
              </w:rPr>
              <w:t xml:space="preserve">Box </w:t>
            </w:r>
            <w:r w:rsidR="005611A3">
              <w:rPr>
                <w:b w:val="0"/>
              </w:rPr>
              <w:t>12</w:t>
            </w:r>
            <w:r>
              <w:tab/>
            </w:r>
            <w:r w:rsidRPr="00D31879">
              <w:t>(continued)</w:t>
            </w:r>
          </w:p>
        </w:tc>
      </w:tr>
      <w:tr w:rsidR="00387627" w:rsidRPr="00207049" w:rsidTr="00B85641">
        <w:trPr>
          <w:cantSplit/>
        </w:trPr>
        <w:tc>
          <w:tcPr>
            <w:tcW w:w="8771" w:type="dxa"/>
            <w:tcBorders>
              <w:top w:val="nil"/>
              <w:left w:val="single" w:sz="6" w:space="0" w:color="auto"/>
              <w:bottom w:val="nil"/>
              <w:right w:val="single" w:sz="6" w:space="0" w:color="auto"/>
            </w:tcBorders>
          </w:tcPr>
          <w:p w:rsidR="00387627" w:rsidRDefault="00387627" w:rsidP="00387627">
            <w:pPr>
              <w:pStyle w:val="BoxListBullet"/>
            </w:pPr>
            <w:r>
              <w:t>NATSIHS data in this report are preliminary. Final data are anticipated to be available in June 2014.</w:t>
            </w:r>
          </w:p>
          <w:p w:rsidR="00387627" w:rsidRPr="00207049" w:rsidRDefault="00387627" w:rsidP="00387627">
            <w:pPr>
              <w:pStyle w:val="BoxListBullet"/>
            </w:pPr>
            <w:r>
              <w:t>Different definitions of ‘working age population’ are used in different reporting contexts. For the purpose of NASWD performance reporting, ‘working age population’ is defined as people aged 20–64 years for consistency of reporting across NASWD targets and indicators.</w:t>
            </w:r>
          </w:p>
        </w:tc>
      </w:tr>
      <w:tr w:rsidR="00387627" w:rsidTr="00B85641">
        <w:trPr>
          <w:cantSplit/>
        </w:trPr>
        <w:tc>
          <w:tcPr>
            <w:tcW w:w="8771" w:type="dxa"/>
            <w:tcBorders>
              <w:top w:val="nil"/>
              <w:left w:val="single" w:sz="6" w:space="0" w:color="auto"/>
              <w:bottom w:val="single" w:sz="6" w:space="0" w:color="auto"/>
              <w:right w:val="single" w:sz="6" w:space="0" w:color="auto"/>
            </w:tcBorders>
          </w:tcPr>
          <w:p w:rsidR="00387627" w:rsidRDefault="00387627" w:rsidP="00B85641">
            <w:pPr>
              <w:pStyle w:val="Box"/>
              <w:spacing w:before="0" w:line="120" w:lineRule="exact"/>
            </w:pPr>
          </w:p>
        </w:tc>
      </w:tr>
    </w:tbl>
    <w:p w:rsidR="00387627" w:rsidRDefault="00387627" w:rsidP="00387627">
      <w:pPr>
        <w:pStyle w:val="BodyText"/>
        <w:rPr>
          <w:rFonts w:ascii="Arial" w:hAnsi="Arial"/>
        </w:rPr>
      </w:pPr>
      <w:r>
        <w:br w:type="page"/>
      </w:r>
    </w:p>
    <w:p w:rsidR="00CE215C" w:rsidRPr="00414BB6" w:rsidRDefault="00CE215C" w:rsidP="00772CE4">
      <w:pPr>
        <w:pStyle w:val="Heading3"/>
        <w:rPr>
          <w:rStyle w:val="DraftingNote"/>
          <w:color w:val="auto"/>
        </w:rPr>
      </w:pPr>
      <w:bookmarkStart w:id="25" w:name="_Ref386028115"/>
      <w:r w:rsidRPr="00CE215C">
        <w:t xml:space="preserve">Indicator </w:t>
      </w:r>
      <w:r>
        <w:t>5</w:t>
      </w:r>
      <w:r w:rsidRPr="00CE215C">
        <w:t xml:space="preserve"> — Proportion of </w:t>
      </w:r>
      <w:r>
        <w:t>VET graduates with improved employment status after training</w:t>
      </w:r>
      <w:bookmarkEnd w:id="24"/>
      <w:bookmarkEnd w:id="25"/>
    </w:p>
    <w:p w:rsidR="00CE215C" w:rsidRPr="00CE215C" w:rsidRDefault="00CE215C" w:rsidP="00CE215C">
      <w:pPr>
        <w:pStyle w:val="BoxSpace"/>
      </w:pPr>
    </w:p>
    <w:tbl>
      <w:tblPr>
        <w:tblW w:w="0" w:type="auto"/>
        <w:tblInd w:w="108" w:type="dxa"/>
        <w:tblLayout w:type="fixed"/>
        <w:tblLook w:val="01E0" w:firstRow="1" w:lastRow="1" w:firstColumn="1" w:lastColumn="1" w:noHBand="0" w:noVBand="0"/>
      </w:tblPr>
      <w:tblGrid>
        <w:gridCol w:w="1985"/>
        <w:gridCol w:w="6804"/>
      </w:tblGrid>
      <w:tr w:rsidR="00CE215C" w:rsidTr="00BD721E">
        <w:trPr>
          <w:trHeight w:val="1236"/>
        </w:trPr>
        <w:tc>
          <w:tcPr>
            <w:tcW w:w="1985" w:type="dxa"/>
          </w:tcPr>
          <w:p w:rsidR="00CE215C" w:rsidRPr="00366033" w:rsidRDefault="00CE215C" w:rsidP="00CE215C">
            <w:pPr>
              <w:pStyle w:val="TableBodyText"/>
              <w:jc w:val="left"/>
            </w:pPr>
            <w:r w:rsidRPr="00366033">
              <w:t xml:space="preserve">Key amendments from </w:t>
            </w:r>
            <w:r>
              <w:t>previous</w:t>
            </w:r>
            <w:r w:rsidRPr="00366033">
              <w:t xml:space="preserve"> cycle:</w:t>
            </w:r>
            <w:r w:rsidRPr="00366033">
              <w:tab/>
            </w:r>
          </w:p>
        </w:tc>
        <w:tc>
          <w:tcPr>
            <w:tcW w:w="6804" w:type="dxa"/>
          </w:tcPr>
          <w:p w:rsidR="006B63B5" w:rsidRDefault="009E40FE" w:rsidP="000A280A">
            <w:pPr>
              <w:pStyle w:val="TableBodyText"/>
              <w:jc w:val="left"/>
            </w:pPr>
            <w:r w:rsidRPr="009E40FE">
              <w:t>In response to a CRC recommendation, additional disaggregations are reported.</w:t>
            </w:r>
          </w:p>
          <w:p w:rsidR="003E27DF" w:rsidRPr="0012777A" w:rsidRDefault="00D10A35" w:rsidP="000A280A">
            <w:pPr>
              <w:pStyle w:val="TableBodyText"/>
              <w:jc w:val="left"/>
            </w:pPr>
            <w:r>
              <w:t>H</w:t>
            </w:r>
            <w:r w:rsidR="003E27DF">
              <w:t>istorical data for socioeconomic status and remoteness are reported due to break in series for earlier years</w:t>
            </w:r>
          </w:p>
        </w:tc>
      </w:tr>
      <w:tr w:rsidR="00CE215C" w:rsidTr="00BD721E">
        <w:trPr>
          <w:trHeight w:val="714"/>
        </w:trPr>
        <w:tc>
          <w:tcPr>
            <w:tcW w:w="1985" w:type="dxa"/>
          </w:tcPr>
          <w:p w:rsidR="00CE215C" w:rsidRDefault="00CE215C" w:rsidP="00CE215C">
            <w:pPr>
              <w:pStyle w:val="TableBodyText"/>
              <w:jc w:val="left"/>
            </w:pPr>
            <w:r>
              <w:t>Outcome:</w:t>
            </w:r>
          </w:p>
        </w:tc>
        <w:tc>
          <w:tcPr>
            <w:tcW w:w="6804" w:type="dxa"/>
          </w:tcPr>
          <w:p w:rsidR="006B63B5" w:rsidRPr="0023437B" w:rsidRDefault="009E40FE" w:rsidP="000A280A">
            <w:pPr>
              <w:pStyle w:val="TableBodyText"/>
              <w:jc w:val="left"/>
            </w:pPr>
            <w:r w:rsidRPr="009E40FE">
              <w:t>Training delivers the skills and capabilities needed for improved economic participation for working age Australians</w:t>
            </w:r>
          </w:p>
        </w:tc>
      </w:tr>
      <w:tr w:rsidR="00CE215C" w:rsidTr="005B29FA">
        <w:tc>
          <w:tcPr>
            <w:tcW w:w="1985" w:type="dxa"/>
          </w:tcPr>
          <w:p w:rsidR="00CE215C" w:rsidRDefault="00CE215C" w:rsidP="00CE215C">
            <w:pPr>
              <w:pStyle w:val="TableBodyText"/>
              <w:jc w:val="left"/>
            </w:pPr>
            <w:r>
              <w:t xml:space="preserve">Performance indicator: </w:t>
            </w:r>
          </w:p>
          <w:p w:rsidR="00CE215C" w:rsidRPr="000E5A86" w:rsidRDefault="00CE215C" w:rsidP="00CE215C">
            <w:pPr>
              <w:pStyle w:val="TableBodyText"/>
              <w:jc w:val="left"/>
            </w:pPr>
          </w:p>
        </w:tc>
        <w:tc>
          <w:tcPr>
            <w:tcW w:w="6804" w:type="dxa"/>
          </w:tcPr>
          <w:p w:rsidR="00CE215C" w:rsidRPr="00EC6CE2" w:rsidRDefault="009E40FE" w:rsidP="000A280A">
            <w:pPr>
              <w:pStyle w:val="TableBodyText"/>
              <w:jc w:val="left"/>
            </w:pPr>
            <w:r w:rsidRPr="009E40FE">
              <w:t>The proportion of VET graduates with improved employment status after training</w:t>
            </w:r>
          </w:p>
        </w:tc>
      </w:tr>
      <w:tr w:rsidR="00CE215C" w:rsidTr="005B29FA">
        <w:tc>
          <w:tcPr>
            <w:tcW w:w="1985" w:type="dxa"/>
          </w:tcPr>
          <w:p w:rsidR="00CE215C" w:rsidRDefault="00CE215C" w:rsidP="00CE215C">
            <w:pPr>
              <w:pStyle w:val="TableBodyText"/>
              <w:jc w:val="left"/>
            </w:pPr>
            <w:r w:rsidRPr="000E5A86">
              <w:t>Measure</w:t>
            </w:r>
            <w:r>
              <w:t xml:space="preserve">: </w:t>
            </w:r>
          </w:p>
        </w:tc>
        <w:tc>
          <w:tcPr>
            <w:tcW w:w="6804" w:type="dxa"/>
          </w:tcPr>
          <w:p w:rsidR="009E40FE" w:rsidRDefault="009E40FE" w:rsidP="000A280A">
            <w:pPr>
              <w:pStyle w:val="TableBodyText"/>
              <w:jc w:val="left"/>
            </w:pPr>
            <w:r>
              <w:t>Proportion of VET graduates aged 20–64 years with improved employment status after training</w:t>
            </w:r>
          </w:p>
          <w:p w:rsidR="009E40FE" w:rsidRDefault="009E40FE" w:rsidP="000A280A">
            <w:pPr>
              <w:pStyle w:val="TableBodyText"/>
              <w:jc w:val="left"/>
            </w:pPr>
          </w:p>
          <w:p w:rsidR="009E40FE" w:rsidRDefault="009E40FE" w:rsidP="000A280A">
            <w:pPr>
              <w:pStyle w:val="TableBodyText"/>
              <w:jc w:val="left"/>
            </w:pPr>
            <w:r>
              <w:t>The measure is defined as:</w:t>
            </w:r>
          </w:p>
          <w:p w:rsidR="009E40FE" w:rsidRDefault="009E40FE" w:rsidP="000A280A">
            <w:pPr>
              <w:pStyle w:val="TableBullet"/>
            </w:pPr>
            <w:r w:rsidRPr="00E9026C">
              <w:rPr>
                <w:i/>
              </w:rPr>
              <w:t>numerator</w:t>
            </w:r>
            <w:r>
              <w:t xml:space="preserve"> — VET graduates aged 20–64 years with an improved employment status after training</w:t>
            </w:r>
          </w:p>
          <w:p w:rsidR="009E40FE" w:rsidRDefault="009E40FE" w:rsidP="000A280A">
            <w:pPr>
              <w:pStyle w:val="TableBullet"/>
            </w:pPr>
            <w:r w:rsidRPr="00E9026C">
              <w:rPr>
                <w:i/>
              </w:rPr>
              <w:t>denominator</w:t>
            </w:r>
            <w:r>
              <w:t xml:space="preserve"> — total VET graduates aged 20–64 years</w:t>
            </w:r>
          </w:p>
          <w:p w:rsidR="009E40FE" w:rsidRDefault="009E40FE" w:rsidP="000A280A">
            <w:pPr>
              <w:pStyle w:val="TableBodyText"/>
              <w:jc w:val="left"/>
            </w:pPr>
            <w:r>
              <w:t xml:space="preserve">and is expressed as a </w:t>
            </w:r>
            <w:r w:rsidRPr="003C5668">
              <w:rPr>
                <w:i/>
              </w:rPr>
              <w:t>percentage</w:t>
            </w:r>
          </w:p>
          <w:p w:rsidR="009E40FE" w:rsidRDefault="009E40FE" w:rsidP="000A280A">
            <w:pPr>
              <w:pStyle w:val="TableBodyText"/>
              <w:jc w:val="left"/>
            </w:pPr>
          </w:p>
          <w:p w:rsidR="009E40FE" w:rsidRDefault="009E40FE" w:rsidP="000A280A">
            <w:pPr>
              <w:pStyle w:val="TableBodyText"/>
              <w:jc w:val="left"/>
            </w:pPr>
            <w:r>
              <w:t>‘Graduate’ is defined as: a past student who was awarded a qualification during the survey reference year. This excludes those students who left their training before completing a qualification</w:t>
            </w:r>
          </w:p>
          <w:p w:rsidR="009E40FE" w:rsidRDefault="009E40FE" w:rsidP="000A280A">
            <w:pPr>
              <w:pStyle w:val="TableBodyText"/>
              <w:jc w:val="left"/>
            </w:pPr>
          </w:p>
          <w:p w:rsidR="009E40FE" w:rsidRDefault="009E40FE" w:rsidP="000A280A">
            <w:pPr>
              <w:pStyle w:val="TableBodyText"/>
              <w:jc w:val="left"/>
            </w:pPr>
            <w:r>
              <w:t>‘Improved employment status’ is defined as any one of the following:</w:t>
            </w:r>
          </w:p>
          <w:p w:rsidR="009E40FE" w:rsidRDefault="009E40FE" w:rsidP="000A280A">
            <w:pPr>
              <w:pStyle w:val="TableBullet"/>
            </w:pPr>
            <w:r>
              <w:t>employment status changing from not employed before training (both unemployed and not in labour force) to employed after training (both full time and part time employed)</w:t>
            </w:r>
          </w:p>
          <w:p w:rsidR="009E40FE" w:rsidRDefault="009E40FE" w:rsidP="000A280A">
            <w:pPr>
              <w:pStyle w:val="TableBullet"/>
            </w:pPr>
            <w:r>
              <w:t>employed at a higher skill level after training (regardless of full time or part time employment status before and after training)</w:t>
            </w:r>
          </w:p>
          <w:p w:rsidR="002026AE" w:rsidRDefault="009E40FE" w:rsidP="000A280A">
            <w:pPr>
              <w:pStyle w:val="TableBullet"/>
            </w:pPr>
            <w:r>
              <w:t>received one of the following job related benefits: set up or expanded their own business, got a promotion, increased earnings, or other job-related benefits after completing their training</w:t>
            </w:r>
          </w:p>
          <w:p w:rsidR="003C5668" w:rsidRDefault="003C5668" w:rsidP="003C5668">
            <w:pPr>
              <w:pStyle w:val="TableBullet"/>
              <w:numPr>
                <w:ilvl w:val="0"/>
                <w:numId w:val="0"/>
              </w:numPr>
              <w:ind w:left="170"/>
            </w:pPr>
          </w:p>
        </w:tc>
      </w:tr>
      <w:tr w:rsidR="00CE215C" w:rsidTr="00CE215C">
        <w:tc>
          <w:tcPr>
            <w:tcW w:w="1985" w:type="dxa"/>
          </w:tcPr>
          <w:p w:rsidR="00CE215C" w:rsidRPr="000E5A86" w:rsidRDefault="00CE215C" w:rsidP="00CE215C">
            <w:pPr>
              <w:pStyle w:val="TableBodyText"/>
              <w:jc w:val="left"/>
            </w:pPr>
            <w:r>
              <w:t>Data source:</w:t>
            </w:r>
          </w:p>
        </w:tc>
        <w:tc>
          <w:tcPr>
            <w:tcW w:w="6804" w:type="dxa"/>
          </w:tcPr>
          <w:p w:rsidR="009E40FE" w:rsidRDefault="009E40FE" w:rsidP="000A280A">
            <w:pPr>
              <w:pStyle w:val="TableBodyText"/>
              <w:jc w:val="left"/>
            </w:pPr>
            <w:r w:rsidRPr="00D567CF">
              <w:rPr>
                <w:u w:val="single"/>
              </w:rPr>
              <w:t>Student Outcomes Survey</w:t>
            </w:r>
            <w:r>
              <w:t xml:space="preserve"> (SOS). Data are collected annually</w:t>
            </w:r>
          </w:p>
          <w:p w:rsidR="009E40FE" w:rsidRDefault="009E40FE" w:rsidP="000A280A">
            <w:pPr>
              <w:pStyle w:val="TableBodyText"/>
              <w:jc w:val="left"/>
            </w:pPr>
          </w:p>
          <w:p w:rsidR="009E40FE" w:rsidRDefault="009E40FE" w:rsidP="000A280A">
            <w:pPr>
              <w:pStyle w:val="TableBodyText"/>
              <w:jc w:val="left"/>
            </w:pPr>
            <w:r>
              <w:t xml:space="preserve">Data source </w:t>
            </w:r>
            <w:r w:rsidRPr="00D567CF">
              <w:rPr>
                <w:u w:val="single"/>
              </w:rPr>
              <w:t>includes</w:t>
            </w:r>
            <w:r>
              <w:t>:</w:t>
            </w:r>
          </w:p>
          <w:p w:rsidR="009E40FE" w:rsidRDefault="009E40FE" w:rsidP="000A280A">
            <w:pPr>
              <w:pStyle w:val="TableBullet"/>
            </w:pPr>
            <w:r>
              <w:t>Publicly funded VET activity (all providers)</w:t>
            </w:r>
          </w:p>
          <w:p w:rsidR="009E40FE" w:rsidRDefault="009E40FE" w:rsidP="000A280A">
            <w:pPr>
              <w:pStyle w:val="TableBullet"/>
            </w:pPr>
            <w:r>
              <w:t>Privately funded VET activity delivered by TAFE institutions, ACE providers and other government providers</w:t>
            </w:r>
          </w:p>
          <w:p w:rsidR="009E40FE" w:rsidRDefault="009E40FE" w:rsidP="000A280A">
            <w:pPr>
              <w:pStyle w:val="TableBodyText"/>
              <w:jc w:val="left"/>
            </w:pPr>
          </w:p>
          <w:p w:rsidR="009E40FE" w:rsidRDefault="009E40FE" w:rsidP="000A280A">
            <w:pPr>
              <w:pStyle w:val="TableBodyText"/>
              <w:jc w:val="left"/>
            </w:pPr>
            <w:r>
              <w:t xml:space="preserve">Data source </w:t>
            </w:r>
            <w:r w:rsidRPr="00D567CF">
              <w:rPr>
                <w:u w:val="single"/>
              </w:rPr>
              <w:t>excludes</w:t>
            </w:r>
            <w:r>
              <w:t>:</w:t>
            </w:r>
          </w:p>
          <w:p w:rsidR="009E40FE" w:rsidRDefault="009E40FE" w:rsidP="000A280A">
            <w:pPr>
              <w:pStyle w:val="TableBullet"/>
            </w:pPr>
            <w:r>
              <w:t>Recreation, leisure and personal enrichment (non-vocational programs)</w:t>
            </w:r>
          </w:p>
          <w:p w:rsidR="009E40FE" w:rsidRDefault="009E40FE" w:rsidP="000A280A">
            <w:pPr>
              <w:pStyle w:val="TableBullet"/>
            </w:pPr>
            <w:r>
              <w:t>Privately funded VET activity delivered by private providers</w:t>
            </w:r>
          </w:p>
          <w:p w:rsidR="009E40FE" w:rsidRDefault="009E40FE" w:rsidP="000A280A">
            <w:pPr>
              <w:pStyle w:val="TableBullet"/>
            </w:pPr>
            <w:r>
              <w:t>VET activity delivered at overseas campuses of Australian VET institutions</w:t>
            </w:r>
          </w:p>
          <w:p w:rsidR="00953D68" w:rsidRDefault="009E40FE" w:rsidP="000A280A">
            <w:pPr>
              <w:pStyle w:val="TableBullet"/>
            </w:pPr>
            <w:r>
              <w:t>VET activity delivered in schools</w:t>
            </w:r>
          </w:p>
          <w:p w:rsidR="003C5668" w:rsidRPr="00F43E29" w:rsidRDefault="003C5668" w:rsidP="003C5668">
            <w:pPr>
              <w:pStyle w:val="TableBullet"/>
              <w:numPr>
                <w:ilvl w:val="0"/>
                <w:numId w:val="0"/>
              </w:numPr>
              <w:ind w:left="170"/>
            </w:pPr>
          </w:p>
        </w:tc>
      </w:tr>
      <w:tr w:rsidR="00CE215C" w:rsidTr="005B29FA">
        <w:tc>
          <w:tcPr>
            <w:tcW w:w="1985" w:type="dxa"/>
          </w:tcPr>
          <w:p w:rsidR="00CE215C" w:rsidRDefault="00CE215C" w:rsidP="00CE215C">
            <w:pPr>
              <w:pStyle w:val="TableBodyText"/>
              <w:jc w:val="left"/>
            </w:pPr>
            <w:r w:rsidRPr="000E5A86">
              <w:t>Data provider:</w:t>
            </w:r>
          </w:p>
        </w:tc>
        <w:tc>
          <w:tcPr>
            <w:tcW w:w="6804" w:type="dxa"/>
          </w:tcPr>
          <w:p w:rsidR="009E40FE" w:rsidRPr="009E40FE" w:rsidRDefault="009E40FE" w:rsidP="000A280A">
            <w:pPr>
              <w:pStyle w:val="TableBodyText"/>
              <w:jc w:val="left"/>
            </w:pPr>
            <w:r w:rsidRPr="009E40FE">
              <w:t>NCVER</w:t>
            </w:r>
          </w:p>
          <w:p w:rsidR="002026AE" w:rsidRPr="005A2016" w:rsidRDefault="002026AE" w:rsidP="000A280A">
            <w:pPr>
              <w:pStyle w:val="TableBodyText"/>
              <w:jc w:val="left"/>
            </w:pPr>
          </w:p>
        </w:tc>
      </w:tr>
      <w:tr w:rsidR="00CE215C" w:rsidTr="005B29FA">
        <w:tc>
          <w:tcPr>
            <w:tcW w:w="1985" w:type="dxa"/>
          </w:tcPr>
          <w:p w:rsidR="00CE215C" w:rsidRPr="000E5A86" w:rsidRDefault="00CE215C" w:rsidP="00CE215C">
            <w:pPr>
              <w:pStyle w:val="TableBodyText"/>
              <w:jc w:val="left"/>
            </w:pPr>
            <w:r w:rsidRPr="000E5A86">
              <w:t>Data availability</w:t>
            </w:r>
            <w:r>
              <w:t>:</w:t>
            </w:r>
          </w:p>
        </w:tc>
        <w:tc>
          <w:tcPr>
            <w:tcW w:w="6804" w:type="dxa"/>
          </w:tcPr>
          <w:p w:rsidR="002026AE" w:rsidRDefault="009E40FE" w:rsidP="000A280A">
            <w:pPr>
              <w:pStyle w:val="TableBodyText"/>
              <w:jc w:val="left"/>
            </w:pPr>
            <w:r w:rsidRPr="009E40FE">
              <w:t xml:space="preserve">SOS — 2013 (outcomes in 2013 of students who were awarded a qualification in 2012) (data for 2007, 2008, 2009, 2010, 2011 and 2012 </w:t>
            </w:r>
            <w:r w:rsidR="00D10A35">
              <w:t>for additional disaggregations*</w:t>
            </w:r>
            <w:r w:rsidRPr="009E40FE">
              <w:t>)</w:t>
            </w:r>
          </w:p>
          <w:p w:rsidR="000A280A" w:rsidRPr="005A2016" w:rsidRDefault="000A280A" w:rsidP="000A280A">
            <w:pPr>
              <w:pStyle w:val="TableBodyText"/>
              <w:jc w:val="left"/>
            </w:pPr>
          </w:p>
        </w:tc>
      </w:tr>
      <w:tr w:rsidR="00CE215C" w:rsidTr="00CE215C">
        <w:trPr>
          <w:trHeight w:val="1145"/>
        </w:trPr>
        <w:tc>
          <w:tcPr>
            <w:tcW w:w="1985" w:type="dxa"/>
          </w:tcPr>
          <w:p w:rsidR="00CE215C" w:rsidRPr="000E5A86" w:rsidRDefault="00CE215C" w:rsidP="00CE215C">
            <w:pPr>
              <w:pStyle w:val="TableBodyText"/>
              <w:jc w:val="left"/>
            </w:pPr>
            <w:r>
              <w:t>Cross tabulations provided:</w:t>
            </w:r>
          </w:p>
        </w:tc>
        <w:tc>
          <w:tcPr>
            <w:tcW w:w="6804" w:type="dxa"/>
          </w:tcPr>
          <w:p w:rsidR="009E40FE" w:rsidRDefault="009E40FE" w:rsidP="000A280A">
            <w:pPr>
              <w:pStyle w:val="TableBodyText"/>
              <w:jc w:val="left"/>
            </w:pPr>
            <w:r>
              <w:t>State and Territory, by type of improved employment circumstance, by:</w:t>
            </w:r>
          </w:p>
          <w:p w:rsidR="009E40FE" w:rsidRDefault="009E40FE" w:rsidP="00E1721A">
            <w:pPr>
              <w:pStyle w:val="TableBullet"/>
            </w:pPr>
            <w:r>
              <w:t>Indigenous status</w:t>
            </w:r>
          </w:p>
          <w:p w:rsidR="009E40FE" w:rsidRDefault="009E40FE" w:rsidP="00E1721A">
            <w:pPr>
              <w:pStyle w:val="TableBullet"/>
            </w:pPr>
            <w:r>
              <w:t>SES (SEIFA IRSD quintiles) (provided for 2013 and 2012 only due to break in series for earlier years)</w:t>
            </w:r>
          </w:p>
          <w:p w:rsidR="009E40FE" w:rsidRDefault="009E40FE" w:rsidP="00E1721A">
            <w:pPr>
              <w:pStyle w:val="TableBullet"/>
            </w:pPr>
            <w:r>
              <w:t>*Level of qualification (completed study only for Certificate level I/II; Certificate level III/IV; Diploma and above)</w:t>
            </w:r>
          </w:p>
          <w:p w:rsidR="009E40FE" w:rsidRDefault="009E40FE" w:rsidP="000A280A">
            <w:pPr>
              <w:pStyle w:val="TableBodyText"/>
              <w:jc w:val="left"/>
            </w:pPr>
          </w:p>
          <w:p w:rsidR="009E40FE" w:rsidRDefault="009E40FE" w:rsidP="000A280A">
            <w:pPr>
              <w:pStyle w:val="TableBodyText"/>
              <w:jc w:val="left"/>
            </w:pPr>
            <w:r>
              <w:t xml:space="preserve">National, by type of improved employment circumstance, by: </w:t>
            </w:r>
          </w:p>
          <w:p w:rsidR="009E40FE" w:rsidRDefault="009E40FE" w:rsidP="00E1721A">
            <w:pPr>
              <w:pStyle w:val="TableBullet"/>
            </w:pPr>
            <w:r>
              <w:t>*Age group (20–24, 25–29, 30–34, 35–39, 40–44, 45–49, 50–54, 55–59, 60–64)</w:t>
            </w:r>
          </w:p>
          <w:p w:rsidR="009E40FE" w:rsidRDefault="00D10A35" w:rsidP="00E1721A">
            <w:pPr>
              <w:pStyle w:val="TableBullet"/>
            </w:pPr>
            <w:r>
              <w:t>*</w:t>
            </w:r>
            <w:r w:rsidR="009E40FE">
              <w:t>Field of study (</w:t>
            </w:r>
            <w:proofErr w:type="spellStart"/>
            <w:r w:rsidR="009E40FE">
              <w:t>ASCED</w:t>
            </w:r>
            <w:proofErr w:type="spellEnd"/>
            <w:r w:rsidR="009E40FE">
              <w:t>)</w:t>
            </w:r>
          </w:p>
          <w:p w:rsidR="009E40FE" w:rsidRDefault="009E40FE" w:rsidP="00E1721A">
            <w:pPr>
              <w:pStyle w:val="TableBullet"/>
            </w:pPr>
            <w:r>
              <w:t>remoteness (ASGS and combined remote/very remote categories) (provided for 2013 and 2012 only due to break in series for earlier years)</w:t>
            </w:r>
          </w:p>
          <w:p w:rsidR="009E40FE" w:rsidRDefault="009E40FE" w:rsidP="000A280A">
            <w:pPr>
              <w:pStyle w:val="TableBodyText"/>
              <w:jc w:val="left"/>
            </w:pPr>
          </w:p>
          <w:p w:rsidR="002026AE" w:rsidRDefault="009E40FE" w:rsidP="000A280A">
            <w:pPr>
              <w:pStyle w:val="TableBodyText"/>
              <w:jc w:val="left"/>
            </w:pPr>
            <w:r>
              <w:t>[Data disaggregations based on availability and reliability of estimates]</w:t>
            </w:r>
          </w:p>
          <w:p w:rsidR="00D567CF" w:rsidRPr="000E5A86" w:rsidRDefault="00D567CF" w:rsidP="000A280A">
            <w:pPr>
              <w:pStyle w:val="TableBodyText"/>
              <w:jc w:val="left"/>
            </w:pPr>
          </w:p>
        </w:tc>
      </w:tr>
    </w:tbl>
    <w:p w:rsidR="00C423B9" w:rsidRDefault="00C423B9" w:rsidP="005B29FA">
      <w:pPr>
        <w:pStyle w:val="BoxSpace"/>
      </w:pPr>
    </w:p>
    <w:p w:rsidR="00C423B9" w:rsidRDefault="00C423B9" w:rsidP="00C423B9">
      <w:pPr>
        <w:pStyle w:val="BodyText"/>
      </w:pPr>
      <w:r>
        <w:br w:type="page"/>
      </w:r>
    </w:p>
    <w:p w:rsidR="000E09BB" w:rsidRDefault="000E09BB" w:rsidP="005B29FA">
      <w:pPr>
        <w:pStyle w:val="BoxSpace"/>
      </w:pPr>
    </w:p>
    <w:tbl>
      <w:tblPr>
        <w:tblW w:w="0" w:type="auto"/>
        <w:tblInd w:w="142"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22"/>
        <w:gridCol w:w="8771"/>
      </w:tblGrid>
      <w:tr w:rsidR="00414BB6" w:rsidTr="005B29FA">
        <w:trPr>
          <w:gridBefore w:val="1"/>
          <w:wBefore w:w="22" w:type="dxa"/>
        </w:trPr>
        <w:tc>
          <w:tcPr>
            <w:tcW w:w="8771" w:type="dxa"/>
            <w:tcBorders>
              <w:top w:val="single" w:sz="4" w:space="0" w:color="auto"/>
              <w:left w:val="single" w:sz="4" w:space="0" w:color="auto"/>
              <w:bottom w:val="nil"/>
              <w:right w:val="single" w:sz="4" w:space="0" w:color="auto"/>
            </w:tcBorders>
          </w:tcPr>
          <w:p w:rsidR="00414BB6" w:rsidRDefault="00414BB6" w:rsidP="00482B04">
            <w:pPr>
              <w:pStyle w:val="BoxTitle"/>
            </w:pPr>
            <w:r w:rsidRPr="005B29FA">
              <w:rPr>
                <w:b w:val="0"/>
              </w:rPr>
              <w:t xml:space="preserve">Box </w:t>
            </w:r>
            <w:r w:rsidR="00503759">
              <w:rPr>
                <w:b w:val="0"/>
                <w:noProof/>
              </w:rPr>
              <w:t>1</w:t>
            </w:r>
            <w:r w:rsidR="00482B04">
              <w:rPr>
                <w:b w:val="0"/>
                <w:noProof/>
              </w:rPr>
              <w:t>3</w:t>
            </w:r>
            <w:r>
              <w:tab/>
              <w:t>Results</w:t>
            </w:r>
          </w:p>
        </w:tc>
      </w:tr>
      <w:tr w:rsidR="00414BB6" w:rsidRPr="00DA5E5D" w:rsidTr="005B29FA">
        <w:trPr>
          <w:gridBefore w:val="1"/>
          <w:wBefore w:w="22" w:type="dxa"/>
          <w:cantSplit/>
        </w:trPr>
        <w:tc>
          <w:tcPr>
            <w:tcW w:w="8771" w:type="dxa"/>
            <w:tcBorders>
              <w:top w:val="nil"/>
              <w:left w:val="single" w:sz="4" w:space="0" w:color="auto"/>
              <w:bottom w:val="nil"/>
              <w:right w:val="single" w:sz="4" w:space="0" w:color="auto"/>
            </w:tcBorders>
          </w:tcPr>
          <w:p w:rsidR="000E09BB" w:rsidRDefault="00DA5E5D" w:rsidP="00073F28">
            <w:pPr>
              <w:pStyle w:val="Box"/>
            </w:pPr>
            <w:r>
              <w:t>For this report,</w:t>
            </w:r>
            <w:r w:rsidR="00D05CC7">
              <w:t xml:space="preserve"> new data are available for 2013</w:t>
            </w:r>
            <w:r w:rsidR="00282146">
              <w:t>.</w:t>
            </w:r>
            <w:r w:rsidR="00353E08" w:rsidRPr="00AD0469">
              <w:rPr>
                <w:noProof/>
              </w:rPr>
              <w:t xml:space="preserve"> </w:t>
            </w:r>
          </w:p>
          <w:p w:rsidR="00DA5E5D" w:rsidRDefault="00DA5E5D" w:rsidP="00DA5E5D">
            <w:pPr>
              <w:pStyle w:val="BoxListBullet"/>
            </w:pPr>
            <w:r>
              <w:t>Data by State and Territory are presented in tabl</w:t>
            </w:r>
            <w:r w:rsidR="008C4792">
              <w:t xml:space="preserve">e </w:t>
            </w:r>
            <w:proofErr w:type="spellStart"/>
            <w:r w:rsidR="008C4792">
              <w:t>SWD.5.1</w:t>
            </w:r>
            <w:proofErr w:type="spellEnd"/>
            <w:r w:rsidR="00282146">
              <w:t>.</w:t>
            </w:r>
          </w:p>
          <w:p w:rsidR="00DA5E5D" w:rsidRDefault="00D05CC7" w:rsidP="00DA5E5D">
            <w:pPr>
              <w:pStyle w:val="BoxListBullet"/>
            </w:pPr>
            <w:r>
              <w:t xml:space="preserve">Data by State and Territory by Indigenous </w:t>
            </w:r>
            <w:r w:rsidR="00282146">
              <w:t xml:space="preserve">status </w:t>
            </w:r>
            <w:r w:rsidR="007E01FC">
              <w:t>are presented in tables</w:t>
            </w:r>
            <w:r w:rsidR="00A24422">
              <w:t> </w:t>
            </w:r>
            <w:proofErr w:type="spellStart"/>
            <w:r w:rsidR="007E01FC">
              <w:t>SWD.5.2</w:t>
            </w:r>
            <w:proofErr w:type="spellEnd"/>
            <w:r w:rsidR="007E01FC">
              <w:rPr>
                <w:rFonts w:cs="Arial"/>
              </w:rPr>
              <w:t>−</w:t>
            </w:r>
            <w:r>
              <w:t>4</w:t>
            </w:r>
            <w:r w:rsidR="00282146">
              <w:t>.</w:t>
            </w:r>
          </w:p>
          <w:p w:rsidR="00D05CC7" w:rsidRDefault="00D05CC7" w:rsidP="00DA5E5D">
            <w:pPr>
              <w:pStyle w:val="BoxListBullet"/>
            </w:pPr>
            <w:r>
              <w:t>Data by State and Territory, by socioeconomic status</w:t>
            </w:r>
            <w:r w:rsidR="007E01FC">
              <w:t xml:space="preserve"> </w:t>
            </w:r>
            <w:r w:rsidR="00282146">
              <w:t xml:space="preserve">(SES) </w:t>
            </w:r>
            <w:r w:rsidR="007E01FC">
              <w:t>are presented in tables</w:t>
            </w:r>
            <w:r w:rsidR="00A24422">
              <w:t> </w:t>
            </w:r>
            <w:proofErr w:type="spellStart"/>
            <w:r w:rsidR="007E01FC">
              <w:t>SWD.5.5</w:t>
            </w:r>
            <w:proofErr w:type="spellEnd"/>
            <w:r w:rsidR="007E01FC">
              <w:rPr>
                <w:rFonts w:cs="Arial"/>
              </w:rPr>
              <w:t>−</w:t>
            </w:r>
            <w:r>
              <w:t>7</w:t>
            </w:r>
            <w:r w:rsidR="00282146">
              <w:t>.</w:t>
            </w:r>
          </w:p>
          <w:p w:rsidR="00D05CC7" w:rsidRDefault="00D05CC7" w:rsidP="00DA5E5D">
            <w:pPr>
              <w:pStyle w:val="BoxListBullet"/>
            </w:pPr>
            <w:r>
              <w:t>Data by State and Territory, by level of study a</w:t>
            </w:r>
            <w:r w:rsidR="007E01FC">
              <w:t xml:space="preserve">re presented in tables </w:t>
            </w:r>
            <w:proofErr w:type="spellStart"/>
            <w:r w:rsidR="007E01FC">
              <w:t>SWD.5.11</w:t>
            </w:r>
            <w:proofErr w:type="spellEnd"/>
            <w:r w:rsidR="007E01FC">
              <w:rPr>
                <w:rFonts w:cs="Arial"/>
              </w:rPr>
              <w:t>−</w:t>
            </w:r>
            <w:r>
              <w:t>13</w:t>
            </w:r>
            <w:r w:rsidR="00282146">
              <w:t>.</w:t>
            </w:r>
          </w:p>
          <w:p w:rsidR="00D05CC7" w:rsidRDefault="00322582" w:rsidP="00DA5E5D">
            <w:pPr>
              <w:pStyle w:val="BoxListBullet"/>
            </w:pPr>
            <w:r>
              <w:t>Data by age group</w:t>
            </w:r>
            <w:r w:rsidR="00C423B9">
              <w:t>s</w:t>
            </w:r>
            <w:r>
              <w:t xml:space="preserve"> are</w:t>
            </w:r>
            <w:r w:rsidR="007E01FC">
              <w:t xml:space="preserve"> presented in tables </w:t>
            </w:r>
            <w:proofErr w:type="spellStart"/>
            <w:r w:rsidR="007E01FC">
              <w:t>SWD.5.32</w:t>
            </w:r>
            <w:proofErr w:type="spellEnd"/>
            <w:r w:rsidR="007E01FC">
              <w:rPr>
                <w:rFonts w:cs="Arial"/>
              </w:rPr>
              <w:t>−</w:t>
            </w:r>
            <w:r>
              <w:t>34</w:t>
            </w:r>
            <w:r w:rsidR="00282146">
              <w:t>.</w:t>
            </w:r>
          </w:p>
          <w:p w:rsidR="00322582" w:rsidRDefault="00322582" w:rsidP="00DA5E5D">
            <w:pPr>
              <w:pStyle w:val="BoxListBullet"/>
            </w:pPr>
            <w:r>
              <w:t xml:space="preserve">Data by field of study are presented in tables </w:t>
            </w:r>
            <w:proofErr w:type="spellStart"/>
            <w:r>
              <w:t>SWD.5.35</w:t>
            </w:r>
            <w:proofErr w:type="spellEnd"/>
            <w:r w:rsidR="007E01FC">
              <w:rPr>
                <w:rFonts w:cs="Arial"/>
              </w:rPr>
              <w:t>−</w:t>
            </w:r>
            <w:r>
              <w:t>37</w:t>
            </w:r>
            <w:r w:rsidR="00282146">
              <w:t>.</w:t>
            </w:r>
          </w:p>
          <w:p w:rsidR="007E6DA2" w:rsidRDefault="007E6DA2" w:rsidP="007E6DA2">
            <w:pPr>
              <w:pStyle w:val="BoxListBullet"/>
            </w:pPr>
            <w:r>
              <w:t xml:space="preserve">Data by remoteness are presented in tables </w:t>
            </w:r>
            <w:proofErr w:type="spellStart"/>
            <w:r>
              <w:t>SWD.5.38</w:t>
            </w:r>
            <w:proofErr w:type="spellEnd"/>
            <w:r>
              <w:t>.</w:t>
            </w:r>
            <w:r w:rsidR="00D6648A">
              <w:t xml:space="preserve"> </w:t>
            </w:r>
          </w:p>
          <w:p w:rsidR="007E6DA2" w:rsidRPr="007E6DA2" w:rsidRDefault="007E6DA2" w:rsidP="007E6DA2">
            <w:pPr>
              <w:pStyle w:val="Box"/>
            </w:pPr>
            <w:r w:rsidRPr="007E6DA2">
              <w:t>For this report, to ensure a comparable time series, data for 2012, 2011, 2010, 2009, 2008 and 2007 are repo</w:t>
            </w:r>
            <w:r>
              <w:t>r</w:t>
            </w:r>
            <w:r w:rsidRPr="007E6DA2">
              <w:t>ted:</w:t>
            </w:r>
          </w:p>
          <w:p w:rsidR="007E6DA2" w:rsidRDefault="00C423B9" w:rsidP="007E6DA2">
            <w:pPr>
              <w:pStyle w:val="BoxListBullet"/>
            </w:pPr>
            <w:r>
              <w:t xml:space="preserve">State and Territory by level of study are presented in tables </w:t>
            </w:r>
            <w:proofErr w:type="spellStart"/>
            <w:r>
              <w:t>SWD.5.14</w:t>
            </w:r>
            <w:proofErr w:type="spellEnd"/>
            <w:r w:rsidR="007E01FC">
              <w:rPr>
                <w:rFonts w:cs="Arial"/>
              </w:rPr>
              <w:t>−</w:t>
            </w:r>
            <w:r>
              <w:t>31.</w:t>
            </w:r>
          </w:p>
          <w:p w:rsidR="00C423B9" w:rsidRDefault="00C423B9" w:rsidP="007E6DA2">
            <w:pPr>
              <w:pStyle w:val="BoxListBullet"/>
            </w:pPr>
            <w:r>
              <w:t xml:space="preserve">Data by five year age groups are presented in tables </w:t>
            </w:r>
            <w:proofErr w:type="spellStart"/>
            <w:r>
              <w:t>SWD.5.32</w:t>
            </w:r>
            <w:proofErr w:type="spellEnd"/>
            <w:r w:rsidR="007E01FC">
              <w:rPr>
                <w:rFonts w:cs="Arial"/>
              </w:rPr>
              <w:t>−</w:t>
            </w:r>
            <w:r>
              <w:t>34.</w:t>
            </w:r>
          </w:p>
          <w:p w:rsidR="00961CD9" w:rsidRDefault="00C423B9" w:rsidP="00F86082">
            <w:pPr>
              <w:pStyle w:val="BoxListBullet"/>
            </w:pPr>
            <w:r>
              <w:t>Data by field of study a</w:t>
            </w:r>
            <w:r w:rsidR="007E01FC">
              <w:t xml:space="preserve">re presented in tables </w:t>
            </w:r>
            <w:proofErr w:type="spellStart"/>
            <w:r w:rsidR="007E01FC">
              <w:t>SWD.5.35</w:t>
            </w:r>
            <w:proofErr w:type="spellEnd"/>
            <w:r w:rsidR="007E01FC">
              <w:rPr>
                <w:rFonts w:cs="Arial"/>
              </w:rPr>
              <w:t>−</w:t>
            </w:r>
            <w:r>
              <w:t>37.</w:t>
            </w:r>
          </w:p>
          <w:p w:rsidR="00B3798F" w:rsidRDefault="00B3798F" w:rsidP="00B3798F">
            <w:pPr>
              <w:pStyle w:val="BoxListBullet"/>
            </w:pPr>
            <w:r>
              <w:t xml:space="preserve">Data by State and Territory by SES are presented in tables </w:t>
            </w:r>
            <w:proofErr w:type="spellStart"/>
            <w:r>
              <w:t>SWD.5.8</w:t>
            </w:r>
            <w:proofErr w:type="spellEnd"/>
            <w:r>
              <w:rPr>
                <w:rFonts w:cs="Arial"/>
              </w:rPr>
              <w:t>−</w:t>
            </w:r>
            <w:r>
              <w:t>10 (2012 only).</w:t>
            </w:r>
          </w:p>
          <w:p w:rsidR="00B3798F" w:rsidRPr="00DA5E5D" w:rsidRDefault="00B3798F" w:rsidP="00B3798F">
            <w:pPr>
              <w:pStyle w:val="BoxListBullet"/>
            </w:pPr>
            <w:r>
              <w:t xml:space="preserve">Data by remoteness are presented in tables </w:t>
            </w:r>
            <w:proofErr w:type="spellStart"/>
            <w:r>
              <w:t>SWD.5.39</w:t>
            </w:r>
            <w:proofErr w:type="spellEnd"/>
            <w:r>
              <w:t xml:space="preserve"> (2012 only).</w:t>
            </w:r>
          </w:p>
        </w:tc>
      </w:tr>
      <w:tr w:rsidR="00414BB6" w:rsidTr="005B29FA">
        <w:trPr>
          <w:gridBefore w:val="1"/>
          <w:wBefore w:w="22" w:type="dxa"/>
          <w:cantSplit/>
          <w:trHeight w:hRule="exact" w:val="170"/>
        </w:trPr>
        <w:tc>
          <w:tcPr>
            <w:tcW w:w="8771" w:type="dxa"/>
            <w:tcBorders>
              <w:top w:val="nil"/>
              <w:left w:val="single" w:sz="4" w:space="0" w:color="auto"/>
              <w:bottom w:val="single" w:sz="4" w:space="0" w:color="auto"/>
              <w:right w:val="single" w:sz="4" w:space="0" w:color="auto"/>
            </w:tcBorders>
          </w:tcPr>
          <w:p w:rsidR="00414BB6" w:rsidRPr="005B29FA" w:rsidRDefault="00414BB6" w:rsidP="005B29FA">
            <w:pPr>
              <w:pStyle w:val="Box"/>
            </w:pPr>
          </w:p>
        </w:tc>
      </w:tr>
      <w:tr w:rsidR="00414BB6" w:rsidTr="005B29FA">
        <w:trPr>
          <w:trHeight w:hRule="exact" w:val="170"/>
        </w:trPr>
        <w:tc>
          <w:tcPr>
            <w:tcW w:w="8793" w:type="dxa"/>
            <w:gridSpan w:val="2"/>
            <w:tcBorders>
              <w:top w:val="nil"/>
              <w:left w:val="nil"/>
              <w:bottom w:val="nil"/>
              <w:right w:val="nil"/>
            </w:tcBorders>
          </w:tcPr>
          <w:p w:rsidR="00414BB6" w:rsidRPr="005B29FA" w:rsidRDefault="00414BB6" w:rsidP="005B29FA">
            <w:pPr>
              <w:pStyle w:val="Box"/>
            </w:pPr>
          </w:p>
        </w:tc>
      </w:tr>
    </w:tbl>
    <w:p w:rsidR="00414BB6" w:rsidRDefault="008864C2" w:rsidP="00414BB6">
      <w:pPr>
        <w:pStyle w:val="Heading4"/>
      </w:pPr>
      <w:r w:rsidRPr="00414BB6">
        <w:t>Attachment tables</w:t>
      </w:r>
    </w:p>
    <w:tbl>
      <w:tblPr>
        <w:tblW w:w="880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6864"/>
      </w:tblGrid>
      <w:tr w:rsidR="00BA18A3" w:rsidRPr="00BA18A3" w:rsidTr="00BA18A3">
        <w:trPr>
          <w:trHeight w:val="612"/>
        </w:trPr>
        <w:tc>
          <w:tcPr>
            <w:tcW w:w="1940" w:type="dxa"/>
            <w:shd w:val="clear" w:color="auto" w:fill="auto"/>
            <w:noWrap/>
            <w:hideMark/>
          </w:tcPr>
          <w:p w:rsidR="00BA18A3" w:rsidRPr="00BA18A3" w:rsidRDefault="00BA18A3" w:rsidP="00BA18A3">
            <w:pPr>
              <w:rPr>
                <w:rFonts w:ascii="Arial" w:hAnsi="Arial" w:cs="Arial"/>
                <w:b/>
                <w:bCs/>
                <w:sz w:val="20"/>
                <w:szCs w:val="20"/>
              </w:rPr>
            </w:pPr>
            <w:r w:rsidRPr="00BA18A3">
              <w:rPr>
                <w:rFonts w:ascii="Arial" w:hAnsi="Arial" w:cs="Arial"/>
                <w:b/>
                <w:bCs/>
                <w:sz w:val="20"/>
                <w:szCs w:val="20"/>
              </w:rPr>
              <w:t xml:space="preserve">Table </w:t>
            </w:r>
            <w:proofErr w:type="spellStart"/>
            <w:r w:rsidRPr="00BA18A3">
              <w:rPr>
                <w:rFonts w:ascii="Arial" w:hAnsi="Arial" w:cs="Arial"/>
                <w:b/>
                <w:bCs/>
                <w:sz w:val="20"/>
                <w:szCs w:val="20"/>
              </w:rPr>
              <w:t>SWD.5.1</w:t>
            </w:r>
            <w:proofErr w:type="spellEnd"/>
          </w:p>
        </w:tc>
        <w:tc>
          <w:tcPr>
            <w:tcW w:w="6864" w:type="dxa"/>
            <w:shd w:val="clear" w:color="auto" w:fill="auto"/>
            <w:hideMark/>
          </w:tcPr>
          <w:p w:rsidR="00BA18A3" w:rsidRPr="00BA18A3" w:rsidRDefault="00BA18A3" w:rsidP="00BA18A3">
            <w:pPr>
              <w:jc w:val="both"/>
              <w:rPr>
                <w:rFonts w:ascii="Arial" w:hAnsi="Arial" w:cs="Arial"/>
                <w:sz w:val="20"/>
                <w:szCs w:val="20"/>
              </w:rPr>
            </w:pPr>
            <w:r w:rsidRPr="00BA18A3">
              <w:rPr>
                <w:rFonts w:ascii="Arial" w:hAnsi="Arial" w:cs="Arial"/>
                <w:sz w:val="20"/>
                <w:szCs w:val="20"/>
              </w:rPr>
              <w:t xml:space="preserve">Graduates aged 20–64 years with improved employment status after training, 2013    </w:t>
            </w:r>
          </w:p>
        </w:tc>
      </w:tr>
      <w:tr w:rsidR="00BA18A3" w:rsidRPr="00BA18A3" w:rsidTr="00BA18A3">
        <w:trPr>
          <w:trHeight w:val="612"/>
        </w:trPr>
        <w:tc>
          <w:tcPr>
            <w:tcW w:w="1940" w:type="dxa"/>
            <w:shd w:val="clear" w:color="auto" w:fill="auto"/>
            <w:noWrap/>
            <w:hideMark/>
          </w:tcPr>
          <w:p w:rsidR="00BA18A3" w:rsidRPr="00BA18A3" w:rsidRDefault="00BA18A3" w:rsidP="00BA18A3">
            <w:pPr>
              <w:rPr>
                <w:rFonts w:ascii="Arial" w:hAnsi="Arial" w:cs="Arial"/>
                <w:b/>
                <w:bCs/>
                <w:sz w:val="20"/>
                <w:szCs w:val="20"/>
              </w:rPr>
            </w:pPr>
            <w:r w:rsidRPr="00BA18A3">
              <w:rPr>
                <w:rFonts w:ascii="Arial" w:hAnsi="Arial" w:cs="Arial"/>
                <w:b/>
                <w:bCs/>
                <w:sz w:val="20"/>
                <w:szCs w:val="20"/>
              </w:rPr>
              <w:t xml:space="preserve">Table </w:t>
            </w:r>
            <w:proofErr w:type="spellStart"/>
            <w:r w:rsidRPr="00BA18A3">
              <w:rPr>
                <w:rFonts w:ascii="Arial" w:hAnsi="Arial" w:cs="Arial"/>
                <w:b/>
                <w:bCs/>
                <w:sz w:val="20"/>
                <w:szCs w:val="20"/>
              </w:rPr>
              <w:t>SWD.5.2</w:t>
            </w:r>
            <w:proofErr w:type="spellEnd"/>
          </w:p>
        </w:tc>
        <w:tc>
          <w:tcPr>
            <w:tcW w:w="6864" w:type="dxa"/>
            <w:shd w:val="clear" w:color="auto" w:fill="auto"/>
            <w:hideMark/>
          </w:tcPr>
          <w:p w:rsidR="00BA18A3" w:rsidRPr="00BA18A3" w:rsidRDefault="00BA18A3" w:rsidP="00BA18A3">
            <w:pPr>
              <w:jc w:val="both"/>
              <w:rPr>
                <w:rFonts w:ascii="Arial" w:hAnsi="Arial" w:cs="Arial"/>
                <w:sz w:val="20"/>
                <w:szCs w:val="20"/>
              </w:rPr>
            </w:pPr>
            <w:r w:rsidRPr="00BA18A3">
              <w:rPr>
                <w:rFonts w:ascii="Arial" w:hAnsi="Arial" w:cs="Arial"/>
                <w:sz w:val="20"/>
                <w:szCs w:val="20"/>
              </w:rPr>
              <w:t xml:space="preserve">Proportion of graduates aged 20–64 years with improved employment status after training, by Indigenous status, 2013 (per cent)    </w:t>
            </w:r>
          </w:p>
        </w:tc>
      </w:tr>
      <w:tr w:rsidR="00BA18A3" w:rsidRPr="00BA18A3" w:rsidTr="00BA18A3">
        <w:trPr>
          <w:trHeight w:val="867"/>
        </w:trPr>
        <w:tc>
          <w:tcPr>
            <w:tcW w:w="1940" w:type="dxa"/>
            <w:shd w:val="clear" w:color="auto" w:fill="auto"/>
            <w:noWrap/>
            <w:hideMark/>
          </w:tcPr>
          <w:p w:rsidR="00BA18A3" w:rsidRPr="00BA18A3" w:rsidRDefault="00BA18A3" w:rsidP="00BA18A3">
            <w:pPr>
              <w:rPr>
                <w:rFonts w:ascii="Arial" w:hAnsi="Arial" w:cs="Arial"/>
                <w:b/>
                <w:bCs/>
                <w:sz w:val="20"/>
                <w:szCs w:val="20"/>
              </w:rPr>
            </w:pPr>
            <w:r w:rsidRPr="00BA18A3">
              <w:rPr>
                <w:rFonts w:ascii="Arial" w:hAnsi="Arial" w:cs="Arial"/>
                <w:b/>
                <w:bCs/>
                <w:sz w:val="20"/>
                <w:szCs w:val="20"/>
              </w:rPr>
              <w:t xml:space="preserve">Table </w:t>
            </w:r>
            <w:proofErr w:type="spellStart"/>
            <w:r w:rsidRPr="00BA18A3">
              <w:rPr>
                <w:rFonts w:ascii="Arial" w:hAnsi="Arial" w:cs="Arial"/>
                <w:b/>
                <w:bCs/>
                <w:sz w:val="20"/>
                <w:szCs w:val="20"/>
              </w:rPr>
              <w:t>SWD.5.3</w:t>
            </w:r>
            <w:proofErr w:type="spellEnd"/>
          </w:p>
        </w:tc>
        <w:tc>
          <w:tcPr>
            <w:tcW w:w="6864" w:type="dxa"/>
            <w:shd w:val="clear" w:color="auto" w:fill="auto"/>
            <w:hideMark/>
          </w:tcPr>
          <w:p w:rsidR="00BA18A3" w:rsidRPr="00BA18A3" w:rsidRDefault="00BA18A3" w:rsidP="00BA18A3">
            <w:pPr>
              <w:jc w:val="both"/>
              <w:rPr>
                <w:rFonts w:ascii="Arial" w:hAnsi="Arial" w:cs="Arial"/>
                <w:sz w:val="20"/>
                <w:szCs w:val="20"/>
              </w:rPr>
            </w:pPr>
            <w:r w:rsidRPr="00BA18A3">
              <w:rPr>
                <w:rFonts w:ascii="Arial" w:hAnsi="Arial" w:cs="Arial"/>
                <w:sz w:val="20"/>
                <w:szCs w:val="20"/>
              </w:rPr>
              <w:t xml:space="preserve">Relative standard errors for the proportion of graduates aged 20–64 years with improved employment status after training, by Indigenous status, 2013 (per cent) </w:t>
            </w:r>
          </w:p>
        </w:tc>
      </w:tr>
      <w:tr w:rsidR="00BA18A3" w:rsidRPr="00BA18A3" w:rsidTr="00BA18A3">
        <w:trPr>
          <w:trHeight w:val="867"/>
        </w:trPr>
        <w:tc>
          <w:tcPr>
            <w:tcW w:w="1940" w:type="dxa"/>
            <w:shd w:val="clear" w:color="auto" w:fill="auto"/>
            <w:noWrap/>
            <w:hideMark/>
          </w:tcPr>
          <w:p w:rsidR="00BA18A3" w:rsidRPr="00BA18A3" w:rsidRDefault="00BA18A3" w:rsidP="00BA18A3">
            <w:pPr>
              <w:rPr>
                <w:rFonts w:ascii="Arial" w:hAnsi="Arial" w:cs="Arial"/>
                <w:b/>
                <w:bCs/>
                <w:sz w:val="20"/>
                <w:szCs w:val="20"/>
              </w:rPr>
            </w:pPr>
            <w:r w:rsidRPr="00BA18A3">
              <w:rPr>
                <w:rFonts w:ascii="Arial" w:hAnsi="Arial" w:cs="Arial"/>
                <w:b/>
                <w:bCs/>
                <w:sz w:val="20"/>
                <w:szCs w:val="20"/>
              </w:rPr>
              <w:t xml:space="preserve">Table </w:t>
            </w:r>
            <w:proofErr w:type="spellStart"/>
            <w:r w:rsidRPr="00BA18A3">
              <w:rPr>
                <w:rFonts w:ascii="Arial" w:hAnsi="Arial" w:cs="Arial"/>
                <w:b/>
                <w:bCs/>
                <w:sz w:val="20"/>
                <w:szCs w:val="20"/>
              </w:rPr>
              <w:t>SWD.5.4</w:t>
            </w:r>
            <w:proofErr w:type="spellEnd"/>
          </w:p>
        </w:tc>
        <w:tc>
          <w:tcPr>
            <w:tcW w:w="6864" w:type="dxa"/>
            <w:shd w:val="clear" w:color="auto" w:fill="auto"/>
            <w:hideMark/>
          </w:tcPr>
          <w:p w:rsidR="00BA18A3" w:rsidRPr="00BA18A3" w:rsidRDefault="00BA18A3" w:rsidP="00BA18A3">
            <w:pPr>
              <w:jc w:val="both"/>
              <w:rPr>
                <w:rFonts w:ascii="Arial" w:hAnsi="Arial" w:cs="Arial"/>
                <w:sz w:val="20"/>
                <w:szCs w:val="20"/>
              </w:rPr>
            </w:pPr>
            <w:r w:rsidRPr="00BA18A3">
              <w:rPr>
                <w:rFonts w:ascii="Arial" w:hAnsi="Arial" w:cs="Arial"/>
                <w:sz w:val="20"/>
                <w:szCs w:val="20"/>
              </w:rPr>
              <w:t xml:space="preserve">95 per cent confidence intervals for the proportion of graduates aged 20–64 years with improved employment status after training, by Indigenous status, 2013 (per cent) </w:t>
            </w:r>
          </w:p>
        </w:tc>
      </w:tr>
      <w:tr w:rsidR="00BA18A3" w:rsidRPr="00BA18A3" w:rsidTr="00BA18A3">
        <w:trPr>
          <w:trHeight w:val="612"/>
        </w:trPr>
        <w:tc>
          <w:tcPr>
            <w:tcW w:w="1940" w:type="dxa"/>
            <w:shd w:val="clear" w:color="auto" w:fill="auto"/>
            <w:noWrap/>
            <w:hideMark/>
          </w:tcPr>
          <w:p w:rsidR="00BA18A3" w:rsidRPr="00BA18A3" w:rsidRDefault="00BA18A3" w:rsidP="00BA18A3">
            <w:pPr>
              <w:rPr>
                <w:rFonts w:ascii="Arial" w:hAnsi="Arial" w:cs="Arial"/>
                <w:b/>
                <w:bCs/>
                <w:sz w:val="20"/>
                <w:szCs w:val="20"/>
              </w:rPr>
            </w:pPr>
            <w:r w:rsidRPr="00BA18A3">
              <w:rPr>
                <w:rFonts w:ascii="Arial" w:hAnsi="Arial" w:cs="Arial"/>
                <w:b/>
                <w:bCs/>
                <w:sz w:val="20"/>
                <w:szCs w:val="20"/>
              </w:rPr>
              <w:t xml:space="preserve">Table </w:t>
            </w:r>
            <w:proofErr w:type="spellStart"/>
            <w:r w:rsidRPr="00BA18A3">
              <w:rPr>
                <w:rFonts w:ascii="Arial" w:hAnsi="Arial" w:cs="Arial"/>
                <w:b/>
                <w:bCs/>
                <w:sz w:val="20"/>
                <w:szCs w:val="20"/>
              </w:rPr>
              <w:t>SWD.5.5</w:t>
            </w:r>
            <w:proofErr w:type="spellEnd"/>
          </w:p>
        </w:tc>
        <w:tc>
          <w:tcPr>
            <w:tcW w:w="6864" w:type="dxa"/>
            <w:shd w:val="clear" w:color="auto" w:fill="auto"/>
            <w:hideMark/>
          </w:tcPr>
          <w:p w:rsidR="00BA18A3" w:rsidRPr="00BA18A3" w:rsidRDefault="00BA18A3" w:rsidP="00BA18A3">
            <w:pPr>
              <w:jc w:val="both"/>
              <w:rPr>
                <w:rFonts w:ascii="Arial" w:hAnsi="Arial" w:cs="Arial"/>
                <w:sz w:val="20"/>
                <w:szCs w:val="20"/>
              </w:rPr>
            </w:pPr>
            <w:r w:rsidRPr="00BA18A3">
              <w:rPr>
                <w:rFonts w:ascii="Arial" w:hAnsi="Arial" w:cs="Arial"/>
                <w:sz w:val="20"/>
                <w:szCs w:val="20"/>
              </w:rPr>
              <w:t xml:space="preserve">Proportion of graduates aged 20–64 years with improved employment status after training, by SES based on SEIFA IRSD, 2013 (per cent)     </w:t>
            </w:r>
          </w:p>
        </w:tc>
      </w:tr>
      <w:tr w:rsidR="00BA18A3" w:rsidRPr="00BA18A3" w:rsidTr="00BA18A3">
        <w:trPr>
          <w:trHeight w:val="867"/>
        </w:trPr>
        <w:tc>
          <w:tcPr>
            <w:tcW w:w="1940" w:type="dxa"/>
            <w:shd w:val="clear" w:color="auto" w:fill="auto"/>
            <w:noWrap/>
            <w:hideMark/>
          </w:tcPr>
          <w:p w:rsidR="00BA18A3" w:rsidRPr="00BA18A3" w:rsidRDefault="00BA18A3" w:rsidP="00BA18A3">
            <w:pPr>
              <w:rPr>
                <w:rFonts w:ascii="Arial" w:hAnsi="Arial" w:cs="Arial"/>
                <w:b/>
                <w:bCs/>
                <w:sz w:val="20"/>
                <w:szCs w:val="20"/>
              </w:rPr>
            </w:pPr>
            <w:r w:rsidRPr="00BA18A3">
              <w:rPr>
                <w:rFonts w:ascii="Arial" w:hAnsi="Arial" w:cs="Arial"/>
                <w:b/>
                <w:bCs/>
                <w:sz w:val="20"/>
                <w:szCs w:val="20"/>
              </w:rPr>
              <w:t xml:space="preserve">Table </w:t>
            </w:r>
            <w:proofErr w:type="spellStart"/>
            <w:r w:rsidRPr="00BA18A3">
              <w:rPr>
                <w:rFonts w:ascii="Arial" w:hAnsi="Arial" w:cs="Arial"/>
                <w:b/>
                <w:bCs/>
                <w:sz w:val="20"/>
                <w:szCs w:val="20"/>
              </w:rPr>
              <w:t>SWD.5.6</w:t>
            </w:r>
            <w:proofErr w:type="spellEnd"/>
          </w:p>
        </w:tc>
        <w:tc>
          <w:tcPr>
            <w:tcW w:w="6864" w:type="dxa"/>
            <w:shd w:val="clear" w:color="auto" w:fill="auto"/>
            <w:hideMark/>
          </w:tcPr>
          <w:p w:rsidR="00BA18A3" w:rsidRPr="00BA18A3" w:rsidRDefault="00BA18A3" w:rsidP="00BA18A3">
            <w:pPr>
              <w:jc w:val="both"/>
              <w:rPr>
                <w:rFonts w:ascii="Arial" w:hAnsi="Arial" w:cs="Arial"/>
                <w:sz w:val="20"/>
                <w:szCs w:val="20"/>
              </w:rPr>
            </w:pPr>
            <w:r w:rsidRPr="00BA18A3">
              <w:rPr>
                <w:rFonts w:ascii="Arial" w:hAnsi="Arial" w:cs="Arial"/>
                <w:sz w:val="20"/>
                <w:szCs w:val="20"/>
              </w:rPr>
              <w:t xml:space="preserve">Relative standard errors for the proportion of graduates aged 20–64 years with improved employment status after training, by SES based on SEIFA IRSD, 2013 (per cent) </w:t>
            </w:r>
          </w:p>
        </w:tc>
      </w:tr>
      <w:tr w:rsidR="00BA18A3" w:rsidRPr="00BA18A3" w:rsidTr="00BA18A3">
        <w:trPr>
          <w:trHeight w:val="867"/>
        </w:trPr>
        <w:tc>
          <w:tcPr>
            <w:tcW w:w="1940" w:type="dxa"/>
            <w:shd w:val="clear" w:color="auto" w:fill="auto"/>
            <w:noWrap/>
            <w:hideMark/>
          </w:tcPr>
          <w:p w:rsidR="00BA18A3" w:rsidRPr="00BA18A3" w:rsidRDefault="00BA18A3" w:rsidP="00BA18A3">
            <w:pPr>
              <w:rPr>
                <w:rFonts w:ascii="Arial" w:hAnsi="Arial" w:cs="Arial"/>
                <w:b/>
                <w:bCs/>
                <w:sz w:val="20"/>
                <w:szCs w:val="20"/>
              </w:rPr>
            </w:pPr>
            <w:r w:rsidRPr="00BA18A3">
              <w:rPr>
                <w:rFonts w:ascii="Arial" w:hAnsi="Arial" w:cs="Arial"/>
                <w:b/>
                <w:bCs/>
                <w:sz w:val="20"/>
                <w:szCs w:val="20"/>
              </w:rPr>
              <w:t xml:space="preserve">Table </w:t>
            </w:r>
            <w:proofErr w:type="spellStart"/>
            <w:r w:rsidRPr="00BA18A3">
              <w:rPr>
                <w:rFonts w:ascii="Arial" w:hAnsi="Arial" w:cs="Arial"/>
                <w:b/>
                <w:bCs/>
                <w:sz w:val="20"/>
                <w:szCs w:val="20"/>
              </w:rPr>
              <w:t>SWD.5.7</w:t>
            </w:r>
            <w:proofErr w:type="spellEnd"/>
          </w:p>
        </w:tc>
        <w:tc>
          <w:tcPr>
            <w:tcW w:w="6864" w:type="dxa"/>
            <w:shd w:val="clear" w:color="auto" w:fill="auto"/>
            <w:hideMark/>
          </w:tcPr>
          <w:p w:rsidR="00BA18A3" w:rsidRPr="00BA18A3" w:rsidRDefault="00BA18A3" w:rsidP="00BA18A3">
            <w:pPr>
              <w:jc w:val="both"/>
              <w:rPr>
                <w:rFonts w:ascii="Arial" w:hAnsi="Arial" w:cs="Arial"/>
                <w:sz w:val="20"/>
                <w:szCs w:val="20"/>
              </w:rPr>
            </w:pPr>
            <w:r w:rsidRPr="00BA18A3">
              <w:rPr>
                <w:rFonts w:ascii="Arial" w:hAnsi="Arial" w:cs="Arial"/>
                <w:sz w:val="20"/>
                <w:szCs w:val="20"/>
              </w:rPr>
              <w:t xml:space="preserve">95 per cent confidence intervals for the proportion of graduates aged 20–64 years with improved employment status after training, by SES based on SEIFA IRSD, 2013 (per cent) </w:t>
            </w:r>
          </w:p>
        </w:tc>
      </w:tr>
      <w:tr w:rsidR="00BA18A3" w:rsidRPr="00BA18A3" w:rsidTr="00BA18A3">
        <w:trPr>
          <w:trHeight w:val="612"/>
        </w:trPr>
        <w:tc>
          <w:tcPr>
            <w:tcW w:w="1940" w:type="dxa"/>
            <w:shd w:val="clear" w:color="auto" w:fill="auto"/>
            <w:noWrap/>
            <w:hideMark/>
          </w:tcPr>
          <w:p w:rsidR="00BA18A3" w:rsidRPr="00BA18A3" w:rsidRDefault="00BA18A3" w:rsidP="00BA18A3">
            <w:pPr>
              <w:rPr>
                <w:rFonts w:ascii="Arial" w:hAnsi="Arial" w:cs="Arial"/>
                <w:b/>
                <w:bCs/>
                <w:sz w:val="20"/>
                <w:szCs w:val="20"/>
              </w:rPr>
            </w:pPr>
            <w:r w:rsidRPr="00BA18A3">
              <w:rPr>
                <w:rFonts w:ascii="Arial" w:hAnsi="Arial" w:cs="Arial"/>
                <w:b/>
                <w:bCs/>
                <w:sz w:val="20"/>
                <w:szCs w:val="20"/>
              </w:rPr>
              <w:t xml:space="preserve">Table </w:t>
            </w:r>
            <w:proofErr w:type="spellStart"/>
            <w:r w:rsidRPr="00BA18A3">
              <w:rPr>
                <w:rFonts w:ascii="Arial" w:hAnsi="Arial" w:cs="Arial"/>
                <w:b/>
                <w:bCs/>
                <w:sz w:val="20"/>
                <w:szCs w:val="20"/>
              </w:rPr>
              <w:t>SWD.5.8</w:t>
            </w:r>
            <w:proofErr w:type="spellEnd"/>
          </w:p>
        </w:tc>
        <w:tc>
          <w:tcPr>
            <w:tcW w:w="6864" w:type="dxa"/>
            <w:shd w:val="clear" w:color="auto" w:fill="auto"/>
            <w:hideMark/>
          </w:tcPr>
          <w:p w:rsidR="00BA18A3" w:rsidRPr="00BA18A3" w:rsidRDefault="00BA18A3" w:rsidP="00BA18A3">
            <w:pPr>
              <w:jc w:val="both"/>
              <w:rPr>
                <w:rFonts w:ascii="Arial" w:hAnsi="Arial" w:cs="Arial"/>
                <w:sz w:val="20"/>
                <w:szCs w:val="20"/>
              </w:rPr>
            </w:pPr>
            <w:r w:rsidRPr="00BA18A3">
              <w:rPr>
                <w:rFonts w:ascii="Arial" w:hAnsi="Arial" w:cs="Arial"/>
                <w:sz w:val="20"/>
                <w:szCs w:val="20"/>
              </w:rPr>
              <w:t xml:space="preserve">Proportion of graduates aged 20–64 years with improved employment status after training, by SES based on SEIFA IRSD, 2012 (per cent)     </w:t>
            </w:r>
          </w:p>
        </w:tc>
      </w:tr>
      <w:tr w:rsidR="00BA18A3" w:rsidRPr="00BA18A3" w:rsidTr="00BA18A3">
        <w:trPr>
          <w:trHeight w:val="867"/>
        </w:trPr>
        <w:tc>
          <w:tcPr>
            <w:tcW w:w="1940" w:type="dxa"/>
            <w:shd w:val="clear" w:color="auto" w:fill="auto"/>
            <w:noWrap/>
            <w:hideMark/>
          </w:tcPr>
          <w:p w:rsidR="00BA18A3" w:rsidRPr="00BA18A3" w:rsidRDefault="00BA18A3" w:rsidP="00BA18A3">
            <w:pPr>
              <w:rPr>
                <w:rFonts w:ascii="Arial" w:hAnsi="Arial" w:cs="Arial"/>
                <w:b/>
                <w:bCs/>
                <w:sz w:val="20"/>
                <w:szCs w:val="20"/>
              </w:rPr>
            </w:pPr>
            <w:r w:rsidRPr="00BA18A3">
              <w:rPr>
                <w:rFonts w:ascii="Arial" w:hAnsi="Arial" w:cs="Arial"/>
                <w:b/>
                <w:bCs/>
                <w:sz w:val="20"/>
                <w:szCs w:val="20"/>
              </w:rPr>
              <w:t xml:space="preserve">Table </w:t>
            </w:r>
            <w:proofErr w:type="spellStart"/>
            <w:r w:rsidRPr="00BA18A3">
              <w:rPr>
                <w:rFonts w:ascii="Arial" w:hAnsi="Arial" w:cs="Arial"/>
                <w:b/>
                <w:bCs/>
                <w:sz w:val="20"/>
                <w:szCs w:val="20"/>
              </w:rPr>
              <w:t>SWD.5.9</w:t>
            </w:r>
            <w:proofErr w:type="spellEnd"/>
          </w:p>
        </w:tc>
        <w:tc>
          <w:tcPr>
            <w:tcW w:w="6864" w:type="dxa"/>
            <w:shd w:val="clear" w:color="auto" w:fill="auto"/>
            <w:hideMark/>
          </w:tcPr>
          <w:p w:rsidR="00BA18A3" w:rsidRPr="00BA18A3" w:rsidRDefault="00BA18A3" w:rsidP="00BA18A3">
            <w:pPr>
              <w:jc w:val="both"/>
              <w:rPr>
                <w:rFonts w:ascii="Arial" w:hAnsi="Arial" w:cs="Arial"/>
                <w:sz w:val="20"/>
                <w:szCs w:val="20"/>
              </w:rPr>
            </w:pPr>
            <w:r w:rsidRPr="00BA18A3">
              <w:rPr>
                <w:rFonts w:ascii="Arial" w:hAnsi="Arial" w:cs="Arial"/>
                <w:sz w:val="20"/>
                <w:szCs w:val="20"/>
              </w:rPr>
              <w:t xml:space="preserve">Relative standard errors for the proportion of graduates aged 20–64 years with improved employment status after training, by SES based on SEIFA IRSD, 2012 (per cent) </w:t>
            </w:r>
          </w:p>
        </w:tc>
      </w:tr>
      <w:tr w:rsidR="00BA18A3" w:rsidRPr="00BA18A3" w:rsidTr="00BA18A3">
        <w:trPr>
          <w:trHeight w:val="867"/>
        </w:trPr>
        <w:tc>
          <w:tcPr>
            <w:tcW w:w="1940" w:type="dxa"/>
            <w:shd w:val="clear" w:color="auto" w:fill="auto"/>
            <w:noWrap/>
            <w:hideMark/>
          </w:tcPr>
          <w:p w:rsidR="00BA18A3" w:rsidRPr="00BA18A3" w:rsidRDefault="00BA18A3" w:rsidP="00BA18A3">
            <w:pPr>
              <w:rPr>
                <w:rFonts w:ascii="Arial" w:hAnsi="Arial" w:cs="Arial"/>
                <w:b/>
                <w:bCs/>
                <w:sz w:val="20"/>
                <w:szCs w:val="20"/>
              </w:rPr>
            </w:pPr>
            <w:r w:rsidRPr="00BA18A3">
              <w:rPr>
                <w:rFonts w:ascii="Arial" w:hAnsi="Arial" w:cs="Arial"/>
                <w:b/>
                <w:bCs/>
                <w:sz w:val="20"/>
                <w:szCs w:val="20"/>
              </w:rPr>
              <w:t xml:space="preserve">Table </w:t>
            </w:r>
            <w:proofErr w:type="spellStart"/>
            <w:r w:rsidRPr="00BA18A3">
              <w:rPr>
                <w:rFonts w:ascii="Arial" w:hAnsi="Arial" w:cs="Arial"/>
                <w:b/>
                <w:bCs/>
                <w:sz w:val="20"/>
                <w:szCs w:val="20"/>
              </w:rPr>
              <w:t>SWD.5.10</w:t>
            </w:r>
            <w:proofErr w:type="spellEnd"/>
          </w:p>
        </w:tc>
        <w:tc>
          <w:tcPr>
            <w:tcW w:w="6864" w:type="dxa"/>
            <w:shd w:val="clear" w:color="auto" w:fill="auto"/>
            <w:hideMark/>
          </w:tcPr>
          <w:p w:rsidR="00BA18A3" w:rsidRPr="00BA18A3" w:rsidRDefault="00BA18A3" w:rsidP="00BA18A3">
            <w:pPr>
              <w:jc w:val="both"/>
              <w:rPr>
                <w:rFonts w:ascii="Arial" w:hAnsi="Arial" w:cs="Arial"/>
                <w:sz w:val="20"/>
                <w:szCs w:val="20"/>
              </w:rPr>
            </w:pPr>
            <w:r w:rsidRPr="00BA18A3">
              <w:rPr>
                <w:rFonts w:ascii="Arial" w:hAnsi="Arial" w:cs="Arial"/>
                <w:sz w:val="20"/>
                <w:szCs w:val="20"/>
              </w:rPr>
              <w:t xml:space="preserve">95 per cent confidence intervals for the proportion of graduates aged 20–64 years with improved employment status after training, by SES based on SEIFA IRSD, 2012 (per cent) </w:t>
            </w:r>
          </w:p>
        </w:tc>
      </w:tr>
      <w:tr w:rsidR="00BA18A3" w:rsidRPr="00BA18A3" w:rsidTr="00BA18A3">
        <w:trPr>
          <w:trHeight w:val="612"/>
        </w:trPr>
        <w:tc>
          <w:tcPr>
            <w:tcW w:w="1940" w:type="dxa"/>
            <w:shd w:val="clear" w:color="auto" w:fill="auto"/>
            <w:noWrap/>
            <w:hideMark/>
          </w:tcPr>
          <w:p w:rsidR="00BA18A3" w:rsidRPr="00BA18A3" w:rsidRDefault="00BA18A3" w:rsidP="00BA18A3">
            <w:pPr>
              <w:rPr>
                <w:rFonts w:ascii="Arial" w:hAnsi="Arial" w:cs="Arial"/>
                <w:b/>
                <w:bCs/>
                <w:sz w:val="20"/>
                <w:szCs w:val="20"/>
              </w:rPr>
            </w:pPr>
            <w:r w:rsidRPr="00BA18A3">
              <w:rPr>
                <w:rFonts w:ascii="Arial" w:hAnsi="Arial" w:cs="Arial"/>
                <w:b/>
                <w:bCs/>
                <w:sz w:val="20"/>
                <w:szCs w:val="20"/>
              </w:rPr>
              <w:t xml:space="preserve">Table </w:t>
            </w:r>
            <w:proofErr w:type="spellStart"/>
            <w:r w:rsidRPr="00BA18A3">
              <w:rPr>
                <w:rFonts w:ascii="Arial" w:hAnsi="Arial" w:cs="Arial"/>
                <w:b/>
                <w:bCs/>
                <w:sz w:val="20"/>
                <w:szCs w:val="20"/>
              </w:rPr>
              <w:t>SWD.5.11</w:t>
            </w:r>
            <w:proofErr w:type="spellEnd"/>
          </w:p>
        </w:tc>
        <w:tc>
          <w:tcPr>
            <w:tcW w:w="6864" w:type="dxa"/>
            <w:shd w:val="clear" w:color="auto" w:fill="auto"/>
            <w:hideMark/>
          </w:tcPr>
          <w:p w:rsidR="00BA18A3" w:rsidRPr="00BA18A3" w:rsidRDefault="00BA18A3" w:rsidP="00BA18A3">
            <w:pPr>
              <w:jc w:val="both"/>
              <w:rPr>
                <w:rFonts w:ascii="Arial" w:hAnsi="Arial" w:cs="Arial"/>
                <w:sz w:val="20"/>
                <w:szCs w:val="20"/>
              </w:rPr>
            </w:pPr>
            <w:r w:rsidRPr="00BA18A3">
              <w:rPr>
                <w:rFonts w:ascii="Arial" w:hAnsi="Arial" w:cs="Arial"/>
                <w:sz w:val="20"/>
                <w:szCs w:val="20"/>
              </w:rPr>
              <w:t xml:space="preserve">Proportion of graduates aged 20–64 years with improved employment status after training (completed study only), by level 2013 (per cent)    </w:t>
            </w:r>
          </w:p>
        </w:tc>
      </w:tr>
      <w:tr w:rsidR="00BA18A3" w:rsidRPr="00BA18A3" w:rsidTr="00BA18A3">
        <w:trPr>
          <w:trHeight w:val="867"/>
        </w:trPr>
        <w:tc>
          <w:tcPr>
            <w:tcW w:w="1940" w:type="dxa"/>
            <w:shd w:val="clear" w:color="auto" w:fill="auto"/>
            <w:noWrap/>
            <w:hideMark/>
          </w:tcPr>
          <w:p w:rsidR="00BA18A3" w:rsidRPr="00BA18A3" w:rsidRDefault="00BA18A3" w:rsidP="00BA18A3">
            <w:pPr>
              <w:rPr>
                <w:rFonts w:ascii="Arial" w:hAnsi="Arial" w:cs="Arial"/>
                <w:b/>
                <w:bCs/>
                <w:sz w:val="20"/>
                <w:szCs w:val="20"/>
              </w:rPr>
            </w:pPr>
            <w:r w:rsidRPr="00BA18A3">
              <w:rPr>
                <w:rFonts w:ascii="Arial" w:hAnsi="Arial" w:cs="Arial"/>
                <w:b/>
                <w:bCs/>
                <w:sz w:val="20"/>
                <w:szCs w:val="20"/>
              </w:rPr>
              <w:t xml:space="preserve">Table </w:t>
            </w:r>
            <w:proofErr w:type="spellStart"/>
            <w:r w:rsidRPr="00BA18A3">
              <w:rPr>
                <w:rFonts w:ascii="Arial" w:hAnsi="Arial" w:cs="Arial"/>
                <w:b/>
                <w:bCs/>
                <w:sz w:val="20"/>
                <w:szCs w:val="20"/>
              </w:rPr>
              <w:t>SWD.5.12</w:t>
            </w:r>
            <w:proofErr w:type="spellEnd"/>
          </w:p>
        </w:tc>
        <w:tc>
          <w:tcPr>
            <w:tcW w:w="6864" w:type="dxa"/>
            <w:shd w:val="clear" w:color="auto" w:fill="auto"/>
            <w:hideMark/>
          </w:tcPr>
          <w:p w:rsidR="00BA18A3" w:rsidRPr="00BA18A3" w:rsidRDefault="00BA18A3" w:rsidP="00BA18A3">
            <w:pPr>
              <w:jc w:val="both"/>
              <w:rPr>
                <w:rFonts w:ascii="Arial" w:hAnsi="Arial" w:cs="Arial"/>
                <w:sz w:val="20"/>
                <w:szCs w:val="20"/>
              </w:rPr>
            </w:pPr>
            <w:r w:rsidRPr="00BA18A3">
              <w:rPr>
                <w:rFonts w:ascii="Arial" w:hAnsi="Arial" w:cs="Arial"/>
                <w:sz w:val="20"/>
                <w:szCs w:val="20"/>
              </w:rPr>
              <w:t xml:space="preserve">Relative standard errors of the proportion of graduates aged 20–64 years with improved employment status after training (completed study only), by level 2013 (per cent) </w:t>
            </w:r>
          </w:p>
        </w:tc>
      </w:tr>
      <w:tr w:rsidR="00BA18A3" w:rsidRPr="00BA18A3" w:rsidTr="00BA18A3">
        <w:trPr>
          <w:trHeight w:val="867"/>
        </w:trPr>
        <w:tc>
          <w:tcPr>
            <w:tcW w:w="1940" w:type="dxa"/>
            <w:shd w:val="clear" w:color="auto" w:fill="auto"/>
            <w:noWrap/>
            <w:hideMark/>
          </w:tcPr>
          <w:p w:rsidR="00BA18A3" w:rsidRPr="00BA18A3" w:rsidRDefault="00BA18A3" w:rsidP="00BA18A3">
            <w:pPr>
              <w:rPr>
                <w:rFonts w:ascii="Arial" w:hAnsi="Arial" w:cs="Arial"/>
                <w:b/>
                <w:bCs/>
                <w:sz w:val="20"/>
                <w:szCs w:val="20"/>
              </w:rPr>
            </w:pPr>
            <w:r w:rsidRPr="00BA18A3">
              <w:rPr>
                <w:rFonts w:ascii="Arial" w:hAnsi="Arial" w:cs="Arial"/>
                <w:b/>
                <w:bCs/>
                <w:sz w:val="20"/>
                <w:szCs w:val="20"/>
              </w:rPr>
              <w:t xml:space="preserve">Table </w:t>
            </w:r>
            <w:proofErr w:type="spellStart"/>
            <w:r w:rsidRPr="00BA18A3">
              <w:rPr>
                <w:rFonts w:ascii="Arial" w:hAnsi="Arial" w:cs="Arial"/>
                <w:b/>
                <w:bCs/>
                <w:sz w:val="20"/>
                <w:szCs w:val="20"/>
              </w:rPr>
              <w:t>SWD.5.13</w:t>
            </w:r>
            <w:proofErr w:type="spellEnd"/>
          </w:p>
        </w:tc>
        <w:tc>
          <w:tcPr>
            <w:tcW w:w="6864" w:type="dxa"/>
            <w:shd w:val="clear" w:color="auto" w:fill="auto"/>
            <w:hideMark/>
          </w:tcPr>
          <w:p w:rsidR="00BA18A3" w:rsidRPr="00BA18A3" w:rsidRDefault="00BA18A3" w:rsidP="00BA18A3">
            <w:pPr>
              <w:jc w:val="both"/>
              <w:rPr>
                <w:rFonts w:ascii="Arial" w:hAnsi="Arial" w:cs="Arial"/>
                <w:sz w:val="20"/>
                <w:szCs w:val="20"/>
              </w:rPr>
            </w:pPr>
            <w:r w:rsidRPr="00BA18A3">
              <w:rPr>
                <w:rFonts w:ascii="Arial" w:hAnsi="Arial" w:cs="Arial"/>
                <w:sz w:val="20"/>
                <w:szCs w:val="20"/>
              </w:rPr>
              <w:t xml:space="preserve">95 per cent confidence intervals of the proportion of graduates aged 20–64 years with improved employment status after training (completed study only), by level 2013 (per cent) </w:t>
            </w:r>
          </w:p>
        </w:tc>
      </w:tr>
      <w:tr w:rsidR="00BA18A3" w:rsidRPr="00BA18A3" w:rsidTr="00BA18A3">
        <w:trPr>
          <w:trHeight w:val="612"/>
        </w:trPr>
        <w:tc>
          <w:tcPr>
            <w:tcW w:w="1940" w:type="dxa"/>
            <w:shd w:val="clear" w:color="auto" w:fill="auto"/>
            <w:noWrap/>
            <w:hideMark/>
          </w:tcPr>
          <w:p w:rsidR="00BA18A3" w:rsidRPr="00BA18A3" w:rsidRDefault="00BA18A3" w:rsidP="00BA18A3">
            <w:pPr>
              <w:rPr>
                <w:rFonts w:ascii="Arial" w:hAnsi="Arial" w:cs="Arial"/>
                <w:b/>
                <w:bCs/>
                <w:sz w:val="20"/>
                <w:szCs w:val="20"/>
              </w:rPr>
            </w:pPr>
            <w:r w:rsidRPr="00BA18A3">
              <w:rPr>
                <w:rFonts w:ascii="Arial" w:hAnsi="Arial" w:cs="Arial"/>
                <w:b/>
                <w:bCs/>
                <w:sz w:val="20"/>
                <w:szCs w:val="20"/>
              </w:rPr>
              <w:t xml:space="preserve">Table </w:t>
            </w:r>
            <w:proofErr w:type="spellStart"/>
            <w:r w:rsidRPr="00BA18A3">
              <w:rPr>
                <w:rFonts w:ascii="Arial" w:hAnsi="Arial" w:cs="Arial"/>
                <w:b/>
                <w:bCs/>
                <w:sz w:val="20"/>
                <w:szCs w:val="20"/>
              </w:rPr>
              <w:t>SWD.5.14</w:t>
            </w:r>
            <w:proofErr w:type="spellEnd"/>
          </w:p>
        </w:tc>
        <w:tc>
          <w:tcPr>
            <w:tcW w:w="6864" w:type="dxa"/>
            <w:shd w:val="clear" w:color="auto" w:fill="auto"/>
            <w:hideMark/>
          </w:tcPr>
          <w:p w:rsidR="00BA18A3" w:rsidRPr="00BA18A3" w:rsidRDefault="00BA18A3" w:rsidP="00BA18A3">
            <w:pPr>
              <w:jc w:val="both"/>
              <w:rPr>
                <w:rFonts w:ascii="Arial" w:hAnsi="Arial" w:cs="Arial"/>
                <w:sz w:val="20"/>
                <w:szCs w:val="20"/>
              </w:rPr>
            </w:pPr>
            <w:r w:rsidRPr="00BA18A3">
              <w:rPr>
                <w:rFonts w:ascii="Arial" w:hAnsi="Arial" w:cs="Arial"/>
                <w:sz w:val="20"/>
                <w:szCs w:val="20"/>
              </w:rPr>
              <w:t xml:space="preserve">Proportion of graduates aged 20–64 years with improved employment status after training (completed study only), by level 2012 (per cent)    </w:t>
            </w:r>
          </w:p>
        </w:tc>
      </w:tr>
      <w:tr w:rsidR="00BA18A3" w:rsidRPr="00BA18A3" w:rsidTr="00D92738">
        <w:trPr>
          <w:trHeight w:val="746"/>
        </w:trPr>
        <w:tc>
          <w:tcPr>
            <w:tcW w:w="1940" w:type="dxa"/>
            <w:shd w:val="clear" w:color="auto" w:fill="auto"/>
            <w:noWrap/>
            <w:hideMark/>
          </w:tcPr>
          <w:p w:rsidR="00BA18A3" w:rsidRPr="00BA18A3" w:rsidRDefault="00BA18A3" w:rsidP="00BA18A3">
            <w:pPr>
              <w:rPr>
                <w:rFonts w:ascii="Arial" w:hAnsi="Arial" w:cs="Arial"/>
                <w:b/>
                <w:bCs/>
                <w:sz w:val="20"/>
                <w:szCs w:val="20"/>
              </w:rPr>
            </w:pPr>
            <w:r w:rsidRPr="00BA18A3">
              <w:rPr>
                <w:rFonts w:ascii="Arial" w:hAnsi="Arial" w:cs="Arial"/>
                <w:b/>
                <w:bCs/>
                <w:sz w:val="20"/>
                <w:szCs w:val="20"/>
              </w:rPr>
              <w:t xml:space="preserve">Table </w:t>
            </w:r>
            <w:proofErr w:type="spellStart"/>
            <w:r w:rsidRPr="00BA18A3">
              <w:rPr>
                <w:rFonts w:ascii="Arial" w:hAnsi="Arial" w:cs="Arial"/>
                <w:b/>
                <w:bCs/>
                <w:sz w:val="20"/>
                <w:szCs w:val="20"/>
              </w:rPr>
              <w:t>SWD.5.15</w:t>
            </w:r>
            <w:proofErr w:type="spellEnd"/>
          </w:p>
        </w:tc>
        <w:tc>
          <w:tcPr>
            <w:tcW w:w="6864" w:type="dxa"/>
            <w:shd w:val="clear" w:color="auto" w:fill="auto"/>
            <w:hideMark/>
          </w:tcPr>
          <w:p w:rsidR="00BA18A3" w:rsidRPr="00BA18A3" w:rsidRDefault="00BA18A3" w:rsidP="00BA18A3">
            <w:pPr>
              <w:jc w:val="both"/>
              <w:rPr>
                <w:rFonts w:ascii="Arial" w:hAnsi="Arial" w:cs="Arial"/>
                <w:sz w:val="20"/>
                <w:szCs w:val="20"/>
              </w:rPr>
            </w:pPr>
            <w:r w:rsidRPr="00BA18A3">
              <w:rPr>
                <w:rFonts w:ascii="Arial" w:hAnsi="Arial" w:cs="Arial"/>
                <w:sz w:val="20"/>
                <w:szCs w:val="20"/>
              </w:rPr>
              <w:t xml:space="preserve">Relative standard errors of the proportion of graduates aged 20–64 years with improved employment status after training (completed study only), by level 2012 (per cent) </w:t>
            </w:r>
          </w:p>
        </w:tc>
      </w:tr>
      <w:tr w:rsidR="00BA18A3" w:rsidRPr="00BA18A3" w:rsidTr="00BA18A3">
        <w:trPr>
          <w:trHeight w:val="867"/>
        </w:trPr>
        <w:tc>
          <w:tcPr>
            <w:tcW w:w="1940" w:type="dxa"/>
            <w:shd w:val="clear" w:color="auto" w:fill="auto"/>
            <w:noWrap/>
            <w:hideMark/>
          </w:tcPr>
          <w:p w:rsidR="00BA18A3" w:rsidRPr="00BA18A3" w:rsidRDefault="00BA18A3" w:rsidP="00BA18A3">
            <w:pPr>
              <w:rPr>
                <w:rFonts w:ascii="Arial" w:hAnsi="Arial" w:cs="Arial"/>
                <w:b/>
                <w:bCs/>
                <w:sz w:val="20"/>
                <w:szCs w:val="20"/>
              </w:rPr>
            </w:pPr>
            <w:r w:rsidRPr="00BA18A3">
              <w:rPr>
                <w:rFonts w:ascii="Arial" w:hAnsi="Arial" w:cs="Arial"/>
                <w:b/>
                <w:bCs/>
                <w:sz w:val="20"/>
                <w:szCs w:val="20"/>
              </w:rPr>
              <w:t xml:space="preserve">Table </w:t>
            </w:r>
            <w:proofErr w:type="spellStart"/>
            <w:r w:rsidRPr="00BA18A3">
              <w:rPr>
                <w:rFonts w:ascii="Arial" w:hAnsi="Arial" w:cs="Arial"/>
                <w:b/>
                <w:bCs/>
                <w:sz w:val="20"/>
                <w:szCs w:val="20"/>
              </w:rPr>
              <w:t>SWD.5.16</w:t>
            </w:r>
            <w:proofErr w:type="spellEnd"/>
          </w:p>
        </w:tc>
        <w:tc>
          <w:tcPr>
            <w:tcW w:w="6864" w:type="dxa"/>
            <w:shd w:val="clear" w:color="auto" w:fill="auto"/>
            <w:hideMark/>
          </w:tcPr>
          <w:p w:rsidR="00BA18A3" w:rsidRPr="00BA18A3" w:rsidRDefault="00BA18A3" w:rsidP="00BA18A3">
            <w:pPr>
              <w:jc w:val="both"/>
              <w:rPr>
                <w:rFonts w:ascii="Arial" w:hAnsi="Arial" w:cs="Arial"/>
                <w:sz w:val="20"/>
                <w:szCs w:val="20"/>
              </w:rPr>
            </w:pPr>
            <w:r w:rsidRPr="00BA18A3">
              <w:rPr>
                <w:rFonts w:ascii="Arial" w:hAnsi="Arial" w:cs="Arial"/>
                <w:sz w:val="20"/>
                <w:szCs w:val="20"/>
              </w:rPr>
              <w:t xml:space="preserve">95 per cent confidence intervals of the proportion of graduates aged 20–64 years with improved employment status after training (completed study only), by level 2012 (per cent) </w:t>
            </w:r>
          </w:p>
        </w:tc>
      </w:tr>
      <w:tr w:rsidR="00BA18A3" w:rsidRPr="00BA18A3" w:rsidTr="00BA18A3">
        <w:trPr>
          <w:trHeight w:val="612"/>
        </w:trPr>
        <w:tc>
          <w:tcPr>
            <w:tcW w:w="1940" w:type="dxa"/>
            <w:shd w:val="clear" w:color="auto" w:fill="auto"/>
            <w:noWrap/>
            <w:hideMark/>
          </w:tcPr>
          <w:p w:rsidR="00BA18A3" w:rsidRPr="00BA18A3" w:rsidRDefault="00BA18A3" w:rsidP="00BA18A3">
            <w:pPr>
              <w:rPr>
                <w:rFonts w:ascii="Arial" w:hAnsi="Arial" w:cs="Arial"/>
                <w:b/>
                <w:bCs/>
                <w:sz w:val="20"/>
                <w:szCs w:val="20"/>
              </w:rPr>
            </w:pPr>
            <w:r w:rsidRPr="00BA18A3">
              <w:rPr>
                <w:rFonts w:ascii="Arial" w:hAnsi="Arial" w:cs="Arial"/>
                <w:b/>
                <w:bCs/>
                <w:sz w:val="20"/>
                <w:szCs w:val="20"/>
              </w:rPr>
              <w:t xml:space="preserve">Table </w:t>
            </w:r>
            <w:proofErr w:type="spellStart"/>
            <w:r w:rsidRPr="00BA18A3">
              <w:rPr>
                <w:rFonts w:ascii="Arial" w:hAnsi="Arial" w:cs="Arial"/>
                <w:b/>
                <w:bCs/>
                <w:sz w:val="20"/>
                <w:szCs w:val="20"/>
              </w:rPr>
              <w:t>SWD.5.17</w:t>
            </w:r>
            <w:proofErr w:type="spellEnd"/>
          </w:p>
        </w:tc>
        <w:tc>
          <w:tcPr>
            <w:tcW w:w="6864" w:type="dxa"/>
            <w:shd w:val="clear" w:color="auto" w:fill="auto"/>
            <w:hideMark/>
          </w:tcPr>
          <w:p w:rsidR="00BA18A3" w:rsidRPr="00BA18A3" w:rsidRDefault="00BA18A3" w:rsidP="00BA18A3">
            <w:pPr>
              <w:jc w:val="both"/>
              <w:rPr>
                <w:rFonts w:ascii="Arial" w:hAnsi="Arial" w:cs="Arial"/>
                <w:sz w:val="20"/>
                <w:szCs w:val="20"/>
              </w:rPr>
            </w:pPr>
            <w:r w:rsidRPr="00BA18A3">
              <w:rPr>
                <w:rFonts w:ascii="Arial" w:hAnsi="Arial" w:cs="Arial"/>
                <w:sz w:val="20"/>
                <w:szCs w:val="20"/>
              </w:rPr>
              <w:t xml:space="preserve">Proportion of graduates aged 20–64 years with improved employment status after training (completed study only), by level 2011 (per cent)    </w:t>
            </w:r>
          </w:p>
        </w:tc>
      </w:tr>
      <w:tr w:rsidR="00BA18A3" w:rsidRPr="00BA18A3" w:rsidTr="00BA18A3">
        <w:trPr>
          <w:trHeight w:val="867"/>
        </w:trPr>
        <w:tc>
          <w:tcPr>
            <w:tcW w:w="1940" w:type="dxa"/>
            <w:shd w:val="clear" w:color="auto" w:fill="auto"/>
            <w:noWrap/>
            <w:hideMark/>
          </w:tcPr>
          <w:p w:rsidR="00BA18A3" w:rsidRPr="00BA18A3" w:rsidRDefault="00BA18A3" w:rsidP="00BA18A3">
            <w:pPr>
              <w:rPr>
                <w:rFonts w:ascii="Arial" w:hAnsi="Arial" w:cs="Arial"/>
                <w:b/>
                <w:bCs/>
                <w:sz w:val="20"/>
                <w:szCs w:val="20"/>
              </w:rPr>
            </w:pPr>
            <w:r w:rsidRPr="00BA18A3">
              <w:rPr>
                <w:rFonts w:ascii="Arial" w:hAnsi="Arial" w:cs="Arial"/>
                <w:b/>
                <w:bCs/>
                <w:sz w:val="20"/>
                <w:szCs w:val="20"/>
              </w:rPr>
              <w:t xml:space="preserve">Table </w:t>
            </w:r>
            <w:proofErr w:type="spellStart"/>
            <w:r w:rsidRPr="00BA18A3">
              <w:rPr>
                <w:rFonts w:ascii="Arial" w:hAnsi="Arial" w:cs="Arial"/>
                <w:b/>
                <w:bCs/>
                <w:sz w:val="20"/>
                <w:szCs w:val="20"/>
              </w:rPr>
              <w:t>SWD.5.18</w:t>
            </w:r>
            <w:proofErr w:type="spellEnd"/>
          </w:p>
        </w:tc>
        <w:tc>
          <w:tcPr>
            <w:tcW w:w="6864" w:type="dxa"/>
            <w:shd w:val="clear" w:color="auto" w:fill="auto"/>
            <w:hideMark/>
          </w:tcPr>
          <w:p w:rsidR="00BA18A3" w:rsidRPr="00BA18A3" w:rsidRDefault="00BA18A3" w:rsidP="00BA18A3">
            <w:pPr>
              <w:jc w:val="both"/>
              <w:rPr>
                <w:rFonts w:ascii="Arial" w:hAnsi="Arial" w:cs="Arial"/>
                <w:sz w:val="20"/>
                <w:szCs w:val="20"/>
              </w:rPr>
            </w:pPr>
            <w:r w:rsidRPr="00BA18A3">
              <w:rPr>
                <w:rFonts w:ascii="Arial" w:hAnsi="Arial" w:cs="Arial"/>
                <w:sz w:val="20"/>
                <w:szCs w:val="20"/>
              </w:rPr>
              <w:t xml:space="preserve">Relative standard errors of the proportion of graduates aged 20–64 years with improved employment status after training (completed study only), by level 2011 (per cent) </w:t>
            </w:r>
          </w:p>
        </w:tc>
      </w:tr>
      <w:tr w:rsidR="00BA18A3" w:rsidRPr="00BA18A3" w:rsidTr="00BA18A3">
        <w:trPr>
          <w:trHeight w:val="867"/>
        </w:trPr>
        <w:tc>
          <w:tcPr>
            <w:tcW w:w="1940" w:type="dxa"/>
            <w:shd w:val="clear" w:color="auto" w:fill="auto"/>
            <w:noWrap/>
            <w:hideMark/>
          </w:tcPr>
          <w:p w:rsidR="00BA18A3" w:rsidRPr="00BA18A3" w:rsidRDefault="00BA18A3" w:rsidP="00BA18A3">
            <w:pPr>
              <w:rPr>
                <w:rFonts w:ascii="Arial" w:hAnsi="Arial" w:cs="Arial"/>
                <w:b/>
                <w:bCs/>
                <w:sz w:val="20"/>
                <w:szCs w:val="20"/>
              </w:rPr>
            </w:pPr>
            <w:r w:rsidRPr="00BA18A3">
              <w:rPr>
                <w:rFonts w:ascii="Arial" w:hAnsi="Arial" w:cs="Arial"/>
                <w:b/>
                <w:bCs/>
                <w:sz w:val="20"/>
                <w:szCs w:val="20"/>
              </w:rPr>
              <w:t xml:space="preserve">Table </w:t>
            </w:r>
            <w:proofErr w:type="spellStart"/>
            <w:r w:rsidRPr="00BA18A3">
              <w:rPr>
                <w:rFonts w:ascii="Arial" w:hAnsi="Arial" w:cs="Arial"/>
                <w:b/>
                <w:bCs/>
                <w:sz w:val="20"/>
                <w:szCs w:val="20"/>
              </w:rPr>
              <w:t>SWD.5.19</w:t>
            </w:r>
            <w:proofErr w:type="spellEnd"/>
          </w:p>
        </w:tc>
        <w:tc>
          <w:tcPr>
            <w:tcW w:w="6864" w:type="dxa"/>
            <w:shd w:val="clear" w:color="auto" w:fill="auto"/>
            <w:hideMark/>
          </w:tcPr>
          <w:p w:rsidR="00BA18A3" w:rsidRPr="00BA18A3" w:rsidRDefault="00BA18A3" w:rsidP="00BA18A3">
            <w:pPr>
              <w:jc w:val="both"/>
              <w:rPr>
                <w:rFonts w:ascii="Arial" w:hAnsi="Arial" w:cs="Arial"/>
                <w:sz w:val="20"/>
                <w:szCs w:val="20"/>
              </w:rPr>
            </w:pPr>
            <w:r w:rsidRPr="00BA18A3">
              <w:rPr>
                <w:rFonts w:ascii="Arial" w:hAnsi="Arial" w:cs="Arial"/>
                <w:sz w:val="20"/>
                <w:szCs w:val="20"/>
              </w:rPr>
              <w:t xml:space="preserve">95 per cent confidence intervals of the proportion of graduates aged 20–64 years with improved employment status after training (completed study only), by level 2011 (per cent) </w:t>
            </w:r>
          </w:p>
        </w:tc>
      </w:tr>
      <w:tr w:rsidR="00BA18A3" w:rsidRPr="00BA18A3" w:rsidTr="00BA18A3">
        <w:trPr>
          <w:trHeight w:val="612"/>
        </w:trPr>
        <w:tc>
          <w:tcPr>
            <w:tcW w:w="1940" w:type="dxa"/>
            <w:shd w:val="clear" w:color="auto" w:fill="auto"/>
            <w:noWrap/>
            <w:hideMark/>
          </w:tcPr>
          <w:p w:rsidR="00BA18A3" w:rsidRPr="00BA18A3" w:rsidRDefault="00BA18A3" w:rsidP="00BA18A3">
            <w:pPr>
              <w:rPr>
                <w:rFonts w:ascii="Arial" w:hAnsi="Arial" w:cs="Arial"/>
                <w:b/>
                <w:bCs/>
                <w:sz w:val="20"/>
                <w:szCs w:val="20"/>
              </w:rPr>
            </w:pPr>
            <w:r w:rsidRPr="00BA18A3">
              <w:rPr>
                <w:rFonts w:ascii="Arial" w:hAnsi="Arial" w:cs="Arial"/>
                <w:b/>
                <w:bCs/>
                <w:sz w:val="20"/>
                <w:szCs w:val="20"/>
              </w:rPr>
              <w:t xml:space="preserve">Table </w:t>
            </w:r>
            <w:proofErr w:type="spellStart"/>
            <w:r w:rsidRPr="00BA18A3">
              <w:rPr>
                <w:rFonts w:ascii="Arial" w:hAnsi="Arial" w:cs="Arial"/>
                <w:b/>
                <w:bCs/>
                <w:sz w:val="20"/>
                <w:szCs w:val="20"/>
              </w:rPr>
              <w:t>SWD.5.20</w:t>
            </w:r>
            <w:proofErr w:type="spellEnd"/>
          </w:p>
        </w:tc>
        <w:tc>
          <w:tcPr>
            <w:tcW w:w="6864" w:type="dxa"/>
            <w:shd w:val="clear" w:color="auto" w:fill="auto"/>
            <w:hideMark/>
          </w:tcPr>
          <w:p w:rsidR="00BA18A3" w:rsidRPr="00BA18A3" w:rsidRDefault="00BA18A3" w:rsidP="00BA18A3">
            <w:pPr>
              <w:jc w:val="both"/>
              <w:rPr>
                <w:rFonts w:ascii="Arial" w:hAnsi="Arial" w:cs="Arial"/>
                <w:sz w:val="20"/>
                <w:szCs w:val="20"/>
              </w:rPr>
            </w:pPr>
            <w:r w:rsidRPr="00BA18A3">
              <w:rPr>
                <w:rFonts w:ascii="Arial" w:hAnsi="Arial" w:cs="Arial"/>
                <w:sz w:val="20"/>
                <w:szCs w:val="20"/>
              </w:rPr>
              <w:t xml:space="preserve">Proportion of graduates aged 20–64 years with improved employment status after training (completed study only), by level 2010 (per cent)    </w:t>
            </w:r>
          </w:p>
        </w:tc>
      </w:tr>
      <w:tr w:rsidR="00BA18A3" w:rsidRPr="00BA18A3" w:rsidTr="00BA18A3">
        <w:trPr>
          <w:trHeight w:val="867"/>
        </w:trPr>
        <w:tc>
          <w:tcPr>
            <w:tcW w:w="1940" w:type="dxa"/>
            <w:shd w:val="clear" w:color="auto" w:fill="auto"/>
            <w:noWrap/>
            <w:hideMark/>
          </w:tcPr>
          <w:p w:rsidR="00BA18A3" w:rsidRPr="00BA18A3" w:rsidRDefault="00BA18A3" w:rsidP="00BA18A3">
            <w:pPr>
              <w:rPr>
                <w:rFonts w:ascii="Arial" w:hAnsi="Arial" w:cs="Arial"/>
                <w:b/>
                <w:bCs/>
                <w:sz w:val="20"/>
                <w:szCs w:val="20"/>
              </w:rPr>
            </w:pPr>
            <w:r w:rsidRPr="00BA18A3">
              <w:rPr>
                <w:rFonts w:ascii="Arial" w:hAnsi="Arial" w:cs="Arial"/>
                <w:b/>
                <w:bCs/>
                <w:sz w:val="20"/>
                <w:szCs w:val="20"/>
              </w:rPr>
              <w:t xml:space="preserve">Table </w:t>
            </w:r>
            <w:proofErr w:type="spellStart"/>
            <w:r w:rsidRPr="00BA18A3">
              <w:rPr>
                <w:rFonts w:ascii="Arial" w:hAnsi="Arial" w:cs="Arial"/>
                <w:b/>
                <w:bCs/>
                <w:sz w:val="20"/>
                <w:szCs w:val="20"/>
              </w:rPr>
              <w:t>SWD.5.21</w:t>
            </w:r>
            <w:proofErr w:type="spellEnd"/>
          </w:p>
        </w:tc>
        <w:tc>
          <w:tcPr>
            <w:tcW w:w="6864" w:type="dxa"/>
            <w:shd w:val="clear" w:color="auto" w:fill="auto"/>
            <w:hideMark/>
          </w:tcPr>
          <w:p w:rsidR="00BA18A3" w:rsidRPr="00BA18A3" w:rsidRDefault="00BA18A3" w:rsidP="00BA18A3">
            <w:pPr>
              <w:jc w:val="both"/>
              <w:rPr>
                <w:rFonts w:ascii="Arial" w:hAnsi="Arial" w:cs="Arial"/>
                <w:sz w:val="20"/>
                <w:szCs w:val="20"/>
              </w:rPr>
            </w:pPr>
            <w:r w:rsidRPr="00BA18A3">
              <w:rPr>
                <w:rFonts w:ascii="Arial" w:hAnsi="Arial" w:cs="Arial"/>
                <w:sz w:val="20"/>
                <w:szCs w:val="20"/>
              </w:rPr>
              <w:t xml:space="preserve">Relative standard errors of the proportion of graduates aged 20–64 years with improved employment status after training (completed study only), by level 2010 (per cent) </w:t>
            </w:r>
          </w:p>
        </w:tc>
      </w:tr>
      <w:tr w:rsidR="00BA18A3" w:rsidRPr="00BA18A3" w:rsidTr="00BA18A3">
        <w:trPr>
          <w:trHeight w:val="867"/>
        </w:trPr>
        <w:tc>
          <w:tcPr>
            <w:tcW w:w="1940" w:type="dxa"/>
            <w:shd w:val="clear" w:color="auto" w:fill="auto"/>
            <w:noWrap/>
            <w:hideMark/>
          </w:tcPr>
          <w:p w:rsidR="00BA18A3" w:rsidRPr="00BA18A3" w:rsidRDefault="00BA18A3" w:rsidP="00BA18A3">
            <w:pPr>
              <w:rPr>
                <w:rFonts w:ascii="Arial" w:hAnsi="Arial" w:cs="Arial"/>
                <w:b/>
                <w:bCs/>
                <w:sz w:val="20"/>
                <w:szCs w:val="20"/>
              </w:rPr>
            </w:pPr>
            <w:r w:rsidRPr="00BA18A3">
              <w:rPr>
                <w:rFonts w:ascii="Arial" w:hAnsi="Arial" w:cs="Arial"/>
                <w:b/>
                <w:bCs/>
                <w:sz w:val="20"/>
                <w:szCs w:val="20"/>
              </w:rPr>
              <w:t xml:space="preserve">Table </w:t>
            </w:r>
            <w:proofErr w:type="spellStart"/>
            <w:r w:rsidRPr="00BA18A3">
              <w:rPr>
                <w:rFonts w:ascii="Arial" w:hAnsi="Arial" w:cs="Arial"/>
                <w:b/>
                <w:bCs/>
                <w:sz w:val="20"/>
                <w:szCs w:val="20"/>
              </w:rPr>
              <w:t>SWD.5.22</w:t>
            </w:r>
            <w:proofErr w:type="spellEnd"/>
          </w:p>
        </w:tc>
        <w:tc>
          <w:tcPr>
            <w:tcW w:w="6864" w:type="dxa"/>
            <w:shd w:val="clear" w:color="auto" w:fill="auto"/>
            <w:hideMark/>
          </w:tcPr>
          <w:p w:rsidR="00BA18A3" w:rsidRPr="00BA18A3" w:rsidRDefault="00BA18A3" w:rsidP="00BA18A3">
            <w:pPr>
              <w:jc w:val="both"/>
              <w:rPr>
                <w:rFonts w:ascii="Arial" w:hAnsi="Arial" w:cs="Arial"/>
                <w:sz w:val="20"/>
                <w:szCs w:val="20"/>
              </w:rPr>
            </w:pPr>
            <w:r w:rsidRPr="00BA18A3">
              <w:rPr>
                <w:rFonts w:ascii="Arial" w:hAnsi="Arial" w:cs="Arial"/>
                <w:sz w:val="20"/>
                <w:szCs w:val="20"/>
              </w:rPr>
              <w:t xml:space="preserve">95 per cent confidence intervals of the proportion of graduates aged 20–64 years with improved employment status after training (completed study only), by level 2010 (per cent) </w:t>
            </w:r>
          </w:p>
        </w:tc>
      </w:tr>
      <w:tr w:rsidR="00BA18A3" w:rsidRPr="00BA18A3" w:rsidTr="00BA18A3">
        <w:trPr>
          <w:trHeight w:val="612"/>
        </w:trPr>
        <w:tc>
          <w:tcPr>
            <w:tcW w:w="1940" w:type="dxa"/>
            <w:shd w:val="clear" w:color="auto" w:fill="auto"/>
            <w:noWrap/>
            <w:hideMark/>
          </w:tcPr>
          <w:p w:rsidR="00BA18A3" w:rsidRPr="00BA18A3" w:rsidRDefault="00BA18A3" w:rsidP="00BA18A3">
            <w:pPr>
              <w:rPr>
                <w:rFonts w:ascii="Arial" w:hAnsi="Arial" w:cs="Arial"/>
                <w:b/>
                <w:bCs/>
                <w:sz w:val="20"/>
                <w:szCs w:val="20"/>
              </w:rPr>
            </w:pPr>
            <w:r w:rsidRPr="00BA18A3">
              <w:rPr>
                <w:rFonts w:ascii="Arial" w:hAnsi="Arial" w:cs="Arial"/>
                <w:b/>
                <w:bCs/>
                <w:sz w:val="20"/>
                <w:szCs w:val="20"/>
              </w:rPr>
              <w:t xml:space="preserve">Table </w:t>
            </w:r>
            <w:proofErr w:type="spellStart"/>
            <w:r w:rsidRPr="00BA18A3">
              <w:rPr>
                <w:rFonts w:ascii="Arial" w:hAnsi="Arial" w:cs="Arial"/>
                <w:b/>
                <w:bCs/>
                <w:sz w:val="20"/>
                <w:szCs w:val="20"/>
              </w:rPr>
              <w:t>SWD.5.23</w:t>
            </w:r>
            <w:proofErr w:type="spellEnd"/>
          </w:p>
        </w:tc>
        <w:tc>
          <w:tcPr>
            <w:tcW w:w="6864" w:type="dxa"/>
            <w:shd w:val="clear" w:color="auto" w:fill="auto"/>
            <w:hideMark/>
          </w:tcPr>
          <w:p w:rsidR="00BA18A3" w:rsidRPr="00BA18A3" w:rsidRDefault="00BA18A3" w:rsidP="00BA18A3">
            <w:pPr>
              <w:jc w:val="both"/>
              <w:rPr>
                <w:rFonts w:ascii="Arial" w:hAnsi="Arial" w:cs="Arial"/>
                <w:sz w:val="20"/>
                <w:szCs w:val="20"/>
              </w:rPr>
            </w:pPr>
            <w:r w:rsidRPr="00BA18A3">
              <w:rPr>
                <w:rFonts w:ascii="Arial" w:hAnsi="Arial" w:cs="Arial"/>
                <w:sz w:val="20"/>
                <w:szCs w:val="20"/>
              </w:rPr>
              <w:t xml:space="preserve">Proportion of graduates aged 20–64 years with improved employment status after training (completed study only), by level 2009 (per cent)    </w:t>
            </w:r>
          </w:p>
        </w:tc>
      </w:tr>
      <w:tr w:rsidR="00BA18A3" w:rsidRPr="00BA18A3" w:rsidTr="00BA18A3">
        <w:trPr>
          <w:trHeight w:val="867"/>
        </w:trPr>
        <w:tc>
          <w:tcPr>
            <w:tcW w:w="1940" w:type="dxa"/>
            <w:shd w:val="clear" w:color="auto" w:fill="auto"/>
            <w:noWrap/>
            <w:hideMark/>
          </w:tcPr>
          <w:p w:rsidR="00BA18A3" w:rsidRPr="00BA18A3" w:rsidRDefault="00BA18A3" w:rsidP="00BA18A3">
            <w:pPr>
              <w:rPr>
                <w:rFonts w:ascii="Arial" w:hAnsi="Arial" w:cs="Arial"/>
                <w:b/>
                <w:bCs/>
                <w:sz w:val="20"/>
                <w:szCs w:val="20"/>
              </w:rPr>
            </w:pPr>
            <w:r w:rsidRPr="00BA18A3">
              <w:rPr>
                <w:rFonts w:ascii="Arial" w:hAnsi="Arial" w:cs="Arial"/>
                <w:b/>
                <w:bCs/>
                <w:sz w:val="20"/>
                <w:szCs w:val="20"/>
              </w:rPr>
              <w:t xml:space="preserve">Table </w:t>
            </w:r>
            <w:proofErr w:type="spellStart"/>
            <w:r w:rsidRPr="00BA18A3">
              <w:rPr>
                <w:rFonts w:ascii="Arial" w:hAnsi="Arial" w:cs="Arial"/>
                <w:b/>
                <w:bCs/>
                <w:sz w:val="20"/>
                <w:szCs w:val="20"/>
              </w:rPr>
              <w:t>SWD.5.24</w:t>
            </w:r>
            <w:proofErr w:type="spellEnd"/>
          </w:p>
        </w:tc>
        <w:tc>
          <w:tcPr>
            <w:tcW w:w="6864" w:type="dxa"/>
            <w:shd w:val="clear" w:color="auto" w:fill="auto"/>
            <w:hideMark/>
          </w:tcPr>
          <w:p w:rsidR="00BA18A3" w:rsidRPr="00BA18A3" w:rsidRDefault="00BA18A3" w:rsidP="00BA18A3">
            <w:pPr>
              <w:jc w:val="both"/>
              <w:rPr>
                <w:rFonts w:ascii="Arial" w:hAnsi="Arial" w:cs="Arial"/>
                <w:sz w:val="20"/>
                <w:szCs w:val="20"/>
              </w:rPr>
            </w:pPr>
            <w:r w:rsidRPr="00BA18A3">
              <w:rPr>
                <w:rFonts w:ascii="Arial" w:hAnsi="Arial" w:cs="Arial"/>
                <w:sz w:val="20"/>
                <w:szCs w:val="20"/>
              </w:rPr>
              <w:t xml:space="preserve">Relative standard errors of the proportion of graduates aged 20–64 years with improved employment status after training (completed study only), by level 2009 (per cent) </w:t>
            </w:r>
          </w:p>
        </w:tc>
      </w:tr>
      <w:tr w:rsidR="00BA18A3" w:rsidRPr="00BA18A3" w:rsidTr="00BA18A3">
        <w:trPr>
          <w:trHeight w:val="867"/>
        </w:trPr>
        <w:tc>
          <w:tcPr>
            <w:tcW w:w="1940" w:type="dxa"/>
            <w:shd w:val="clear" w:color="auto" w:fill="auto"/>
            <w:noWrap/>
            <w:hideMark/>
          </w:tcPr>
          <w:p w:rsidR="00BA18A3" w:rsidRPr="00BA18A3" w:rsidRDefault="00BA18A3" w:rsidP="00BA18A3">
            <w:pPr>
              <w:rPr>
                <w:rFonts w:ascii="Arial" w:hAnsi="Arial" w:cs="Arial"/>
                <w:b/>
                <w:bCs/>
                <w:sz w:val="20"/>
                <w:szCs w:val="20"/>
              </w:rPr>
            </w:pPr>
            <w:r w:rsidRPr="00BA18A3">
              <w:rPr>
                <w:rFonts w:ascii="Arial" w:hAnsi="Arial" w:cs="Arial"/>
                <w:b/>
                <w:bCs/>
                <w:sz w:val="20"/>
                <w:szCs w:val="20"/>
              </w:rPr>
              <w:t xml:space="preserve">Table </w:t>
            </w:r>
            <w:proofErr w:type="spellStart"/>
            <w:r w:rsidRPr="00BA18A3">
              <w:rPr>
                <w:rFonts w:ascii="Arial" w:hAnsi="Arial" w:cs="Arial"/>
                <w:b/>
                <w:bCs/>
                <w:sz w:val="20"/>
                <w:szCs w:val="20"/>
              </w:rPr>
              <w:t>SWD.5.25</w:t>
            </w:r>
            <w:proofErr w:type="spellEnd"/>
          </w:p>
        </w:tc>
        <w:tc>
          <w:tcPr>
            <w:tcW w:w="6864" w:type="dxa"/>
            <w:shd w:val="clear" w:color="auto" w:fill="auto"/>
            <w:hideMark/>
          </w:tcPr>
          <w:p w:rsidR="00BA18A3" w:rsidRPr="00BA18A3" w:rsidRDefault="00BA18A3" w:rsidP="00BA18A3">
            <w:pPr>
              <w:jc w:val="both"/>
              <w:rPr>
                <w:rFonts w:ascii="Arial" w:hAnsi="Arial" w:cs="Arial"/>
                <w:sz w:val="20"/>
                <w:szCs w:val="20"/>
              </w:rPr>
            </w:pPr>
            <w:r w:rsidRPr="00BA18A3">
              <w:rPr>
                <w:rFonts w:ascii="Arial" w:hAnsi="Arial" w:cs="Arial"/>
                <w:sz w:val="20"/>
                <w:szCs w:val="20"/>
              </w:rPr>
              <w:t xml:space="preserve">95 per cent confidence intervals of the proportion of graduates aged 20–64 years with improved employment status after training (completed study only), by level 2009 (per cent) </w:t>
            </w:r>
          </w:p>
        </w:tc>
      </w:tr>
      <w:tr w:rsidR="00BA18A3" w:rsidRPr="00BA18A3" w:rsidTr="00BA18A3">
        <w:trPr>
          <w:trHeight w:val="612"/>
        </w:trPr>
        <w:tc>
          <w:tcPr>
            <w:tcW w:w="1940" w:type="dxa"/>
            <w:shd w:val="clear" w:color="auto" w:fill="auto"/>
            <w:noWrap/>
            <w:hideMark/>
          </w:tcPr>
          <w:p w:rsidR="00BA18A3" w:rsidRPr="00BA18A3" w:rsidRDefault="00BA18A3" w:rsidP="00BA18A3">
            <w:pPr>
              <w:rPr>
                <w:rFonts w:ascii="Arial" w:hAnsi="Arial" w:cs="Arial"/>
                <w:b/>
                <w:bCs/>
                <w:sz w:val="20"/>
                <w:szCs w:val="20"/>
              </w:rPr>
            </w:pPr>
            <w:r w:rsidRPr="00BA18A3">
              <w:rPr>
                <w:rFonts w:ascii="Arial" w:hAnsi="Arial" w:cs="Arial"/>
                <w:b/>
                <w:bCs/>
                <w:sz w:val="20"/>
                <w:szCs w:val="20"/>
              </w:rPr>
              <w:t xml:space="preserve">Table </w:t>
            </w:r>
            <w:proofErr w:type="spellStart"/>
            <w:r w:rsidRPr="00BA18A3">
              <w:rPr>
                <w:rFonts w:ascii="Arial" w:hAnsi="Arial" w:cs="Arial"/>
                <w:b/>
                <w:bCs/>
                <w:sz w:val="20"/>
                <w:szCs w:val="20"/>
              </w:rPr>
              <w:t>SWD.5.26</w:t>
            </w:r>
            <w:proofErr w:type="spellEnd"/>
          </w:p>
        </w:tc>
        <w:tc>
          <w:tcPr>
            <w:tcW w:w="6864" w:type="dxa"/>
            <w:shd w:val="clear" w:color="auto" w:fill="auto"/>
            <w:hideMark/>
          </w:tcPr>
          <w:p w:rsidR="00BA18A3" w:rsidRPr="00BA18A3" w:rsidRDefault="00BA18A3" w:rsidP="00BA18A3">
            <w:pPr>
              <w:jc w:val="both"/>
              <w:rPr>
                <w:rFonts w:ascii="Arial" w:hAnsi="Arial" w:cs="Arial"/>
                <w:sz w:val="20"/>
                <w:szCs w:val="20"/>
              </w:rPr>
            </w:pPr>
            <w:r w:rsidRPr="00BA18A3">
              <w:rPr>
                <w:rFonts w:ascii="Arial" w:hAnsi="Arial" w:cs="Arial"/>
                <w:sz w:val="20"/>
                <w:szCs w:val="20"/>
              </w:rPr>
              <w:t xml:space="preserve">Proportion of graduates aged 20–64 years with improved employment status after training (completed study only), by level 2008 (per cent)    </w:t>
            </w:r>
          </w:p>
        </w:tc>
      </w:tr>
      <w:tr w:rsidR="00BA18A3" w:rsidRPr="00BA18A3" w:rsidTr="00BA18A3">
        <w:trPr>
          <w:trHeight w:val="867"/>
        </w:trPr>
        <w:tc>
          <w:tcPr>
            <w:tcW w:w="1940" w:type="dxa"/>
            <w:shd w:val="clear" w:color="auto" w:fill="auto"/>
            <w:noWrap/>
            <w:hideMark/>
          </w:tcPr>
          <w:p w:rsidR="00BA18A3" w:rsidRPr="00BA18A3" w:rsidRDefault="00BA18A3" w:rsidP="00BA18A3">
            <w:pPr>
              <w:rPr>
                <w:rFonts w:ascii="Arial" w:hAnsi="Arial" w:cs="Arial"/>
                <w:b/>
                <w:bCs/>
                <w:sz w:val="20"/>
                <w:szCs w:val="20"/>
              </w:rPr>
            </w:pPr>
            <w:r w:rsidRPr="00BA18A3">
              <w:rPr>
                <w:rFonts w:ascii="Arial" w:hAnsi="Arial" w:cs="Arial"/>
                <w:b/>
                <w:bCs/>
                <w:sz w:val="20"/>
                <w:szCs w:val="20"/>
              </w:rPr>
              <w:t xml:space="preserve">Table </w:t>
            </w:r>
            <w:proofErr w:type="spellStart"/>
            <w:r w:rsidRPr="00BA18A3">
              <w:rPr>
                <w:rFonts w:ascii="Arial" w:hAnsi="Arial" w:cs="Arial"/>
                <w:b/>
                <w:bCs/>
                <w:sz w:val="20"/>
                <w:szCs w:val="20"/>
              </w:rPr>
              <w:t>SWD.5.27</w:t>
            </w:r>
            <w:proofErr w:type="spellEnd"/>
          </w:p>
        </w:tc>
        <w:tc>
          <w:tcPr>
            <w:tcW w:w="6864" w:type="dxa"/>
            <w:shd w:val="clear" w:color="auto" w:fill="auto"/>
            <w:hideMark/>
          </w:tcPr>
          <w:p w:rsidR="00BA18A3" w:rsidRPr="00BA18A3" w:rsidRDefault="00BA18A3" w:rsidP="00BA18A3">
            <w:pPr>
              <w:jc w:val="both"/>
              <w:rPr>
                <w:rFonts w:ascii="Arial" w:hAnsi="Arial" w:cs="Arial"/>
                <w:sz w:val="20"/>
                <w:szCs w:val="20"/>
              </w:rPr>
            </w:pPr>
            <w:r w:rsidRPr="00BA18A3">
              <w:rPr>
                <w:rFonts w:ascii="Arial" w:hAnsi="Arial" w:cs="Arial"/>
                <w:sz w:val="20"/>
                <w:szCs w:val="20"/>
              </w:rPr>
              <w:t xml:space="preserve">Relative standard errors of the proportion of graduates aged 20–64 years with improved employment status after training (completed study only), by level 2008 (per cent) </w:t>
            </w:r>
          </w:p>
        </w:tc>
      </w:tr>
      <w:tr w:rsidR="00BA18A3" w:rsidRPr="00BA18A3" w:rsidTr="00BA18A3">
        <w:trPr>
          <w:trHeight w:val="867"/>
        </w:trPr>
        <w:tc>
          <w:tcPr>
            <w:tcW w:w="1940" w:type="dxa"/>
            <w:shd w:val="clear" w:color="auto" w:fill="auto"/>
            <w:noWrap/>
            <w:hideMark/>
          </w:tcPr>
          <w:p w:rsidR="00BA18A3" w:rsidRPr="00BA18A3" w:rsidRDefault="00BA18A3" w:rsidP="00BA18A3">
            <w:pPr>
              <w:rPr>
                <w:rFonts w:ascii="Arial" w:hAnsi="Arial" w:cs="Arial"/>
                <w:b/>
                <w:bCs/>
                <w:sz w:val="20"/>
                <w:szCs w:val="20"/>
              </w:rPr>
            </w:pPr>
            <w:r w:rsidRPr="00BA18A3">
              <w:rPr>
                <w:rFonts w:ascii="Arial" w:hAnsi="Arial" w:cs="Arial"/>
                <w:b/>
                <w:bCs/>
                <w:sz w:val="20"/>
                <w:szCs w:val="20"/>
              </w:rPr>
              <w:t xml:space="preserve">Table </w:t>
            </w:r>
            <w:proofErr w:type="spellStart"/>
            <w:r w:rsidRPr="00BA18A3">
              <w:rPr>
                <w:rFonts w:ascii="Arial" w:hAnsi="Arial" w:cs="Arial"/>
                <w:b/>
                <w:bCs/>
                <w:sz w:val="20"/>
                <w:szCs w:val="20"/>
              </w:rPr>
              <w:t>SWD.5.28</w:t>
            </w:r>
            <w:proofErr w:type="spellEnd"/>
          </w:p>
        </w:tc>
        <w:tc>
          <w:tcPr>
            <w:tcW w:w="6864" w:type="dxa"/>
            <w:shd w:val="clear" w:color="auto" w:fill="auto"/>
            <w:hideMark/>
          </w:tcPr>
          <w:p w:rsidR="00BA18A3" w:rsidRPr="00BA18A3" w:rsidRDefault="00BA18A3" w:rsidP="00BA18A3">
            <w:pPr>
              <w:jc w:val="both"/>
              <w:rPr>
                <w:rFonts w:ascii="Arial" w:hAnsi="Arial" w:cs="Arial"/>
                <w:sz w:val="20"/>
                <w:szCs w:val="20"/>
              </w:rPr>
            </w:pPr>
            <w:r w:rsidRPr="00BA18A3">
              <w:rPr>
                <w:rFonts w:ascii="Arial" w:hAnsi="Arial" w:cs="Arial"/>
                <w:sz w:val="20"/>
                <w:szCs w:val="20"/>
              </w:rPr>
              <w:t xml:space="preserve">95 per cent confidence intervals of the proportion of graduates aged 20–64 years with improved employment status after training (completed study only), by level 2008 (per cent) </w:t>
            </w:r>
          </w:p>
        </w:tc>
      </w:tr>
      <w:tr w:rsidR="00BA18A3" w:rsidRPr="00BA18A3" w:rsidTr="00BA18A3">
        <w:trPr>
          <w:trHeight w:val="612"/>
        </w:trPr>
        <w:tc>
          <w:tcPr>
            <w:tcW w:w="1940" w:type="dxa"/>
            <w:shd w:val="clear" w:color="auto" w:fill="auto"/>
            <w:noWrap/>
            <w:hideMark/>
          </w:tcPr>
          <w:p w:rsidR="00BA18A3" w:rsidRPr="00BA18A3" w:rsidRDefault="00BA18A3" w:rsidP="00BA18A3">
            <w:pPr>
              <w:rPr>
                <w:rFonts w:ascii="Arial" w:hAnsi="Arial" w:cs="Arial"/>
                <w:b/>
                <w:bCs/>
                <w:sz w:val="20"/>
                <w:szCs w:val="20"/>
              </w:rPr>
            </w:pPr>
            <w:r w:rsidRPr="00BA18A3">
              <w:rPr>
                <w:rFonts w:ascii="Arial" w:hAnsi="Arial" w:cs="Arial"/>
                <w:b/>
                <w:bCs/>
                <w:sz w:val="20"/>
                <w:szCs w:val="20"/>
              </w:rPr>
              <w:t xml:space="preserve">Table </w:t>
            </w:r>
            <w:proofErr w:type="spellStart"/>
            <w:r w:rsidRPr="00BA18A3">
              <w:rPr>
                <w:rFonts w:ascii="Arial" w:hAnsi="Arial" w:cs="Arial"/>
                <w:b/>
                <w:bCs/>
                <w:sz w:val="20"/>
                <w:szCs w:val="20"/>
              </w:rPr>
              <w:t>SWD.5.29</w:t>
            </w:r>
            <w:proofErr w:type="spellEnd"/>
          </w:p>
        </w:tc>
        <w:tc>
          <w:tcPr>
            <w:tcW w:w="6864" w:type="dxa"/>
            <w:shd w:val="clear" w:color="auto" w:fill="auto"/>
            <w:hideMark/>
          </w:tcPr>
          <w:p w:rsidR="00BA18A3" w:rsidRPr="00BA18A3" w:rsidRDefault="00BA18A3" w:rsidP="00BA18A3">
            <w:pPr>
              <w:jc w:val="both"/>
              <w:rPr>
                <w:rFonts w:ascii="Arial" w:hAnsi="Arial" w:cs="Arial"/>
                <w:sz w:val="20"/>
                <w:szCs w:val="20"/>
              </w:rPr>
            </w:pPr>
            <w:r w:rsidRPr="00BA18A3">
              <w:rPr>
                <w:rFonts w:ascii="Arial" w:hAnsi="Arial" w:cs="Arial"/>
                <w:sz w:val="20"/>
                <w:szCs w:val="20"/>
              </w:rPr>
              <w:t xml:space="preserve">Proportion of graduates aged 20–64 years with improved employment status after training (completed study only), by level 2007 (per cent)    </w:t>
            </w:r>
          </w:p>
        </w:tc>
      </w:tr>
      <w:tr w:rsidR="00BA18A3" w:rsidRPr="00BA18A3" w:rsidTr="00BA18A3">
        <w:trPr>
          <w:trHeight w:val="867"/>
        </w:trPr>
        <w:tc>
          <w:tcPr>
            <w:tcW w:w="1940" w:type="dxa"/>
            <w:shd w:val="clear" w:color="auto" w:fill="auto"/>
            <w:noWrap/>
            <w:hideMark/>
          </w:tcPr>
          <w:p w:rsidR="00BA18A3" w:rsidRPr="00BA18A3" w:rsidRDefault="00BA18A3" w:rsidP="00BA18A3">
            <w:pPr>
              <w:rPr>
                <w:rFonts w:ascii="Arial" w:hAnsi="Arial" w:cs="Arial"/>
                <w:b/>
                <w:bCs/>
                <w:sz w:val="20"/>
                <w:szCs w:val="20"/>
              </w:rPr>
            </w:pPr>
            <w:r w:rsidRPr="00BA18A3">
              <w:rPr>
                <w:rFonts w:ascii="Arial" w:hAnsi="Arial" w:cs="Arial"/>
                <w:b/>
                <w:bCs/>
                <w:sz w:val="20"/>
                <w:szCs w:val="20"/>
              </w:rPr>
              <w:t xml:space="preserve">Table </w:t>
            </w:r>
            <w:proofErr w:type="spellStart"/>
            <w:r w:rsidRPr="00BA18A3">
              <w:rPr>
                <w:rFonts w:ascii="Arial" w:hAnsi="Arial" w:cs="Arial"/>
                <w:b/>
                <w:bCs/>
                <w:sz w:val="20"/>
                <w:szCs w:val="20"/>
              </w:rPr>
              <w:t>SWD.5.30</w:t>
            </w:r>
            <w:proofErr w:type="spellEnd"/>
          </w:p>
        </w:tc>
        <w:tc>
          <w:tcPr>
            <w:tcW w:w="6864" w:type="dxa"/>
            <w:shd w:val="clear" w:color="auto" w:fill="auto"/>
            <w:hideMark/>
          </w:tcPr>
          <w:p w:rsidR="00BA18A3" w:rsidRPr="00BA18A3" w:rsidRDefault="00BA18A3" w:rsidP="00BA18A3">
            <w:pPr>
              <w:jc w:val="both"/>
              <w:rPr>
                <w:rFonts w:ascii="Arial" w:hAnsi="Arial" w:cs="Arial"/>
                <w:sz w:val="20"/>
                <w:szCs w:val="20"/>
              </w:rPr>
            </w:pPr>
            <w:r w:rsidRPr="00BA18A3">
              <w:rPr>
                <w:rFonts w:ascii="Arial" w:hAnsi="Arial" w:cs="Arial"/>
                <w:sz w:val="20"/>
                <w:szCs w:val="20"/>
              </w:rPr>
              <w:t xml:space="preserve">Relative standard errors of the proportion of graduates aged 20–64 years with improved employment status after training (completed study only), by level 2007 (per cent) </w:t>
            </w:r>
          </w:p>
        </w:tc>
      </w:tr>
      <w:tr w:rsidR="00BA18A3" w:rsidRPr="00BA18A3" w:rsidTr="00BA18A3">
        <w:trPr>
          <w:trHeight w:val="867"/>
        </w:trPr>
        <w:tc>
          <w:tcPr>
            <w:tcW w:w="1940" w:type="dxa"/>
            <w:shd w:val="clear" w:color="auto" w:fill="auto"/>
            <w:noWrap/>
            <w:hideMark/>
          </w:tcPr>
          <w:p w:rsidR="00BA18A3" w:rsidRPr="00BA18A3" w:rsidRDefault="00BA18A3" w:rsidP="00BA18A3">
            <w:pPr>
              <w:rPr>
                <w:rFonts w:ascii="Arial" w:hAnsi="Arial" w:cs="Arial"/>
                <w:b/>
                <w:bCs/>
                <w:sz w:val="20"/>
                <w:szCs w:val="20"/>
              </w:rPr>
            </w:pPr>
            <w:r w:rsidRPr="00BA18A3">
              <w:rPr>
                <w:rFonts w:ascii="Arial" w:hAnsi="Arial" w:cs="Arial"/>
                <w:b/>
                <w:bCs/>
                <w:sz w:val="20"/>
                <w:szCs w:val="20"/>
              </w:rPr>
              <w:t xml:space="preserve">Table </w:t>
            </w:r>
            <w:proofErr w:type="spellStart"/>
            <w:r w:rsidRPr="00BA18A3">
              <w:rPr>
                <w:rFonts w:ascii="Arial" w:hAnsi="Arial" w:cs="Arial"/>
                <w:b/>
                <w:bCs/>
                <w:sz w:val="20"/>
                <w:szCs w:val="20"/>
              </w:rPr>
              <w:t>SWD.5.31</w:t>
            </w:r>
            <w:proofErr w:type="spellEnd"/>
          </w:p>
        </w:tc>
        <w:tc>
          <w:tcPr>
            <w:tcW w:w="6864" w:type="dxa"/>
            <w:shd w:val="clear" w:color="auto" w:fill="auto"/>
            <w:hideMark/>
          </w:tcPr>
          <w:p w:rsidR="00BA18A3" w:rsidRPr="00BA18A3" w:rsidRDefault="00BA18A3" w:rsidP="00BA18A3">
            <w:pPr>
              <w:jc w:val="both"/>
              <w:rPr>
                <w:rFonts w:ascii="Arial" w:hAnsi="Arial" w:cs="Arial"/>
                <w:sz w:val="20"/>
                <w:szCs w:val="20"/>
              </w:rPr>
            </w:pPr>
            <w:r w:rsidRPr="00BA18A3">
              <w:rPr>
                <w:rFonts w:ascii="Arial" w:hAnsi="Arial" w:cs="Arial"/>
                <w:sz w:val="20"/>
                <w:szCs w:val="20"/>
              </w:rPr>
              <w:t xml:space="preserve">95 per cent confidence intervals of the proportion of graduates aged 20–64 years with improved employment status after training (completed study only), by level 2007 (per cent) </w:t>
            </w:r>
          </w:p>
        </w:tc>
      </w:tr>
      <w:tr w:rsidR="00BA18A3" w:rsidRPr="00BA18A3" w:rsidTr="00BA18A3">
        <w:trPr>
          <w:trHeight w:val="867"/>
        </w:trPr>
        <w:tc>
          <w:tcPr>
            <w:tcW w:w="1940" w:type="dxa"/>
            <w:shd w:val="clear" w:color="auto" w:fill="auto"/>
            <w:noWrap/>
            <w:hideMark/>
          </w:tcPr>
          <w:p w:rsidR="00BA18A3" w:rsidRPr="00BA18A3" w:rsidRDefault="00BA18A3" w:rsidP="00BA18A3">
            <w:pPr>
              <w:rPr>
                <w:rFonts w:ascii="Arial" w:hAnsi="Arial" w:cs="Arial"/>
                <w:b/>
                <w:bCs/>
                <w:sz w:val="20"/>
                <w:szCs w:val="20"/>
              </w:rPr>
            </w:pPr>
            <w:r w:rsidRPr="00BA18A3">
              <w:rPr>
                <w:rFonts w:ascii="Arial" w:hAnsi="Arial" w:cs="Arial"/>
                <w:b/>
                <w:bCs/>
                <w:sz w:val="20"/>
                <w:szCs w:val="20"/>
              </w:rPr>
              <w:t xml:space="preserve">Table </w:t>
            </w:r>
            <w:proofErr w:type="spellStart"/>
            <w:r w:rsidRPr="00BA18A3">
              <w:rPr>
                <w:rFonts w:ascii="Arial" w:hAnsi="Arial" w:cs="Arial"/>
                <w:b/>
                <w:bCs/>
                <w:sz w:val="20"/>
                <w:szCs w:val="20"/>
              </w:rPr>
              <w:t>SWD.5.32</w:t>
            </w:r>
            <w:proofErr w:type="spellEnd"/>
          </w:p>
        </w:tc>
        <w:tc>
          <w:tcPr>
            <w:tcW w:w="6864" w:type="dxa"/>
            <w:shd w:val="clear" w:color="auto" w:fill="auto"/>
            <w:hideMark/>
          </w:tcPr>
          <w:p w:rsidR="00BA18A3" w:rsidRPr="00BA18A3" w:rsidRDefault="00BA18A3" w:rsidP="00BA18A3">
            <w:pPr>
              <w:jc w:val="both"/>
              <w:rPr>
                <w:rFonts w:ascii="Arial" w:hAnsi="Arial" w:cs="Arial"/>
                <w:sz w:val="20"/>
                <w:szCs w:val="20"/>
              </w:rPr>
            </w:pPr>
            <w:r w:rsidRPr="00BA18A3">
              <w:rPr>
                <w:rFonts w:ascii="Arial" w:hAnsi="Arial" w:cs="Arial"/>
                <w:sz w:val="20"/>
                <w:szCs w:val="20"/>
              </w:rPr>
              <w:t xml:space="preserve">Proportion of graduates aged 20–64 years with improved employment status after training, by age, 2013, 2012, 2011, 2010, 2009, 2008 and 2007 (per cent)    </w:t>
            </w:r>
          </w:p>
        </w:tc>
      </w:tr>
      <w:tr w:rsidR="00BA18A3" w:rsidRPr="00BA18A3" w:rsidTr="00BA18A3">
        <w:trPr>
          <w:trHeight w:val="867"/>
        </w:trPr>
        <w:tc>
          <w:tcPr>
            <w:tcW w:w="1940" w:type="dxa"/>
            <w:shd w:val="clear" w:color="auto" w:fill="auto"/>
            <w:noWrap/>
            <w:hideMark/>
          </w:tcPr>
          <w:p w:rsidR="00BA18A3" w:rsidRPr="00BA18A3" w:rsidRDefault="00BA18A3" w:rsidP="00BA18A3">
            <w:pPr>
              <w:rPr>
                <w:rFonts w:ascii="Arial" w:hAnsi="Arial" w:cs="Arial"/>
                <w:b/>
                <w:bCs/>
                <w:sz w:val="20"/>
                <w:szCs w:val="20"/>
              </w:rPr>
            </w:pPr>
            <w:r w:rsidRPr="00BA18A3">
              <w:rPr>
                <w:rFonts w:ascii="Arial" w:hAnsi="Arial" w:cs="Arial"/>
                <w:b/>
                <w:bCs/>
                <w:sz w:val="20"/>
                <w:szCs w:val="20"/>
              </w:rPr>
              <w:t xml:space="preserve">Table </w:t>
            </w:r>
            <w:proofErr w:type="spellStart"/>
            <w:r w:rsidRPr="00BA18A3">
              <w:rPr>
                <w:rFonts w:ascii="Arial" w:hAnsi="Arial" w:cs="Arial"/>
                <w:b/>
                <w:bCs/>
                <w:sz w:val="20"/>
                <w:szCs w:val="20"/>
              </w:rPr>
              <w:t>SWD.5.33</w:t>
            </w:r>
            <w:proofErr w:type="spellEnd"/>
          </w:p>
        </w:tc>
        <w:tc>
          <w:tcPr>
            <w:tcW w:w="6864" w:type="dxa"/>
            <w:shd w:val="clear" w:color="auto" w:fill="auto"/>
            <w:hideMark/>
          </w:tcPr>
          <w:p w:rsidR="00BA18A3" w:rsidRPr="00BA18A3" w:rsidRDefault="00BA18A3" w:rsidP="00BA18A3">
            <w:pPr>
              <w:jc w:val="both"/>
              <w:rPr>
                <w:rFonts w:ascii="Arial" w:hAnsi="Arial" w:cs="Arial"/>
                <w:sz w:val="20"/>
                <w:szCs w:val="20"/>
              </w:rPr>
            </w:pPr>
            <w:r w:rsidRPr="00BA18A3">
              <w:rPr>
                <w:rFonts w:ascii="Arial" w:hAnsi="Arial" w:cs="Arial"/>
                <w:sz w:val="20"/>
                <w:szCs w:val="20"/>
              </w:rPr>
              <w:t xml:space="preserve">Relative standard error of proportion of graduates aged 20–64 years with improved employment status after training, by age, 2013, 2012, 2011, 2010, 2009, 2008 and 2007 (per cent)    </w:t>
            </w:r>
          </w:p>
        </w:tc>
      </w:tr>
      <w:tr w:rsidR="00BA18A3" w:rsidRPr="00BA18A3" w:rsidTr="00BA18A3">
        <w:trPr>
          <w:trHeight w:val="867"/>
        </w:trPr>
        <w:tc>
          <w:tcPr>
            <w:tcW w:w="1940" w:type="dxa"/>
            <w:shd w:val="clear" w:color="auto" w:fill="auto"/>
            <w:noWrap/>
            <w:hideMark/>
          </w:tcPr>
          <w:p w:rsidR="00BA18A3" w:rsidRPr="00BA18A3" w:rsidRDefault="00BA18A3" w:rsidP="00BA18A3">
            <w:pPr>
              <w:rPr>
                <w:rFonts w:ascii="Arial" w:hAnsi="Arial" w:cs="Arial"/>
                <w:b/>
                <w:bCs/>
                <w:sz w:val="20"/>
                <w:szCs w:val="20"/>
              </w:rPr>
            </w:pPr>
            <w:r w:rsidRPr="00BA18A3">
              <w:rPr>
                <w:rFonts w:ascii="Arial" w:hAnsi="Arial" w:cs="Arial"/>
                <w:b/>
                <w:bCs/>
                <w:sz w:val="20"/>
                <w:szCs w:val="20"/>
              </w:rPr>
              <w:t xml:space="preserve">Table </w:t>
            </w:r>
            <w:proofErr w:type="spellStart"/>
            <w:r w:rsidRPr="00BA18A3">
              <w:rPr>
                <w:rFonts w:ascii="Arial" w:hAnsi="Arial" w:cs="Arial"/>
                <w:b/>
                <w:bCs/>
                <w:sz w:val="20"/>
                <w:szCs w:val="20"/>
              </w:rPr>
              <w:t>SWD.5.34</w:t>
            </w:r>
            <w:proofErr w:type="spellEnd"/>
          </w:p>
        </w:tc>
        <w:tc>
          <w:tcPr>
            <w:tcW w:w="6864" w:type="dxa"/>
            <w:shd w:val="clear" w:color="auto" w:fill="auto"/>
            <w:hideMark/>
          </w:tcPr>
          <w:p w:rsidR="00BA18A3" w:rsidRPr="00BA18A3" w:rsidRDefault="00BA18A3" w:rsidP="00BA18A3">
            <w:pPr>
              <w:jc w:val="both"/>
              <w:rPr>
                <w:rFonts w:ascii="Arial" w:hAnsi="Arial" w:cs="Arial"/>
                <w:sz w:val="20"/>
                <w:szCs w:val="20"/>
              </w:rPr>
            </w:pPr>
            <w:r w:rsidRPr="00BA18A3">
              <w:rPr>
                <w:rFonts w:ascii="Arial" w:hAnsi="Arial" w:cs="Arial"/>
                <w:sz w:val="20"/>
                <w:szCs w:val="20"/>
              </w:rPr>
              <w:t xml:space="preserve">95 per cent confidence intervals of proportion of graduates aged 20–64 years with improved employment status after training, by age, 2013, 2012, 2011, 2010, 2009, 2008 and 2007 (per cent)    </w:t>
            </w:r>
          </w:p>
        </w:tc>
      </w:tr>
      <w:tr w:rsidR="00BA18A3" w:rsidRPr="00BA18A3" w:rsidTr="00BA18A3">
        <w:trPr>
          <w:trHeight w:val="612"/>
        </w:trPr>
        <w:tc>
          <w:tcPr>
            <w:tcW w:w="1940" w:type="dxa"/>
            <w:shd w:val="clear" w:color="auto" w:fill="auto"/>
            <w:noWrap/>
            <w:hideMark/>
          </w:tcPr>
          <w:p w:rsidR="00BA18A3" w:rsidRPr="00BA18A3" w:rsidRDefault="00BA18A3" w:rsidP="00BA18A3">
            <w:pPr>
              <w:rPr>
                <w:rFonts w:ascii="Arial" w:hAnsi="Arial" w:cs="Arial"/>
                <w:b/>
                <w:bCs/>
                <w:sz w:val="20"/>
                <w:szCs w:val="20"/>
              </w:rPr>
            </w:pPr>
            <w:r w:rsidRPr="00BA18A3">
              <w:rPr>
                <w:rFonts w:ascii="Arial" w:hAnsi="Arial" w:cs="Arial"/>
                <w:b/>
                <w:bCs/>
                <w:sz w:val="20"/>
                <w:szCs w:val="20"/>
              </w:rPr>
              <w:t xml:space="preserve">Table </w:t>
            </w:r>
            <w:proofErr w:type="spellStart"/>
            <w:r w:rsidRPr="00BA18A3">
              <w:rPr>
                <w:rFonts w:ascii="Arial" w:hAnsi="Arial" w:cs="Arial"/>
                <w:b/>
                <w:bCs/>
                <w:sz w:val="20"/>
                <w:szCs w:val="20"/>
              </w:rPr>
              <w:t>SWD.5.35</w:t>
            </w:r>
            <w:proofErr w:type="spellEnd"/>
          </w:p>
        </w:tc>
        <w:tc>
          <w:tcPr>
            <w:tcW w:w="6864" w:type="dxa"/>
            <w:shd w:val="clear" w:color="auto" w:fill="auto"/>
            <w:hideMark/>
          </w:tcPr>
          <w:p w:rsidR="00BA18A3" w:rsidRPr="00BA18A3" w:rsidRDefault="00BA18A3" w:rsidP="00BA18A3">
            <w:pPr>
              <w:jc w:val="both"/>
              <w:rPr>
                <w:rFonts w:ascii="Arial" w:hAnsi="Arial" w:cs="Arial"/>
                <w:sz w:val="20"/>
                <w:szCs w:val="20"/>
              </w:rPr>
            </w:pPr>
            <w:r w:rsidRPr="00BA18A3">
              <w:rPr>
                <w:rFonts w:ascii="Arial" w:hAnsi="Arial" w:cs="Arial"/>
                <w:sz w:val="20"/>
                <w:szCs w:val="20"/>
              </w:rPr>
              <w:t xml:space="preserve">Proportion of graduates aged 20–64 years with improved employment status after training, by field of study, 2007 to 2013 (per cent)    </w:t>
            </w:r>
          </w:p>
        </w:tc>
      </w:tr>
      <w:tr w:rsidR="00BA18A3" w:rsidRPr="00BA18A3" w:rsidTr="00BA18A3">
        <w:trPr>
          <w:trHeight w:val="867"/>
        </w:trPr>
        <w:tc>
          <w:tcPr>
            <w:tcW w:w="1940" w:type="dxa"/>
            <w:shd w:val="clear" w:color="auto" w:fill="auto"/>
            <w:noWrap/>
            <w:hideMark/>
          </w:tcPr>
          <w:p w:rsidR="00BA18A3" w:rsidRPr="00BA18A3" w:rsidRDefault="00BA18A3" w:rsidP="00BA18A3">
            <w:pPr>
              <w:rPr>
                <w:rFonts w:ascii="Arial" w:hAnsi="Arial" w:cs="Arial"/>
                <w:b/>
                <w:bCs/>
                <w:sz w:val="20"/>
                <w:szCs w:val="20"/>
              </w:rPr>
            </w:pPr>
            <w:r w:rsidRPr="00BA18A3">
              <w:rPr>
                <w:rFonts w:ascii="Arial" w:hAnsi="Arial" w:cs="Arial"/>
                <w:b/>
                <w:bCs/>
                <w:sz w:val="20"/>
                <w:szCs w:val="20"/>
              </w:rPr>
              <w:t xml:space="preserve">Table </w:t>
            </w:r>
            <w:proofErr w:type="spellStart"/>
            <w:r w:rsidRPr="00BA18A3">
              <w:rPr>
                <w:rFonts w:ascii="Arial" w:hAnsi="Arial" w:cs="Arial"/>
                <w:b/>
                <w:bCs/>
                <w:sz w:val="20"/>
                <w:szCs w:val="20"/>
              </w:rPr>
              <w:t>SWD.5.36</w:t>
            </w:r>
            <w:proofErr w:type="spellEnd"/>
          </w:p>
        </w:tc>
        <w:tc>
          <w:tcPr>
            <w:tcW w:w="6864" w:type="dxa"/>
            <w:shd w:val="clear" w:color="auto" w:fill="auto"/>
            <w:hideMark/>
          </w:tcPr>
          <w:p w:rsidR="00BA18A3" w:rsidRPr="00BA18A3" w:rsidRDefault="00BA18A3" w:rsidP="00BA18A3">
            <w:pPr>
              <w:jc w:val="both"/>
              <w:rPr>
                <w:rFonts w:ascii="Arial" w:hAnsi="Arial" w:cs="Arial"/>
                <w:sz w:val="20"/>
                <w:szCs w:val="20"/>
              </w:rPr>
            </w:pPr>
            <w:r w:rsidRPr="00BA18A3">
              <w:rPr>
                <w:rFonts w:ascii="Arial" w:hAnsi="Arial" w:cs="Arial"/>
                <w:sz w:val="20"/>
                <w:szCs w:val="20"/>
              </w:rPr>
              <w:t xml:space="preserve">Relative standard error of proportion of graduates aged 20–64 years with improved employment status after training, by field of study, 2007 to 2013 (per cent)    </w:t>
            </w:r>
          </w:p>
        </w:tc>
      </w:tr>
      <w:tr w:rsidR="00BA18A3" w:rsidRPr="00BA18A3" w:rsidTr="00BA18A3">
        <w:trPr>
          <w:trHeight w:val="867"/>
        </w:trPr>
        <w:tc>
          <w:tcPr>
            <w:tcW w:w="1940" w:type="dxa"/>
            <w:shd w:val="clear" w:color="auto" w:fill="auto"/>
            <w:noWrap/>
            <w:hideMark/>
          </w:tcPr>
          <w:p w:rsidR="00BA18A3" w:rsidRPr="00BA18A3" w:rsidRDefault="00BA18A3" w:rsidP="00BA18A3">
            <w:pPr>
              <w:rPr>
                <w:rFonts w:ascii="Arial" w:hAnsi="Arial" w:cs="Arial"/>
                <w:b/>
                <w:bCs/>
                <w:sz w:val="20"/>
                <w:szCs w:val="20"/>
              </w:rPr>
            </w:pPr>
            <w:r w:rsidRPr="00BA18A3">
              <w:rPr>
                <w:rFonts w:ascii="Arial" w:hAnsi="Arial" w:cs="Arial"/>
                <w:b/>
                <w:bCs/>
                <w:sz w:val="20"/>
                <w:szCs w:val="20"/>
              </w:rPr>
              <w:t xml:space="preserve">Table </w:t>
            </w:r>
            <w:proofErr w:type="spellStart"/>
            <w:r w:rsidRPr="00BA18A3">
              <w:rPr>
                <w:rFonts w:ascii="Arial" w:hAnsi="Arial" w:cs="Arial"/>
                <w:b/>
                <w:bCs/>
                <w:sz w:val="20"/>
                <w:szCs w:val="20"/>
              </w:rPr>
              <w:t>SWD.5.37</w:t>
            </w:r>
            <w:proofErr w:type="spellEnd"/>
          </w:p>
        </w:tc>
        <w:tc>
          <w:tcPr>
            <w:tcW w:w="6864" w:type="dxa"/>
            <w:shd w:val="clear" w:color="auto" w:fill="auto"/>
            <w:hideMark/>
          </w:tcPr>
          <w:p w:rsidR="00BA18A3" w:rsidRPr="00BA18A3" w:rsidRDefault="00BA18A3" w:rsidP="00BA18A3">
            <w:pPr>
              <w:jc w:val="both"/>
              <w:rPr>
                <w:rFonts w:ascii="Arial" w:hAnsi="Arial" w:cs="Arial"/>
                <w:sz w:val="20"/>
                <w:szCs w:val="20"/>
              </w:rPr>
            </w:pPr>
            <w:r w:rsidRPr="00BA18A3">
              <w:rPr>
                <w:rFonts w:ascii="Arial" w:hAnsi="Arial" w:cs="Arial"/>
                <w:sz w:val="20"/>
                <w:szCs w:val="20"/>
              </w:rPr>
              <w:t xml:space="preserve">95 per cent confidence interval of proportion of graduates aged 20–64 years with improved employment status after training, by field of study, 2007 to 2013 (per cent)    </w:t>
            </w:r>
          </w:p>
        </w:tc>
      </w:tr>
      <w:tr w:rsidR="00BA18A3" w:rsidRPr="00BA18A3" w:rsidTr="00BA18A3">
        <w:trPr>
          <w:trHeight w:val="612"/>
        </w:trPr>
        <w:tc>
          <w:tcPr>
            <w:tcW w:w="1940" w:type="dxa"/>
            <w:shd w:val="clear" w:color="auto" w:fill="auto"/>
            <w:noWrap/>
            <w:hideMark/>
          </w:tcPr>
          <w:p w:rsidR="00BA18A3" w:rsidRPr="00BA18A3" w:rsidRDefault="00BA18A3" w:rsidP="00BA18A3">
            <w:pPr>
              <w:rPr>
                <w:rFonts w:ascii="Arial" w:hAnsi="Arial" w:cs="Arial"/>
                <w:b/>
                <w:bCs/>
                <w:sz w:val="20"/>
                <w:szCs w:val="20"/>
              </w:rPr>
            </w:pPr>
            <w:r w:rsidRPr="00BA18A3">
              <w:rPr>
                <w:rFonts w:ascii="Arial" w:hAnsi="Arial" w:cs="Arial"/>
                <w:b/>
                <w:bCs/>
                <w:sz w:val="20"/>
                <w:szCs w:val="20"/>
              </w:rPr>
              <w:t xml:space="preserve">Table </w:t>
            </w:r>
            <w:proofErr w:type="spellStart"/>
            <w:r w:rsidRPr="00BA18A3">
              <w:rPr>
                <w:rFonts w:ascii="Arial" w:hAnsi="Arial" w:cs="Arial"/>
                <w:b/>
                <w:bCs/>
                <w:sz w:val="20"/>
                <w:szCs w:val="20"/>
              </w:rPr>
              <w:t>SWD.5.38</w:t>
            </w:r>
            <w:proofErr w:type="spellEnd"/>
          </w:p>
        </w:tc>
        <w:tc>
          <w:tcPr>
            <w:tcW w:w="6864" w:type="dxa"/>
            <w:shd w:val="clear" w:color="auto" w:fill="auto"/>
            <w:hideMark/>
          </w:tcPr>
          <w:p w:rsidR="00BA18A3" w:rsidRPr="00BA18A3" w:rsidRDefault="00BA18A3" w:rsidP="00BA18A3">
            <w:pPr>
              <w:jc w:val="both"/>
              <w:rPr>
                <w:rFonts w:ascii="Arial" w:hAnsi="Arial" w:cs="Arial"/>
                <w:sz w:val="20"/>
                <w:szCs w:val="20"/>
              </w:rPr>
            </w:pPr>
            <w:r w:rsidRPr="00BA18A3">
              <w:rPr>
                <w:rFonts w:ascii="Arial" w:hAnsi="Arial" w:cs="Arial"/>
                <w:sz w:val="20"/>
                <w:szCs w:val="20"/>
              </w:rPr>
              <w:t xml:space="preserve">Graduates aged 20–64 years with improved employment status after training, by remoteness, 2013    </w:t>
            </w:r>
          </w:p>
        </w:tc>
      </w:tr>
      <w:tr w:rsidR="00BA18A3" w:rsidRPr="00BA18A3" w:rsidTr="00D92738">
        <w:trPr>
          <w:trHeight w:val="474"/>
        </w:trPr>
        <w:tc>
          <w:tcPr>
            <w:tcW w:w="1940" w:type="dxa"/>
            <w:shd w:val="clear" w:color="auto" w:fill="auto"/>
            <w:noWrap/>
            <w:hideMark/>
          </w:tcPr>
          <w:p w:rsidR="00BA18A3" w:rsidRPr="00BA18A3" w:rsidRDefault="00BA18A3" w:rsidP="00BA18A3">
            <w:pPr>
              <w:rPr>
                <w:rFonts w:ascii="Arial" w:hAnsi="Arial" w:cs="Arial"/>
                <w:b/>
                <w:bCs/>
                <w:sz w:val="20"/>
                <w:szCs w:val="20"/>
              </w:rPr>
            </w:pPr>
            <w:r w:rsidRPr="00BA18A3">
              <w:rPr>
                <w:rFonts w:ascii="Arial" w:hAnsi="Arial" w:cs="Arial"/>
                <w:b/>
                <w:bCs/>
                <w:sz w:val="20"/>
                <w:szCs w:val="20"/>
              </w:rPr>
              <w:t xml:space="preserve">Table </w:t>
            </w:r>
            <w:proofErr w:type="spellStart"/>
            <w:r w:rsidRPr="00BA18A3">
              <w:rPr>
                <w:rFonts w:ascii="Arial" w:hAnsi="Arial" w:cs="Arial"/>
                <w:b/>
                <w:bCs/>
                <w:sz w:val="20"/>
                <w:szCs w:val="20"/>
              </w:rPr>
              <w:t>SWD.5.39</w:t>
            </w:r>
            <w:proofErr w:type="spellEnd"/>
          </w:p>
        </w:tc>
        <w:tc>
          <w:tcPr>
            <w:tcW w:w="6864" w:type="dxa"/>
            <w:shd w:val="clear" w:color="auto" w:fill="auto"/>
            <w:hideMark/>
          </w:tcPr>
          <w:p w:rsidR="00BA18A3" w:rsidRPr="00BA18A3" w:rsidRDefault="00BA18A3" w:rsidP="00BA18A3">
            <w:pPr>
              <w:jc w:val="both"/>
              <w:rPr>
                <w:rFonts w:ascii="Arial" w:hAnsi="Arial" w:cs="Arial"/>
                <w:sz w:val="20"/>
                <w:szCs w:val="20"/>
              </w:rPr>
            </w:pPr>
            <w:r w:rsidRPr="00BA18A3">
              <w:rPr>
                <w:rFonts w:ascii="Arial" w:hAnsi="Arial" w:cs="Arial"/>
                <w:sz w:val="20"/>
                <w:szCs w:val="20"/>
              </w:rPr>
              <w:t xml:space="preserve">Graduates aged 20–64 years with improved employment status after training, by remoteness, 2012    </w:t>
            </w:r>
          </w:p>
        </w:tc>
      </w:tr>
    </w:tbl>
    <w:p w:rsidR="00DA5E5D" w:rsidRPr="00DA5E5D" w:rsidRDefault="00DA5E5D" w:rsidP="00DA5E5D">
      <w:pPr>
        <w:pStyle w:val="BodyText"/>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67"/>
      </w:tblGrid>
      <w:tr w:rsidR="006F0D35" w:rsidTr="00684453">
        <w:tc>
          <w:tcPr>
            <w:tcW w:w="8767" w:type="dxa"/>
            <w:tcBorders>
              <w:top w:val="single" w:sz="6" w:space="0" w:color="auto"/>
              <w:bottom w:val="nil"/>
            </w:tcBorders>
          </w:tcPr>
          <w:p w:rsidR="006F0D35" w:rsidRDefault="006F0D35" w:rsidP="007D0349">
            <w:pPr>
              <w:pStyle w:val="BoxTitle"/>
            </w:pPr>
            <w:r>
              <w:rPr>
                <w:b w:val="0"/>
              </w:rPr>
              <w:t xml:space="preserve">Box </w:t>
            </w:r>
            <w:r w:rsidR="00503759">
              <w:rPr>
                <w:b w:val="0"/>
                <w:noProof/>
              </w:rPr>
              <w:t>1</w:t>
            </w:r>
            <w:r w:rsidR="00482B04">
              <w:rPr>
                <w:b w:val="0"/>
                <w:noProof/>
              </w:rPr>
              <w:t>4</w:t>
            </w:r>
            <w:r w:rsidR="00056723">
              <w:tab/>
              <w:t>Comment on data quality</w:t>
            </w:r>
          </w:p>
        </w:tc>
      </w:tr>
      <w:tr w:rsidR="006F0D35" w:rsidRPr="00DA5E5D" w:rsidTr="00684453">
        <w:trPr>
          <w:cantSplit/>
        </w:trPr>
        <w:tc>
          <w:tcPr>
            <w:tcW w:w="8767" w:type="dxa"/>
            <w:tcBorders>
              <w:top w:val="nil"/>
              <w:left w:val="single" w:sz="4" w:space="0" w:color="auto"/>
              <w:bottom w:val="nil"/>
              <w:right w:val="single" w:sz="6" w:space="0" w:color="auto"/>
            </w:tcBorders>
          </w:tcPr>
          <w:p w:rsidR="00446B27" w:rsidRDefault="00DA5E5D" w:rsidP="00073F28">
            <w:pPr>
              <w:pStyle w:val="Box"/>
            </w:pPr>
            <w:r>
              <w:t xml:space="preserve">The DQS for this indicator has been prepared by the NCVER and is included in its original form in the section </w:t>
            </w:r>
            <w:r w:rsidR="00A24422">
              <w:t xml:space="preserve">of </w:t>
            </w:r>
            <w:r>
              <w:t xml:space="preserve">this report titled ‘Data Quality Statements’. Key points from the DQS are summarised below. </w:t>
            </w:r>
          </w:p>
          <w:p w:rsidR="00DA5E5D" w:rsidRDefault="00DA5E5D" w:rsidP="00DA5E5D">
            <w:pPr>
              <w:pStyle w:val="BoxListBullet"/>
            </w:pPr>
            <w:r>
              <w:t xml:space="preserve">The data provide relevant information on the proportion of VET graduates aged </w:t>
            </w:r>
            <w:r w:rsidR="00D10A35">
              <w:br/>
            </w:r>
            <w:r>
              <w:t>20</w:t>
            </w:r>
            <w:r w:rsidR="00B3798F">
              <w:t>–</w:t>
            </w:r>
            <w:r>
              <w:t xml:space="preserve">64 years who have improved employment status following training. </w:t>
            </w:r>
          </w:p>
          <w:p w:rsidR="00DA5E5D" w:rsidRDefault="00DA5E5D" w:rsidP="00EF2B9D">
            <w:pPr>
              <w:pStyle w:val="BoxListBullet"/>
            </w:pPr>
            <w:r>
              <w:t>Annual data are available from the Student Outcomes Survey</w:t>
            </w:r>
            <w:r w:rsidR="00B3798F">
              <w:t xml:space="preserve"> (SOS)</w:t>
            </w:r>
            <w:r>
              <w:t>. The most recent available data are for 201</w:t>
            </w:r>
            <w:r w:rsidR="00EF2B9D">
              <w:t>3 (outcomes in 2013</w:t>
            </w:r>
            <w:r>
              <w:t xml:space="preserve"> of students who </w:t>
            </w:r>
            <w:r w:rsidR="00AE7C3A">
              <w:t xml:space="preserve">completed </w:t>
            </w:r>
            <w:r>
              <w:t>qualifica</w:t>
            </w:r>
            <w:r w:rsidR="00EF2B9D">
              <w:t>tions in 2012</w:t>
            </w:r>
            <w:r>
              <w:t>). Data are available by State and Territory</w:t>
            </w:r>
            <w:r w:rsidR="00684453">
              <w:t>, by Indigenous</w:t>
            </w:r>
            <w:r w:rsidR="00B3798F">
              <w:t xml:space="preserve"> status and </w:t>
            </w:r>
            <w:r w:rsidR="00684453">
              <w:t>socioeconomic status</w:t>
            </w:r>
            <w:r w:rsidR="00B3798F">
              <w:t xml:space="preserve"> (SES)</w:t>
            </w:r>
            <w:r w:rsidR="00684453">
              <w:t>.</w:t>
            </w:r>
          </w:p>
          <w:p w:rsidR="00684453" w:rsidRDefault="00684453" w:rsidP="00EF2B9D">
            <w:pPr>
              <w:pStyle w:val="BoxListBullet"/>
            </w:pPr>
            <w:r>
              <w:t>The survey does not include privately funded VET delivered by private providers.</w:t>
            </w:r>
          </w:p>
          <w:p w:rsidR="00684453" w:rsidRDefault="00684453" w:rsidP="00684453">
            <w:pPr>
              <w:pStyle w:val="BoxListBullet"/>
            </w:pPr>
            <w:r>
              <w:t xml:space="preserve">The response rate to this survey </w:t>
            </w:r>
            <w:r w:rsidRPr="00494185">
              <w:t xml:space="preserve">was </w:t>
            </w:r>
            <w:r w:rsidR="00494185" w:rsidRPr="00494185">
              <w:t>41</w:t>
            </w:r>
            <w:r w:rsidRPr="00494185">
              <w:t>.</w:t>
            </w:r>
            <w:r w:rsidR="00494185" w:rsidRPr="00494185">
              <w:t>9</w:t>
            </w:r>
            <w:r>
              <w:t xml:space="preserve"> per cent in 2013. NCVER analysis found that </w:t>
            </w:r>
            <w:r w:rsidR="00D10A35">
              <w:t>t</w:t>
            </w:r>
            <w:r>
              <w:t xml:space="preserve">he non-response was not likely to have affected the quality </w:t>
            </w:r>
            <w:r w:rsidR="00D05CC7">
              <w:t xml:space="preserve">of the results. </w:t>
            </w:r>
          </w:p>
          <w:p w:rsidR="00D05CC7" w:rsidRDefault="00D05CC7" w:rsidP="00D05CC7">
            <w:pPr>
              <w:pStyle w:val="BoxListBullet"/>
            </w:pPr>
            <w:r>
              <w:t>Data are of acceptable accuracy at the national level and by State and Territory, but some data disaggregated by Indigenous status, SES</w:t>
            </w:r>
            <w:r w:rsidR="00B3798F">
              <w:t xml:space="preserve"> and</w:t>
            </w:r>
            <w:r>
              <w:t xml:space="preserve"> remoteness by State and Territory have relative standard errors greater than 25 per cent and should be used with caution. </w:t>
            </w:r>
          </w:p>
          <w:p w:rsidR="00D05CC7" w:rsidRDefault="00D05CC7" w:rsidP="00D05CC7">
            <w:pPr>
              <w:pStyle w:val="BoxListBullet"/>
            </w:pPr>
            <w:r>
              <w:t xml:space="preserve">Detailed explanatory notes are publicly available to assist in the interpretation of results. </w:t>
            </w:r>
          </w:p>
          <w:p w:rsidR="00D05CC7" w:rsidRDefault="00D05CC7" w:rsidP="00D05CC7">
            <w:pPr>
              <w:pStyle w:val="BoxListBullet"/>
            </w:pPr>
            <w:r>
              <w:t xml:space="preserve">Additional data from the data source are available </w:t>
            </w:r>
            <w:proofErr w:type="spellStart"/>
            <w:r>
              <w:t>on-line</w:t>
            </w:r>
            <w:proofErr w:type="spellEnd"/>
            <w:r>
              <w:t xml:space="preserve">, and on request. </w:t>
            </w:r>
          </w:p>
          <w:p w:rsidR="00D05CC7" w:rsidRDefault="00D05CC7" w:rsidP="00D05CC7">
            <w:pPr>
              <w:pStyle w:val="Box"/>
            </w:pPr>
            <w:r>
              <w:t>The Steering Committee also notes the following issues:</w:t>
            </w:r>
          </w:p>
          <w:p w:rsidR="00D05CC7" w:rsidRDefault="00D05CC7" w:rsidP="00D05CC7">
            <w:pPr>
              <w:pStyle w:val="BoxListBullet"/>
            </w:pPr>
            <w:r>
              <w:t xml:space="preserve">The current scope of this data collection does not include graduates who studied with private providers on a fee-for-service basis. Reporting on the full scope of VET graduates is a priority. </w:t>
            </w:r>
          </w:p>
          <w:p w:rsidR="00D05CC7" w:rsidRDefault="00B3798F" w:rsidP="00D10A35">
            <w:pPr>
              <w:pStyle w:val="BoxListBullet"/>
            </w:pPr>
            <w:r w:rsidRPr="00FE1905">
              <w:t xml:space="preserve">Data reported by socioeconomic status </w:t>
            </w:r>
            <w:r>
              <w:t xml:space="preserve">from </w:t>
            </w:r>
            <w:r w:rsidRPr="00FE1905">
              <w:t>2012</w:t>
            </w:r>
            <w:r>
              <w:t xml:space="preserve"> onwards</w:t>
            </w:r>
            <w:r w:rsidRPr="00FE1905">
              <w:t xml:space="preserve"> ar</w:t>
            </w:r>
            <w:r>
              <w:t>e based on the 2011 SEIFA classification (data for prior years were based on the 2006 SEIFA classification)</w:t>
            </w:r>
            <w:r w:rsidRPr="00FE1905">
              <w:t>.</w:t>
            </w:r>
            <w:r>
              <w:t xml:space="preserve"> In addition, a new ABS geography was also incorporated into the SOS from 2012 onwards. </w:t>
            </w:r>
            <w:r w:rsidR="00A24422">
              <w:t>In combination, t</w:t>
            </w:r>
            <w:r>
              <w:t>hese changes have resulted in a break in series for SES data</w:t>
            </w:r>
            <w:r w:rsidR="00A24422">
              <w:t xml:space="preserve"> from 2012</w:t>
            </w:r>
            <w:r>
              <w:t>. Comparable time series data are available for 2012 and 2013.</w:t>
            </w:r>
            <w:r w:rsidRPr="00FE1905">
              <w:t xml:space="preserve"> </w:t>
            </w:r>
          </w:p>
          <w:p w:rsidR="00B3798F" w:rsidRPr="00DA5E5D" w:rsidRDefault="00B3798F" w:rsidP="00B3798F">
            <w:pPr>
              <w:pStyle w:val="BoxListBullet"/>
            </w:pPr>
            <w:r>
              <w:t>Data disaggregated by remoteness are included in this report for the first time. Comparable time series data are available for 2012 and 2013.</w:t>
            </w:r>
          </w:p>
        </w:tc>
      </w:tr>
      <w:tr w:rsidR="006F0D35" w:rsidTr="00684453">
        <w:trPr>
          <w:cantSplit/>
        </w:trPr>
        <w:tc>
          <w:tcPr>
            <w:tcW w:w="8767" w:type="dxa"/>
            <w:tcBorders>
              <w:top w:val="nil"/>
              <w:left w:val="single" w:sz="6" w:space="0" w:color="auto"/>
              <w:bottom w:val="single" w:sz="6" w:space="0" w:color="auto"/>
              <w:right w:val="single" w:sz="6" w:space="0" w:color="auto"/>
            </w:tcBorders>
          </w:tcPr>
          <w:p w:rsidR="006F0D35" w:rsidRDefault="006F0D35" w:rsidP="00402212">
            <w:pPr>
              <w:pStyle w:val="Box"/>
              <w:spacing w:before="0" w:line="120" w:lineRule="exact"/>
            </w:pPr>
          </w:p>
        </w:tc>
      </w:tr>
      <w:tr w:rsidR="006F0D35" w:rsidTr="00684453">
        <w:tc>
          <w:tcPr>
            <w:tcW w:w="8767" w:type="dxa"/>
            <w:tcBorders>
              <w:top w:val="nil"/>
              <w:left w:val="nil"/>
              <w:bottom w:val="nil"/>
              <w:right w:val="nil"/>
            </w:tcBorders>
          </w:tcPr>
          <w:p w:rsidR="006F0D35" w:rsidRDefault="006F0D35" w:rsidP="00402212">
            <w:pPr>
              <w:pStyle w:val="Box"/>
              <w:keepNext w:val="0"/>
              <w:spacing w:before="60" w:after="60" w:line="80" w:lineRule="exact"/>
              <w:rPr>
                <w:b/>
                <w:color w:val="FF00FF"/>
                <w:sz w:val="14"/>
              </w:rPr>
            </w:pPr>
          </w:p>
        </w:tc>
      </w:tr>
    </w:tbl>
    <w:p w:rsidR="009764E1" w:rsidRPr="009764E1" w:rsidRDefault="00056723" w:rsidP="005E767C">
      <w:pPr>
        <w:pStyle w:val="Heading3"/>
        <w:spacing w:after="360"/>
      </w:pPr>
      <w:bookmarkStart w:id="26" w:name="_Ref328392165"/>
      <w:r>
        <w:t>Indicator 6 —</w:t>
      </w:r>
      <w:r w:rsidR="00B9120C">
        <w:t xml:space="preserve"> </w:t>
      </w:r>
      <w:r>
        <w:t>Proportions of VET graduates with improved education/training status after training</w:t>
      </w:r>
      <w:bookmarkEnd w:id="26"/>
    </w:p>
    <w:tbl>
      <w:tblPr>
        <w:tblW w:w="0" w:type="auto"/>
        <w:tblInd w:w="108" w:type="dxa"/>
        <w:tblLayout w:type="fixed"/>
        <w:tblLook w:val="01E0" w:firstRow="1" w:lastRow="1" w:firstColumn="1" w:lastColumn="1" w:noHBand="0" w:noVBand="0"/>
      </w:tblPr>
      <w:tblGrid>
        <w:gridCol w:w="1985"/>
        <w:gridCol w:w="6804"/>
      </w:tblGrid>
      <w:tr w:rsidR="00056723" w:rsidTr="00056723">
        <w:trPr>
          <w:trHeight w:val="961"/>
        </w:trPr>
        <w:tc>
          <w:tcPr>
            <w:tcW w:w="1985" w:type="dxa"/>
          </w:tcPr>
          <w:p w:rsidR="00056723" w:rsidRPr="00366033" w:rsidRDefault="00056723" w:rsidP="00056723">
            <w:pPr>
              <w:pStyle w:val="TableBodyText"/>
              <w:jc w:val="left"/>
            </w:pPr>
            <w:r w:rsidRPr="00366033">
              <w:t xml:space="preserve">Key amendments from </w:t>
            </w:r>
            <w:r>
              <w:t>previous</w:t>
            </w:r>
            <w:r w:rsidRPr="00366033">
              <w:t xml:space="preserve"> cycle:</w:t>
            </w:r>
            <w:r w:rsidRPr="00366033">
              <w:tab/>
            </w:r>
          </w:p>
        </w:tc>
        <w:tc>
          <w:tcPr>
            <w:tcW w:w="6804" w:type="dxa"/>
          </w:tcPr>
          <w:p w:rsidR="009F0260" w:rsidRDefault="009F0260" w:rsidP="00D567CF">
            <w:pPr>
              <w:pStyle w:val="TableBullet"/>
            </w:pPr>
            <w:r>
              <w:t>No new data available for this cycle of reporting following the change in reporting date from June to April (two months earlier than previous cycles).</w:t>
            </w:r>
          </w:p>
          <w:p w:rsidR="00FF6B97" w:rsidRPr="0012777A" w:rsidRDefault="009F0260" w:rsidP="00D567CF">
            <w:pPr>
              <w:pStyle w:val="TableBullet"/>
            </w:pPr>
            <w:r>
              <w:t>In response to a CRC recommendation, additional disaggregations are reported for historical years data.</w:t>
            </w:r>
          </w:p>
        </w:tc>
      </w:tr>
      <w:tr w:rsidR="00056723" w:rsidTr="00056723">
        <w:trPr>
          <w:trHeight w:val="598"/>
        </w:trPr>
        <w:tc>
          <w:tcPr>
            <w:tcW w:w="1985" w:type="dxa"/>
          </w:tcPr>
          <w:p w:rsidR="00056723" w:rsidRDefault="00056723" w:rsidP="00056723">
            <w:pPr>
              <w:pStyle w:val="TableBodyText"/>
              <w:jc w:val="left"/>
            </w:pPr>
            <w:r>
              <w:t>Outcome:</w:t>
            </w:r>
          </w:p>
        </w:tc>
        <w:tc>
          <w:tcPr>
            <w:tcW w:w="6804" w:type="dxa"/>
          </w:tcPr>
          <w:p w:rsidR="002026AE" w:rsidRPr="0023437B" w:rsidRDefault="009F0260" w:rsidP="004A7F7C">
            <w:pPr>
              <w:pStyle w:val="TableBodyText"/>
              <w:jc w:val="left"/>
            </w:pPr>
            <w:r w:rsidRPr="009F0260">
              <w:t>Training delivers the skills and capabilities needed for improved economic participation for working age Australians</w:t>
            </w:r>
          </w:p>
        </w:tc>
      </w:tr>
      <w:tr w:rsidR="00056723" w:rsidTr="00056723">
        <w:tc>
          <w:tcPr>
            <w:tcW w:w="1985" w:type="dxa"/>
          </w:tcPr>
          <w:p w:rsidR="00056723" w:rsidRDefault="00056723" w:rsidP="00056723">
            <w:pPr>
              <w:pStyle w:val="TableBodyText"/>
              <w:jc w:val="left"/>
            </w:pPr>
            <w:r>
              <w:t xml:space="preserve">Performance indicator: </w:t>
            </w:r>
          </w:p>
          <w:p w:rsidR="00056723" w:rsidRPr="000E5A86" w:rsidRDefault="00056723" w:rsidP="00056723">
            <w:pPr>
              <w:pStyle w:val="TableBodyText"/>
              <w:jc w:val="left"/>
            </w:pPr>
          </w:p>
        </w:tc>
        <w:tc>
          <w:tcPr>
            <w:tcW w:w="6804" w:type="dxa"/>
          </w:tcPr>
          <w:p w:rsidR="00056723" w:rsidRPr="00EC6CE2" w:rsidRDefault="009F0260" w:rsidP="004A7F7C">
            <w:pPr>
              <w:pStyle w:val="TableBodyText"/>
              <w:jc w:val="left"/>
            </w:pPr>
            <w:r w:rsidRPr="009F0260">
              <w:t>Proportion of VET graduates with improved education/training status after training</w:t>
            </w:r>
          </w:p>
        </w:tc>
      </w:tr>
      <w:tr w:rsidR="00056723" w:rsidTr="00056723">
        <w:tc>
          <w:tcPr>
            <w:tcW w:w="1985" w:type="dxa"/>
          </w:tcPr>
          <w:p w:rsidR="00056723" w:rsidRDefault="00D567CF" w:rsidP="00D567CF">
            <w:pPr>
              <w:pStyle w:val="TableBodyText"/>
              <w:jc w:val="left"/>
            </w:pPr>
            <w:r>
              <w:t>Main m</w:t>
            </w:r>
            <w:r w:rsidR="00056723" w:rsidRPr="000E5A86">
              <w:t>easure</w:t>
            </w:r>
            <w:r w:rsidR="006D5807">
              <w:t>:</w:t>
            </w:r>
          </w:p>
        </w:tc>
        <w:tc>
          <w:tcPr>
            <w:tcW w:w="6804" w:type="dxa"/>
          </w:tcPr>
          <w:p w:rsidR="009F0260" w:rsidRDefault="009F0260" w:rsidP="004A7F7C">
            <w:pPr>
              <w:pStyle w:val="TableBodyText"/>
              <w:jc w:val="left"/>
            </w:pPr>
            <w:r>
              <w:t>The measure is defined as:</w:t>
            </w:r>
          </w:p>
          <w:p w:rsidR="009F0260" w:rsidRDefault="009F0260" w:rsidP="00D567CF">
            <w:pPr>
              <w:pStyle w:val="TableBullet"/>
            </w:pPr>
            <w:r w:rsidRPr="00D567CF">
              <w:rPr>
                <w:i/>
              </w:rPr>
              <w:t>numerator</w:t>
            </w:r>
            <w:r>
              <w:t xml:space="preserve"> — </w:t>
            </w:r>
            <w:proofErr w:type="spellStart"/>
            <w:r>
              <w:t>AQF</w:t>
            </w:r>
            <w:proofErr w:type="spellEnd"/>
            <w:r>
              <w:t xml:space="preserve"> qualifications completed by students aged 20–64 years at a higher education level than their previous highest education level</w:t>
            </w:r>
          </w:p>
          <w:p w:rsidR="009F0260" w:rsidRDefault="009F0260" w:rsidP="00D567CF">
            <w:pPr>
              <w:pStyle w:val="TableBullet"/>
            </w:pPr>
            <w:r w:rsidRPr="00D567CF">
              <w:rPr>
                <w:i/>
              </w:rPr>
              <w:t>denominator</w:t>
            </w:r>
            <w:r>
              <w:t xml:space="preserve"> — </w:t>
            </w:r>
            <w:proofErr w:type="spellStart"/>
            <w:r>
              <w:t>AQF</w:t>
            </w:r>
            <w:proofErr w:type="spellEnd"/>
            <w:r>
              <w:t xml:space="preserve"> VET course </w:t>
            </w:r>
            <w:r w:rsidRPr="00D567CF">
              <w:rPr>
                <w:u w:val="single"/>
              </w:rPr>
              <w:t>enrolments</w:t>
            </w:r>
            <w:r>
              <w:t xml:space="preserve"> by students aged 20–64 years</w:t>
            </w:r>
          </w:p>
          <w:p w:rsidR="002026AE" w:rsidRDefault="009F0260" w:rsidP="004A7F7C">
            <w:pPr>
              <w:pStyle w:val="TableBodyText"/>
              <w:jc w:val="left"/>
            </w:pPr>
            <w:r>
              <w:t xml:space="preserve">and is expressed as a </w:t>
            </w:r>
            <w:r w:rsidRPr="003C5668">
              <w:rPr>
                <w:i/>
              </w:rPr>
              <w:t>percentage</w:t>
            </w:r>
          </w:p>
          <w:p w:rsidR="00D567CF" w:rsidRPr="00FF2E2E" w:rsidRDefault="00D567CF" w:rsidP="004A7F7C">
            <w:pPr>
              <w:pStyle w:val="TableBodyText"/>
              <w:jc w:val="left"/>
            </w:pPr>
          </w:p>
        </w:tc>
      </w:tr>
      <w:tr w:rsidR="00056723" w:rsidTr="00056723">
        <w:tc>
          <w:tcPr>
            <w:tcW w:w="1985" w:type="dxa"/>
          </w:tcPr>
          <w:p w:rsidR="00056723" w:rsidRDefault="00D567CF" w:rsidP="00D567CF">
            <w:pPr>
              <w:pStyle w:val="TableBodyText"/>
              <w:jc w:val="left"/>
            </w:pPr>
            <w:r>
              <w:t>Supplementary m</w:t>
            </w:r>
            <w:r w:rsidR="006D5807">
              <w:t>easure:</w:t>
            </w:r>
          </w:p>
        </w:tc>
        <w:tc>
          <w:tcPr>
            <w:tcW w:w="6804" w:type="dxa"/>
          </w:tcPr>
          <w:p w:rsidR="009F0260" w:rsidRDefault="009F0260" w:rsidP="004A7F7C">
            <w:pPr>
              <w:pStyle w:val="TableBodyText"/>
              <w:jc w:val="left"/>
            </w:pPr>
            <w:r>
              <w:t>The measure is defined as:</w:t>
            </w:r>
          </w:p>
          <w:p w:rsidR="009F0260" w:rsidRDefault="009F0260" w:rsidP="00D567CF">
            <w:pPr>
              <w:pStyle w:val="TableBullet"/>
            </w:pPr>
            <w:r w:rsidRPr="00D567CF">
              <w:rPr>
                <w:i/>
              </w:rPr>
              <w:t>numerator</w:t>
            </w:r>
            <w:r>
              <w:t xml:space="preserve"> — </w:t>
            </w:r>
            <w:proofErr w:type="spellStart"/>
            <w:r>
              <w:t>AQF</w:t>
            </w:r>
            <w:proofErr w:type="spellEnd"/>
            <w:r>
              <w:t xml:space="preserve"> qualifications completed by students aged 20 64 years at a higher education level than their previous highest education level</w:t>
            </w:r>
          </w:p>
          <w:p w:rsidR="009F0260" w:rsidRDefault="009F0260" w:rsidP="00D567CF">
            <w:pPr>
              <w:pStyle w:val="TableBullet"/>
            </w:pPr>
            <w:r w:rsidRPr="003C5668">
              <w:rPr>
                <w:i/>
              </w:rPr>
              <w:t>denominator</w:t>
            </w:r>
            <w:r>
              <w:t xml:space="preserve"> — </w:t>
            </w:r>
            <w:proofErr w:type="spellStart"/>
            <w:r>
              <w:t>AQF</w:t>
            </w:r>
            <w:proofErr w:type="spellEnd"/>
            <w:r>
              <w:t xml:space="preserve"> VET course qualifications </w:t>
            </w:r>
            <w:r w:rsidRPr="001D2234">
              <w:rPr>
                <w:u w:val="single"/>
              </w:rPr>
              <w:t>completions</w:t>
            </w:r>
            <w:r>
              <w:t xml:space="preserve"> by students aged 20 64 years</w:t>
            </w:r>
          </w:p>
          <w:p w:rsidR="009F0260" w:rsidRDefault="009F0260" w:rsidP="00D567CF">
            <w:pPr>
              <w:pStyle w:val="TableBodyText"/>
              <w:jc w:val="left"/>
            </w:pPr>
            <w:r>
              <w:t xml:space="preserve">and is expressed as a </w:t>
            </w:r>
            <w:r w:rsidRPr="00D567CF">
              <w:rPr>
                <w:i/>
              </w:rPr>
              <w:t>percentage</w:t>
            </w:r>
          </w:p>
          <w:p w:rsidR="009F0260" w:rsidRDefault="009F0260" w:rsidP="004A7F7C">
            <w:pPr>
              <w:pStyle w:val="TableBodyText"/>
              <w:jc w:val="left"/>
            </w:pPr>
          </w:p>
          <w:p w:rsidR="009F0260" w:rsidRDefault="009F0260" w:rsidP="004A7F7C">
            <w:pPr>
              <w:pStyle w:val="TableBodyText"/>
              <w:jc w:val="left"/>
            </w:pPr>
            <w:r>
              <w:t>For both measures</w:t>
            </w:r>
          </w:p>
          <w:p w:rsidR="009F0260" w:rsidRDefault="009F0260" w:rsidP="004A7F7C">
            <w:pPr>
              <w:pStyle w:val="TableBodyText"/>
              <w:jc w:val="left"/>
            </w:pPr>
          </w:p>
          <w:p w:rsidR="009F0260" w:rsidRDefault="009F0260" w:rsidP="004A7F7C">
            <w:pPr>
              <w:pStyle w:val="TableBodyText"/>
              <w:jc w:val="left"/>
            </w:pPr>
            <w:r>
              <w:t>The hierarchy for highest level of education as follows:</w:t>
            </w:r>
          </w:p>
          <w:p w:rsidR="009F0260" w:rsidRDefault="009F0260" w:rsidP="00D567CF">
            <w:pPr>
              <w:pStyle w:val="TableBullet"/>
            </w:pPr>
            <w:r>
              <w:t>Bachelor degree/Higher degree level</w:t>
            </w:r>
          </w:p>
          <w:p w:rsidR="009F0260" w:rsidRDefault="009F0260" w:rsidP="00D567CF">
            <w:pPr>
              <w:pStyle w:val="TableBullet"/>
            </w:pPr>
            <w:r>
              <w:t>Advanced diploma/Associate degree</w:t>
            </w:r>
          </w:p>
          <w:p w:rsidR="009F0260" w:rsidRDefault="009F0260" w:rsidP="00D567CF">
            <w:pPr>
              <w:pStyle w:val="TableBullet"/>
            </w:pPr>
            <w:r>
              <w:t>Diploma</w:t>
            </w:r>
          </w:p>
          <w:p w:rsidR="009F0260" w:rsidRDefault="009F0260" w:rsidP="00D567CF">
            <w:pPr>
              <w:pStyle w:val="TableBullet"/>
            </w:pPr>
            <w:r>
              <w:t>Certificate IV</w:t>
            </w:r>
          </w:p>
          <w:p w:rsidR="009F0260" w:rsidRDefault="009F0260" w:rsidP="00D567CF">
            <w:pPr>
              <w:pStyle w:val="TableBullet"/>
            </w:pPr>
            <w:r>
              <w:t>Certificate III</w:t>
            </w:r>
          </w:p>
          <w:p w:rsidR="009F0260" w:rsidRDefault="009F0260" w:rsidP="00D567CF">
            <w:pPr>
              <w:pStyle w:val="TableBullet"/>
            </w:pPr>
            <w:r>
              <w:t>Certificate II</w:t>
            </w:r>
          </w:p>
          <w:p w:rsidR="009F0260" w:rsidRDefault="009F0260" w:rsidP="00D567CF">
            <w:pPr>
              <w:pStyle w:val="TableBullet"/>
            </w:pPr>
            <w:r>
              <w:t>Year 12</w:t>
            </w:r>
          </w:p>
          <w:p w:rsidR="009F0260" w:rsidRDefault="009F0260" w:rsidP="00D567CF">
            <w:pPr>
              <w:pStyle w:val="TableBullet"/>
            </w:pPr>
            <w:r>
              <w:t>Certificate I</w:t>
            </w:r>
          </w:p>
          <w:p w:rsidR="009F0260" w:rsidRDefault="009F0260" w:rsidP="00D567CF">
            <w:pPr>
              <w:pStyle w:val="TableBullet"/>
            </w:pPr>
            <w:r>
              <w:t>Year 11</w:t>
            </w:r>
          </w:p>
          <w:p w:rsidR="009F0260" w:rsidRDefault="009F0260" w:rsidP="00D567CF">
            <w:pPr>
              <w:pStyle w:val="TableBullet"/>
            </w:pPr>
            <w:r>
              <w:t>Year 10</w:t>
            </w:r>
          </w:p>
          <w:p w:rsidR="009F0260" w:rsidRDefault="009F0260" w:rsidP="00D567CF">
            <w:pPr>
              <w:pStyle w:val="TableBullet"/>
            </w:pPr>
            <w:r>
              <w:t>Year 9 or lower</w:t>
            </w:r>
          </w:p>
          <w:p w:rsidR="009F0260" w:rsidRDefault="009F0260" w:rsidP="00D567CF">
            <w:pPr>
              <w:pStyle w:val="TableBullet"/>
            </w:pPr>
            <w:r>
              <w:t>Miscellaneous education</w:t>
            </w:r>
          </w:p>
          <w:p w:rsidR="009F0260" w:rsidRDefault="009F0260" w:rsidP="00D567CF">
            <w:pPr>
              <w:pStyle w:val="TableBullet"/>
            </w:pPr>
            <w:r>
              <w:t>Did not go to school</w:t>
            </w:r>
          </w:p>
          <w:p w:rsidR="009F0260" w:rsidRDefault="009F0260" w:rsidP="004A7F7C">
            <w:pPr>
              <w:pStyle w:val="TableBodyText"/>
              <w:jc w:val="left"/>
            </w:pPr>
          </w:p>
          <w:p w:rsidR="002026AE" w:rsidRDefault="009F0260" w:rsidP="004A7F7C">
            <w:pPr>
              <w:pStyle w:val="TableBodyText"/>
              <w:jc w:val="left"/>
            </w:pPr>
            <w:r>
              <w:t>‘Not stated’ responses have been excluded from the computation</w:t>
            </w:r>
          </w:p>
          <w:p w:rsidR="00D567CF" w:rsidRPr="00FF2E2E" w:rsidRDefault="00D567CF" w:rsidP="004A7F7C">
            <w:pPr>
              <w:pStyle w:val="TableBodyText"/>
              <w:jc w:val="left"/>
            </w:pPr>
          </w:p>
        </w:tc>
      </w:tr>
      <w:tr w:rsidR="00056723" w:rsidTr="00056723">
        <w:tc>
          <w:tcPr>
            <w:tcW w:w="1985" w:type="dxa"/>
          </w:tcPr>
          <w:p w:rsidR="00056723" w:rsidRPr="000E5A86" w:rsidRDefault="00056723" w:rsidP="00056723">
            <w:pPr>
              <w:pStyle w:val="TableBodyText"/>
              <w:jc w:val="left"/>
            </w:pPr>
            <w:r>
              <w:t>Data source:</w:t>
            </w:r>
          </w:p>
        </w:tc>
        <w:tc>
          <w:tcPr>
            <w:tcW w:w="6804" w:type="dxa"/>
          </w:tcPr>
          <w:p w:rsidR="002026AE" w:rsidRDefault="009F0260" w:rsidP="004A7F7C">
            <w:pPr>
              <w:pStyle w:val="TableBodyText"/>
              <w:jc w:val="left"/>
            </w:pPr>
            <w:r w:rsidRPr="001D2234">
              <w:rPr>
                <w:u w:val="single"/>
              </w:rPr>
              <w:t>National VET Provider Collection</w:t>
            </w:r>
            <w:r w:rsidRPr="009F0260">
              <w:t>. Data are collected annually</w:t>
            </w:r>
          </w:p>
          <w:p w:rsidR="00D567CF" w:rsidRPr="00F43E29" w:rsidRDefault="00D567CF" w:rsidP="004A7F7C">
            <w:pPr>
              <w:pStyle w:val="TableBodyText"/>
              <w:jc w:val="left"/>
            </w:pPr>
          </w:p>
        </w:tc>
      </w:tr>
      <w:tr w:rsidR="00056723" w:rsidTr="00056723">
        <w:tc>
          <w:tcPr>
            <w:tcW w:w="1985" w:type="dxa"/>
          </w:tcPr>
          <w:p w:rsidR="00056723" w:rsidRDefault="00056723" w:rsidP="00056723">
            <w:pPr>
              <w:pStyle w:val="TableBodyText"/>
              <w:jc w:val="left"/>
            </w:pPr>
            <w:r w:rsidRPr="000E5A86">
              <w:t>Data provider:</w:t>
            </w:r>
          </w:p>
        </w:tc>
        <w:tc>
          <w:tcPr>
            <w:tcW w:w="6804" w:type="dxa"/>
          </w:tcPr>
          <w:p w:rsidR="002026AE" w:rsidRDefault="009F0260" w:rsidP="004A7F7C">
            <w:pPr>
              <w:pStyle w:val="TableBodyText"/>
              <w:jc w:val="left"/>
            </w:pPr>
            <w:r w:rsidRPr="009F0260">
              <w:t>NCVER</w:t>
            </w:r>
          </w:p>
          <w:p w:rsidR="00D567CF" w:rsidRPr="005A2016" w:rsidRDefault="00D567CF" w:rsidP="004A7F7C">
            <w:pPr>
              <w:pStyle w:val="TableBodyText"/>
              <w:jc w:val="left"/>
            </w:pPr>
          </w:p>
        </w:tc>
      </w:tr>
      <w:tr w:rsidR="00056723" w:rsidTr="00BD721E">
        <w:trPr>
          <w:trHeight w:val="1361"/>
        </w:trPr>
        <w:tc>
          <w:tcPr>
            <w:tcW w:w="1985" w:type="dxa"/>
          </w:tcPr>
          <w:p w:rsidR="00056723" w:rsidRPr="000E5A86" w:rsidRDefault="00056723" w:rsidP="00056723">
            <w:pPr>
              <w:pStyle w:val="TableBodyText"/>
              <w:jc w:val="left"/>
            </w:pPr>
            <w:r w:rsidRPr="000E5A86">
              <w:t>Data availability</w:t>
            </w:r>
            <w:r>
              <w:t>:</w:t>
            </w:r>
          </w:p>
        </w:tc>
        <w:tc>
          <w:tcPr>
            <w:tcW w:w="6804" w:type="dxa"/>
          </w:tcPr>
          <w:p w:rsidR="00FC63A5" w:rsidRDefault="00FC63A5" w:rsidP="001D2234">
            <w:pPr>
              <w:pStyle w:val="TableBodyText"/>
              <w:jc w:val="left"/>
            </w:pPr>
            <w:r>
              <w:t xml:space="preserve">No new data available [2012 data (2011 completions) provided for the 2012 NASWD performance report] </w:t>
            </w:r>
          </w:p>
          <w:p w:rsidR="00056723" w:rsidRPr="005A2016" w:rsidRDefault="00FC63A5" w:rsidP="00297148">
            <w:pPr>
              <w:pStyle w:val="TableBodyText"/>
              <w:jc w:val="left"/>
            </w:pPr>
            <w:r>
              <w:t>(data for, 2007, 2008, 2009, 2010, 2011 and 2012 (completions in 2006, 2007, 2008, 2009, 2010 and 2011))</w:t>
            </w:r>
          </w:p>
        </w:tc>
      </w:tr>
      <w:tr w:rsidR="00056723" w:rsidTr="00056723">
        <w:tc>
          <w:tcPr>
            <w:tcW w:w="1985" w:type="dxa"/>
          </w:tcPr>
          <w:p w:rsidR="00056723" w:rsidRPr="000E5A86" w:rsidRDefault="00056723" w:rsidP="00056723">
            <w:pPr>
              <w:pStyle w:val="TableBodyText"/>
              <w:jc w:val="left"/>
            </w:pPr>
            <w:r>
              <w:t>Cross tabulations provided:</w:t>
            </w:r>
          </w:p>
        </w:tc>
        <w:tc>
          <w:tcPr>
            <w:tcW w:w="6804" w:type="dxa"/>
          </w:tcPr>
          <w:p w:rsidR="00FC63A5" w:rsidRDefault="00FC63A5" w:rsidP="001D2234">
            <w:pPr>
              <w:pStyle w:val="TableBodyText"/>
              <w:jc w:val="left"/>
            </w:pPr>
            <w:r>
              <w:t>State and Territory, by</w:t>
            </w:r>
          </w:p>
          <w:p w:rsidR="00FC63A5" w:rsidRDefault="00FC63A5" w:rsidP="004A7F7C">
            <w:pPr>
              <w:pStyle w:val="TableBullet"/>
            </w:pPr>
            <w:r>
              <w:t>Indigenous status (2007</w:t>
            </w:r>
            <w:r w:rsidR="00CF02FE">
              <w:t xml:space="preserve"> data</w:t>
            </w:r>
            <w:r>
              <w:t xml:space="preserve"> only as other years previously provided)</w:t>
            </w:r>
          </w:p>
          <w:p w:rsidR="00FC63A5" w:rsidRDefault="00FC63A5" w:rsidP="004A7F7C">
            <w:pPr>
              <w:pStyle w:val="TableBullet"/>
            </w:pPr>
            <w:r>
              <w:t>Age group (20-24, 25-29, 30-34, 35-39, 40-44, 45-49, 50-54, 55-59, 60-64)</w:t>
            </w:r>
          </w:p>
          <w:p w:rsidR="00B30A03" w:rsidRPr="000E5A86" w:rsidRDefault="00FC63A5" w:rsidP="004A7F7C">
            <w:pPr>
              <w:pStyle w:val="TableBullet"/>
            </w:pPr>
            <w:r>
              <w:t xml:space="preserve">Level of qualification (single category of </w:t>
            </w:r>
            <w:proofErr w:type="spellStart"/>
            <w:r>
              <w:t>AQF</w:t>
            </w:r>
            <w:proofErr w:type="spellEnd"/>
            <w:r>
              <w:t xml:space="preserve"> Certificate III or above).</w:t>
            </w:r>
          </w:p>
        </w:tc>
      </w:tr>
    </w:tbl>
    <w:p w:rsidR="00056723" w:rsidRDefault="00056723" w:rsidP="00725CFC">
      <w:pPr>
        <w:pStyle w:val="BoxSpac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056723">
        <w:tc>
          <w:tcPr>
            <w:tcW w:w="8771" w:type="dxa"/>
            <w:tcBorders>
              <w:top w:val="single" w:sz="6" w:space="0" w:color="auto"/>
              <w:bottom w:val="nil"/>
            </w:tcBorders>
          </w:tcPr>
          <w:p w:rsidR="00056723" w:rsidRDefault="00056723" w:rsidP="00A44587">
            <w:pPr>
              <w:pStyle w:val="BoxTitle"/>
            </w:pPr>
            <w:r>
              <w:rPr>
                <w:b w:val="0"/>
              </w:rPr>
              <w:t xml:space="preserve">Box </w:t>
            </w:r>
            <w:r w:rsidR="00503759">
              <w:rPr>
                <w:b w:val="0"/>
                <w:noProof/>
              </w:rPr>
              <w:t>1</w:t>
            </w:r>
            <w:r w:rsidR="00482B04">
              <w:rPr>
                <w:b w:val="0"/>
                <w:noProof/>
              </w:rPr>
              <w:t>5</w:t>
            </w:r>
            <w:r>
              <w:tab/>
              <w:t>Results</w:t>
            </w:r>
          </w:p>
        </w:tc>
      </w:tr>
      <w:tr w:rsidR="00056723" w:rsidRPr="00C423B9">
        <w:trPr>
          <w:cantSplit/>
        </w:trPr>
        <w:tc>
          <w:tcPr>
            <w:tcW w:w="8771" w:type="dxa"/>
            <w:tcBorders>
              <w:top w:val="nil"/>
              <w:left w:val="single" w:sz="6" w:space="0" w:color="auto"/>
              <w:bottom w:val="nil"/>
              <w:right w:val="single" w:sz="6" w:space="0" w:color="auto"/>
            </w:tcBorders>
          </w:tcPr>
          <w:p w:rsidR="00C739B2" w:rsidRDefault="009B27C9" w:rsidP="00C423B9">
            <w:pPr>
              <w:pStyle w:val="Box"/>
            </w:pPr>
            <w:r>
              <w:t>For this rep</w:t>
            </w:r>
            <w:r w:rsidR="00C3569B">
              <w:t xml:space="preserve">ort, no new data are available for this performance indicator. </w:t>
            </w:r>
          </w:p>
          <w:p w:rsidR="009B27C9" w:rsidRDefault="009B27C9" w:rsidP="00C423B9">
            <w:pPr>
              <w:pStyle w:val="Box"/>
            </w:pPr>
            <w:r>
              <w:t xml:space="preserve">Additional historical data are reported for </w:t>
            </w:r>
            <w:r w:rsidR="00C3569B">
              <w:t xml:space="preserve">2012, 2011, 2010, 2009, 2008 and 2007 (completions in </w:t>
            </w:r>
            <w:r>
              <w:t>2011, 2010, 2009, 2008, 2007 and 2006</w:t>
            </w:r>
            <w:r w:rsidR="00C3569B">
              <w:t>)</w:t>
            </w:r>
            <w:r w:rsidR="00C739B2">
              <w:t xml:space="preserve"> to provide a comparable time series</w:t>
            </w:r>
            <w:r>
              <w:t>:</w:t>
            </w:r>
          </w:p>
          <w:p w:rsidR="00C423B9" w:rsidRDefault="009B27C9" w:rsidP="009B27C9">
            <w:pPr>
              <w:pStyle w:val="BoxListBullet"/>
            </w:pPr>
            <w:r>
              <w:t>Data by State and Territory by age are presented in table</w:t>
            </w:r>
            <w:r w:rsidR="00B10D03">
              <w:t>s</w:t>
            </w:r>
            <w:r>
              <w:t xml:space="preserve"> </w:t>
            </w:r>
            <w:proofErr w:type="spellStart"/>
            <w:r>
              <w:t>SWD.6</w:t>
            </w:r>
            <w:r w:rsidR="00CF02FE">
              <w:t>.1</w:t>
            </w:r>
            <w:proofErr w:type="spellEnd"/>
            <w:r w:rsidR="00CF02FE">
              <w:rPr>
                <w:rFonts w:cs="Arial"/>
              </w:rPr>
              <w:t>−</w:t>
            </w:r>
            <w:r w:rsidR="00B10D03">
              <w:t>6</w:t>
            </w:r>
            <w:r w:rsidR="00CF02FE">
              <w:t xml:space="preserve"> and </w:t>
            </w:r>
            <w:proofErr w:type="spellStart"/>
            <w:r w:rsidR="00CF02FE">
              <w:t>SWD.6.9</w:t>
            </w:r>
            <w:proofErr w:type="spellEnd"/>
            <w:r w:rsidR="00CF02FE">
              <w:rPr>
                <w:rFonts w:cs="Arial"/>
              </w:rPr>
              <w:t>−14.</w:t>
            </w:r>
          </w:p>
          <w:p w:rsidR="009B27C9" w:rsidRDefault="00B10D03" w:rsidP="00B10D03">
            <w:pPr>
              <w:pStyle w:val="BoxListBullet"/>
            </w:pPr>
            <w:r>
              <w:t xml:space="preserve">Data by State and Territory by level of qualification (single category of </w:t>
            </w:r>
            <w:proofErr w:type="spellStart"/>
            <w:r>
              <w:t>AQF</w:t>
            </w:r>
            <w:proofErr w:type="spellEnd"/>
            <w:r>
              <w:t xml:space="preserve"> Certificate III or above) are presented in table</w:t>
            </w:r>
            <w:r w:rsidR="00CF02FE">
              <w:t>s</w:t>
            </w:r>
            <w:r>
              <w:t xml:space="preserve"> </w:t>
            </w:r>
            <w:proofErr w:type="spellStart"/>
            <w:r>
              <w:t>SWD.6.7</w:t>
            </w:r>
            <w:proofErr w:type="spellEnd"/>
            <w:r w:rsidR="00CF02FE">
              <w:t xml:space="preserve"> and </w:t>
            </w:r>
            <w:proofErr w:type="spellStart"/>
            <w:r w:rsidR="00CF02FE">
              <w:t>SWD.6.15</w:t>
            </w:r>
            <w:proofErr w:type="spellEnd"/>
          </w:p>
          <w:p w:rsidR="00CF02FE" w:rsidRDefault="00CF02FE" w:rsidP="00937913">
            <w:pPr>
              <w:pStyle w:val="BoxListBullet"/>
            </w:pPr>
            <w:r>
              <w:t>Data by State and Territory by Indigenous status are presented in table</w:t>
            </w:r>
            <w:r w:rsidR="00455E50">
              <w:t>s</w:t>
            </w:r>
            <w:r>
              <w:t xml:space="preserve"> </w:t>
            </w:r>
            <w:proofErr w:type="spellStart"/>
            <w:r>
              <w:t>SWD.6.8</w:t>
            </w:r>
            <w:proofErr w:type="spellEnd"/>
            <w:r>
              <w:t xml:space="preserve"> and </w:t>
            </w:r>
            <w:proofErr w:type="spellStart"/>
            <w:r>
              <w:t>SWD.6.16</w:t>
            </w:r>
            <w:proofErr w:type="spellEnd"/>
            <w:r>
              <w:t xml:space="preserve"> (2006 </w:t>
            </w:r>
            <w:r w:rsidR="00937913">
              <w:t xml:space="preserve">completions only </w:t>
            </w:r>
            <w:r>
              <w:t>as remaining time series previously reported).</w:t>
            </w:r>
          </w:p>
          <w:p w:rsidR="001B0B52" w:rsidRPr="00C423B9" w:rsidRDefault="00C3569B" w:rsidP="00455E50">
            <w:pPr>
              <w:pStyle w:val="Box"/>
            </w:pPr>
            <w:r>
              <w:t>Data for 2012 (2011</w:t>
            </w:r>
            <w:r w:rsidR="001B0B52">
              <w:t xml:space="preserve"> completions</w:t>
            </w:r>
            <w:r w:rsidR="00455E50">
              <w:t>)</w:t>
            </w:r>
            <w:r w:rsidR="001B0B52">
              <w:t xml:space="preserve"> are available in </w:t>
            </w:r>
            <w:r w:rsidR="00455E50">
              <w:t xml:space="preserve">the </w:t>
            </w:r>
            <w:r w:rsidR="001B0B52">
              <w:t xml:space="preserve">2012 NASWD performance report. Data for </w:t>
            </w:r>
            <w:r>
              <w:t xml:space="preserve">2011, 2010, 2009, 2008 and 2007 (completions in </w:t>
            </w:r>
            <w:r w:rsidR="001B0B52">
              <w:t>2010, 2009, 2008, 2007, and 2006</w:t>
            </w:r>
            <w:r>
              <w:t>)</w:t>
            </w:r>
            <w:r w:rsidR="001B0B52">
              <w:t xml:space="preserve"> are available in the 2011 NASWD performance report.</w:t>
            </w:r>
          </w:p>
        </w:tc>
      </w:tr>
      <w:tr w:rsidR="00056723">
        <w:trPr>
          <w:cantSplit/>
        </w:trPr>
        <w:tc>
          <w:tcPr>
            <w:tcW w:w="8771" w:type="dxa"/>
            <w:tcBorders>
              <w:top w:val="nil"/>
              <w:left w:val="single" w:sz="6" w:space="0" w:color="auto"/>
              <w:bottom w:val="single" w:sz="6" w:space="0" w:color="auto"/>
              <w:right w:val="single" w:sz="6" w:space="0" w:color="auto"/>
            </w:tcBorders>
          </w:tcPr>
          <w:p w:rsidR="00056723" w:rsidRDefault="00056723" w:rsidP="00725CFC">
            <w:pPr>
              <w:pStyle w:val="Box"/>
              <w:spacing w:before="0" w:line="120" w:lineRule="exact"/>
            </w:pPr>
          </w:p>
        </w:tc>
      </w:tr>
      <w:tr w:rsidR="00056723">
        <w:tc>
          <w:tcPr>
            <w:tcW w:w="8771" w:type="dxa"/>
            <w:tcBorders>
              <w:top w:val="nil"/>
              <w:left w:val="nil"/>
              <w:bottom w:val="nil"/>
              <w:right w:val="nil"/>
            </w:tcBorders>
          </w:tcPr>
          <w:p w:rsidR="00056723" w:rsidRDefault="00056723" w:rsidP="00725CFC">
            <w:pPr>
              <w:pStyle w:val="Box"/>
              <w:keepNext w:val="0"/>
              <w:spacing w:before="60" w:after="60" w:line="80" w:lineRule="exact"/>
              <w:rPr>
                <w:b/>
                <w:color w:val="FF00FF"/>
                <w:sz w:val="14"/>
              </w:rPr>
            </w:pPr>
          </w:p>
        </w:tc>
      </w:tr>
    </w:tbl>
    <w:p w:rsidR="00056723" w:rsidRDefault="00056723" w:rsidP="00725CFC">
      <w:pPr>
        <w:pStyle w:val="Heading4"/>
      </w:pPr>
      <w:r w:rsidRPr="008864C2">
        <w:t>Attachment tables</w:t>
      </w:r>
    </w:p>
    <w:tbl>
      <w:tblPr>
        <w:tblW w:w="880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6864"/>
      </w:tblGrid>
      <w:tr w:rsidR="00BA18A3" w:rsidRPr="00BA18A3" w:rsidTr="00BA18A3">
        <w:trPr>
          <w:trHeight w:val="1122"/>
        </w:trPr>
        <w:tc>
          <w:tcPr>
            <w:tcW w:w="1940" w:type="dxa"/>
            <w:shd w:val="clear" w:color="auto" w:fill="auto"/>
            <w:noWrap/>
            <w:hideMark/>
          </w:tcPr>
          <w:p w:rsidR="00BA18A3" w:rsidRPr="00BA18A3" w:rsidRDefault="00BA18A3" w:rsidP="00BA18A3">
            <w:pPr>
              <w:rPr>
                <w:rFonts w:ascii="Arial" w:hAnsi="Arial" w:cs="Arial"/>
                <w:b/>
                <w:bCs/>
                <w:sz w:val="20"/>
                <w:szCs w:val="20"/>
              </w:rPr>
            </w:pPr>
            <w:r w:rsidRPr="00BA18A3">
              <w:rPr>
                <w:rFonts w:ascii="Arial" w:hAnsi="Arial" w:cs="Arial"/>
                <w:b/>
                <w:bCs/>
                <w:sz w:val="20"/>
                <w:szCs w:val="20"/>
              </w:rPr>
              <w:t xml:space="preserve">Table </w:t>
            </w:r>
            <w:proofErr w:type="spellStart"/>
            <w:r w:rsidRPr="00BA18A3">
              <w:rPr>
                <w:rFonts w:ascii="Arial" w:hAnsi="Arial" w:cs="Arial"/>
                <w:b/>
                <w:bCs/>
                <w:sz w:val="20"/>
                <w:szCs w:val="20"/>
              </w:rPr>
              <w:t>SWD.6.1</w:t>
            </w:r>
            <w:proofErr w:type="spellEnd"/>
          </w:p>
        </w:tc>
        <w:tc>
          <w:tcPr>
            <w:tcW w:w="6864" w:type="dxa"/>
            <w:shd w:val="clear" w:color="auto" w:fill="auto"/>
            <w:hideMark/>
          </w:tcPr>
          <w:p w:rsidR="00BA18A3" w:rsidRPr="00BA18A3" w:rsidRDefault="00BA18A3" w:rsidP="00BA18A3">
            <w:pPr>
              <w:jc w:val="both"/>
              <w:rPr>
                <w:rFonts w:ascii="Arial" w:hAnsi="Arial" w:cs="Arial"/>
                <w:sz w:val="20"/>
                <w:szCs w:val="20"/>
              </w:rPr>
            </w:pPr>
            <w:r w:rsidRPr="00BA18A3">
              <w:rPr>
                <w:rFonts w:ascii="Arial" w:hAnsi="Arial" w:cs="Arial"/>
                <w:sz w:val="20"/>
                <w:szCs w:val="20"/>
              </w:rPr>
              <w:t xml:space="preserve">VET qualification completions by students aged 20–64 years with improved education/training status after training, as a per cent of course enrolments by students aged 20–64 years undertaking </w:t>
            </w:r>
            <w:proofErr w:type="spellStart"/>
            <w:r w:rsidRPr="00BA18A3">
              <w:rPr>
                <w:rFonts w:ascii="Arial" w:hAnsi="Arial" w:cs="Arial"/>
                <w:sz w:val="20"/>
                <w:szCs w:val="20"/>
              </w:rPr>
              <w:t>AQF</w:t>
            </w:r>
            <w:proofErr w:type="spellEnd"/>
            <w:r w:rsidRPr="00BA18A3">
              <w:rPr>
                <w:rFonts w:ascii="Arial" w:hAnsi="Arial" w:cs="Arial"/>
                <w:sz w:val="20"/>
                <w:szCs w:val="20"/>
              </w:rPr>
              <w:t xml:space="preserve"> qualifications, by age, by State and Territory, 2011</w:t>
            </w:r>
          </w:p>
        </w:tc>
      </w:tr>
      <w:tr w:rsidR="00BA18A3" w:rsidRPr="00BA18A3" w:rsidTr="00BA18A3">
        <w:trPr>
          <w:trHeight w:val="1122"/>
        </w:trPr>
        <w:tc>
          <w:tcPr>
            <w:tcW w:w="1940" w:type="dxa"/>
            <w:shd w:val="clear" w:color="auto" w:fill="auto"/>
            <w:noWrap/>
            <w:hideMark/>
          </w:tcPr>
          <w:p w:rsidR="00BA18A3" w:rsidRPr="00BA18A3" w:rsidRDefault="00BA18A3" w:rsidP="00BA18A3">
            <w:pPr>
              <w:rPr>
                <w:rFonts w:ascii="Arial" w:hAnsi="Arial" w:cs="Arial"/>
                <w:b/>
                <w:bCs/>
                <w:sz w:val="20"/>
                <w:szCs w:val="20"/>
              </w:rPr>
            </w:pPr>
            <w:r w:rsidRPr="00BA18A3">
              <w:rPr>
                <w:rFonts w:ascii="Arial" w:hAnsi="Arial" w:cs="Arial"/>
                <w:b/>
                <w:bCs/>
                <w:sz w:val="20"/>
                <w:szCs w:val="20"/>
              </w:rPr>
              <w:t xml:space="preserve">Table </w:t>
            </w:r>
            <w:proofErr w:type="spellStart"/>
            <w:r w:rsidRPr="00BA18A3">
              <w:rPr>
                <w:rFonts w:ascii="Arial" w:hAnsi="Arial" w:cs="Arial"/>
                <w:b/>
                <w:bCs/>
                <w:sz w:val="20"/>
                <w:szCs w:val="20"/>
              </w:rPr>
              <w:t>SWD.6.2</w:t>
            </w:r>
            <w:proofErr w:type="spellEnd"/>
          </w:p>
        </w:tc>
        <w:tc>
          <w:tcPr>
            <w:tcW w:w="6864" w:type="dxa"/>
            <w:shd w:val="clear" w:color="auto" w:fill="auto"/>
            <w:hideMark/>
          </w:tcPr>
          <w:p w:rsidR="00BA18A3" w:rsidRPr="00BA18A3" w:rsidRDefault="00BA18A3" w:rsidP="00BA18A3">
            <w:pPr>
              <w:jc w:val="both"/>
              <w:rPr>
                <w:rFonts w:ascii="Arial" w:hAnsi="Arial" w:cs="Arial"/>
                <w:sz w:val="20"/>
                <w:szCs w:val="20"/>
              </w:rPr>
            </w:pPr>
            <w:r w:rsidRPr="00BA18A3">
              <w:rPr>
                <w:rFonts w:ascii="Arial" w:hAnsi="Arial" w:cs="Arial"/>
                <w:sz w:val="20"/>
                <w:szCs w:val="20"/>
              </w:rPr>
              <w:t xml:space="preserve">VET qualification completions by students aged 20–64 years with improved education/training status after training, as a per cent of course enrolments by students aged 20–64 years undertaking </w:t>
            </w:r>
            <w:proofErr w:type="spellStart"/>
            <w:r w:rsidRPr="00BA18A3">
              <w:rPr>
                <w:rFonts w:ascii="Arial" w:hAnsi="Arial" w:cs="Arial"/>
                <w:sz w:val="20"/>
                <w:szCs w:val="20"/>
              </w:rPr>
              <w:t>AQF</w:t>
            </w:r>
            <w:proofErr w:type="spellEnd"/>
            <w:r w:rsidRPr="00BA18A3">
              <w:rPr>
                <w:rFonts w:ascii="Arial" w:hAnsi="Arial" w:cs="Arial"/>
                <w:sz w:val="20"/>
                <w:szCs w:val="20"/>
              </w:rPr>
              <w:t xml:space="preserve"> qualifications, by age, by State and Territory, 2010</w:t>
            </w:r>
          </w:p>
        </w:tc>
      </w:tr>
      <w:tr w:rsidR="00BA18A3" w:rsidRPr="00BA18A3" w:rsidTr="00BA18A3">
        <w:trPr>
          <w:trHeight w:val="1122"/>
        </w:trPr>
        <w:tc>
          <w:tcPr>
            <w:tcW w:w="1940" w:type="dxa"/>
            <w:shd w:val="clear" w:color="auto" w:fill="auto"/>
            <w:noWrap/>
            <w:hideMark/>
          </w:tcPr>
          <w:p w:rsidR="00BA18A3" w:rsidRPr="00BA18A3" w:rsidRDefault="00BA18A3" w:rsidP="00BA18A3">
            <w:pPr>
              <w:rPr>
                <w:rFonts w:ascii="Arial" w:hAnsi="Arial" w:cs="Arial"/>
                <w:b/>
                <w:bCs/>
                <w:sz w:val="20"/>
                <w:szCs w:val="20"/>
              </w:rPr>
            </w:pPr>
            <w:r w:rsidRPr="00BA18A3">
              <w:rPr>
                <w:rFonts w:ascii="Arial" w:hAnsi="Arial" w:cs="Arial"/>
                <w:b/>
                <w:bCs/>
                <w:sz w:val="20"/>
                <w:szCs w:val="20"/>
              </w:rPr>
              <w:t xml:space="preserve">Table </w:t>
            </w:r>
            <w:proofErr w:type="spellStart"/>
            <w:r w:rsidRPr="00BA18A3">
              <w:rPr>
                <w:rFonts w:ascii="Arial" w:hAnsi="Arial" w:cs="Arial"/>
                <w:b/>
                <w:bCs/>
                <w:sz w:val="20"/>
                <w:szCs w:val="20"/>
              </w:rPr>
              <w:t>SWD.6.3</w:t>
            </w:r>
            <w:proofErr w:type="spellEnd"/>
          </w:p>
        </w:tc>
        <w:tc>
          <w:tcPr>
            <w:tcW w:w="6864" w:type="dxa"/>
            <w:shd w:val="clear" w:color="auto" w:fill="auto"/>
            <w:hideMark/>
          </w:tcPr>
          <w:p w:rsidR="00BA18A3" w:rsidRPr="00BA18A3" w:rsidRDefault="00BA18A3" w:rsidP="00BA18A3">
            <w:pPr>
              <w:jc w:val="both"/>
              <w:rPr>
                <w:rFonts w:ascii="Arial" w:hAnsi="Arial" w:cs="Arial"/>
                <w:sz w:val="20"/>
                <w:szCs w:val="20"/>
              </w:rPr>
            </w:pPr>
            <w:r w:rsidRPr="00BA18A3">
              <w:rPr>
                <w:rFonts w:ascii="Arial" w:hAnsi="Arial" w:cs="Arial"/>
                <w:sz w:val="20"/>
                <w:szCs w:val="20"/>
              </w:rPr>
              <w:t xml:space="preserve">VET qualification completions by students aged 20–64 years with improved education/training status after training, as a per cent of course enrolments by students aged 20–64 years undertaking </w:t>
            </w:r>
            <w:proofErr w:type="spellStart"/>
            <w:r w:rsidRPr="00BA18A3">
              <w:rPr>
                <w:rFonts w:ascii="Arial" w:hAnsi="Arial" w:cs="Arial"/>
                <w:sz w:val="20"/>
                <w:szCs w:val="20"/>
              </w:rPr>
              <w:t>AQF</w:t>
            </w:r>
            <w:proofErr w:type="spellEnd"/>
            <w:r w:rsidRPr="00BA18A3">
              <w:rPr>
                <w:rFonts w:ascii="Arial" w:hAnsi="Arial" w:cs="Arial"/>
                <w:sz w:val="20"/>
                <w:szCs w:val="20"/>
              </w:rPr>
              <w:t xml:space="preserve"> qualifications, by age, by State and Territory, 2009</w:t>
            </w:r>
          </w:p>
        </w:tc>
      </w:tr>
      <w:tr w:rsidR="00BA18A3" w:rsidRPr="00BA18A3" w:rsidTr="00BA18A3">
        <w:trPr>
          <w:trHeight w:val="1122"/>
        </w:trPr>
        <w:tc>
          <w:tcPr>
            <w:tcW w:w="1940" w:type="dxa"/>
            <w:shd w:val="clear" w:color="auto" w:fill="auto"/>
            <w:noWrap/>
            <w:hideMark/>
          </w:tcPr>
          <w:p w:rsidR="00BA18A3" w:rsidRPr="00BA18A3" w:rsidRDefault="00BA18A3" w:rsidP="00BA18A3">
            <w:pPr>
              <w:rPr>
                <w:rFonts w:ascii="Arial" w:hAnsi="Arial" w:cs="Arial"/>
                <w:b/>
                <w:bCs/>
                <w:sz w:val="20"/>
                <w:szCs w:val="20"/>
              </w:rPr>
            </w:pPr>
            <w:r w:rsidRPr="00BA18A3">
              <w:rPr>
                <w:rFonts w:ascii="Arial" w:hAnsi="Arial" w:cs="Arial"/>
                <w:b/>
                <w:bCs/>
                <w:sz w:val="20"/>
                <w:szCs w:val="20"/>
              </w:rPr>
              <w:t xml:space="preserve">Table </w:t>
            </w:r>
            <w:proofErr w:type="spellStart"/>
            <w:r w:rsidRPr="00BA18A3">
              <w:rPr>
                <w:rFonts w:ascii="Arial" w:hAnsi="Arial" w:cs="Arial"/>
                <w:b/>
                <w:bCs/>
                <w:sz w:val="20"/>
                <w:szCs w:val="20"/>
              </w:rPr>
              <w:t>SWD.6.4</w:t>
            </w:r>
            <w:proofErr w:type="spellEnd"/>
          </w:p>
        </w:tc>
        <w:tc>
          <w:tcPr>
            <w:tcW w:w="6864" w:type="dxa"/>
            <w:shd w:val="clear" w:color="auto" w:fill="auto"/>
            <w:hideMark/>
          </w:tcPr>
          <w:p w:rsidR="00BA18A3" w:rsidRPr="00BA18A3" w:rsidRDefault="00BA18A3" w:rsidP="00BA18A3">
            <w:pPr>
              <w:jc w:val="both"/>
              <w:rPr>
                <w:rFonts w:ascii="Arial" w:hAnsi="Arial" w:cs="Arial"/>
                <w:sz w:val="20"/>
                <w:szCs w:val="20"/>
              </w:rPr>
            </w:pPr>
            <w:r w:rsidRPr="00BA18A3">
              <w:rPr>
                <w:rFonts w:ascii="Arial" w:hAnsi="Arial" w:cs="Arial"/>
                <w:sz w:val="20"/>
                <w:szCs w:val="20"/>
              </w:rPr>
              <w:t xml:space="preserve">VET qualification completions by students aged 20–64 years with improved education/training status after training, as a per cent of course enrolments by students aged 20–64 years undertaking </w:t>
            </w:r>
            <w:proofErr w:type="spellStart"/>
            <w:r w:rsidRPr="00BA18A3">
              <w:rPr>
                <w:rFonts w:ascii="Arial" w:hAnsi="Arial" w:cs="Arial"/>
                <w:sz w:val="20"/>
                <w:szCs w:val="20"/>
              </w:rPr>
              <w:t>AQF</w:t>
            </w:r>
            <w:proofErr w:type="spellEnd"/>
            <w:r w:rsidRPr="00BA18A3">
              <w:rPr>
                <w:rFonts w:ascii="Arial" w:hAnsi="Arial" w:cs="Arial"/>
                <w:sz w:val="20"/>
                <w:szCs w:val="20"/>
              </w:rPr>
              <w:t xml:space="preserve"> qualifications, by age, by State and Territory, 2008</w:t>
            </w:r>
          </w:p>
        </w:tc>
      </w:tr>
      <w:tr w:rsidR="00BA18A3" w:rsidRPr="00BA18A3" w:rsidTr="00BA18A3">
        <w:trPr>
          <w:trHeight w:val="1122"/>
        </w:trPr>
        <w:tc>
          <w:tcPr>
            <w:tcW w:w="1940" w:type="dxa"/>
            <w:shd w:val="clear" w:color="auto" w:fill="auto"/>
            <w:noWrap/>
            <w:hideMark/>
          </w:tcPr>
          <w:p w:rsidR="00BA18A3" w:rsidRPr="00BA18A3" w:rsidRDefault="00BA18A3" w:rsidP="00BA18A3">
            <w:pPr>
              <w:rPr>
                <w:rFonts w:ascii="Arial" w:hAnsi="Arial" w:cs="Arial"/>
                <w:b/>
                <w:bCs/>
                <w:sz w:val="20"/>
                <w:szCs w:val="20"/>
              </w:rPr>
            </w:pPr>
            <w:r w:rsidRPr="00BA18A3">
              <w:rPr>
                <w:rFonts w:ascii="Arial" w:hAnsi="Arial" w:cs="Arial"/>
                <w:b/>
                <w:bCs/>
                <w:sz w:val="20"/>
                <w:szCs w:val="20"/>
              </w:rPr>
              <w:t xml:space="preserve">Table </w:t>
            </w:r>
            <w:proofErr w:type="spellStart"/>
            <w:r w:rsidRPr="00BA18A3">
              <w:rPr>
                <w:rFonts w:ascii="Arial" w:hAnsi="Arial" w:cs="Arial"/>
                <w:b/>
                <w:bCs/>
                <w:sz w:val="20"/>
                <w:szCs w:val="20"/>
              </w:rPr>
              <w:t>SWD.6.5</w:t>
            </w:r>
            <w:proofErr w:type="spellEnd"/>
          </w:p>
        </w:tc>
        <w:tc>
          <w:tcPr>
            <w:tcW w:w="6864" w:type="dxa"/>
            <w:shd w:val="clear" w:color="auto" w:fill="auto"/>
            <w:hideMark/>
          </w:tcPr>
          <w:p w:rsidR="00BA18A3" w:rsidRPr="00BA18A3" w:rsidRDefault="00BA18A3" w:rsidP="00BA18A3">
            <w:pPr>
              <w:jc w:val="both"/>
              <w:rPr>
                <w:rFonts w:ascii="Arial" w:hAnsi="Arial" w:cs="Arial"/>
                <w:sz w:val="20"/>
                <w:szCs w:val="20"/>
              </w:rPr>
            </w:pPr>
            <w:r w:rsidRPr="00BA18A3">
              <w:rPr>
                <w:rFonts w:ascii="Arial" w:hAnsi="Arial" w:cs="Arial"/>
                <w:sz w:val="20"/>
                <w:szCs w:val="20"/>
              </w:rPr>
              <w:t xml:space="preserve">VET qualification completions by students aged 20–64 years with improved education/training status after training, as a per cent of course enrolments by students aged 20–64 years undertaking </w:t>
            </w:r>
            <w:proofErr w:type="spellStart"/>
            <w:r w:rsidRPr="00BA18A3">
              <w:rPr>
                <w:rFonts w:ascii="Arial" w:hAnsi="Arial" w:cs="Arial"/>
                <w:sz w:val="20"/>
                <w:szCs w:val="20"/>
              </w:rPr>
              <w:t>AQF</w:t>
            </w:r>
            <w:proofErr w:type="spellEnd"/>
            <w:r w:rsidRPr="00BA18A3">
              <w:rPr>
                <w:rFonts w:ascii="Arial" w:hAnsi="Arial" w:cs="Arial"/>
                <w:sz w:val="20"/>
                <w:szCs w:val="20"/>
              </w:rPr>
              <w:t xml:space="preserve"> qualifications, by age, by State and Territory, 2007</w:t>
            </w:r>
          </w:p>
        </w:tc>
      </w:tr>
      <w:tr w:rsidR="00BA18A3" w:rsidRPr="00BA18A3" w:rsidTr="00BA18A3">
        <w:trPr>
          <w:trHeight w:val="1122"/>
        </w:trPr>
        <w:tc>
          <w:tcPr>
            <w:tcW w:w="1940" w:type="dxa"/>
            <w:shd w:val="clear" w:color="auto" w:fill="auto"/>
            <w:noWrap/>
            <w:hideMark/>
          </w:tcPr>
          <w:p w:rsidR="00BA18A3" w:rsidRPr="00BA18A3" w:rsidRDefault="00BA18A3" w:rsidP="00BA18A3">
            <w:pPr>
              <w:rPr>
                <w:rFonts w:ascii="Arial" w:hAnsi="Arial" w:cs="Arial"/>
                <w:b/>
                <w:bCs/>
                <w:sz w:val="20"/>
                <w:szCs w:val="20"/>
              </w:rPr>
            </w:pPr>
            <w:r w:rsidRPr="00BA18A3">
              <w:rPr>
                <w:rFonts w:ascii="Arial" w:hAnsi="Arial" w:cs="Arial"/>
                <w:b/>
                <w:bCs/>
                <w:sz w:val="20"/>
                <w:szCs w:val="20"/>
              </w:rPr>
              <w:t xml:space="preserve">Table </w:t>
            </w:r>
            <w:proofErr w:type="spellStart"/>
            <w:r w:rsidRPr="00BA18A3">
              <w:rPr>
                <w:rFonts w:ascii="Arial" w:hAnsi="Arial" w:cs="Arial"/>
                <w:b/>
                <w:bCs/>
                <w:sz w:val="20"/>
                <w:szCs w:val="20"/>
              </w:rPr>
              <w:t>SWD.6.6</w:t>
            </w:r>
            <w:proofErr w:type="spellEnd"/>
          </w:p>
        </w:tc>
        <w:tc>
          <w:tcPr>
            <w:tcW w:w="6864" w:type="dxa"/>
            <w:shd w:val="clear" w:color="auto" w:fill="auto"/>
            <w:hideMark/>
          </w:tcPr>
          <w:p w:rsidR="00BA18A3" w:rsidRPr="00BA18A3" w:rsidRDefault="00BA18A3" w:rsidP="00BA18A3">
            <w:pPr>
              <w:jc w:val="both"/>
              <w:rPr>
                <w:rFonts w:ascii="Arial" w:hAnsi="Arial" w:cs="Arial"/>
                <w:sz w:val="20"/>
                <w:szCs w:val="20"/>
              </w:rPr>
            </w:pPr>
            <w:r w:rsidRPr="00BA18A3">
              <w:rPr>
                <w:rFonts w:ascii="Arial" w:hAnsi="Arial" w:cs="Arial"/>
                <w:sz w:val="20"/>
                <w:szCs w:val="20"/>
              </w:rPr>
              <w:t xml:space="preserve">VET qualification completions by students aged 20–64 years with improved education/training status after training, as a per cent of course enrolments by students aged 20–64 years undertaking </w:t>
            </w:r>
            <w:proofErr w:type="spellStart"/>
            <w:r w:rsidRPr="00BA18A3">
              <w:rPr>
                <w:rFonts w:ascii="Arial" w:hAnsi="Arial" w:cs="Arial"/>
                <w:sz w:val="20"/>
                <w:szCs w:val="20"/>
              </w:rPr>
              <w:t>AQF</w:t>
            </w:r>
            <w:proofErr w:type="spellEnd"/>
            <w:r w:rsidRPr="00BA18A3">
              <w:rPr>
                <w:rFonts w:ascii="Arial" w:hAnsi="Arial" w:cs="Arial"/>
                <w:sz w:val="20"/>
                <w:szCs w:val="20"/>
              </w:rPr>
              <w:t xml:space="preserve"> qualifications, by age, by State and Territory, 2006</w:t>
            </w:r>
          </w:p>
        </w:tc>
      </w:tr>
      <w:tr w:rsidR="00BA18A3" w:rsidRPr="00BA18A3" w:rsidTr="00BA18A3">
        <w:trPr>
          <w:trHeight w:val="1275"/>
        </w:trPr>
        <w:tc>
          <w:tcPr>
            <w:tcW w:w="1940" w:type="dxa"/>
            <w:shd w:val="clear" w:color="auto" w:fill="auto"/>
            <w:noWrap/>
            <w:hideMark/>
          </w:tcPr>
          <w:p w:rsidR="00BA18A3" w:rsidRPr="00BA18A3" w:rsidRDefault="00BA18A3" w:rsidP="00BA18A3">
            <w:pPr>
              <w:rPr>
                <w:rFonts w:ascii="Arial" w:hAnsi="Arial" w:cs="Arial"/>
                <w:b/>
                <w:bCs/>
                <w:sz w:val="20"/>
                <w:szCs w:val="20"/>
              </w:rPr>
            </w:pPr>
            <w:r w:rsidRPr="00BA18A3">
              <w:rPr>
                <w:rFonts w:ascii="Arial" w:hAnsi="Arial" w:cs="Arial"/>
                <w:b/>
                <w:bCs/>
                <w:sz w:val="20"/>
                <w:szCs w:val="20"/>
              </w:rPr>
              <w:t xml:space="preserve">Table </w:t>
            </w:r>
            <w:proofErr w:type="spellStart"/>
            <w:r w:rsidRPr="00BA18A3">
              <w:rPr>
                <w:rFonts w:ascii="Arial" w:hAnsi="Arial" w:cs="Arial"/>
                <w:b/>
                <w:bCs/>
                <w:sz w:val="20"/>
                <w:szCs w:val="20"/>
              </w:rPr>
              <w:t>SWD.6.7</w:t>
            </w:r>
            <w:proofErr w:type="spellEnd"/>
          </w:p>
        </w:tc>
        <w:tc>
          <w:tcPr>
            <w:tcW w:w="6864" w:type="dxa"/>
            <w:shd w:val="clear" w:color="auto" w:fill="auto"/>
            <w:hideMark/>
          </w:tcPr>
          <w:p w:rsidR="00BA18A3" w:rsidRPr="00BA18A3" w:rsidRDefault="00BA18A3" w:rsidP="00BA18A3">
            <w:pPr>
              <w:jc w:val="both"/>
              <w:rPr>
                <w:rFonts w:ascii="Arial" w:hAnsi="Arial" w:cs="Arial"/>
                <w:sz w:val="20"/>
                <w:szCs w:val="20"/>
              </w:rPr>
            </w:pPr>
            <w:r w:rsidRPr="00BA18A3">
              <w:rPr>
                <w:rFonts w:ascii="Arial" w:hAnsi="Arial" w:cs="Arial"/>
                <w:sz w:val="20"/>
                <w:szCs w:val="20"/>
              </w:rPr>
              <w:t xml:space="preserve">VET qualification completions by students aged 20–64 years with improved education/training status after training, as a per cent of course enrolments by students aged 20–64 years undertaking </w:t>
            </w:r>
            <w:proofErr w:type="spellStart"/>
            <w:r w:rsidRPr="00BA18A3">
              <w:rPr>
                <w:rFonts w:ascii="Arial" w:hAnsi="Arial" w:cs="Arial"/>
                <w:sz w:val="20"/>
                <w:szCs w:val="20"/>
              </w:rPr>
              <w:t>AQF</w:t>
            </w:r>
            <w:proofErr w:type="spellEnd"/>
            <w:r w:rsidRPr="00BA18A3">
              <w:rPr>
                <w:rFonts w:ascii="Arial" w:hAnsi="Arial" w:cs="Arial"/>
                <w:sz w:val="20"/>
                <w:szCs w:val="20"/>
              </w:rPr>
              <w:t xml:space="preserve"> qualifications, by level of qualification (</w:t>
            </w:r>
            <w:proofErr w:type="spellStart"/>
            <w:r w:rsidRPr="00BA18A3">
              <w:rPr>
                <w:rFonts w:ascii="Arial" w:hAnsi="Arial" w:cs="Arial"/>
                <w:sz w:val="20"/>
                <w:szCs w:val="20"/>
              </w:rPr>
              <w:t>AQF</w:t>
            </w:r>
            <w:proofErr w:type="spellEnd"/>
            <w:r w:rsidRPr="00BA18A3">
              <w:rPr>
                <w:rFonts w:ascii="Arial" w:hAnsi="Arial" w:cs="Arial"/>
                <w:sz w:val="20"/>
                <w:szCs w:val="20"/>
              </w:rPr>
              <w:t xml:space="preserve"> Certificate III above only), by State and Territory, 2011, 2010, 2009, 2008, 2007 and 2006</w:t>
            </w:r>
          </w:p>
        </w:tc>
      </w:tr>
      <w:tr w:rsidR="00BA18A3" w:rsidRPr="00BA18A3" w:rsidTr="00BA18A3">
        <w:trPr>
          <w:trHeight w:val="1122"/>
        </w:trPr>
        <w:tc>
          <w:tcPr>
            <w:tcW w:w="1940" w:type="dxa"/>
            <w:shd w:val="clear" w:color="auto" w:fill="auto"/>
            <w:noWrap/>
            <w:hideMark/>
          </w:tcPr>
          <w:p w:rsidR="00BA18A3" w:rsidRPr="00BA18A3" w:rsidRDefault="00BA18A3" w:rsidP="00BA18A3">
            <w:pPr>
              <w:rPr>
                <w:rFonts w:ascii="Arial" w:hAnsi="Arial" w:cs="Arial"/>
                <w:b/>
                <w:bCs/>
                <w:sz w:val="20"/>
                <w:szCs w:val="20"/>
              </w:rPr>
            </w:pPr>
            <w:r w:rsidRPr="00BA18A3">
              <w:rPr>
                <w:rFonts w:ascii="Arial" w:hAnsi="Arial" w:cs="Arial"/>
                <w:b/>
                <w:bCs/>
                <w:sz w:val="20"/>
                <w:szCs w:val="20"/>
              </w:rPr>
              <w:t xml:space="preserve">Table </w:t>
            </w:r>
            <w:proofErr w:type="spellStart"/>
            <w:r w:rsidRPr="00BA18A3">
              <w:rPr>
                <w:rFonts w:ascii="Arial" w:hAnsi="Arial" w:cs="Arial"/>
                <w:b/>
                <w:bCs/>
                <w:sz w:val="20"/>
                <w:szCs w:val="20"/>
              </w:rPr>
              <w:t>SWD.6.8</w:t>
            </w:r>
            <w:proofErr w:type="spellEnd"/>
          </w:p>
        </w:tc>
        <w:tc>
          <w:tcPr>
            <w:tcW w:w="6864" w:type="dxa"/>
            <w:shd w:val="clear" w:color="auto" w:fill="auto"/>
            <w:hideMark/>
          </w:tcPr>
          <w:p w:rsidR="00BA18A3" w:rsidRPr="00BA18A3" w:rsidRDefault="00BA18A3" w:rsidP="00BA18A3">
            <w:pPr>
              <w:jc w:val="both"/>
              <w:rPr>
                <w:rFonts w:ascii="Arial" w:hAnsi="Arial" w:cs="Arial"/>
                <w:sz w:val="20"/>
                <w:szCs w:val="20"/>
              </w:rPr>
            </w:pPr>
            <w:r w:rsidRPr="00BA18A3">
              <w:rPr>
                <w:rFonts w:ascii="Arial" w:hAnsi="Arial" w:cs="Arial"/>
                <w:sz w:val="20"/>
                <w:szCs w:val="20"/>
              </w:rPr>
              <w:t xml:space="preserve">VET qualification completions by students aged 20–64 years with improved education/training status after training, as a per cent of course enrolments by students aged 20–64 years undertaking </w:t>
            </w:r>
            <w:proofErr w:type="spellStart"/>
            <w:r w:rsidRPr="00BA18A3">
              <w:rPr>
                <w:rFonts w:ascii="Arial" w:hAnsi="Arial" w:cs="Arial"/>
                <w:sz w:val="20"/>
                <w:szCs w:val="20"/>
              </w:rPr>
              <w:t>AQF</w:t>
            </w:r>
            <w:proofErr w:type="spellEnd"/>
            <w:r w:rsidRPr="00BA18A3">
              <w:rPr>
                <w:rFonts w:ascii="Arial" w:hAnsi="Arial" w:cs="Arial"/>
                <w:sz w:val="20"/>
                <w:szCs w:val="20"/>
              </w:rPr>
              <w:t xml:space="preserve"> qualifications, by Indigenous status, by State and Territory, 2006</w:t>
            </w:r>
          </w:p>
        </w:tc>
      </w:tr>
      <w:tr w:rsidR="00BA18A3" w:rsidRPr="00BA18A3" w:rsidTr="00BA18A3">
        <w:trPr>
          <w:trHeight w:val="1122"/>
        </w:trPr>
        <w:tc>
          <w:tcPr>
            <w:tcW w:w="1940" w:type="dxa"/>
            <w:shd w:val="clear" w:color="auto" w:fill="auto"/>
            <w:noWrap/>
            <w:hideMark/>
          </w:tcPr>
          <w:p w:rsidR="00BA18A3" w:rsidRPr="00BA18A3" w:rsidRDefault="00BA18A3" w:rsidP="00BA18A3">
            <w:pPr>
              <w:rPr>
                <w:rFonts w:ascii="Arial" w:hAnsi="Arial" w:cs="Arial"/>
                <w:b/>
                <w:bCs/>
                <w:sz w:val="20"/>
                <w:szCs w:val="20"/>
              </w:rPr>
            </w:pPr>
            <w:r w:rsidRPr="00BA18A3">
              <w:rPr>
                <w:rFonts w:ascii="Arial" w:hAnsi="Arial" w:cs="Arial"/>
                <w:b/>
                <w:bCs/>
                <w:sz w:val="20"/>
                <w:szCs w:val="20"/>
              </w:rPr>
              <w:t xml:space="preserve">Table </w:t>
            </w:r>
            <w:proofErr w:type="spellStart"/>
            <w:r w:rsidRPr="00BA18A3">
              <w:rPr>
                <w:rFonts w:ascii="Arial" w:hAnsi="Arial" w:cs="Arial"/>
                <w:b/>
                <w:bCs/>
                <w:sz w:val="20"/>
                <w:szCs w:val="20"/>
              </w:rPr>
              <w:t>SWD.6.9</w:t>
            </w:r>
            <w:proofErr w:type="spellEnd"/>
          </w:p>
        </w:tc>
        <w:tc>
          <w:tcPr>
            <w:tcW w:w="6864" w:type="dxa"/>
            <w:shd w:val="clear" w:color="auto" w:fill="auto"/>
            <w:hideMark/>
          </w:tcPr>
          <w:p w:rsidR="00BA18A3" w:rsidRPr="00BA18A3" w:rsidRDefault="00BA18A3" w:rsidP="00BA18A3">
            <w:pPr>
              <w:jc w:val="both"/>
              <w:rPr>
                <w:rFonts w:ascii="Arial" w:hAnsi="Arial" w:cs="Arial"/>
                <w:sz w:val="20"/>
                <w:szCs w:val="20"/>
              </w:rPr>
            </w:pPr>
            <w:r w:rsidRPr="00BA18A3">
              <w:rPr>
                <w:rFonts w:ascii="Arial" w:hAnsi="Arial" w:cs="Arial"/>
                <w:sz w:val="20"/>
                <w:szCs w:val="20"/>
              </w:rPr>
              <w:t xml:space="preserve">VET qualification completions by students aged 20–64 years with improved education/training status after training, as a per cent of course completions by students aged 20–64 years undertaking </w:t>
            </w:r>
            <w:proofErr w:type="spellStart"/>
            <w:r w:rsidRPr="00BA18A3">
              <w:rPr>
                <w:rFonts w:ascii="Arial" w:hAnsi="Arial" w:cs="Arial"/>
                <w:sz w:val="20"/>
                <w:szCs w:val="20"/>
              </w:rPr>
              <w:t>AQF</w:t>
            </w:r>
            <w:proofErr w:type="spellEnd"/>
            <w:r w:rsidRPr="00BA18A3">
              <w:rPr>
                <w:rFonts w:ascii="Arial" w:hAnsi="Arial" w:cs="Arial"/>
                <w:sz w:val="20"/>
                <w:szCs w:val="20"/>
              </w:rPr>
              <w:t xml:space="preserve"> qualifications, by age, by State and Territory, 2011</w:t>
            </w:r>
          </w:p>
        </w:tc>
      </w:tr>
      <w:tr w:rsidR="00BA18A3" w:rsidRPr="00BA18A3" w:rsidTr="00BA18A3">
        <w:trPr>
          <w:trHeight w:val="1122"/>
        </w:trPr>
        <w:tc>
          <w:tcPr>
            <w:tcW w:w="1940" w:type="dxa"/>
            <w:shd w:val="clear" w:color="auto" w:fill="auto"/>
            <w:noWrap/>
            <w:hideMark/>
          </w:tcPr>
          <w:p w:rsidR="00BA18A3" w:rsidRPr="00BA18A3" w:rsidRDefault="00BA18A3" w:rsidP="00BA18A3">
            <w:pPr>
              <w:rPr>
                <w:rFonts w:ascii="Arial" w:hAnsi="Arial" w:cs="Arial"/>
                <w:b/>
                <w:bCs/>
                <w:sz w:val="20"/>
                <w:szCs w:val="20"/>
              </w:rPr>
            </w:pPr>
            <w:r w:rsidRPr="00BA18A3">
              <w:rPr>
                <w:rFonts w:ascii="Arial" w:hAnsi="Arial" w:cs="Arial"/>
                <w:b/>
                <w:bCs/>
                <w:sz w:val="20"/>
                <w:szCs w:val="20"/>
              </w:rPr>
              <w:t xml:space="preserve">Table </w:t>
            </w:r>
            <w:proofErr w:type="spellStart"/>
            <w:r w:rsidRPr="00BA18A3">
              <w:rPr>
                <w:rFonts w:ascii="Arial" w:hAnsi="Arial" w:cs="Arial"/>
                <w:b/>
                <w:bCs/>
                <w:sz w:val="20"/>
                <w:szCs w:val="20"/>
              </w:rPr>
              <w:t>SWD.6.10</w:t>
            </w:r>
            <w:proofErr w:type="spellEnd"/>
          </w:p>
        </w:tc>
        <w:tc>
          <w:tcPr>
            <w:tcW w:w="6864" w:type="dxa"/>
            <w:shd w:val="clear" w:color="auto" w:fill="auto"/>
            <w:hideMark/>
          </w:tcPr>
          <w:p w:rsidR="00BA18A3" w:rsidRPr="00BA18A3" w:rsidRDefault="00BA18A3" w:rsidP="00BA18A3">
            <w:pPr>
              <w:jc w:val="both"/>
              <w:rPr>
                <w:rFonts w:ascii="Arial" w:hAnsi="Arial" w:cs="Arial"/>
                <w:sz w:val="20"/>
                <w:szCs w:val="20"/>
              </w:rPr>
            </w:pPr>
            <w:r w:rsidRPr="00BA18A3">
              <w:rPr>
                <w:rFonts w:ascii="Arial" w:hAnsi="Arial" w:cs="Arial"/>
                <w:sz w:val="20"/>
                <w:szCs w:val="20"/>
              </w:rPr>
              <w:t xml:space="preserve">VET qualification completions by students aged 20–64 years with improved education/training status after training, as a per cent of course completions by students aged 20–64 years undertaking </w:t>
            </w:r>
            <w:proofErr w:type="spellStart"/>
            <w:r w:rsidRPr="00BA18A3">
              <w:rPr>
                <w:rFonts w:ascii="Arial" w:hAnsi="Arial" w:cs="Arial"/>
                <w:sz w:val="20"/>
                <w:szCs w:val="20"/>
              </w:rPr>
              <w:t>AQF</w:t>
            </w:r>
            <w:proofErr w:type="spellEnd"/>
            <w:r w:rsidRPr="00BA18A3">
              <w:rPr>
                <w:rFonts w:ascii="Arial" w:hAnsi="Arial" w:cs="Arial"/>
                <w:sz w:val="20"/>
                <w:szCs w:val="20"/>
              </w:rPr>
              <w:t xml:space="preserve"> qualifications, by age, by State and Territory, 2010</w:t>
            </w:r>
          </w:p>
        </w:tc>
      </w:tr>
      <w:tr w:rsidR="00BA18A3" w:rsidRPr="00BA18A3" w:rsidTr="00BA18A3">
        <w:trPr>
          <w:trHeight w:val="1122"/>
        </w:trPr>
        <w:tc>
          <w:tcPr>
            <w:tcW w:w="1940" w:type="dxa"/>
            <w:shd w:val="clear" w:color="auto" w:fill="auto"/>
            <w:noWrap/>
            <w:hideMark/>
          </w:tcPr>
          <w:p w:rsidR="00BA18A3" w:rsidRPr="00BA18A3" w:rsidRDefault="00BA18A3" w:rsidP="00BA18A3">
            <w:pPr>
              <w:rPr>
                <w:rFonts w:ascii="Arial" w:hAnsi="Arial" w:cs="Arial"/>
                <w:b/>
                <w:bCs/>
                <w:sz w:val="20"/>
                <w:szCs w:val="20"/>
              </w:rPr>
            </w:pPr>
            <w:r w:rsidRPr="00BA18A3">
              <w:rPr>
                <w:rFonts w:ascii="Arial" w:hAnsi="Arial" w:cs="Arial"/>
                <w:b/>
                <w:bCs/>
                <w:sz w:val="20"/>
                <w:szCs w:val="20"/>
              </w:rPr>
              <w:t xml:space="preserve">Table </w:t>
            </w:r>
            <w:proofErr w:type="spellStart"/>
            <w:r w:rsidRPr="00BA18A3">
              <w:rPr>
                <w:rFonts w:ascii="Arial" w:hAnsi="Arial" w:cs="Arial"/>
                <w:b/>
                <w:bCs/>
                <w:sz w:val="20"/>
                <w:szCs w:val="20"/>
              </w:rPr>
              <w:t>SWD.6.11</w:t>
            </w:r>
            <w:proofErr w:type="spellEnd"/>
          </w:p>
        </w:tc>
        <w:tc>
          <w:tcPr>
            <w:tcW w:w="6864" w:type="dxa"/>
            <w:shd w:val="clear" w:color="auto" w:fill="auto"/>
            <w:hideMark/>
          </w:tcPr>
          <w:p w:rsidR="00BA18A3" w:rsidRPr="00BA18A3" w:rsidRDefault="00BA18A3" w:rsidP="00BA18A3">
            <w:pPr>
              <w:jc w:val="both"/>
              <w:rPr>
                <w:rFonts w:ascii="Arial" w:hAnsi="Arial" w:cs="Arial"/>
                <w:sz w:val="20"/>
                <w:szCs w:val="20"/>
              </w:rPr>
            </w:pPr>
            <w:r w:rsidRPr="00BA18A3">
              <w:rPr>
                <w:rFonts w:ascii="Arial" w:hAnsi="Arial" w:cs="Arial"/>
                <w:sz w:val="20"/>
                <w:szCs w:val="20"/>
              </w:rPr>
              <w:t xml:space="preserve">VET qualification completions by students aged 20–64 years with improved education/training status after training, as a per cent of course completions by students aged 20–64 years undertaking </w:t>
            </w:r>
            <w:proofErr w:type="spellStart"/>
            <w:r w:rsidRPr="00BA18A3">
              <w:rPr>
                <w:rFonts w:ascii="Arial" w:hAnsi="Arial" w:cs="Arial"/>
                <w:sz w:val="20"/>
                <w:szCs w:val="20"/>
              </w:rPr>
              <w:t>AQF</w:t>
            </w:r>
            <w:proofErr w:type="spellEnd"/>
            <w:r w:rsidRPr="00BA18A3">
              <w:rPr>
                <w:rFonts w:ascii="Arial" w:hAnsi="Arial" w:cs="Arial"/>
                <w:sz w:val="20"/>
                <w:szCs w:val="20"/>
              </w:rPr>
              <w:t xml:space="preserve"> qualifications, by age, by State and Territory, 2009</w:t>
            </w:r>
          </w:p>
        </w:tc>
      </w:tr>
      <w:tr w:rsidR="00BA18A3" w:rsidRPr="00BA18A3" w:rsidTr="00BA18A3">
        <w:trPr>
          <w:trHeight w:val="1122"/>
        </w:trPr>
        <w:tc>
          <w:tcPr>
            <w:tcW w:w="1940" w:type="dxa"/>
            <w:shd w:val="clear" w:color="auto" w:fill="auto"/>
            <w:noWrap/>
            <w:hideMark/>
          </w:tcPr>
          <w:p w:rsidR="00BA18A3" w:rsidRPr="00BA18A3" w:rsidRDefault="00BA18A3" w:rsidP="00BA18A3">
            <w:pPr>
              <w:rPr>
                <w:rFonts w:ascii="Arial" w:hAnsi="Arial" w:cs="Arial"/>
                <w:b/>
                <w:bCs/>
                <w:sz w:val="20"/>
                <w:szCs w:val="20"/>
              </w:rPr>
            </w:pPr>
            <w:r w:rsidRPr="00BA18A3">
              <w:rPr>
                <w:rFonts w:ascii="Arial" w:hAnsi="Arial" w:cs="Arial"/>
                <w:b/>
                <w:bCs/>
                <w:sz w:val="20"/>
                <w:szCs w:val="20"/>
              </w:rPr>
              <w:t xml:space="preserve">Table </w:t>
            </w:r>
            <w:proofErr w:type="spellStart"/>
            <w:r w:rsidRPr="00BA18A3">
              <w:rPr>
                <w:rFonts w:ascii="Arial" w:hAnsi="Arial" w:cs="Arial"/>
                <w:b/>
                <w:bCs/>
                <w:sz w:val="20"/>
                <w:szCs w:val="20"/>
              </w:rPr>
              <w:t>SWD.6.12</w:t>
            </w:r>
            <w:proofErr w:type="spellEnd"/>
          </w:p>
        </w:tc>
        <w:tc>
          <w:tcPr>
            <w:tcW w:w="6864" w:type="dxa"/>
            <w:shd w:val="clear" w:color="auto" w:fill="auto"/>
            <w:hideMark/>
          </w:tcPr>
          <w:p w:rsidR="00BA18A3" w:rsidRPr="00BA18A3" w:rsidRDefault="00BA18A3" w:rsidP="00BA18A3">
            <w:pPr>
              <w:jc w:val="both"/>
              <w:rPr>
                <w:rFonts w:ascii="Arial" w:hAnsi="Arial" w:cs="Arial"/>
                <w:sz w:val="20"/>
                <w:szCs w:val="20"/>
              </w:rPr>
            </w:pPr>
            <w:r w:rsidRPr="00BA18A3">
              <w:rPr>
                <w:rFonts w:ascii="Arial" w:hAnsi="Arial" w:cs="Arial"/>
                <w:sz w:val="20"/>
                <w:szCs w:val="20"/>
              </w:rPr>
              <w:t xml:space="preserve">VET qualification completions by students aged 20–64 years with improved education/training status after training, as a per cent of course completions by students aged 20–64 years undertaking </w:t>
            </w:r>
            <w:proofErr w:type="spellStart"/>
            <w:r w:rsidRPr="00BA18A3">
              <w:rPr>
                <w:rFonts w:ascii="Arial" w:hAnsi="Arial" w:cs="Arial"/>
                <w:sz w:val="20"/>
                <w:szCs w:val="20"/>
              </w:rPr>
              <w:t>AQF</w:t>
            </w:r>
            <w:proofErr w:type="spellEnd"/>
            <w:r w:rsidRPr="00BA18A3">
              <w:rPr>
                <w:rFonts w:ascii="Arial" w:hAnsi="Arial" w:cs="Arial"/>
                <w:sz w:val="20"/>
                <w:szCs w:val="20"/>
              </w:rPr>
              <w:t xml:space="preserve"> qualifications, by age, by State and Territory, 2008</w:t>
            </w:r>
          </w:p>
        </w:tc>
      </w:tr>
      <w:tr w:rsidR="00BA18A3" w:rsidRPr="00BA18A3" w:rsidTr="00BA18A3">
        <w:trPr>
          <w:trHeight w:val="1122"/>
        </w:trPr>
        <w:tc>
          <w:tcPr>
            <w:tcW w:w="1940" w:type="dxa"/>
            <w:shd w:val="clear" w:color="auto" w:fill="auto"/>
            <w:noWrap/>
            <w:hideMark/>
          </w:tcPr>
          <w:p w:rsidR="00BA18A3" w:rsidRPr="00BA18A3" w:rsidRDefault="00BA18A3" w:rsidP="00BA18A3">
            <w:pPr>
              <w:rPr>
                <w:rFonts w:ascii="Arial" w:hAnsi="Arial" w:cs="Arial"/>
                <w:b/>
                <w:bCs/>
                <w:sz w:val="20"/>
                <w:szCs w:val="20"/>
              </w:rPr>
            </w:pPr>
            <w:r w:rsidRPr="00BA18A3">
              <w:rPr>
                <w:rFonts w:ascii="Arial" w:hAnsi="Arial" w:cs="Arial"/>
                <w:b/>
                <w:bCs/>
                <w:sz w:val="20"/>
                <w:szCs w:val="20"/>
              </w:rPr>
              <w:t xml:space="preserve">Table </w:t>
            </w:r>
            <w:proofErr w:type="spellStart"/>
            <w:r w:rsidRPr="00BA18A3">
              <w:rPr>
                <w:rFonts w:ascii="Arial" w:hAnsi="Arial" w:cs="Arial"/>
                <w:b/>
                <w:bCs/>
                <w:sz w:val="20"/>
                <w:szCs w:val="20"/>
              </w:rPr>
              <w:t>SWD.6.13</w:t>
            </w:r>
            <w:proofErr w:type="spellEnd"/>
          </w:p>
        </w:tc>
        <w:tc>
          <w:tcPr>
            <w:tcW w:w="6864" w:type="dxa"/>
            <w:shd w:val="clear" w:color="auto" w:fill="auto"/>
            <w:hideMark/>
          </w:tcPr>
          <w:p w:rsidR="00BA18A3" w:rsidRPr="00BA18A3" w:rsidRDefault="00BA18A3" w:rsidP="00BA18A3">
            <w:pPr>
              <w:jc w:val="both"/>
              <w:rPr>
                <w:rFonts w:ascii="Arial" w:hAnsi="Arial" w:cs="Arial"/>
                <w:sz w:val="20"/>
                <w:szCs w:val="20"/>
              </w:rPr>
            </w:pPr>
            <w:r w:rsidRPr="00BA18A3">
              <w:rPr>
                <w:rFonts w:ascii="Arial" w:hAnsi="Arial" w:cs="Arial"/>
                <w:sz w:val="20"/>
                <w:szCs w:val="20"/>
              </w:rPr>
              <w:t xml:space="preserve">VET qualification completions by students aged 20–64 years with improved education/training status after training, as a per cent of course completions by students aged 20–64 years undertaking </w:t>
            </w:r>
            <w:proofErr w:type="spellStart"/>
            <w:r w:rsidRPr="00BA18A3">
              <w:rPr>
                <w:rFonts w:ascii="Arial" w:hAnsi="Arial" w:cs="Arial"/>
                <w:sz w:val="20"/>
                <w:szCs w:val="20"/>
              </w:rPr>
              <w:t>AQF</w:t>
            </w:r>
            <w:proofErr w:type="spellEnd"/>
            <w:r w:rsidRPr="00BA18A3">
              <w:rPr>
                <w:rFonts w:ascii="Arial" w:hAnsi="Arial" w:cs="Arial"/>
                <w:sz w:val="20"/>
                <w:szCs w:val="20"/>
              </w:rPr>
              <w:t xml:space="preserve"> qualifications, by age, by State and Territory, 2007</w:t>
            </w:r>
          </w:p>
        </w:tc>
      </w:tr>
      <w:tr w:rsidR="00BA18A3" w:rsidRPr="00BA18A3" w:rsidTr="00BA18A3">
        <w:trPr>
          <w:trHeight w:val="1122"/>
        </w:trPr>
        <w:tc>
          <w:tcPr>
            <w:tcW w:w="1940" w:type="dxa"/>
            <w:shd w:val="clear" w:color="auto" w:fill="auto"/>
            <w:noWrap/>
            <w:hideMark/>
          </w:tcPr>
          <w:p w:rsidR="00BA18A3" w:rsidRPr="00BA18A3" w:rsidRDefault="00BA18A3" w:rsidP="00BA18A3">
            <w:pPr>
              <w:rPr>
                <w:rFonts w:ascii="Arial" w:hAnsi="Arial" w:cs="Arial"/>
                <w:b/>
                <w:bCs/>
                <w:sz w:val="20"/>
                <w:szCs w:val="20"/>
              </w:rPr>
            </w:pPr>
            <w:r w:rsidRPr="00BA18A3">
              <w:rPr>
                <w:rFonts w:ascii="Arial" w:hAnsi="Arial" w:cs="Arial"/>
                <w:b/>
                <w:bCs/>
                <w:sz w:val="20"/>
                <w:szCs w:val="20"/>
              </w:rPr>
              <w:t xml:space="preserve">Table </w:t>
            </w:r>
            <w:proofErr w:type="spellStart"/>
            <w:r w:rsidRPr="00BA18A3">
              <w:rPr>
                <w:rFonts w:ascii="Arial" w:hAnsi="Arial" w:cs="Arial"/>
                <w:b/>
                <w:bCs/>
                <w:sz w:val="20"/>
                <w:szCs w:val="20"/>
              </w:rPr>
              <w:t>SWD.6.14</w:t>
            </w:r>
            <w:proofErr w:type="spellEnd"/>
          </w:p>
        </w:tc>
        <w:tc>
          <w:tcPr>
            <w:tcW w:w="6864" w:type="dxa"/>
            <w:shd w:val="clear" w:color="auto" w:fill="auto"/>
            <w:hideMark/>
          </w:tcPr>
          <w:p w:rsidR="00BA18A3" w:rsidRPr="00BA18A3" w:rsidRDefault="00BA18A3" w:rsidP="00BA18A3">
            <w:pPr>
              <w:jc w:val="both"/>
              <w:rPr>
                <w:rFonts w:ascii="Arial" w:hAnsi="Arial" w:cs="Arial"/>
                <w:sz w:val="20"/>
                <w:szCs w:val="20"/>
              </w:rPr>
            </w:pPr>
            <w:r w:rsidRPr="00BA18A3">
              <w:rPr>
                <w:rFonts w:ascii="Arial" w:hAnsi="Arial" w:cs="Arial"/>
                <w:sz w:val="20"/>
                <w:szCs w:val="20"/>
              </w:rPr>
              <w:t xml:space="preserve">VET qualification completions by students aged 20–64 years with improved education/training status after training, as a per cent of course completions by students aged 20–64 years undertaking </w:t>
            </w:r>
            <w:proofErr w:type="spellStart"/>
            <w:r w:rsidRPr="00BA18A3">
              <w:rPr>
                <w:rFonts w:ascii="Arial" w:hAnsi="Arial" w:cs="Arial"/>
                <w:sz w:val="20"/>
                <w:szCs w:val="20"/>
              </w:rPr>
              <w:t>AQF</w:t>
            </w:r>
            <w:proofErr w:type="spellEnd"/>
            <w:r w:rsidRPr="00BA18A3">
              <w:rPr>
                <w:rFonts w:ascii="Arial" w:hAnsi="Arial" w:cs="Arial"/>
                <w:sz w:val="20"/>
                <w:szCs w:val="20"/>
              </w:rPr>
              <w:t xml:space="preserve"> qualifications, by age, by State and Territory, 2006</w:t>
            </w:r>
          </w:p>
        </w:tc>
      </w:tr>
      <w:tr w:rsidR="00BA18A3" w:rsidRPr="00BA18A3" w:rsidTr="00BA18A3">
        <w:trPr>
          <w:trHeight w:val="1275"/>
        </w:trPr>
        <w:tc>
          <w:tcPr>
            <w:tcW w:w="1940" w:type="dxa"/>
            <w:shd w:val="clear" w:color="auto" w:fill="auto"/>
            <w:noWrap/>
            <w:hideMark/>
          </w:tcPr>
          <w:p w:rsidR="00BA18A3" w:rsidRPr="00BA18A3" w:rsidRDefault="00BA18A3" w:rsidP="00BA18A3">
            <w:pPr>
              <w:rPr>
                <w:rFonts w:ascii="Arial" w:hAnsi="Arial" w:cs="Arial"/>
                <w:b/>
                <w:bCs/>
                <w:sz w:val="20"/>
                <w:szCs w:val="20"/>
              </w:rPr>
            </w:pPr>
            <w:r w:rsidRPr="00BA18A3">
              <w:rPr>
                <w:rFonts w:ascii="Arial" w:hAnsi="Arial" w:cs="Arial"/>
                <w:b/>
                <w:bCs/>
                <w:sz w:val="20"/>
                <w:szCs w:val="20"/>
              </w:rPr>
              <w:t xml:space="preserve">Table </w:t>
            </w:r>
            <w:proofErr w:type="spellStart"/>
            <w:r w:rsidRPr="00BA18A3">
              <w:rPr>
                <w:rFonts w:ascii="Arial" w:hAnsi="Arial" w:cs="Arial"/>
                <w:b/>
                <w:bCs/>
                <w:sz w:val="20"/>
                <w:szCs w:val="20"/>
              </w:rPr>
              <w:t>SWD.6.15</w:t>
            </w:r>
            <w:proofErr w:type="spellEnd"/>
          </w:p>
        </w:tc>
        <w:tc>
          <w:tcPr>
            <w:tcW w:w="6864" w:type="dxa"/>
            <w:shd w:val="clear" w:color="auto" w:fill="auto"/>
            <w:hideMark/>
          </w:tcPr>
          <w:p w:rsidR="00BA18A3" w:rsidRPr="00BA18A3" w:rsidRDefault="00BA18A3" w:rsidP="00BA18A3">
            <w:pPr>
              <w:jc w:val="both"/>
              <w:rPr>
                <w:rFonts w:ascii="Arial" w:hAnsi="Arial" w:cs="Arial"/>
                <w:sz w:val="20"/>
                <w:szCs w:val="20"/>
              </w:rPr>
            </w:pPr>
            <w:r w:rsidRPr="00BA18A3">
              <w:rPr>
                <w:rFonts w:ascii="Arial" w:hAnsi="Arial" w:cs="Arial"/>
                <w:sz w:val="20"/>
                <w:szCs w:val="20"/>
              </w:rPr>
              <w:t xml:space="preserve">VET qualification completions by students aged 20–64 years with improved education/training status after training, as a per cent of course completions by students aged 20–64 years undertaking </w:t>
            </w:r>
            <w:proofErr w:type="spellStart"/>
            <w:r w:rsidRPr="00BA18A3">
              <w:rPr>
                <w:rFonts w:ascii="Arial" w:hAnsi="Arial" w:cs="Arial"/>
                <w:sz w:val="20"/>
                <w:szCs w:val="20"/>
              </w:rPr>
              <w:t>AQF</w:t>
            </w:r>
            <w:proofErr w:type="spellEnd"/>
            <w:r w:rsidRPr="00BA18A3">
              <w:rPr>
                <w:rFonts w:ascii="Arial" w:hAnsi="Arial" w:cs="Arial"/>
                <w:sz w:val="20"/>
                <w:szCs w:val="20"/>
              </w:rPr>
              <w:t xml:space="preserve"> qualifications, by level of qualification (</w:t>
            </w:r>
            <w:proofErr w:type="spellStart"/>
            <w:r w:rsidRPr="00BA18A3">
              <w:rPr>
                <w:rFonts w:ascii="Arial" w:hAnsi="Arial" w:cs="Arial"/>
                <w:sz w:val="20"/>
                <w:szCs w:val="20"/>
              </w:rPr>
              <w:t>AQF</w:t>
            </w:r>
            <w:proofErr w:type="spellEnd"/>
            <w:r w:rsidRPr="00BA18A3">
              <w:rPr>
                <w:rFonts w:ascii="Arial" w:hAnsi="Arial" w:cs="Arial"/>
                <w:sz w:val="20"/>
                <w:szCs w:val="20"/>
              </w:rPr>
              <w:t xml:space="preserve"> Certificate III above only), by State and Territory, 2011, 2010, 2009, 2008, 2007 and 2006</w:t>
            </w:r>
          </w:p>
        </w:tc>
      </w:tr>
      <w:tr w:rsidR="00BA18A3" w:rsidRPr="00BA18A3" w:rsidTr="00BA18A3">
        <w:trPr>
          <w:trHeight w:val="1122"/>
        </w:trPr>
        <w:tc>
          <w:tcPr>
            <w:tcW w:w="1940" w:type="dxa"/>
            <w:shd w:val="clear" w:color="auto" w:fill="auto"/>
            <w:noWrap/>
            <w:hideMark/>
          </w:tcPr>
          <w:p w:rsidR="00BA18A3" w:rsidRPr="00BA18A3" w:rsidRDefault="00BA18A3" w:rsidP="00BA18A3">
            <w:pPr>
              <w:rPr>
                <w:rFonts w:ascii="Arial" w:hAnsi="Arial" w:cs="Arial"/>
                <w:b/>
                <w:bCs/>
                <w:sz w:val="20"/>
                <w:szCs w:val="20"/>
              </w:rPr>
            </w:pPr>
            <w:r w:rsidRPr="00BA18A3">
              <w:rPr>
                <w:rFonts w:ascii="Arial" w:hAnsi="Arial" w:cs="Arial"/>
                <w:b/>
                <w:bCs/>
                <w:sz w:val="20"/>
                <w:szCs w:val="20"/>
              </w:rPr>
              <w:t xml:space="preserve">Table </w:t>
            </w:r>
            <w:proofErr w:type="spellStart"/>
            <w:r w:rsidRPr="00BA18A3">
              <w:rPr>
                <w:rFonts w:ascii="Arial" w:hAnsi="Arial" w:cs="Arial"/>
                <w:b/>
                <w:bCs/>
                <w:sz w:val="20"/>
                <w:szCs w:val="20"/>
              </w:rPr>
              <w:t>SWD.6.16</w:t>
            </w:r>
            <w:proofErr w:type="spellEnd"/>
          </w:p>
        </w:tc>
        <w:tc>
          <w:tcPr>
            <w:tcW w:w="6864" w:type="dxa"/>
            <w:shd w:val="clear" w:color="auto" w:fill="auto"/>
            <w:hideMark/>
          </w:tcPr>
          <w:p w:rsidR="00BA18A3" w:rsidRPr="00BA18A3" w:rsidRDefault="00BA18A3" w:rsidP="00BA18A3">
            <w:pPr>
              <w:jc w:val="both"/>
              <w:rPr>
                <w:rFonts w:ascii="Arial" w:hAnsi="Arial" w:cs="Arial"/>
                <w:sz w:val="20"/>
                <w:szCs w:val="20"/>
              </w:rPr>
            </w:pPr>
            <w:r w:rsidRPr="00BA18A3">
              <w:rPr>
                <w:rFonts w:ascii="Arial" w:hAnsi="Arial" w:cs="Arial"/>
                <w:sz w:val="20"/>
                <w:szCs w:val="20"/>
              </w:rPr>
              <w:t xml:space="preserve">VET qualification completions by students aged 20–64 years with improved education/training status after training, as a per cent of course completions by students aged 20–64 years undertaking </w:t>
            </w:r>
            <w:proofErr w:type="spellStart"/>
            <w:r w:rsidRPr="00BA18A3">
              <w:rPr>
                <w:rFonts w:ascii="Arial" w:hAnsi="Arial" w:cs="Arial"/>
                <w:sz w:val="20"/>
                <w:szCs w:val="20"/>
              </w:rPr>
              <w:t>AQF</w:t>
            </w:r>
            <w:proofErr w:type="spellEnd"/>
            <w:r w:rsidRPr="00BA18A3">
              <w:rPr>
                <w:rFonts w:ascii="Arial" w:hAnsi="Arial" w:cs="Arial"/>
                <w:sz w:val="20"/>
                <w:szCs w:val="20"/>
              </w:rPr>
              <w:t xml:space="preserve"> qualifications, by Indigenous status, by State and Territory, 2006</w:t>
            </w:r>
          </w:p>
        </w:tc>
      </w:tr>
    </w:tbl>
    <w:p w:rsidR="00671752" w:rsidRPr="00671752" w:rsidRDefault="00671752" w:rsidP="00555811">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1B41E2" w:rsidTr="0098383A">
        <w:tc>
          <w:tcPr>
            <w:tcW w:w="8771" w:type="dxa"/>
            <w:tcBorders>
              <w:top w:val="single" w:sz="6" w:space="0" w:color="auto"/>
              <w:left w:val="single" w:sz="4" w:space="0" w:color="auto"/>
              <w:bottom w:val="nil"/>
            </w:tcBorders>
          </w:tcPr>
          <w:p w:rsidR="001B41E2" w:rsidRDefault="001B41E2" w:rsidP="00482B04">
            <w:pPr>
              <w:pStyle w:val="BoxTitle"/>
            </w:pPr>
            <w:r>
              <w:rPr>
                <w:b w:val="0"/>
              </w:rPr>
              <w:t xml:space="preserve">Box </w:t>
            </w:r>
            <w:r w:rsidR="009664F7">
              <w:rPr>
                <w:b w:val="0"/>
                <w:noProof/>
              </w:rPr>
              <w:t>1</w:t>
            </w:r>
            <w:r w:rsidR="00482B04">
              <w:rPr>
                <w:b w:val="0"/>
                <w:noProof/>
              </w:rPr>
              <w:t>6</w:t>
            </w:r>
            <w:r>
              <w:tab/>
              <w:t>Comment on data quality</w:t>
            </w:r>
          </w:p>
        </w:tc>
      </w:tr>
      <w:tr w:rsidR="001B41E2" w:rsidRPr="00ED7D21" w:rsidTr="0098383A">
        <w:trPr>
          <w:cantSplit/>
        </w:trPr>
        <w:tc>
          <w:tcPr>
            <w:tcW w:w="8771" w:type="dxa"/>
            <w:tcBorders>
              <w:top w:val="nil"/>
              <w:left w:val="single" w:sz="4" w:space="0" w:color="auto"/>
              <w:bottom w:val="nil"/>
              <w:right w:val="single" w:sz="6" w:space="0" w:color="auto"/>
            </w:tcBorders>
          </w:tcPr>
          <w:p w:rsidR="002C3EEC" w:rsidRDefault="00CA733E" w:rsidP="00073F28">
            <w:pPr>
              <w:pStyle w:val="Box"/>
            </w:pPr>
            <w:r>
              <w:t xml:space="preserve">The DQS for this indicator has been prepared by the NCVER and is included in its original form in the section </w:t>
            </w:r>
            <w:r w:rsidR="00F80682">
              <w:t xml:space="preserve">of </w:t>
            </w:r>
            <w:r>
              <w:t xml:space="preserve">this report titled ‘Data Quality Statements’. Key points from the DQS are summarised below. </w:t>
            </w:r>
          </w:p>
          <w:p w:rsidR="00CA733E" w:rsidRDefault="00CA733E" w:rsidP="00CA733E">
            <w:pPr>
              <w:pStyle w:val="BoxListBullet"/>
            </w:pPr>
            <w:r>
              <w:t xml:space="preserve">The data provide relevant information on the proportion of VET graduates aged </w:t>
            </w:r>
            <w:r w:rsidR="00C3569B">
              <w:br/>
            </w:r>
            <w:r>
              <w:t>20</w:t>
            </w:r>
            <w:r w:rsidR="009D03E3">
              <w:t>–</w:t>
            </w:r>
            <w:r>
              <w:t xml:space="preserve">64 years with improved education/training status after training. </w:t>
            </w:r>
          </w:p>
          <w:p w:rsidR="00CA733E" w:rsidRDefault="00CA733E" w:rsidP="00CA733E">
            <w:pPr>
              <w:pStyle w:val="BoxListBullet"/>
            </w:pPr>
            <w:r>
              <w:t>Annual data are available from the national VET provider collection. The most recent data are for 2012 (completions in 2011). Data are available by State and Territory, by Indigenous stat</w:t>
            </w:r>
            <w:r w:rsidR="00C3569B">
              <w:t>us and by socioeconomic status</w:t>
            </w:r>
            <w:r>
              <w:t xml:space="preserve">. </w:t>
            </w:r>
          </w:p>
          <w:p w:rsidR="00CA733E" w:rsidRDefault="00CA733E" w:rsidP="00CA733E">
            <w:pPr>
              <w:pStyle w:val="BoxListBullet"/>
            </w:pPr>
            <w:r>
              <w:t xml:space="preserve">The data do not include privately funded VET delivered by private providers. </w:t>
            </w:r>
          </w:p>
          <w:p w:rsidR="00CA733E" w:rsidRDefault="00CA733E" w:rsidP="00CA733E">
            <w:pPr>
              <w:pStyle w:val="BoxListBullet"/>
            </w:pPr>
            <w:r>
              <w:t xml:space="preserve">Detailed explanatory notes are publicly available to assist in the interpretation of results. </w:t>
            </w:r>
          </w:p>
          <w:p w:rsidR="00CA733E" w:rsidRDefault="00CA733E" w:rsidP="00CA733E">
            <w:pPr>
              <w:pStyle w:val="BoxListBullet"/>
            </w:pPr>
            <w:r>
              <w:t xml:space="preserve">Additional data form the data source are available </w:t>
            </w:r>
            <w:proofErr w:type="spellStart"/>
            <w:r>
              <w:t>on-line</w:t>
            </w:r>
            <w:proofErr w:type="spellEnd"/>
            <w:r>
              <w:t xml:space="preserve">, and on request. </w:t>
            </w:r>
          </w:p>
          <w:p w:rsidR="00CA733E" w:rsidRDefault="00CA733E" w:rsidP="00CA733E">
            <w:pPr>
              <w:pStyle w:val="Box"/>
            </w:pPr>
            <w:r>
              <w:t>The Steering Committee also notes the following issues:</w:t>
            </w:r>
          </w:p>
          <w:p w:rsidR="00CA733E" w:rsidRDefault="00CA733E" w:rsidP="00CA733E">
            <w:pPr>
              <w:pStyle w:val="BoxListBullet"/>
            </w:pPr>
            <w:r>
              <w:t xml:space="preserve">Using enrolments as the denominator allows this indicator to assess the overall performance of the VET system, as it includes those people who started training </w:t>
            </w:r>
            <w:r w:rsidR="00F80682">
              <w:t xml:space="preserve">but </w:t>
            </w:r>
            <w:r>
              <w:t xml:space="preserve">did not complete (and therefore did not improve their educational status). A supplementary measure using completions as a denominator has been provided for additional information. </w:t>
            </w:r>
          </w:p>
          <w:p w:rsidR="00592D9D" w:rsidRDefault="00CA733E" w:rsidP="00CA733E">
            <w:pPr>
              <w:pStyle w:val="BoxListBullet"/>
            </w:pPr>
            <w:r>
              <w:t>The current scope of this data collection does not include graduates who studied with private providers on a fee-for-service basis.</w:t>
            </w:r>
            <w:r w:rsidR="00C3569B">
              <w:t xml:space="preserve"> </w:t>
            </w:r>
            <w:r w:rsidR="00F80682">
              <w:t>M</w:t>
            </w:r>
            <w:r w:rsidR="00C3569B">
              <w:t xml:space="preserve">andatory reporting of training activity by all </w:t>
            </w:r>
            <w:proofErr w:type="spellStart"/>
            <w:r w:rsidR="00C3569B">
              <w:t>RTOs</w:t>
            </w:r>
            <w:proofErr w:type="spellEnd"/>
            <w:r w:rsidR="00C3569B">
              <w:t xml:space="preserve"> </w:t>
            </w:r>
            <w:r w:rsidR="00F80682">
              <w:t xml:space="preserve">has been </w:t>
            </w:r>
            <w:r w:rsidR="00C3569B">
              <w:t xml:space="preserve">agreed to </w:t>
            </w:r>
            <w:r w:rsidR="00F80682">
              <w:t xml:space="preserve">commence in </w:t>
            </w:r>
            <w:r w:rsidR="00C3569B">
              <w:t>2014</w:t>
            </w:r>
            <w:r w:rsidR="00F80682">
              <w:t>.</w:t>
            </w:r>
          </w:p>
          <w:p w:rsidR="001043AB" w:rsidRDefault="00CA733E" w:rsidP="00592D9D">
            <w:pPr>
              <w:pStyle w:val="BoxListBullet"/>
            </w:pPr>
            <w:r>
              <w:t xml:space="preserve">Disaggregation </w:t>
            </w:r>
            <w:r w:rsidR="002357A7">
              <w:t xml:space="preserve">by </w:t>
            </w:r>
            <w:r>
              <w:t xml:space="preserve">remoteness and SES are </w:t>
            </w:r>
            <w:r w:rsidR="002357A7">
              <w:t>based on</w:t>
            </w:r>
            <w:r>
              <w:t xml:space="preserve"> the usual residence of the student, while State and Territory are based on the location of the data submitter. The Steering Committee recommends a review of the method </w:t>
            </w:r>
            <w:r w:rsidR="002357A7">
              <w:t xml:space="preserve">used </w:t>
            </w:r>
            <w:r>
              <w:t xml:space="preserve">to attribute geographic location. </w:t>
            </w:r>
          </w:p>
          <w:p w:rsidR="00D2368B" w:rsidRPr="00C423B9" w:rsidRDefault="00D2368B" w:rsidP="0039146D">
            <w:pPr>
              <w:pStyle w:val="BoxListBullet"/>
            </w:pPr>
            <w:r w:rsidRPr="00FE1905">
              <w:t xml:space="preserve">Data reported by socioeconomic status </w:t>
            </w:r>
            <w:r>
              <w:t>f</w:t>
            </w:r>
            <w:r w:rsidR="0039146D">
              <w:t xml:space="preserve">or this indicator in the </w:t>
            </w:r>
            <w:r w:rsidRPr="00FE1905">
              <w:t>2012</w:t>
            </w:r>
            <w:r>
              <w:t xml:space="preserve"> </w:t>
            </w:r>
            <w:r w:rsidR="0039146D">
              <w:t xml:space="preserve">NASWD performance reported </w:t>
            </w:r>
            <w:r w:rsidRPr="00FE1905">
              <w:t>ar</w:t>
            </w:r>
            <w:r>
              <w:t>e based on the 2011 SEIFA classification (data for prior years were based on the 2006 SEIFA classification)</w:t>
            </w:r>
            <w:r w:rsidRPr="00FE1905">
              <w:t>.</w:t>
            </w:r>
            <w:r>
              <w:t xml:space="preserve"> In addition, a new ABS geography wa</w:t>
            </w:r>
            <w:r w:rsidR="0039146D">
              <w:t xml:space="preserve">s also incorporated into the </w:t>
            </w:r>
            <w:proofErr w:type="spellStart"/>
            <w:r w:rsidR="0039146D">
              <w:t>SEUV</w:t>
            </w:r>
            <w:proofErr w:type="spellEnd"/>
            <w:r>
              <w:t xml:space="preserve"> </w:t>
            </w:r>
            <w:r w:rsidR="0039146D">
              <w:t xml:space="preserve">for data in the </w:t>
            </w:r>
            <w:r>
              <w:t>2012</w:t>
            </w:r>
            <w:r w:rsidR="0039146D">
              <w:t xml:space="preserve"> NASWD performance report</w:t>
            </w:r>
            <w:r>
              <w:t>. In combination, these changes have resulted in a break in series for SES data from 2012</w:t>
            </w:r>
            <w:r w:rsidR="0039146D">
              <w:t xml:space="preserve"> (2011 completions)</w:t>
            </w:r>
            <w:r>
              <w:t>.</w:t>
            </w:r>
          </w:p>
        </w:tc>
      </w:tr>
      <w:tr w:rsidR="001B41E2" w:rsidTr="0098383A">
        <w:trPr>
          <w:cantSplit/>
        </w:trPr>
        <w:tc>
          <w:tcPr>
            <w:tcW w:w="8771" w:type="dxa"/>
            <w:tcBorders>
              <w:top w:val="nil"/>
              <w:left w:val="single" w:sz="4" w:space="0" w:color="auto"/>
              <w:bottom w:val="single" w:sz="6" w:space="0" w:color="auto"/>
              <w:right w:val="single" w:sz="6" w:space="0" w:color="auto"/>
            </w:tcBorders>
          </w:tcPr>
          <w:p w:rsidR="001B41E2" w:rsidRDefault="001B41E2" w:rsidP="0098383A">
            <w:pPr>
              <w:pStyle w:val="Box"/>
              <w:spacing w:before="0" w:line="120" w:lineRule="exact"/>
            </w:pPr>
          </w:p>
        </w:tc>
      </w:tr>
      <w:tr w:rsidR="001B41E2" w:rsidTr="0092249A">
        <w:tc>
          <w:tcPr>
            <w:tcW w:w="8771" w:type="dxa"/>
            <w:tcBorders>
              <w:top w:val="nil"/>
              <w:left w:val="nil"/>
              <w:bottom w:val="nil"/>
              <w:right w:val="nil"/>
            </w:tcBorders>
          </w:tcPr>
          <w:p w:rsidR="001B41E2" w:rsidRDefault="001B41E2" w:rsidP="0098383A">
            <w:pPr>
              <w:pStyle w:val="Box"/>
              <w:keepNext w:val="0"/>
              <w:spacing w:before="60" w:after="60" w:line="80" w:lineRule="exact"/>
              <w:rPr>
                <w:b/>
                <w:color w:val="FF00FF"/>
                <w:sz w:val="14"/>
              </w:rPr>
            </w:pPr>
          </w:p>
        </w:tc>
      </w:tr>
    </w:tbl>
    <w:p w:rsidR="008D78E9" w:rsidRDefault="005325D6" w:rsidP="008D78E9">
      <w:pPr>
        <w:pStyle w:val="Heading3"/>
      </w:pPr>
      <w:bookmarkStart w:id="27" w:name="_Ref328392174"/>
      <w:bookmarkStart w:id="28" w:name="_Ref355613598"/>
      <w:r>
        <w:t>[NIRA] Indicator 7 — Proportion of Indigenous 20–64 year olds with or working towards post school qualification</w:t>
      </w:r>
      <w:bookmarkEnd w:id="27"/>
      <w:r w:rsidR="007A68B3">
        <w:t xml:space="preserve"> in </w:t>
      </w:r>
      <w:proofErr w:type="spellStart"/>
      <w:r w:rsidR="007A68B3">
        <w:t>AQF</w:t>
      </w:r>
      <w:proofErr w:type="spellEnd"/>
      <w:r w:rsidR="007A68B3">
        <w:t xml:space="preserve"> Certificate III or above</w:t>
      </w:r>
      <w:bookmarkEnd w:id="28"/>
    </w:p>
    <w:p w:rsidR="007A68B3" w:rsidRDefault="007A68B3" w:rsidP="0042110D">
      <w:pPr>
        <w:pStyle w:val="BoxSpaceAbove"/>
      </w:pPr>
      <w:r w:rsidRPr="008D78E9">
        <w:t>[This indicator relates to Performance Indicator 15 in the NIRA]</w:t>
      </w:r>
    </w:p>
    <w:p w:rsidR="0042110D" w:rsidRPr="008D78E9" w:rsidRDefault="0042110D" w:rsidP="0042110D">
      <w:pPr>
        <w:pStyle w:val="BoxSpaceAbove"/>
      </w:pPr>
    </w:p>
    <w:tbl>
      <w:tblPr>
        <w:tblW w:w="0" w:type="auto"/>
        <w:tblInd w:w="108" w:type="dxa"/>
        <w:tblLayout w:type="fixed"/>
        <w:tblLook w:val="01E0" w:firstRow="1" w:lastRow="1" w:firstColumn="1" w:lastColumn="1" w:noHBand="0" w:noVBand="0"/>
      </w:tblPr>
      <w:tblGrid>
        <w:gridCol w:w="2014"/>
        <w:gridCol w:w="6775"/>
      </w:tblGrid>
      <w:tr w:rsidR="005325D6" w:rsidTr="001B5488">
        <w:trPr>
          <w:trHeight w:val="598"/>
        </w:trPr>
        <w:tc>
          <w:tcPr>
            <w:tcW w:w="2014" w:type="dxa"/>
          </w:tcPr>
          <w:p w:rsidR="005325D6" w:rsidRPr="00366033" w:rsidRDefault="005325D6" w:rsidP="0042110D">
            <w:pPr>
              <w:pStyle w:val="TableBodyText"/>
              <w:jc w:val="left"/>
            </w:pPr>
            <w:r w:rsidRPr="00366033">
              <w:t xml:space="preserve">Key amendments from </w:t>
            </w:r>
            <w:r>
              <w:t>previous</w:t>
            </w:r>
            <w:r w:rsidRPr="00366033">
              <w:t xml:space="preserve"> cycle:</w:t>
            </w:r>
            <w:r w:rsidRPr="00366033">
              <w:tab/>
            </w:r>
          </w:p>
        </w:tc>
        <w:tc>
          <w:tcPr>
            <w:tcW w:w="6775" w:type="dxa"/>
          </w:tcPr>
          <w:p w:rsidR="002026AE" w:rsidRDefault="00FD3192" w:rsidP="0042110D">
            <w:pPr>
              <w:pStyle w:val="TableBodyText"/>
              <w:jc w:val="left"/>
            </w:pPr>
            <w:r w:rsidRPr="00FD3192">
              <w:t>Historical data have been supplied for disaggregation by remoteness</w:t>
            </w:r>
          </w:p>
        </w:tc>
      </w:tr>
      <w:tr w:rsidR="005325D6" w:rsidTr="001B5488">
        <w:trPr>
          <w:trHeight w:val="598"/>
        </w:trPr>
        <w:tc>
          <w:tcPr>
            <w:tcW w:w="2014" w:type="dxa"/>
          </w:tcPr>
          <w:p w:rsidR="005325D6" w:rsidRDefault="005325D6" w:rsidP="0042110D">
            <w:pPr>
              <w:pStyle w:val="TableBodyText"/>
              <w:jc w:val="left"/>
            </w:pPr>
            <w:r>
              <w:t>Outcome:</w:t>
            </w:r>
          </w:p>
        </w:tc>
        <w:tc>
          <w:tcPr>
            <w:tcW w:w="6775" w:type="dxa"/>
          </w:tcPr>
          <w:p w:rsidR="005325D6" w:rsidRPr="00D977CB" w:rsidRDefault="00FD3192" w:rsidP="0042110D">
            <w:pPr>
              <w:pStyle w:val="TableBodyText"/>
              <w:jc w:val="left"/>
            </w:pPr>
            <w:r w:rsidRPr="00FD3192">
              <w:t>All working age Australians have the opportunity to develop skills</w:t>
            </w:r>
          </w:p>
        </w:tc>
      </w:tr>
      <w:tr w:rsidR="005325D6" w:rsidTr="001B5488">
        <w:tc>
          <w:tcPr>
            <w:tcW w:w="2014" w:type="dxa"/>
          </w:tcPr>
          <w:p w:rsidR="005325D6" w:rsidRDefault="005325D6" w:rsidP="0042110D">
            <w:pPr>
              <w:pStyle w:val="TableBodyText"/>
              <w:jc w:val="left"/>
            </w:pPr>
            <w:r>
              <w:t xml:space="preserve">Performance indicator: </w:t>
            </w:r>
          </w:p>
          <w:p w:rsidR="005325D6" w:rsidRPr="000E5A86" w:rsidRDefault="005325D6" w:rsidP="0042110D">
            <w:pPr>
              <w:pStyle w:val="TableBodyText"/>
              <w:jc w:val="left"/>
            </w:pPr>
          </w:p>
        </w:tc>
        <w:tc>
          <w:tcPr>
            <w:tcW w:w="6775" w:type="dxa"/>
          </w:tcPr>
          <w:p w:rsidR="005325D6" w:rsidRPr="007410D4" w:rsidRDefault="00FD3192" w:rsidP="0042110D">
            <w:pPr>
              <w:pStyle w:val="TableBodyText"/>
              <w:jc w:val="left"/>
            </w:pPr>
            <w:r w:rsidRPr="00FD3192">
              <w:t xml:space="preserve">Proportion of Indigenous 20–64 year olds with or working towards post school qualification in </w:t>
            </w:r>
            <w:proofErr w:type="spellStart"/>
            <w:r w:rsidRPr="00FD3192">
              <w:t>AQF</w:t>
            </w:r>
            <w:proofErr w:type="spellEnd"/>
            <w:r w:rsidRPr="00FD3192">
              <w:t xml:space="preserve"> Certificate level III or above</w:t>
            </w:r>
          </w:p>
        </w:tc>
      </w:tr>
      <w:tr w:rsidR="005325D6" w:rsidTr="001B5488">
        <w:tc>
          <w:tcPr>
            <w:tcW w:w="2014" w:type="dxa"/>
          </w:tcPr>
          <w:p w:rsidR="005325D6" w:rsidRDefault="005325D6" w:rsidP="0042110D">
            <w:pPr>
              <w:pStyle w:val="TableBodyText"/>
              <w:jc w:val="left"/>
            </w:pPr>
            <w:r w:rsidRPr="000E5A86">
              <w:t>Measure</w:t>
            </w:r>
            <w:r>
              <w:t xml:space="preserve">: </w:t>
            </w:r>
          </w:p>
        </w:tc>
        <w:tc>
          <w:tcPr>
            <w:tcW w:w="6775" w:type="dxa"/>
          </w:tcPr>
          <w:p w:rsidR="00FD3192" w:rsidRDefault="00FD3192" w:rsidP="0042110D">
            <w:pPr>
              <w:pStyle w:val="TableBodyText"/>
              <w:jc w:val="left"/>
            </w:pPr>
            <w:r>
              <w:t>Proportion of people aged 20–64 years with, or working towards, post school qualifications in Australian Qualifications Framework (</w:t>
            </w:r>
            <w:proofErr w:type="spellStart"/>
            <w:r>
              <w:t>AQF</w:t>
            </w:r>
            <w:proofErr w:type="spellEnd"/>
            <w:r>
              <w:t>) Certificate level III or above by Indigenous status.</w:t>
            </w:r>
          </w:p>
          <w:p w:rsidR="00FD3192" w:rsidRDefault="00FD3192" w:rsidP="0042110D">
            <w:pPr>
              <w:pStyle w:val="TableBodyText"/>
              <w:jc w:val="left"/>
            </w:pPr>
          </w:p>
          <w:p w:rsidR="00FD3192" w:rsidRDefault="00FD3192" w:rsidP="0042110D">
            <w:pPr>
              <w:pStyle w:val="TableBodyText"/>
              <w:jc w:val="left"/>
            </w:pPr>
            <w:r>
              <w:t>The measure is defined as:</w:t>
            </w:r>
          </w:p>
          <w:p w:rsidR="00FD3192" w:rsidRDefault="00BB0D0C" w:rsidP="0042110D">
            <w:pPr>
              <w:pStyle w:val="TableBullet"/>
            </w:pPr>
            <w:r>
              <w:rPr>
                <w:i/>
              </w:rPr>
              <w:t>n</w:t>
            </w:r>
            <w:r w:rsidR="00FD3192" w:rsidRPr="00555811">
              <w:rPr>
                <w:i/>
              </w:rPr>
              <w:t>umerator</w:t>
            </w:r>
            <w:r w:rsidR="00FD3192">
              <w:t xml:space="preserve"> — People aged 20–64 years who have attained post school qualifications in </w:t>
            </w:r>
            <w:proofErr w:type="spellStart"/>
            <w:r w:rsidR="00FD3192">
              <w:t>AQF</w:t>
            </w:r>
            <w:proofErr w:type="spellEnd"/>
            <w:r w:rsidR="00FD3192">
              <w:t xml:space="preserve"> Certificate level III or above, or are currently studying a non-school qualification </w:t>
            </w:r>
          </w:p>
          <w:p w:rsidR="00FD3192" w:rsidRDefault="00BB0D0C" w:rsidP="0042110D">
            <w:pPr>
              <w:pStyle w:val="TableBullet"/>
            </w:pPr>
            <w:r>
              <w:rPr>
                <w:i/>
              </w:rPr>
              <w:t>d</w:t>
            </w:r>
            <w:r w:rsidR="00FD3192" w:rsidRPr="00555811">
              <w:rPr>
                <w:i/>
              </w:rPr>
              <w:t>enominator</w:t>
            </w:r>
            <w:r w:rsidR="00FD3192">
              <w:t xml:space="preserve"> — total population of people aged 20−64 years</w:t>
            </w:r>
          </w:p>
          <w:p w:rsidR="00FD3192" w:rsidRDefault="00FD3192" w:rsidP="0042110D">
            <w:pPr>
              <w:pStyle w:val="TableBodyText"/>
              <w:jc w:val="left"/>
            </w:pPr>
            <w:r>
              <w:t xml:space="preserve">presented as a </w:t>
            </w:r>
            <w:r w:rsidRPr="003C5668">
              <w:rPr>
                <w:i/>
              </w:rPr>
              <w:t>rate per 100 population</w:t>
            </w:r>
          </w:p>
          <w:p w:rsidR="00FD3192" w:rsidRDefault="00FD3192" w:rsidP="0042110D">
            <w:pPr>
              <w:pStyle w:val="TableBodyText"/>
              <w:jc w:val="left"/>
            </w:pPr>
          </w:p>
          <w:p w:rsidR="00FD3192" w:rsidRDefault="00FD3192" w:rsidP="0042110D">
            <w:pPr>
              <w:pStyle w:val="TableBodyText"/>
              <w:jc w:val="left"/>
            </w:pPr>
            <w:r>
              <w:t>For persons 'with' a non-school qualification:</w:t>
            </w:r>
          </w:p>
          <w:p w:rsidR="00FD3192" w:rsidRDefault="00FD3192" w:rsidP="0042110D">
            <w:pPr>
              <w:pStyle w:val="TableBullet"/>
            </w:pPr>
            <w:r>
              <w:t xml:space="preserve">People whose level of education was inadequately described are excluded from the calculation (numerator and denominator) if they were not identified as having completed year 12 or attained Certificate level II or above. </w:t>
            </w:r>
          </w:p>
          <w:p w:rsidR="00FD3192" w:rsidRDefault="00FD3192" w:rsidP="0042110D">
            <w:pPr>
              <w:pStyle w:val="TableBullet"/>
            </w:pPr>
            <w:r>
              <w:t>The Census measure excludes people whose highest level of schooling or level of non-school qualification is not stated or inadequately described if they were not identified as having completed year 12 or attained Certificate level II or above.</w:t>
            </w:r>
          </w:p>
          <w:p w:rsidR="00FD3192" w:rsidRDefault="00FD3192" w:rsidP="0042110D">
            <w:pPr>
              <w:pStyle w:val="TableBullet"/>
            </w:pPr>
            <w:r>
              <w:t>For persons ‘working towards’ a non-school qualification:</w:t>
            </w:r>
          </w:p>
          <w:p w:rsidR="00FD3192" w:rsidRDefault="00FD3192" w:rsidP="0042110D">
            <w:pPr>
              <w:pStyle w:val="TableBullet"/>
            </w:pPr>
            <w:r>
              <w:t xml:space="preserve">Level of qualification is not available for people ‘working towards; post school qualification. therefore, people working towards any non-school qualification are included in the calculations for this indicator. </w:t>
            </w:r>
          </w:p>
          <w:p w:rsidR="00BC6A11" w:rsidRDefault="00FD3192" w:rsidP="0042110D">
            <w:pPr>
              <w:pStyle w:val="TableBullet"/>
            </w:pPr>
            <w:r>
              <w:t>Total population excludes people whose highest level of schooling and/or level of non-schooling qualification was not stated.</w:t>
            </w:r>
          </w:p>
          <w:p w:rsidR="003C5668" w:rsidRPr="00D977CB" w:rsidRDefault="003C5668" w:rsidP="003C5668">
            <w:pPr>
              <w:pStyle w:val="TableBullet"/>
              <w:numPr>
                <w:ilvl w:val="0"/>
                <w:numId w:val="0"/>
              </w:numPr>
              <w:ind w:left="170"/>
            </w:pPr>
          </w:p>
        </w:tc>
      </w:tr>
      <w:tr w:rsidR="005325D6" w:rsidTr="001B5488">
        <w:tc>
          <w:tcPr>
            <w:tcW w:w="2014" w:type="dxa"/>
          </w:tcPr>
          <w:p w:rsidR="005325D6" w:rsidRPr="000E5A86" w:rsidRDefault="005325D6" w:rsidP="0042110D">
            <w:pPr>
              <w:pStyle w:val="TableBodyText"/>
              <w:jc w:val="left"/>
            </w:pPr>
            <w:r>
              <w:t>Data source:</w:t>
            </w:r>
          </w:p>
        </w:tc>
        <w:tc>
          <w:tcPr>
            <w:tcW w:w="6775" w:type="dxa"/>
          </w:tcPr>
          <w:p w:rsidR="00FD3192" w:rsidRDefault="00BB0D0C" w:rsidP="0042110D">
            <w:pPr>
              <w:pStyle w:val="TableBodyText"/>
              <w:jc w:val="left"/>
            </w:pPr>
            <w:r w:rsidRPr="00BB0D0C">
              <w:rPr>
                <w:i/>
              </w:rPr>
              <w:t>(</w:t>
            </w:r>
            <w:r w:rsidR="00FD3192" w:rsidRPr="00BB0D0C">
              <w:rPr>
                <w:i/>
              </w:rPr>
              <w:t>Main</w:t>
            </w:r>
            <w:r w:rsidRPr="00BB0D0C">
              <w:rPr>
                <w:i/>
              </w:rPr>
              <w:t>)</w:t>
            </w:r>
            <w:r w:rsidR="00FD3192">
              <w:t xml:space="preserve"> Numerator and denominator — </w:t>
            </w:r>
            <w:r w:rsidR="00FD3192" w:rsidRPr="00BB0D0C">
              <w:rPr>
                <w:u w:val="single"/>
              </w:rPr>
              <w:t>Census of Population and Housing</w:t>
            </w:r>
            <w:r w:rsidR="00FD3192">
              <w:t xml:space="preserve"> (Census) —</w:t>
            </w:r>
            <w:r w:rsidR="00B9120C">
              <w:t xml:space="preserve"> </w:t>
            </w:r>
            <w:r w:rsidR="00FD3192">
              <w:t>Data are collected every five years</w:t>
            </w:r>
          </w:p>
          <w:p w:rsidR="00FD3192" w:rsidRDefault="00FD3192" w:rsidP="0042110D">
            <w:pPr>
              <w:pStyle w:val="TableBodyText"/>
              <w:jc w:val="left"/>
            </w:pPr>
          </w:p>
          <w:p w:rsidR="00FD3192" w:rsidRPr="00BB0D0C" w:rsidRDefault="00BB0D0C" w:rsidP="0042110D">
            <w:pPr>
              <w:pStyle w:val="TableBodyText"/>
              <w:jc w:val="left"/>
              <w:rPr>
                <w:i/>
              </w:rPr>
            </w:pPr>
            <w:r w:rsidRPr="00BB0D0C">
              <w:rPr>
                <w:i/>
              </w:rPr>
              <w:t>(</w:t>
            </w:r>
            <w:r w:rsidR="00FD3192" w:rsidRPr="00BB0D0C">
              <w:rPr>
                <w:i/>
              </w:rPr>
              <w:t>Supplementary</w:t>
            </w:r>
            <w:r>
              <w:rPr>
                <w:i/>
              </w:rPr>
              <w:t xml:space="preserve"> Indigenous</w:t>
            </w:r>
            <w:r w:rsidRPr="00BB0D0C">
              <w:rPr>
                <w:i/>
              </w:rPr>
              <w:t>)</w:t>
            </w:r>
            <w:r>
              <w:rPr>
                <w:i/>
              </w:rPr>
              <w:t xml:space="preserve"> </w:t>
            </w:r>
            <w:r w:rsidR="00FD3192">
              <w:t>Numerator and denominator —</w:t>
            </w:r>
            <w:r w:rsidR="00B9120C">
              <w:t xml:space="preserve"> </w:t>
            </w:r>
          </w:p>
          <w:p w:rsidR="00BB0D0C" w:rsidRDefault="00FD3192" w:rsidP="0042110D">
            <w:pPr>
              <w:pStyle w:val="TableBodyText"/>
              <w:jc w:val="left"/>
            </w:pPr>
            <w:r>
              <w:t xml:space="preserve">(Indigenous) </w:t>
            </w:r>
            <w:r w:rsidRPr="00BB0D0C">
              <w:rPr>
                <w:u w:val="single"/>
              </w:rPr>
              <w:t xml:space="preserve">National Aboriginal and Torres Strait Islander Social Survey </w:t>
            </w:r>
            <w:r w:rsidRPr="00AC0AC3">
              <w:t>(</w:t>
            </w:r>
            <w:r>
              <w:t xml:space="preserve">NATSISS) and the </w:t>
            </w:r>
            <w:r w:rsidRPr="00BB0D0C">
              <w:rPr>
                <w:u w:val="single"/>
              </w:rPr>
              <w:t>National Aboriginal and Torres Strait Islander Health Survey</w:t>
            </w:r>
            <w:r>
              <w:t xml:space="preserve"> (NATSIHS) component of the </w:t>
            </w:r>
            <w:r w:rsidRPr="00BB0D0C">
              <w:rPr>
                <w:u w:val="single"/>
              </w:rPr>
              <w:t>Australian Aboriginal and Torres Strait Islander Health Survey</w:t>
            </w:r>
            <w:r>
              <w:t xml:space="preserve"> (AATSIHS) — Data are collected on an alternating three yearly cycle.</w:t>
            </w:r>
          </w:p>
          <w:p w:rsidR="002026AE" w:rsidRDefault="00FD3192" w:rsidP="0042110D">
            <w:pPr>
              <w:pStyle w:val="TableBodyText"/>
              <w:jc w:val="left"/>
            </w:pPr>
            <w:r>
              <w:t>(</w:t>
            </w:r>
            <w:r w:rsidR="00BB0D0C" w:rsidRPr="00BB0D0C">
              <w:rPr>
                <w:i/>
              </w:rPr>
              <w:t xml:space="preserve">Supplementary </w:t>
            </w:r>
            <w:r w:rsidRPr="00BB0D0C">
              <w:rPr>
                <w:i/>
              </w:rPr>
              <w:t>non-Indigenous</w:t>
            </w:r>
            <w:r>
              <w:t xml:space="preserve">) </w:t>
            </w:r>
            <w:r w:rsidRPr="009F3BDC">
              <w:rPr>
                <w:u w:val="single"/>
              </w:rPr>
              <w:t>Survey of Education and Work</w:t>
            </w:r>
            <w:r>
              <w:t xml:space="preserve"> (SEW) for the non-Indigenous population comparator. Data are available annually</w:t>
            </w:r>
          </w:p>
          <w:p w:rsidR="009F3BDC" w:rsidRPr="00F43E29" w:rsidRDefault="009F3BDC" w:rsidP="0042110D">
            <w:pPr>
              <w:pStyle w:val="TableBodyText"/>
              <w:jc w:val="left"/>
            </w:pPr>
          </w:p>
        </w:tc>
      </w:tr>
      <w:tr w:rsidR="005325D6" w:rsidTr="001B5488">
        <w:tc>
          <w:tcPr>
            <w:tcW w:w="2014" w:type="dxa"/>
          </w:tcPr>
          <w:p w:rsidR="005325D6" w:rsidRDefault="005325D6" w:rsidP="0042110D">
            <w:pPr>
              <w:pStyle w:val="TableBodyText"/>
              <w:jc w:val="left"/>
            </w:pPr>
            <w:r w:rsidRPr="000E5A86">
              <w:t>Data provider:</w:t>
            </w:r>
          </w:p>
        </w:tc>
        <w:tc>
          <w:tcPr>
            <w:tcW w:w="6775" w:type="dxa"/>
          </w:tcPr>
          <w:p w:rsidR="00AA68C1" w:rsidRDefault="00FD3192" w:rsidP="0042110D">
            <w:pPr>
              <w:pStyle w:val="TableBodyText"/>
              <w:jc w:val="left"/>
            </w:pPr>
            <w:r w:rsidRPr="00FD3192">
              <w:t>ABS</w:t>
            </w:r>
          </w:p>
          <w:p w:rsidR="009F3BDC" w:rsidRPr="005A2016" w:rsidRDefault="009F3BDC" w:rsidP="0042110D">
            <w:pPr>
              <w:pStyle w:val="TableBodyText"/>
              <w:jc w:val="left"/>
            </w:pPr>
          </w:p>
        </w:tc>
      </w:tr>
      <w:tr w:rsidR="005325D6" w:rsidTr="008D3306">
        <w:tc>
          <w:tcPr>
            <w:tcW w:w="2014" w:type="dxa"/>
          </w:tcPr>
          <w:p w:rsidR="005325D6" w:rsidRPr="000E5A86" w:rsidRDefault="005325D6" w:rsidP="0042110D">
            <w:pPr>
              <w:pStyle w:val="TableBodyText"/>
              <w:jc w:val="left"/>
            </w:pPr>
            <w:r w:rsidRPr="000E5A86">
              <w:t>Data availability</w:t>
            </w:r>
            <w:r>
              <w:t>:</w:t>
            </w:r>
          </w:p>
        </w:tc>
        <w:tc>
          <w:tcPr>
            <w:tcW w:w="6775" w:type="dxa"/>
          </w:tcPr>
          <w:p w:rsidR="00FD3192" w:rsidRDefault="00FD3192" w:rsidP="0042110D">
            <w:pPr>
              <w:pStyle w:val="TableBodyText"/>
              <w:jc w:val="left"/>
            </w:pPr>
            <w:r>
              <w:t>Main data source</w:t>
            </w:r>
          </w:p>
          <w:p w:rsidR="00FD3192" w:rsidRDefault="00FD3192" w:rsidP="0042110D">
            <w:pPr>
              <w:pStyle w:val="TableBodyText"/>
              <w:jc w:val="left"/>
            </w:pPr>
            <w:r>
              <w:t>2011 Census [supplied for remoteness only]</w:t>
            </w:r>
          </w:p>
          <w:p w:rsidR="00FD3192" w:rsidRDefault="00FD3192" w:rsidP="0042110D">
            <w:pPr>
              <w:pStyle w:val="TableBodyText"/>
              <w:jc w:val="left"/>
            </w:pPr>
          </w:p>
          <w:p w:rsidR="00FD3192" w:rsidRDefault="00FD3192" w:rsidP="0042110D">
            <w:pPr>
              <w:pStyle w:val="TableBodyText"/>
              <w:jc w:val="left"/>
            </w:pPr>
            <w:r>
              <w:t>Supplementary data source</w:t>
            </w:r>
          </w:p>
          <w:p w:rsidR="00FD3192" w:rsidRDefault="00FD3192" w:rsidP="0042110D">
            <w:pPr>
              <w:pStyle w:val="TableBodyText"/>
              <w:jc w:val="left"/>
            </w:pPr>
            <w:r>
              <w:t>2012</w:t>
            </w:r>
            <w:r w:rsidR="00B9120C">
              <w:noBreakHyphen/>
            </w:r>
            <w:r w:rsidR="00553848">
              <w:t xml:space="preserve">13 (Indigenous) </w:t>
            </w:r>
            <w:r>
              <w:t>– NATSIHS component of the AATSIHS (supplied for 2007</w:t>
            </w:r>
            <w:r w:rsidR="00B9120C">
              <w:noBreakHyphen/>
            </w:r>
            <w:r>
              <w:t>08 for remoteness)</w:t>
            </w:r>
          </w:p>
          <w:p w:rsidR="00FD3192" w:rsidRDefault="00FD3192" w:rsidP="0042110D">
            <w:pPr>
              <w:pStyle w:val="TableBodyText"/>
              <w:jc w:val="left"/>
            </w:pPr>
            <w:r>
              <w:t>2012 (non-Indigenous) – SEW (supplied for 2008 for additional disaggregation by completed study/currently studying)</w:t>
            </w:r>
          </w:p>
          <w:p w:rsidR="009F3BDC" w:rsidRPr="005A2016" w:rsidRDefault="009F3BDC" w:rsidP="0042110D">
            <w:pPr>
              <w:pStyle w:val="TableBodyText"/>
              <w:jc w:val="left"/>
            </w:pPr>
          </w:p>
        </w:tc>
      </w:tr>
      <w:tr w:rsidR="005325D6" w:rsidTr="008D3306">
        <w:trPr>
          <w:trHeight w:val="592"/>
        </w:trPr>
        <w:tc>
          <w:tcPr>
            <w:tcW w:w="2014" w:type="dxa"/>
          </w:tcPr>
          <w:p w:rsidR="005325D6" w:rsidRPr="000E5A86" w:rsidRDefault="005325D6" w:rsidP="0042110D">
            <w:pPr>
              <w:pStyle w:val="TableBodyText"/>
              <w:jc w:val="left"/>
            </w:pPr>
            <w:r>
              <w:t>Cross tabulations provided:</w:t>
            </w:r>
          </w:p>
        </w:tc>
        <w:tc>
          <w:tcPr>
            <w:tcW w:w="6775" w:type="dxa"/>
          </w:tcPr>
          <w:p w:rsidR="00FD3192" w:rsidRDefault="00FD3192" w:rsidP="0042110D">
            <w:pPr>
              <w:pStyle w:val="TableBodyText"/>
              <w:jc w:val="left"/>
            </w:pPr>
            <w:r>
              <w:t>State/territory by Indigenous status, by completed study/currently studying, by:</w:t>
            </w:r>
          </w:p>
          <w:p w:rsidR="00FD3192" w:rsidRDefault="00FD3192" w:rsidP="0042110D">
            <w:pPr>
              <w:pStyle w:val="TableBullet"/>
            </w:pPr>
            <w:r>
              <w:t>level of study (completed study only)</w:t>
            </w:r>
          </w:p>
          <w:p w:rsidR="00FD3192" w:rsidRDefault="00FD3192" w:rsidP="0042110D">
            <w:pPr>
              <w:pStyle w:val="TableBullet"/>
            </w:pPr>
            <w:r>
              <w:t>remoteness areas (Census only) (based on ASGS)</w:t>
            </w:r>
          </w:p>
          <w:p w:rsidR="00FD3192" w:rsidRDefault="00FD3192" w:rsidP="0042110D">
            <w:pPr>
              <w:pStyle w:val="TableBullet"/>
              <w:numPr>
                <w:ilvl w:val="0"/>
                <w:numId w:val="0"/>
              </w:numPr>
              <w:ind w:left="170"/>
            </w:pPr>
          </w:p>
          <w:p w:rsidR="00FD3192" w:rsidRDefault="00FD3192" w:rsidP="0042110D">
            <w:pPr>
              <w:pStyle w:val="TableBodyText"/>
              <w:jc w:val="left"/>
            </w:pPr>
            <w:r>
              <w:t>National by Indigenous status by:</w:t>
            </w:r>
          </w:p>
          <w:p w:rsidR="00154DD9" w:rsidRPr="000E5A86" w:rsidRDefault="00FD3192" w:rsidP="0042110D">
            <w:pPr>
              <w:pStyle w:val="TableBullet"/>
            </w:pPr>
            <w:r>
              <w:t>remoteness areas (2011 based on ASGS, previous years data based on ASGC)</w:t>
            </w:r>
          </w:p>
        </w:tc>
      </w:tr>
    </w:tbl>
    <w:p w:rsidR="00BD6767" w:rsidRDefault="00BD6767" w:rsidP="00BD6767">
      <w:pPr>
        <w:pStyle w:val="BoxSpac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BD6767" w:rsidTr="00BD6767">
        <w:tc>
          <w:tcPr>
            <w:tcW w:w="8771" w:type="dxa"/>
            <w:tcBorders>
              <w:top w:val="single" w:sz="6" w:space="0" w:color="auto"/>
              <w:bottom w:val="nil"/>
            </w:tcBorders>
          </w:tcPr>
          <w:p w:rsidR="00BD6767" w:rsidRDefault="00BD6767" w:rsidP="00482B04">
            <w:pPr>
              <w:pStyle w:val="BoxTitle"/>
            </w:pPr>
            <w:r>
              <w:rPr>
                <w:b w:val="0"/>
              </w:rPr>
              <w:t xml:space="preserve">Box </w:t>
            </w:r>
            <w:r>
              <w:rPr>
                <w:b w:val="0"/>
                <w:noProof/>
              </w:rPr>
              <w:t>1</w:t>
            </w:r>
            <w:r w:rsidR="00482B04">
              <w:rPr>
                <w:b w:val="0"/>
                <w:noProof/>
              </w:rPr>
              <w:t>7</w:t>
            </w:r>
            <w:r>
              <w:tab/>
              <w:t>Results</w:t>
            </w:r>
          </w:p>
        </w:tc>
      </w:tr>
      <w:tr w:rsidR="00BD6767" w:rsidRPr="00C22684" w:rsidTr="00BD6767">
        <w:trPr>
          <w:cantSplit/>
        </w:trPr>
        <w:tc>
          <w:tcPr>
            <w:tcW w:w="8771" w:type="dxa"/>
            <w:tcBorders>
              <w:top w:val="nil"/>
              <w:left w:val="single" w:sz="6" w:space="0" w:color="auto"/>
              <w:bottom w:val="nil"/>
              <w:right w:val="single" w:sz="6" w:space="0" w:color="auto"/>
            </w:tcBorders>
          </w:tcPr>
          <w:p w:rsidR="00C22684" w:rsidRPr="00C22684" w:rsidRDefault="00C22684" w:rsidP="00C22684">
            <w:pPr>
              <w:pStyle w:val="Box"/>
            </w:pPr>
            <w:r w:rsidRPr="00C22684">
              <w:t xml:space="preserve">For this report, new supplementary data are available for 2012-13. </w:t>
            </w:r>
          </w:p>
          <w:p w:rsidR="00C22684" w:rsidRPr="00765759" w:rsidRDefault="00C22684" w:rsidP="00765759">
            <w:pPr>
              <w:pStyle w:val="BoxListBullet"/>
            </w:pPr>
            <w:r w:rsidRPr="00C22684">
              <w:t xml:space="preserve">Data on the population with or working towards post school qualification by State and Territory are </w:t>
            </w:r>
            <w:r w:rsidRPr="00765759">
              <w:t xml:space="preserve">presented in </w:t>
            </w:r>
            <w:r w:rsidR="00765759" w:rsidRPr="00765759">
              <w:t xml:space="preserve">table </w:t>
            </w:r>
            <w:proofErr w:type="spellStart"/>
            <w:r w:rsidR="00765759" w:rsidRPr="00765759">
              <w:t>SWD</w:t>
            </w:r>
            <w:r w:rsidRPr="00765759">
              <w:t>.</w:t>
            </w:r>
            <w:r w:rsidR="00765759" w:rsidRPr="00765759">
              <w:t>7.</w:t>
            </w:r>
            <w:r w:rsidRPr="00765759">
              <w:t>1</w:t>
            </w:r>
            <w:proofErr w:type="spellEnd"/>
            <w:r w:rsidR="00277E87">
              <w:t>.</w:t>
            </w:r>
          </w:p>
          <w:p w:rsidR="00C22684" w:rsidRPr="00765759" w:rsidRDefault="00C22684" w:rsidP="00765759">
            <w:pPr>
              <w:pStyle w:val="BoxListBullet"/>
            </w:pPr>
            <w:r w:rsidRPr="00765759">
              <w:t xml:space="preserve">Data on the population with or working towards post school qualification by remoteness areas are presented in table </w:t>
            </w:r>
            <w:proofErr w:type="spellStart"/>
            <w:r w:rsidR="00765759" w:rsidRPr="00765759">
              <w:t>SWD</w:t>
            </w:r>
            <w:r w:rsidRPr="00765759">
              <w:t>.</w:t>
            </w:r>
            <w:r w:rsidR="00765759" w:rsidRPr="00765759">
              <w:t>7</w:t>
            </w:r>
            <w:r w:rsidRPr="00765759">
              <w:t>.2</w:t>
            </w:r>
            <w:proofErr w:type="spellEnd"/>
            <w:r w:rsidRPr="00765759">
              <w:t>.</w:t>
            </w:r>
          </w:p>
          <w:p w:rsidR="009370A4" w:rsidRDefault="00C22684" w:rsidP="00C22684">
            <w:pPr>
              <w:pStyle w:val="Box"/>
            </w:pPr>
            <w:r w:rsidRPr="00765759">
              <w:t xml:space="preserve">Additional historical data </w:t>
            </w:r>
            <w:r w:rsidR="009370A4" w:rsidRPr="00C22684">
              <w:t>to provide a comparable time series</w:t>
            </w:r>
            <w:r w:rsidR="009370A4" w:rsidRPr="00765759">
              <w:t xml:space="preserve"> </w:t>
            </w:r>
            <w:r w:rsidR="009370A4">
              <w:t>are provided:</w:t>
            </w:r>
          </w:p>
          <w:p w:rsidR="009370A4" w:rsidRDefault="009370A4" w:rsidP="00D60288">
            <w:pPr>
              <w:pStyle w:val="BoxListBullet"/>
            </w:pPr>
            <w:r>
              <w:t>Data by</w:t>
            </w:r>
            <w:r w:rsidRPr="00765759">
              <w:t xml:space="preserve"> </w:t>
            </w:r>
            <w:r w:rsidR="00C22684" w:rsidRPr="00765759">
              <w:t xml:space="preserve">remoteness are presented in tables </w:t>
            </w:r>
            <w:proofErr w:type="spellStart"/>
            <w:r w:rsidR="00765759" w:rsidRPr="00765759">
              <w:t>SWD</w:t>
            </w:r>
            <w:r w:rsidR="00C22684" w:rsidRPr="00765759">
              <w:t>.</w:t>
            </w:r>
            <w:r w:rsidR="00765759" w:rsidRPr="00765759">
              <w:t>7</w:t>
            </w:r>
            <w:r w:rsidR="007518DD">
              <w:t>.3</w:t>
            </w:r>
            <w:proofErr w:type="spellEnd"/>
            <w:r w:rsidR="007518DD">
              <w:t xml:space="preserve"> and </w:t>
            </w:r>
            <w:proofErr w:type="spellStart"/>
            <w:r w:rsidR="007518DD">
              <w:t>SWD.7.5</w:t>
            </w:r>
            <w:proofErr w:type="spellEnd"/>
            <w:r>
              <w:t>.</w:t>
            </w:r>
          </w:p>
          <w:p w:rsidR="00C22684" w:rsidRPr="00C22684" w:rsidRDefault="007518DD" w:rsidP="00D60288">
            <w:pPr>
              <w:pStyle w:val="BoxListBullet"/>
            </w:pPr>
            <w:r>
              <w:t>D</w:t>
            </w:r>
            <w:r w:rsidR="00C22684" w:rsidRPr="00765759">
              <w:t>ata by</w:t>
            </w:r>
            <w:r w:rsidR="003D3E08">
              <w:t xml:space="preserve"> </w:t>
            </w:r>
            <w:r w:rsidR="00C22684" w:rsidRPr="00765759">
              <w:t xml:space="preserve">completed study/currently studying </w:t>
            </w:r>
            <w:r w:rsidR="003D3E08">
              <w:t xml:space="preserve">by Indigenous status </w:t>
            </w:r>
            <w:r w:rsidR="009370A4">
              <w:t xml:space="preserve">are </w:t>
            </w:r>
            <w:r w:rsidR="00C22684" w:rsidRPr="00765759">
              <w:t xml:space="preserve">presented in table </w:t>
            </w:r>
            <w:proofErr w:type="spellStart"/>
            <w:r w:rsidR="00765759" w:rsidRPr="00765759">
              <w:t>SWD</w:t>
            </w:r>
            <w:r w:rsidR="00765759">
              <w:t>.7</w:t>
            </w:r>
            <w:r w:rsidR="003D3E08">
              <w:t>.4</w:t>
            </w:r>
            <w:proofErr w:type="spellEnd"/>
            <w:r w:rsidR="00C22684" w:rsidRPr="00C22684">
              <w:t>.</w:t>
            </w:r>
          </w:p>
          <w:p w:rsidR="00BD6767" w:rsidRPr="00C22684" w:rsidRDefault="00C22684">
            <w:pPr>
              <w:pStyle w:val="Box"/>
              <w:rPr>
                <w:szCs w:val="24"/>
              </w:rPr>
            </w:pPr>
            <w:r w:rsidRPr="00C22684">
              <w:t xml:space="preserve">Historical data from the 2011 and 2006 Census are </w:t>
            </w:r>
            <w:r w:rsidR="009370A4">
              <w:t>available</w:t>
            </w:r>
            <w:r w:rsidR="009370A4" w:rsidRPr="00C22684">
              <w:t xml:space="preserve"> </w:t>
            </w:r>
            <w:r w:rsidRPr="00C22684">
              <w:t xml:space="preserve">in the </w:t>
            </w:r>
            <w:r w:rsidR="00765759">
              <w:t>2</w:t>
            </w:r>
            <w:r w:rsidRPr="00C22684">
              <w:t>0</w:t>
            </w:r>
            <w:r w:rsidR="00765759">
              <w:t>1</w:t>
            </w:r>
            <w:r w:rsidRPr="00C22684">
              <w:t xml:space="preserve">2 </w:t>
            </w:r>
            <w:r w:rsidR="00765759">
              <w:t xml:space="preserve">NASWD </w:t>
            </w:r>
            <w:r w:rsidRPr="00F86082">
              <w:t>performance report</w:t>
            </w:r>
            <w:r w:rsidR="009370A4">
              <w:t>. H</w:t>
            </w:r>
            <w:r w:rsidRPr="00F86082">
              <w:t xml:space="preserve">istorical supplementary survey data from the 2008 NATSISS/SEW </w:t>
            </w:r>
            <w:r w:rsidR="009370A4">
              <w:t xml:space="preserve">are available </w:t>
            </w:r>
            <w:r w:rsidRPr="00F86082">
              <w:t xml:space="preserve">in the baseline 2009 </w:t>
            </w:r>
            <w:r w:rsidR="00765759" w:rsidRPr="00F86082">
              <w:t xml:space="preserve">NASWD </w:t>
            </w:r>
            <w:r w:rsidRPr="00F86082">
              <w:t>performance report.</w:t>
            </w:r>
          </w:p>
        </w:tc>
      </w:tr>
      <w:tr w:rsidR="00BD6767" w:rsidTr="00BD6767">
        <w:trPr>
          <w:cantSplit/>
        </w:trPr>
        <w:tc>
          <w:tcPr>
            <w:tcW w:w="8771" w:type="dxa"/>
            <w:tcBorders>
              <w:top w:val="nil"/>
              <w:left w:val="single" w:sz="6" w:space="0" w:color="auto"/>
              <w:bottom w:val="single" w:sz="6" w:space="0" w:color="auto"/>
              <w:right w:val="single" w:sz="6" w:space="0" w:color="auto"/>
            </w:tcBorders>
          </w:tcPr>
          <w:p w:rsidR="00BD6767" w:rsidRDefault="00BD6767" w:rsidP="00BD6767">
            <w:pPr>
              <w:pStyle w:val="Box"/>
              <w:spacing w:before="0" w:line="120" w:lineRule="exact"/>
            </w:pPr>
          </w:p>
        </w:tc>
      </w:tr>
      <w:tr w:rsidR="00BD6767" w:rsidTr="00BD6767">
        <w:tc>
          <w:tcPr>
            <w:tcW w:w="8771" w:type="dxa"/>
            <w:tcBorders>
              <w:top w:val="nil"/>
              <w:left w:val="nil"/>
              <w:bottom w:val="nil"/>
              <w:right w:val="nil"/>
            </w:tcBorders>
          </w:tcPr>
          <w:p w:rsidR="00BD6767" w:rsidRDefault="00BD6767" w:rsidP="00BD6767">
            <w:pPr>
              <w:pStyle w:val="Box"/>
              <w:keepNext w:val="0"/>
              <w:spacing w:before="60" w:after="60" w:line="80" w:lineRule="exact"/>
              <w:rPr>
                <w:b/>
                <w:color w:val="FF00FF"/>
                <w:sz w:val="14"/>
              </w:rPr>
            </w:pPr>
          </w:p>
        </w:tc>
      </w:tr>
    </w:tbl>
    <w:p w:rsidR="00BD6767" w:rsidRDefault="00BD6767" w:rsidP="00BD6767">
      <w:pPr>
        <w:pStyle w:val="Heading4"/>
      </w:pPr>
      <w:r w:rsidRPr="008864C2">
        <w:t>Attachment tables</w:t>
      </w:r>
    </w:p>
    <w:tbl>
      <w:tblPr>
        <w:tblW w:w="880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6864"/>
      </w:tblGrid>
      <w:tr w:rsidR="00BA18A3" w:rsidRPr="00BA18A3" w:rsidTr="00BA18A3">
        <w:trPr>
          <w:trHeight w:val="867"/>
        </w:trPr>
        <w:tc>
          <w:tcPr>
            <w:tcW w:w="1940" w:type="dxa"/>
            <w:shd w:val="clear" w:color="auto" w:fill="auto"/>
            <w:noWrap/>
            <w:hideMark/>
          </w:tcPr>
          <w:p w:rsidR="00BA18A3" w:rsidRPr="00BA18A3" w:rsidRDefault="00BA18A3" w:rsidP="00BA18A3">
            <w:pPr>
              <w:rPr>
                <w:rFonts w:ascii="Arial" w:hAnsi="Arial" w:cs="Arial"/>
                <w:b/>
                <w:bCs/>
                <w:sz w:val="20"/>
                <w:szCs w:val="20"/>
              </w:rPr>
            </w:pPr>
            <w:r w:rsidRPr="00BA18A3">
              <w:rPr>
                <w:rFonts w:ascii="Arial" w:hAnsi="Arial" w:cs="Arial"/>
                <w:b/>
                <w:bCs/>
                <w:sz w:val="20"/>
                <w:szCs w:val="20"/>
              </w:rPr>
              <w:t xml:space="preserve">Table </w:t>
            </w:r>
            <w:proofErr w:type="spellStart"/>
            <w:r w:rsidRPr="00BA18A3">
              <w:rPr>
                <w:rFonts w:ascii="Arial" w:hAnsi="Arial" w:cs="Arial"/>
                <w:b/>
                <w:bCs/>
                <w:sz w:val="20"/>
                <w:szCs w:val="20"/>
              </w:rPr>
              <w:t>SWD.7.1</w:t>
            </w:r>
            <w:proofErr w:type="spellEnd"/>
          </w:p>
        </w:tc>
        <w:tc>
          <w:tcPr>
            <w:tcW w:w="6864" w:type="dxa"/>
            <w:shd w:val="clear" w:color="auto" w:fill="auto"/>
            <w:hideMark/>
          </w:tcPr>
          <w:p w:rsidR="00BA18A3" w:rsidRPr="00BA18A3" w:rsidRDefault="00BA18A3" w:rsidP="00BA18A3">
            <w:pPr>
              <w:jc w:val="both"/>
              <w:rPr>
                <w:rFonts w:ascii="Arial" w:hAnsi="Arial" w:cs="Arial"/>
                <w:sz w:val="20"/>
                <w:szCs w:val="20"/>
              </w:rPr>
            </w:pPr>
            <w:r w:rsidRPr="00BA18A3">
              <w:rPr>
                <w:rFonts w:ascii="Arial" w:hAnsi="Arial" w:cs="Arial"/>
                <w:sz w:val="20"/>
                <w:szCs w:val="20"/>
              </w:rPr>
              <w:t xml:space="preserve">Proportion of 20–64 year old population with or working towards post school qualification in Certificate III or above, by Indigenous status, 2012-13  </w:t>
            </w:r>
          </w:p>
        </w:tc>
      </w:tr>
      <w:tr w:rsidR="00BA18A3" w:rsidRPr="00BA18A3" w:rsidTr="00BA18A3">
        <w:trPr>
          <w:trHeight w:val="867"/>
        </w:trPr>
        <w:tc>
          <w:tcPr>
            <w:tcW w:w="1940" w:type="dxa"/>
            <w:shd w:val="clear" w:color="auto" w:fill="auto"/>
            <w:noWrap/>
            <w:hideMark/>
          </w:tcPr>
          <w:p w:rsidR="00BA18A3" w:rsidRPr="00BA18A3" w:rsidRDefault="00BA18A3" w:rsidP="00BA18A3">
            <w:pPr>
              <w:rPr>
                <w:rFonts w:ascii="Arial" w:hAnsi="Arial" w:cs="Arial"/>
                <w:b/>
                <w:bCs/>
                <w:sz w:val="20"/>
                <w:szCs w:val="20"/>
              </w:rPr>
            </w:pPr>
            <w:r w:rsidRPr="00BA18A3">
              <w:rPr>
                <w:rFonts w:ascii="Arial" w:hAnsi="Arial" w:cs="Arial"/>
                <w:b/>
                <w:bCs/>
                <w:sz w:val="20"/>
                <w:szCs w:val="20"/>
              </w:rPr>
              <w:t xml:space="preserve">Table </w:t>
            </w:r>
            <w:proofErr w:type="spellStart"/>
            <w:r w:rsidRPr="00BA18A3">
              <w:rPr>
                <w:rFonts w:ascii="Arial" w:hAnsi="Arial" w:cs="Arial"/>
                <w:b/>
                <w:bCs/>
                <w:sz w:val="20"/>
                <w:szCs w:val="20"/>
              </w:rPr>
              <w:t>SWD.7.2</w:t>
            </w:r>
            <w:proofErr w:type="spellEnd"/>
          </w:p>
        </w:tc>
        <w:tc>
          <w:tcPr>
            <w:tcW w:w="6864" w:type="dxa"/>
            <w:shd w:val="clear" w:color="auto" w:fill="auto"/>
            <w:hideMark/>
          </w:tcPr>
          <w:p w:rsidR="00BA18A3" w:rsidRPr="00BA18A3" w:rsidRDefault="00BA18A3" w:rsidP="00BA18A3">
            <w:pPr>
              <w:jc w:val="both"/>
              <w:rPr>
                <w:rFonts w:ascii="Arial" w:hAnsi="Arial" w:cs="Arial"/>
                <w:sz w:val="20"/>
                <w:szCs w:val="20"/>
              </w:rPr>
            </w:pPr>
            <w:r w:rsidRPr="00BA18A3">
              <w:rPr>
                <w:rFonts w:ascii="Arial" w:hAnsi="Arial" w:cs="Arial"/>
                <w:sz w:val="20"/>
                <w:szCs w:val="20"/>
              </w:rPr>
              <w:t xml:space="preserve">Proportion of 20–64 year old population with or working towards post school qualification in Certificate III or above, by Indigenous status, by remoteness areas, 2012-13 (per cent)   </w:t>
            </w:r>
          </w:p>
        </w:tc>
      </w:tr>
      <w:tr w:rsidR="00BA18A3" w:rsidRPr="00BA18A3" w:rsidTr="00BA18A3">
        <w:trPr>
          <w:trHeight w:val="867"/>
        </w:trPr>
        <w:tc>
          <w:tcPr>
            <w:tcW w:w="1940" w:type="dxa"/>
            <w:shd w:val="clear" w:color="auto" w:fill="auto"/>
            <w:noWrap/>
            <w:hideMark/>
          </w:tcPr>
          <w:p w:rsidR="00BA18A3" w:rsidRPr="00BA18A3" w:rsidRDefault="00BA18A3" w:rsidP="00BA18A3">
            <w:pPr>
              <w:rPr>
                <w:rFonts w:ascii="Arial" w:hAnsi="Arial" w:cs="Arial"/>
                <w:b/>
                <w:bCs/>
                <w:sz w:val="20"/>
                <w:szCs w:val="20"/>
              </w:rPr>
            </w:pPr>
            <w:r w:rsidRPr="00BA18A3">
              <w:rPr>
                <w:rFonts w:ascii="Arial" w:hAnsi="Arial" w:cs="Arial"/>
                <w:b/>
                <w:bCs/>
                <w:sz w:val="20"/>
                <w:szCs w:val="20"/>
              </w:rPr>
              <w:t xml:space="preserve">Table </w:t>
            </w:r>
            <w:proofErr w:type="spellStart"/>
            <w:r w:rsidRPr="00BA18A3">
              <w:rPr>
                <w:rFonts w:ascii="Arial" w:hAnsi="Arial" w:cs="Arial"/>
                <w:b/>
                <w:bCs/>
                <w:sz w:val="20"/>
                <w:szCs w:val="20"/>
              </w:rPr>
              <w:t>SWD.7.3</w:t>
            </w:r>
            <w:proofErr w:type="spellEnd"/>
            <w:r w:rsidRPr="00BA18A3">
              <w:rPr>
                <w:rFonts w:ascii="Arial" w:hAnsi="Arial" w:cs="Arial"/>
                <w:b/>
                <w:bCs/>
                <w:sz w:val="20"/>
                <w:szCs w:val="20"/>
              </w:rPr>
              <w:t xml:space="preserve"> </w:t>
            </w:r>
          </w:p>
        </w:tc>
        <w:tc>
          <w:tcPr>
            <w:tcW w:w="6864" w:type="dxa"/>
            <w:shd w:val="clear" w:color="auto" w:fill="auto"/>
            <w:hideMark/>
          </w:tcPr>
          <w:p w:rsidR="00BA18A3" w:rsidRPr="00BA18A3" w:rsidRDefault="00BA18A3" w:rsidP="00BA18A3">
            <w:pPr>
              <w:jc w:val="both"/>
              <w:rPr>
                <w:rFonts w:ascii="Arial" w:hAnsi="Arial" w:cs="Arial"/>
                <w:sz w:val="20"/>
                <w:szCs w:val="20"/>
              </w:rPr>
            </w:pPr>
            <w:r w:rsidRPr="00BA18A3">
              <w:rPr>
                <w:rFonts w:ascii="Arial" w:hAnsi="Arial" w:cs="Arial"/>
                <w:sz w:val="20"/>
                <w:szCs w:val="20"/>
              </w:rPr>
              <w:t xml:space="preserve">Proportion of 20–64 year old population with or working towards post school qualification in Certificate III or above, by Indigenous status, by remoteness areas, 2011 and 2006 (per cent)  </w:t>
            </w:r>
          </w:p>
        </w:tc>
      </w:tr>
      <w:tr w:rsidR="00BA18A3" w:rsidRPr="00BA18A3" w:rsidTr="00BA18A3">
        <w:trPr>
          <w:trHeight w:val="867"/>
        </w:trPr>
        <w:tc>
          <w:tcPr>
            <w:tcW w:w="1940" w:type="dxa"/>
            <w:shd w:val="clear" w:color="auto" w:fill="auto"/>
            <w:noWrap/>
            <w:hideMark/>
          </w:tcPr>
          <w:p w:rsidR="00BA18A3" w:rsidRPr="00BA18A3" w:rsidRDefault="00BA18A3" w:rsidP="00BA18A3">
            <w:pPr>
              <w:rPr>
                <w:rFonts w:ascii="Arial" w:hAnsi="Arial" w:cs="Arial"/>
                <w:b/>
                <w:bCs/>
                <w:sz w:val="20"/>
                <w:szCs w:val="20"/>
              </w:rPr>
            </w:pPr>
            <w:r w:rsidRPr="00BA18A3">
              <w:rPr>
                <w:rFonts w:ascii="Arial" w:hAnsi="Arial" w:cs="Arial"/>
                <w:b/>
                <w:bCs/>
                <w:sz w:val="20"/>
                <w:szCs w:val="20"/>
              </w:rPr>
              <w:t xml:space="preserve">Table </w:t>
            </w:r>
            <w:proofErr w:type="spellStart"/>
            <w:r w:rsidRPr="00BA18A3">
              <w:rPr>
                <w:rFonts w:ascii="Arial" w:hAnsi="Arial" w:cs="Arial"/>
                <w:b/>
                <w:bCs/>
                <w:sz w:val="20"/>
                <w:szCs w:val="20"/>
              </w:rPr>
              <w:t>SWD.7.4</w:t>
            </w:r>
            <w:proofErr w:type="spellEnd"/>
          </w:p>
        </w:tc>
        <w:tc>
          <w:tcPr>
            <w:tcW w:w="6864" w:type="dxa"/>
            <w:shd w:val="clear" w:color="auto" w:fill="auto"/>
            <w:hideMark/>
          </w:tcPr>
          <w:p w:rsidR="00BA18A3" w:rsidRPr="00BA18A3" w:rsidRDefault="00BA18A3" w:rsidP="00BA18A3">
            <w:pPr>
              <w:jc w:val="both"/>
              <w:rPr>
                <w:rFonts w:ascii="Arial" w:hAnsi="Arial" w:cs="Arial"/>
                <w:sz w:val="20"/>
                <w:szCs w:val="20"/>
              </w:rPr>
            </w:pPr>
            <w:r w:rsidRPr="00BA18A3">
              <w:rPr>
                <w:rFonts w:ascii="Arial" w:hAnsi="Arial" w:cs="Arial"/>
                <w:sz w:val="20"/>
                <w:szCs w:val="20"/>
              </w:rPr>
              <w:t xml:space="preserve">Proportion of 20–64 year old population with or working towards post school qualification in Certificate III or above, by Indigenous status, 2008  </w:t>
            </w:r>
          </w:p>
        </w:tc>
      </w:tr>
      <w:tr w:rsidR="00BA18A3" w:rsidRPr="00BA18A3" w:rsidTr="00BA18A3">
        <w:trPr>
          <w:trHeight w:val="867"/>
        </w:trPr>
        <w:tc>
          <w:tcPr>
            <w:tcW w:w="1940" w:type="dxa"/>
            <w:shd w:val="clear" w:color="auto" w:fill="auto"/>
            <w:noWrap/>
            <w:hideMark/>
          </w:tcPr>
          <w:p w:rsidR="00BA18A3" w:rsidRPr="00BA18A3" w:rsidRDefault="00BA18A3" w:rsidP="00BA18A3">
            <w:pPr>
              <w:rPr>
                <w:rFonts w:ascii="Arial" w:hAnsi="Arial" w:cs="Arial"/>
                <w:b/>
                <w:bCs/>
                <w:sz w:val="20"/>
                <w:szCs w:val="20"/>
              </w:rPr>
            </w:pPr>
            <w:r w:rsidRPr="00BA18A3">
              <w:rPr>
                <w:rFonts w:ascii="Arial" w:hAnsi="Arial" w:cs="Arial"/>
                <w:b/>
                <w:bCs/>
                <w:sz w:val="20"/>
                <w:szCs w:val="20"/>
              </w:rPr>
              <w:t xml:space="preserve">Table </w:t>
            </w:r>
            <w:proofErr w:type="spellStart"/>
            <w:r w:rsidRPr="00BA18A3">
              <w:rPr>
                <w:rFonts w:ascii="Arial" w:hAnsi="Arial" w:cs="Arial"/>
                <w:b/>
                <w:bCs/>
                <w:sz w:val="20"/>
                <w:szCs w:val="20"/>
              </w:rPr>
              <w:t>SWD.7.5</w:t>
            </w:r>
            <w:proofErr w:type="spellEnd"/>
          </w:p>
        </w:tc>
        <w:tc>
          <w:tcPr>
            <w:tcW w:w="6864" w:type="dxa"/>
            <w:shd w:val="clear" w:color="auto" w:fill="auto"/>
            <w:hideMark/>
          </w:tcPr>
          <w:p w:rsidR="00BA18A3" w:rsidRPr="00BA18A3" w:rsidRDefault="00BA18A3" w:rsidP="00BA18A3">
            <w:pPr>
              <w:jc w:val="both"/>
              <w:rPr>
                <w:rFonts w:ascii="Arial" w:hAnsi="Arial" w:cs="Arial"/>
                <w:sz w:val="20"/>
                <w:szCs w:val="20"/>
              </w:rPr>
            </w:pPr>
            <w:r w:rsidRPr="00BA18A3">
              <w:rPr>
                <w:rFonts w:ascii="Arial" w:hAnsi="Arial" w:cs="Arial"/>
                <w:sz w:val="20"/>
                <w:szCs w:val="20"/>
              </w:rPr>
              <w:t xml:space="preserve">Proportion of 20–64 year old Indigenous population with or working towards post school qualification in Certificate III or above, by remoteness areas, 2008 (per cent)   </w:t>
            </w:r>
          </w:p>
        </w:tc>
      </w:tr>
    </w:tbl>
    <w:p w:rsidR="007C3216" w:rsidRDefault="007C3216">
      <w:pPr>
        <w:pStyle w:val="BoxSpac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7C3216">
        <w:tc>
          <w:tcPr>
            <w:tcW w:w="8771" w:type="dxa"/>
            <w:tcBorders>
              <w:top w:val="single" w:sz="6" w:space="0" w:color="auto"/>
              <w:bottom w:val="nil"/>
            </w:tcBorders>
          </w:tcPr>
          <w:p w:rsidR="007C3216" w:rsidRDefault="007C3216" w:rsidP="00482B04">
            <w:pPr>
              <w:pStyle w:val="BoxTitle"/>
            </w:pPr>
            <w:r>
              <w:rPr>
                <w:b w:val="0"/>
              </w:rPr>
              <w:t xml:space="preserve">Box </w:t>
            </w:r>
            <w:r w:rsidR="009664F7">
              <w:rPr>
                <w:b w:val="0"/>
                <w:noProof/>
              </w:rPr>
              <w:t>1</w:t>
            </w:r>
            <w:r w:rsidR="00482B04">
              <w:rPr>
                <w:b w:val="0"/>
                <w:noProof/>
              </w:rPr>
              <w:t>8</w:t>
            </w:r>
            <w:r>
              <w:tab/>
              <w:t>Comment on data quality</w:t>
            </w:r>
          </w:p>
        </w:tc>
      </w:tr>
      <w:tr w:rsidR="007C3216" w:rsidRPr="00C22684">
        <w:trPr>
          <w:cantSplit/>
        </w:trPr>
        <w:tc>
          <w:tcPr>
            <w:tcW w:w="8771" w:type="dxa"/>
            <w:tcBorders>
              <w:top w:val="nil"/>
              <w:left w:val="single" w:sz="6" w:space="0" w:color="auto"/>
              <w:bottom w:val="nil"/>
              <w:right w:val="single" w:sz="6" w:space="0" w:color="auto"/>
            </w:tcBorders>
          </w:tcPr>
          <w:p w:rsidR="00C22684" w:rsidRPr="00C22684" w:rsidRDefault="00C22684" w:rsidP="00C22684">
            <w:pPr>
              <w:pStyle w:val="Box"/>
            </w:pPr>
            <w:r w:rsidRPr="00C22684">
              <w:t xml:space="preserve">The DQSs for this indicator have been prepared by the ABS and are included in their original form in the section </w:t>
            </w:r>
            <w:r w:rsidR="00764A68">
              <w:t>of</w:t>
            </w:r>
            <w:r w:rsidR="00764A68" w:rsidRPr="00C22684">
              <w:t xml:space="preserve"> </w:t>
            </w:r>
            <w:r w:rsidRPr="00C22684">
              <w:t>this report titled ‘Data Quality Statements’. Key points from the DQSs are summarised below.</w:t>
            </w:r>
          </w:p>
          <w:p w:rsidR="00764A68" w:rsidRDefault="00764A68" w:rsidP="00765759">
            <w:pPr>
              <w:pStyle w:val="BoxListBullet"/>
            </w:pPr>
            <w:r>
              <w:t>The d</w:t>
            </w:r>
            <w:r w:rsidRPr="00C22684">
              <w:t xml:space="preserve">ata </w:t>
            </w:r>
            <w:r w:rsidR="00C22684" w:rsidRPr="00C22684">
              <w:t xml:space="preserve">provide relevant information on the proportion of 20–64 year olds with or working towards a post school qualification at </w:t>
            </w:r>
            <w:proofErr w:type="spellStart"/>
            <w:r w:rsidR="00C22684" w:rsidRPr="00C22684">
              <w:t>AQF</w:t>
            </w:r>
            <w:proofErr w:type="spellEnd"/>
            <w:r w:rsidR="00C22684" w:rsidRPr="00C22684">
              <w:t xml:space="preserve"> III level or above. </w:t>
            </w:r>
          </w:p>
          <w:p w:rsidR="00C22684" w:rsidRPr="00C22684" w:rsidRDefault="00C22684" w:rsidP="00765759">
            <w:pPr>
              <w:pStyle w:val="BoxListBullet"/>
            </w:pPr>
            <w:r w:rsidRPr="00C22684">
              <w:t>Data are available by State and Territory.</w:t>
            </w:r>
          </w:p>
          <w:p w:rsidR="00C22684" w:rsidRPr="00C22684" w:rsidRDefault="00764A68" w:rsidP="00764A68">
            <w:pPr>
              <w:pStyle w:val="BoxListBullet"/>
            </w:pPr>
            <w:r>
              <w:t xml:space="preserve">Data for Indigenous people are available for </w:t>
            </w:r>
            <w:r w:rsidR="00C22684" w:rsidRPr="00C22684">
              <w:t>2012</w:t>
            </w:r>
            <w:r w:rsidR="00277E87">
              <w:t>-</w:t>
            </w:r>
            <w:r w:rsidR="00C22684" w:rsidRPr="00C22684">
              <w:t>13 from the NATSIHS component of the AATSIHS</w:t>
            </w:r>
            <w:r>
              <w:t xml:space="preserve">. </w:t>
            </w:r>
            <w:r w:rsidRPr="00764A68">
              <w:t>Comparator data for non-Indigenous people are available for 2012 from the SEW. While there are a range of differences between these two collections, these differences do not affect their broad comparability for this performance indicator.</w:t>
            </w:r>
          </w:p>
          <w:p w:rsidR="00C22684" w:rsidRPr="00C22684" w:rsidRDefault="00C22684" w:rsidP="00765759">
            <w:pPr>
              <w:pStyle w:val="BoxListBullet"/>
            </w:pPr>
            <w:r w:rsidRPr="00C22684">
              <w:t>Detailed explanatory notes are publicly available to assist in the interpretation of results.</w:t>
            </w:r>
          </w:p>
          <w:p w:rsidR="00C22684" w:rsidRPr="00C22684" w:rsidRDefault="00765759" w:rsidP="00765759">
            <w:pPr>
              <w:pStyle w:val="BoxListBullet"/>
            </w:pPr>
            <w:r>
              <w:t>A</w:t>
            </w:r>
            <w:r w:rsidR="00C22684" w:rsidRPr="00C22684">
              <w:t xml:space="preserve">dditional data from the data source are available </w:t>
            </w:r>
            <w:proofErr w:type="spellStart"/>
            <w:r w:rsidR="00C22684" w:rsidRPr="00C22684">
              <w:t>on-line</w:t>
            </w:r>
            <w:proofErr w:type="spellEnd"/>
            <w:r w:rsidR="00C22684" w:rsidRPr="00C22684">
              <w:t>, and on request.</w:t>
            </w:r>
          </w:p>
          <w:p w:rsidR="00C22684" w:rsidRPr="00C22684" w:rsidRDefault="00C22684" w:rsidP="00C22684">
            <w:pPr>
              <w:pStyle w:val="Box"/>
            </w:pPr>
            <w:r w:rsidRPr="00C22684">
              <w:t>The Steering Committee also notes the following issues:</w:t>
            </w:r>
          </w:p>
          <w:p w:rsidR="00C22684" w:rsidRPr="00C22684" w:rsidRDefault="00C22684" w:rsidP="00765759">
            <w:pPr>
              <w:pStyle w:val="BoxListBullet"/>
            </w:pPr>
            <w:r w:rsidRPr="00C22684">
              <w:t xml:space="preserve">The size of some standard errors means that </w:t>
            </w:r>
            <w:r w:rsidR="00764A68">
              <w:t xml:space="preserve">data from the </w:t>
            </w:r>
            <w:r w:rsidRPr="00C22684">
              <w:t>NATSIHS component of</w:t>
            </w:r>
            <w:r w:rsidR="00764A68">
              <w:t xml:space="preserve"> the </w:t>
            </w:r>
            <w:r w:rsidRPr="00C22684">
              <w:t>AATSIHS</w:t>
            </w:r>
            <w:r w:rsidR="00764A68">
              <w:t xml:space="preserve"> and the </w:t>
            </w:r>
            <w:r w:rsidRPr="00C22684">
              <w:t>SEW data may not be adequate for measuring change over time. Small year to year movements may be difficult to detect if the size of the standard errors is large compared to the difference between the estimates.</w:t>
            </w:r>
          </w:p>
          <w:p w:rsidR="00C45887" w:rsidRDefault="00F46C27" w:rsidP="00F46C27">
            <w:pPr>
              <w:pStyle w:val="BoxListBullet"/>
            </w:pPr>
            <w:r w:rsidRPr="00F46C27">
              <w:t>Caution should be exercised in comparing SEW data in this report with Census data in previous reports, as the two collections have differences in scope, coverage, timing and collection methods. Additional information is available in the 2012 NASWD performance report.</w:t>
            </w:r>
          </w:p>
          <w:p w:rsidR="00277E87" w:rsidRPr="00C22684" w:rsidRDefault="00277E87" w:rsidP="00765759">
            <w:pPr>
              <w:pStyle w:val="BoxListBullet"/>
            </w:pPr>
            <w:r>
              <w:t>NATSIHS data in this report are preliminary. Final data are anticipated to be available in June 2014.</w:t>
            </w:r>
          </w:p>
        </w:tc>
      </w:tr>
      <w:tr w:rsidR="007C3216">
        <w:trPr>
          <w:cantSplit/>
        </w:trPr>
        <w:tc>
          <w:tcPr>
            <w:tcW w:w="8771" w:type="dxa"/>
            <w:tcBorders>
              <w:top w:val="nil"/>
              <w:left w:val="single" w:sz="6" w:space="0" w:color="auto"/>
              <w:bottom w:val="single" w:sz="6" w:space="0" w:color="auto"/>
              <w:right w:val="single" w:sz="6" w:space="0" w:color="auto"/>
            </w:tcBorders>
          </w:tcPr>
          <w:p w:rsidR="007C3216" w:rsidRDefault="007C3216">
            <w:pPr>
              <w:pStyle w:val="Box"/>
              <w:spacing w:before="0" w:line="120" w:lineRule="exact"/>
            </w:pPr>
          </w:p>
        </w:tc>
      </w:tr>
      <w:tr w:rsidR="007C3216">
        <w:tc>
          <w:tcPr>
            <w:tcW w:w="8771" w:type="dxa"/>
            <w:tcBorders>
              <w:top w:val="nil"/>
              <w:left w:val="nil"/>
              <w:bottom w:val="nil"/>
              <w:right w:val="nil"/>
            </w:tcBorders>
          </w:tcPr>
          <w:p w:rsidR="007C3216" w:rsidRDefault="007C3216">
            <w:pPr>
              <w:pStyle w:val="Box"/>
              <w:keepNext w:val="0"/>
              <w:spacing w:before="60" w:after="60" w:line="80" w:lineRule="exact"/>
              <w:rPr>
                <w:b/>
                <w:color w:val="FF00FF"/>
                <w:sz w:val="14"/>
              </w:rPr>
            </w:pPr>
          </w:p>
        </w:tc>
      </w:tr>
    </w:tbl>
    <w:p w:rsidR="00EA6A26" w:rsidRDefault="00EA6A26" w:rsidP="00EA6A26">
      <w:pPr>
        <w:pStyle w:val="BodyText"/>
      </w:pPr>
    </w:p>
    <w:p w:rsidR="00FB3590" w:rsidRPr="00EA6A26" w:rsidRDefault="00FB3590" w:rsidP="00EA6A26">
      <w:pPr>
        <w:pStyle w:val="BodyText"/>
        <w:sectPr w:rsidR="00FB3590" w:rsidRPr="00EA6A26" w:rsidSect="007A34DD">
          <w:headerReference w:type="even" r:id="rId14"/>
          <w:headerReference w:type="default" r:id="rId15"/>
          <w:footerReference w:type="even" r:id="rId16"/>
          <w:footerReference w:type="default" r:id="rId17"/>
          <w:headerReference w:type="first" r:id="rId18"/>
          <w:footerReference w:type="first" r:id="rId19"/>
          <w:pgSz w:w="11907" w:h="16840" w:code="9"/>
          <w:pgMar w:top="1985" w:right="1304" w:bottom="1418" w:left="1814" w:header="1701" w:footer="567" w:gutter="0"/>
          <w:pgNumType w:start="1" w:chapSep="period"/>
          <w:cols w:space="720"/>
        </w:sectPr>
      </w:pPr>
    </w:p>
    <w:p w:rsidR="008864C2" w:rsidRDefault="008864C2" w:rsidP="0098383A">
      <w:pPr>
        <w:pStyle w:val="Heading2"/>
        <w:spacing w:before="0"/>
      </w:pPr>
      <w:r>
        <w:t>Data Quality Statements</w:t>
      </w:r>
    </w:p>
    <w:p w:rsidR="008864C2" w:rsidRDefault="008864C2" w:rsidP="0098383A">
      <w:pPr>
        <w:pStyle w:val="BodyText"/>
      </w:pPr>
      <w:r>
        <w:t>This attachment includes copies of all DQSs as provided by the data providers. The Steering Committee has not made any amendments to the content of these DQSs.</w:t>
      </w:r>
    </w:p>
    <w:p w:rsidR="008864C2" w:rsidRDefault="008864C2" w:rsidP="0098383A">
      <w:pPr>
        <w:pStyle w:val="BodyText"/>
      </w:pPr>
      <w:r>
        <w:t>Table</w:t>
      </w:r>
      <w:r w:rsidR="00482E63">
        <w:t xml:space="preserve"> 14</w:t>
      </w:r>
      <w:r>
        <w:t xml:space="preserve"> lists the NASWD performance targets and the page reference for the associated DQS. Table</w:t>
      </w:r>
      <w:r w:rsidR="00482E63">
        <w:t xml:space="preserve"> 15</w:t>
      </w:r>
      <w:r>
        <w:t xml:space="preserve"> lists the NASWD performance indicators and DQS page references. Table</w:t>
      </w:r>
      <w:r w:rsidR="00FF2E2E">
        <w:t xml:space="preserve"> 16</w:t>
      </w:r>
      <w:r>
        <w:t xml:space="preserve"> lists the related NIRA performance indicator and DQS page reference.</w:t>
      </w:r>
    </w:p>
    <w:p w:rsidR="00482E63" w:rsidRDefault="00482E63" w:rsidP="0098383A">
      <w:pPr>
        <w:pStyle w:val="TableTitle"/>
      </w:pPr>
      <w:r>
        <w:rPr>
          <w:b w:val="0"/>
        </w:rPr>
        <w:t xml:space="preserve">Table </w:t>
      </w:r>
      <w:bookmarkStart w:id="30" w:name="OLE_LINK16"/>
      <w:r w:rsidR="00503759">
        <w:rPr>
          <w:b w:val="0"/>
          <w:noProof/>
        </w:rPr>
        <w:t>14</w:t>
      </w:r>
      <w:bookmarkEnd w:id="30"/>
      <w:r>
        <w:tab/>
        <w:t>Data quality statements for performance targets in the National Agreement for Skills and Workforce Development</w:t>
      </w:r>
      <w:r w:rsidRPr="00482E63">
        <w:rPr>
          <w:rStyle w:val="NoteLabel"/>
          <w:b/>
        </w:rPr>
        <w:t>a</w:t>
      </w:r>
    </w:p>
    <w:tbl>
      <w:tblPr>
        <w:tblW w:w="5000" w:type="pct"/>
        <w:tblCellMar>
          <w:left w:w="0" w:type="dxa"/>
          <w:right w:w="0" w:type="dxa"/>
        </w:tblCellMar>
        <w:tblLook w:val="0000" w:firstRow="0" w:lastRow="0" w:firstColumn="0" w:lastColumn="0" w:noHBand="0" w:noVBand="0"/>
      </w:tblPr>
      <w:tblGrid>
        <w:gridCol w:w="7513"/>
        <w:gridCol w:w="1276"/>
      </w:tblGrid>
      <w:tr w:rsidR="00482E63" w:rsidTr="00482E63">
        <w:tc>
          <w:tcPr>
            <w:tcW w:w="4274" w:type="pct"/>
            <w:tcBorders>
              <w:top w:val="single" w:sz="6" w:space="0" w:color="auto"/>
              <w:bottom w:val="single" w:sz="6" w:space="0" w:color="auto"/>
            </w:tcBorders>
            <w:shd w:val="clear" w:color="auto" w:fill="auto"/>
          </w:tcPr>
          <w:p w:rsidR="00482E63" w:rsidRDefault="00482E63" w:rsidP="001C6387">
            <w:pPr>
              <w:pStyle w:val="TableColumnHeading"/>
              <w:pBdr>
                <w:left w:val="single" w:sz="4" w:space="4" w:color="auto"/>
              </w:pBdr>
              <w:jc w:val="left"/>
            </w:pPr>
            <w:r>
              <w:t>Performance target</w:t>
            </w:r>
          </w:p>
        </w:tc>
        <w:tc>
          <w:tcPr>
            <w:tcW w:w="726" w:type="pct"/>
            <w:tcBorders>
              <w:top w:val="single" w:sz="6" w:space="0" w:color="auto"/>
              <w:bottom w:val="single" w:sz="6" w:space="0" w:color="auto"/>
            </w:tcBorders>
            <w:shd w:val="clear" w:color="auto" w:fill="auto"/>
          </w:tcPr>
          <w:p w:rsidR="00482E63" w:rsidRDefault="00482E63" w:rsidP="001C6387">
            <w:pPr>
              <w:pStyle w:val="TableColumnHeading"/>
              <w:pBdr>
                <w:left w:val="single" w:sz="4" w:space="4" w:color="auto"/>
              </w:pBdr>
              <w:ind w:right="28"/>
            </w:pPr>
            <w:r>
              <w:t>Page no. in this report</w:t>
            </w:r>
          </w:p>
        </w:tc>
      </w:tr>
      <w:tr w:rsidR="00482E63" w:rsidRPr="00A162A7" w:rsidTr="00482E63">
        <w:tc>
          <w:tcPr>
            <w:tcW w:w="4274" w:type="pct"/>
            <w:tcBorders>
              <w:top w:val="single" w:sz="6" w:space="0" w:color="auto"/>
            </w:tcBorders>
          </w:tcPr>
          <w:p w:rsidR="00482E63" w:rsidRPr="00A162A7" w:rsidRDefault="00482E63" w:rsidP="00124F9D">
            <w:pPr>
              <w:pStyle w:val="TableUnitsRow"/>
              <w:numPr>
                <w:ilvl w:val="0"/>
                <w:numId w:val="3"/>
              </w:numPr>
              <w:pBdr>
                <w:left w:val="single" w:sz="4" w:space="4" w:color="auto"/>
              </w:pBdr>
              <w:jc w:val="left"/>
            </w:pPr>
            <w:r w:rsidRPr="00A162A7">
              <w:t>Halve the proportion of Australians nationally aged 20–64 without qualifications at Certificate III level and above between 2009 and 2020</w:t>
            </w:r>
          </w:p>
        </w:tc>
        <w:tc>
          <w:tcPr>
            <w:tcW w:w="726" w:type="pct"/>
            <w:tcBorders>
              <w:top w:val="single" w:sz="6" w:space="0" w:color="auto"/>
            </w:tcBorders>
          </w:tcPr>
          <w:p w:rsidR="00446B27" w:rsidRPr="00B43CAB" w:rsidRDefault="00B43CAB" w:rsidP="00FE680A">
            <w:pPr>
              <w:pStyle w:val="TableUnitsRow"/>
              <w:pBdr>
                <w:left w:val="single" w:sz="4" w:space="4" w:color="auto"/>
              </w:pBdr>
              <w:ind w:right="28"/>
              <w:rPr>
                <w:i/>
              </w:rPr>
            </w:pPr>
            <w:r w:rsidRPr="00B43CAB">
              <w:fldChar w:fldCharType="begin"/>
            </w:r>
            <w:r w:rsidRPr="00B43CAB">
              <w:instrText xml:space="preserve"> PAGEREF _Ref357086925 \h </w:instrText>
            </w:r>
            <w:r w:rsidRPr="00B43CAB">
              <w:fldChar w:fldCharType="separate"/>
            </w:r>
            <w:r w:rsidR="00A57DDD">
              <w:rPr>
                <w:noProof/>
              </w:rPr>
              <w:t>307</w:t>
            </w:r>
            <w:r w:rsidRPr="00B43CAB">
              <w:fldChar w:fldCharType="end"/>
            </w:r>
            <w:r>
              <w:t xml:space="preserve">, </w:t>
            </w:r>
            <w:r>
              <w:fldChar w:fldCharType="begin"/>
            </w:r>
            <w:r>
              <w:instrText xml:space="preserve"> PAGEREF _Ref382927986 \h </w:instrText>
            </w:r>
            <w:r>
              <w:fldChar w:fldCharType="separate"/>
            </w:r>
            <w:r w:rsidR="00A57DDD">
              <w:rPr>
                <w:noProof/>
              </w:rPr>
              <w:t>331</w:t>
            </w:r>
            <w:r>
              <w:fldChar w:fldCharType="end"/>
            </w:r>
          </w:p>
        </w:tc>
      </w:tr>
      <w:tr w:rsidR="00482E63" w:rsidRPr="00A162A7" w:rsidTr="00482E63">
        <w:tc>
          <w:tcPr>
            <w:tcW w:w="4274" w:type="pct"/>
            <w:tcBorders>
              <w:bottom w:val="single" w:sz="4" w:space="0" w:color="auto"/>
            </w:tcBorders>
          </w:tcPr>
          <w:p w:rsidR="00482E63" w:rsidRPr="00A162A7" w:rsidRDefault="00482E63" w:rsidP="00124F9D">
            <w:pPr>
              <w:pStyle w:val="TableBodyText"/>
              <w:numPr>
                <w:ilvl w:val="0"/>
                <w:numId w:val="3"/>
              </w:numPr>
              <w:pBdr>
                <w:left w:val="single" w:sz="4" w:space="4" w:color="auto"/>
              </w:pBdr>
              <w:jc w:val="left"/>
            </w:pPr>
            <w:r w:rsidRPr="00A162A7">
              <w:t>Double the number of higher level qualification completions (diploma and advanced diploma) nationally between 2009 and 2020</w:t>
            </w:r>
          </w:p>
        </w:tc>
        <w:tc>
          <w:tcPr>
            <w:tcW w:w="726" w:type="pct"/>
            <w:tcBorders>
              <w:bottom w:val="single" w:sz="4" w:space="0" w:color="auto"/>
            </w:tcBorders>
          </w:tcPr>
          <w:p w:rsidR="00446B27" w:rsidRPr="00B43CAB" w:rsidRDefault="00B43CAB" w:rsidP="00FE680A">
            <w:pPr>
              <w:pStyle w:val="TableBodyText"/>
              <w:pBdr>
                <w:left w:val="single" w:sz="4" w:space="4" w:color="auto"/>
              </w:pBdr>
              <w:ind w:right="28"/>
              <w:rPr>
                <w:i/>
              </w:rPr>
            </w:pPr>
            <w:r>
              <w:t>..</w:t>
            </w:r>
          </w:p>
        </w:tc>
      </w:tr>
    </w:tbl>
    <w:p w:rsidR="00482E63" w:rsidRPr="00A162A7" w:rsidRDefault="00482E63" w:rsidP="0098383A">
      <w:pPr>
        <w:pStyle w:val="Note"/>
      </w:pPr>
      <w:proofErr w:type="spellStart"/>
      <w:r w:rsidRPr="00A162A7">
        <w:rPr>
          <w:rStyle w:val="NoteLabel"/>
        </w:rPr>
        <w:t>a</w:t>
      </w:r>
      <w:proofErr w:type="spellEnd"/>
      <w:r w:rsidRPr="00A162A7">
        <w:rPr>
          <w:rFonts w:cs="Arial"/>
        </w:rPr>
        <w:t xml:space="preserve"> </w:t>
      </w:r>
      <w:r w:rsidR="00C45887" w:rsidRPr="00A162A7">
        <w:t xml:space="preserve">The performance indicators presented in this table refer to the performance targets in the </w:t>
      </w:r>
      <w:proofErr w:type="spellStart"/>
      <w:r w:rsidR="00C45887" w:rsidRPr="00A162A7">
        <w:t>NASWD</w:t>
      </w:r>
      <w:proofErr w:type="spellEnd"/>
      <w:r w:rsidR="00C45887" w:rsidRPr="00A162A7">
        <w:t xml:space="preserve"> (COAG </w:t>
      </w:r>
      <w:proofErr w:type="spellStart"/>
      <w:r w:rsidR="00C45887" w:rsidRPr="00A162A7">
        <w:t>2012b</w:t>
      </w:r>
      <w:proofErr w:type="spellEnd"/>
      <w:r w:rsidR="00C45887" w:rsidRPr="00A162A7">
        <w:t>).</w:t>
      </w:r>
    </w:p>
    <w:p w:rsidR="00482E63" w:rsidRPr="00A162A7" w:rsidRDefault="00482E63" w:rsidP="0098383A">
      <w:pPr>
        <w:pStyle w:val="TableTitle"/>
      </w:pPr>
      <w:r w:rsidRPr="00A162A7">
        <w:rPr>
          <w:b w:val="0"/>
        </w:rPr>
        <w:t xml:space="preserve">Table </w:t>
      </w:r>
      <w:bookmarkStart w:id="31" w:name="OLE_LINK17"/>
      <w:r w:rsidR="00503759" w:rsidRPr="00A162A7">
        <w:rPr>
          <w:b w:val="0"/>
          <w:noProof/>
        </w:rPr>
        <w:t>15</w:t>
      </w:r>
      <w:bookmarkEnd w:id="31"/>
      <w:r w:rsidRPr="00A162A7">
        <w:tab/>
        <w:t>Data quality statements for performance indicators in the National Agreement for Skills and Workforce Development</w:t>
      </w:r>
      <w:r w:rsidRPr="00A162A7">
        <w:rPr>
          <w:rStyle w:val="NoteLabel"/>
          <w:b/>
        </w:rPr>
        <w:t>a</w:t>
      </w:r>
    </w:p>
    <w:tbl>
      <w:tblPr>
        <w:tblW w:w="5000" w:type="pct"/>
        <w:tblCellMar>
          <w:left w:w="0" w:type="dxa"/>
          <w:right w:w="0" w:type="dxa"/>
        </w:tblCellMar>
        <w:tblLook w:val="0000" w:firstRow="0" w:lastRow="0" w:firstColumn="0" w:lastColumn="0" w:noHBand="0" w:noVBand="0"/>
      </w:tblPr>
      <w:tblGrid>
        <w:gridCol w:w="7513"/>
        <w:gridCol w:w="1276"/>
      </w:tblGrid>
      <w:tr w:rsidR="00482E63" w:rsidRPr="00A162A7" w:rsidTr="00D155E0">
        <w:tc>
          <w:tcPr>
            <w:tcW w:w="4274" w:type="pct"/>
            <w:tcBorders>
              <w:top w:val="single" w:sz="6" w:space="0" w:color="auto"/>
              <w:bottom w:val="single" w:sz="6" w:space="0" w:color="auto"/>
            </w:tcBorders>
            <w:shd w:val="clear" w:color="auto" w:fill="auto"/>
          </w:tcPr>
          <w:p w:rsidR="00482E63" w:rsidRPr="00A162A7" w:rsidRDefault="00D155E0" w:rsidP="001C6387">
            <w:pPr>
              <w:pStyle w:val="TableColumnHeading"/>
              <w:pBdr>
                <w:left w:val="single" w:sz="4" w:space="4" w:color="auto"/>
              </w:pBdr>
              <w:jc w:val="left"/>
            </w:pPr>
            <w:r w:rsidRPr="00A162A7">
              <w:t>Performance indicator</w:t>
            </w:r>
          </w:p>
        </w:tc>
        <w:tc>
          <w:tcPr>
            <w:tcW w:w="726" w:type="pct"/>
            <w:tcBorders>
              <w:top w:val="single" w:sz="6" w:space="0" w:color="auto"/>
              <w:bottom w:val="single" w:sz="6" w:space="0" w:color="auto"/>
            </w:tcBorders>
            <w:shd w:val="clear" w:color="auto" w:fill="auto"/>
          </w:tcPr>
          <w:p w:rsidR="00482E63" w:rsidRPr="00A162A7" w:rsidRDefault="00D155E0" w:rsidP="001C6387">
            <w:pPr>
              <w:pStyle w:val="TableColumnHeading"/>
              <w:pBdr>
                <w:left w:val="single" w:sz="4" w:space="4" w:color="auto"/>
              </w:pBdr>
              <w:ind w:right="28"/>
            </w:pPr>
            <w:r w:rsidRPr="00A162A7">
              <w:t>Page no. in this report</w:t>
            </w:r>
          </w:p>
        </w:tc>
      </w:tr>
      <w:tr w:rsidR="00482E63" w:rsidRPr="00A162A7" w:rsidTr="00D155E0">
        <w:tc>
          <w:tcPr>
            <w:tcW w:w="4274" w:type="pct"/>
            <w:tcBorders>
              <w:top w:val="single" w:sz="6" w:space="0" w:color="auto"/>
            </w:tcBorders>
          </w:tcPr>
          <w:p w:rsidR="00482E63" w:rsidRPr="00A162A7" w:rsidRDefault="00D155E0" w:rsidP="00124F9D">
            <w:pPr>
              <w:pStyle w:val="TableUnitsRow"/>
              <w:numPr>
                <w:ilvl w:val="0"/>
                <w:numId w:val="5"/>
              </w:numPr>
              <w:pBdr>
                <w:left w:val="single" w:sz="4" w:space="4" w:color="auto"/>
              </w:pBdr>
              <w:jc w:val="left"/>
            </w:pPr>
            <w:r w:rsidRPr="00A162A7">
              <w:t>Proportion of working age population with higher level qualifications (Certificate III and above)</w:t>
            </w:r>
          </w:p>
        </w:tc>
        <w:tc>
          <w:tcPr>
            <w:tcW w:w="726" w:type="pct"/>
            <w:tcBorders>
              <w:top w:val="single" w:sz="6" w:space="0" w:color="auto"/>
            </w:tcBorders>
          </w:tcPr>
          <w:p w:rsidR="00446B27" w:rsidRPr="00B43CAB" w:rsidRDefault="00B43CAB" w:rsidP="00EA0BF7">
            <w:pPr>
              <w:pStyle w:val="TableUnitsRow"/>
              <w:pBdr>
                <w:left w:val="single" w:sz="4" w:space="4" w:color="auto"/>
              </w:pBdr>
              <w:ind w:right="28"/>
            </w:pPr>
            <w:r>
              <w:fldChar w:fldCharType="begin"/>
            </w:r>
            <w:r>
              <w:instrText xml:space="preserve"> PAGEREF _Ref357149578 \h </w:instrText>
            </w:r>
            <w:r>
              <w:fldChar w:fldCharType="separate"/>
            </w:r>
            <w:r w:rsidR="00A57DDD">
              <w:rPr>
                <w:noProof/>
              </w:rPr>
              <w:t>309</w:t>
            </w:r>
            <w:r>
              <w:fldChar w:fldCharType="end"/>
            </w:r>
            <w:r>
              <w:t xml:space="preserve">, </w:t>
            </w:r>
            <w:r>
              <w:fldChar w:fldCharType="begin"/>
            </w:r>
            <w:r>
              <w:instrText xml:space="preserve"> PAGEREF _Ref382927986 \h </w:instrText>
            </w:r>
            <w:r>
              <w:fldChar w:fldCharType="separate"/>
            </w:r>
            <w:r w:rsidR="00A57DDD">
              <w:rPr>
                <w:noProof/>
              </w:rPr>
              <w:t>331</w:t>
            </w:r>
            <w:r>
              <w:fldChar w:fldCharType="end"/>
            </w:r>
          </w:p>
        </w:tc>
      </w:tr>
      <w:tr w:rsidR="00482E63" w:rsidRPr="00A162A7" w:rsidTr="00D155E0">
        <w:tc>
          <w:tcPr>
            <w:tcW w:w="4274" w:type="pct"/>
          </w:tcPr>
          <w:p w:rsidR="00D155E0" w:rsidRPr="00A162A7" w:rsidRDefault="00D155E0" w:rsidP="00124F9D">
            <w:pPr>
              <w:pStyle w:val="TableBodyText"/>
              <w:numPr>
                <w:ilvl w:val="0"/>
                <w:numId w:val="5"/>
              </w:numPr>
              <w:pBdr>
                <w:left w:val="single" w:sz="4" w:space="4" w:color="auto"/>
              </w:pBdr>
              <w:jc w:val="left"/>
            </w:pPr>
            <w:r w:rsidRPr="00A162A7">
              <w:t>Proportion of employers satisfied that training meets their needs</w:t>
            </w:r>
          </w:p>
        </w:tc>
        <w:tc>
          <w:tcPr>
            <w:tcW w:w="726" w:type="pct"/>
          </w:tcPr>
          <w:p w:rsidR="00446B27" w:rsidRPr="00B43CAB" w:rsidRDefault="00B43CAB" w:rsidP="00B43CAB">
            <w:pPr>
              <w:pStyle w:val="TableBodyText"/>
              <w:pBdr>
                <w:left w:val="single" w:sz="4" w:space="4" w:color="auto"/>
              </w:pBdr>
              <w:ind w:right="28"/>
            </w:pPr>
            <w:r>
              <w:fldChar w:fldCharType="begin"/>
            </w:r>
            <w:r>
              <w:instrText xml:space="preserve"> PAGEREF _Ref382927888 \h </w:instrText>
            </w:r>
            <w:r>
              <w:fldChar w:fldCharType="separate"/>
            </w:r>
            <w:r w:rsidR="00A57DDD">
              <w:rPr>
                <w:noProof/>
              </w:rPr>
              <w:t>312</w:t>
            </w:r>
            <w:r>
              <w:fldChar w:fldCharType="end"/>
            </w:r>
            <w:r>
              <w:t xml:space="preserve">, </w:t>
            </w:r>
            <w:r>
              <w:fldChar w:fldCharType="begin"/>
            </w:r>
            <w:r>
              <w:instrText xml:space="preserve"> PAGEREF _Ref382928036 \h </w:instrText>
            </w:r>
            <w:r>
              <w:fldChar w:fldCharType="separate"/>
            </w:r>
            <w:r w:rsidR="00A57DDD">
              <w:rPr>
                <w:noProof/>
              </w:rPr>
              <w:t>338</w:t>
            </w:r>
            <w:r>
              <w:fldChar w:fldCharType="end"/>
            </w:r>
            <w:r>
              <w:t xml:space="preserve"> </w:t>
            </w:r>
          </w:p>
        </w:tc>
      </w:tr>
      <w:tr w:rsidR="00482E63" w:rsidRPr="00A162A7" w:rsidTr="001C6387">
        <w:tc>
          <w:tcPr>
            <w:tcW w:w="4274" w:type="pct"/>
            <w:shd w:val="clear" w:color="auto" w:fill="auto"/>
          </w:tcPr>
          <w:p w:rsidR="00482E63" w:rsidRPr="00A162A7" w:rsidRDefault="001C6387" w:rsidP="00124F9D">
            <w:pPr>
              <w:pStyle w:val="TableBodyText"/>
              <w:numPr>
                <w:ilvl w:val="0"/>
                <w:numId w:val="5"/>
              </w:numPr>
              <w:pBdr>
                <w:left w:val="single" w:sz="4" w:space="4" w:color="auto"/>
              </w:pBdr>
              <w:jc w:val="left"/>
            </w:pPr>
            <w:r w:rsidRPr="00A162A7">
              <w:t xml:space="preserve">Proportion of </w:t>
            </w:r>
            <w:r w:rsidR="00552306" w:rsidRPr="00A162A7">
              <w:t xml:space="preserve">working age population </w:t>
            </w:r>
            <w:r w:rsidRPr="00A162A7">
              <w:t>with adequate foundation skills (literacy level 3 or above)</w:t>
            </w:r>
          </w:p>
        </w:tc>
        <w:tc>
          <w:tcPr>
            <w:tcW w:w="726" w:type="pct"/>
            <w:shd w:val="clear" w:color="auto" w:fill="auto"/>
          </w:tcPr>
          <w:p w:rsidR="00482E63" w:rsidRPr="00B43CAB" w:rsidRDefault="00B43CAB" w:rsidP="00B43CAB">
            <w:pPr>
              <w:pStyle w:val="TableBodyText"/>
              <w:pBdr>
                <w:left w:val="single" w:sz="4" w:space="4" w:color="auto"/>
              </w:pBdr>
              <w:ind w:right="28"/>
            </w:pPr>
            <w:r>
              <w:fldChar w:fldCharType="begin"/>
            </w:r>
            <w:r>
              <w:instrText xml:space="preserve"> PAGEREF _Ref382927894 \h </w:instrText>
            </w:r>
            <w:r>
              <w:fldChar w:fldCharType="separate"/>
            </w:r>
            <w:r w:rsidR="00A57DDD">
              <w:rPr>
                <w:noProof/>
              </w:rPr>
              <w:t>315</w:t>
            </w:r>
            <w:r>
              <w:fldChar w:fldCharType="end"/>
            </w:r>
          </w:p>
        </w:tc>
      </w:tr>
      <w:tr w:rsidR="002340FB" w:rsidRPr="00A162A7" w:rsidTr="001C6387">
        <w:tc>
          <w:tcPr>
            <w:tcW w:w="4274" w:type="pct"/>
            <w:shd w:val="clear" w:color="auto" w:fill="auto"/>
          </w:tcPr>
          <w:p w:rsidR="002340FB" w:rsidRPr="00A162A7" w:rsidRDefault="002340FB" w:rsidP="00124F9D">
            <w:pPr>
              <w:pStyle w:val="TableBodyText"/>
              <w:numPr>
                <w:ilvl w:val="0"/>
                <w:numId w:val="5"/>
              </w:numPr>
              <w:pBdr>
                <w:left w:val="single" w:sz="4" w:space="4" w:color="auto"/>
              </w:pBdr>
              <w:jc w:val="left"/>
            </w:pPr>
            <w:r w:rsidRPr="00A162A7">
              <w:t xml:space="preserve">Proportion of </w:t>
            </w:r>
            <w:r w:rsidR="00552306" w:rsidRPr="00A162A7">
              <w:t xml:space="preserve">working age population </w:t>
            </w:r>
            <w:r w:rsidRPr="00A162A7">
              <w:t xml:space="preserve">with or working towards a non-school </w:t>
            </w:r>
            <w:proofErr w:type="spellStart"/>
            <w:r w:rsidRPr="00A162A7">
              <w:t>AQF</w:t>
            </w:r>
            <w:proofErr w:type="spellEnd"/>
            <w:r w:rsidRPr="00A162A7">
              <w:t xml:space="preserve"> qualification</w:t>
            </w:r>
          </w:p>
        </w:tc>
        <w:tc>
          <w:tcPr>
            <w:tcW w:w="726" w:type="pct"/>
            <w:shd w:val="clear" w:color="auto" w:fill="auto"/>
          </w:tcPr>
          <w:p w:rsidR="002340FB" w:rsidRPr="00B43CAB" w:rsidRDefault="00B43CAB" w:rsidP="00426E98">
            <w:pPr>
              <w:pStyle w:val="TableBodyText"/>
              <w:pBdr>
                <w:left w:val="single" w:sz="4" w:space="4" w:color="auto"/>
              </w:pBdr>
              <w:ind w:right="28"/>
            </w:pPr>
            <w:r>
              <w:fldChar w:fldCharType="begin"/>
            </w:r>
            <w:r>
              <w:instrText xml:space="preserve"> PAGEREF _Ref357149601 \h </w:instrText>
            </w:r>
            <w:r>
              <w:fldChar w:fldCharType="separate"/>
            </w:r>
            <w:r w:rsidR="00A57DDD">
              <w:rPr>
                <w:noProof/>
              </w:rPr>
              <w:t>318</w:t>
            </w:r>
            <w:r>
              <w:fldChar w:fldCharType="end"/>
            </w:r>
            <w:r>
              <w:t xml:space="preserve">, </w:t>
            </w:r>
            <w:r>
              <w:fldChar w:fldCharType="begin"/>
            </w:r>
            <w:r>
              <w:instrText xml:space="preserve"> PAGEREF _Ref382927986 \h </w:instrText>
            </w:r>
            <w:r>
              <w:fldChar w:fldCharType="separate"/>
            </w:r>
            <w:r w:rsidR="00A57DDD">
              <w:rPr>
                <w:noProof/>
              </w:rPr>
              <w:t>331</w:t>
            </w:r>
            <w:r>
              <w:fldChar w:fldCharType="end"/>
            </w:r>
          </w:p>
        </w:tc>
      </w:tr>
      <w:tr w:rsidR="001C6387" w:rsidRPr="00A162A7" w:rsidTr="001C6387">
        <w:tc>
          <w:tcPr>
            <w:tcW w:w="4274" w:type="pct"/>
            <w:shd w:val="clear" w:color="auto" w:fill="auto"/>
          </w:tcPr>
          <w:p w:rsidR="001C6387" w:rsidRPr="00A162A7" w:rsidRDefault="001C6387" w:rsidP="00124F9D">
            <w:pPr>
              <w:pStyle w:val="TableBodyText"/>
              <w:numPr>
                <w:ilvl w:val="0"/>
                <w:numId w:val="5"/>
              </w:numPr>
              <w:pBdr>
                <w:left w:val="single" w:sz="4" w:space="4" w:color="auto"/>
              </w:pBdr>
              <w:jc w:val="left"/>
            </w:pPr>
            <w:r w:rsidRPr="00A162A7">
              <w:t>Proportion of VET graduates with improved employment status after training</w:t>
            </w:r>
          </w:p>
        </w:tc>
        <w:tc>
          <w:tcPr>
            <w:tcW w:w="726" w:type="pct"/>
            <w:shd w:val="clear" w:color="auto" w:fill="auto"/>
          </w:tcPr>
          <w:p w:rsidR="001C6387" w:rsidRPr="00B43CAB" w:rsidRDefault="00B43CAB" w:rsidP="00B43CAB">
            <w:pPr>
              <w:pStyle w:val="TableBodyText"/>
              <w:pBdr>
                <w:left w:val="single" w:sz="4" w:space="4" w:color="auto"/>
              </w:pBdr>
              <w:ind w:right="28"/>
            </w:pPr>
            <w:r>
              <w:fldChar w:fldCharType="begin"/>
            </w:r>
            <w:r>
              <w:instrText xml:space="preserve"> PAGEREF _Ref357149612 \h </w:instrText>
            </w:r>
            <w:r>
              <w:fldChar w:fldCharType="separate"/>
            </w:r>
            <w:r w:rsidR="00A57DDD">
              <w:rPr>
                <w:noProof/>
              </w:rPr>
              <w:t>321</w:t>
            </w:r>
            <w:r>
              <w:fldChar w:fldCharType="end"/>
            </w:r>
            <w:r>
              <w:t xml:space="preserve">, </w:t>
            </w:r>
            <w:r>
              <w:fldChar w:fldCharType="begin"/>
            </w:r>
            <w:r>
              <w:instrText xml:space="preserve"> PAGEREF _Ref382928099 \h </w:instrText>
            </w:r>
            <w:r>
              <w:fldChar w:fldCharType="separate"/>
            </w:r>
            <w:r w:rsidR="00A57DDD">
              <w:rPr>
                <w:noProof/>
              </w:rPr>
              <w:t>334</w:t>
            </w:r>
            <w:r>
              <w:fldChar w:fldCharType="end"/>
            </w:r>
          </w:p>
        </w:tc>
      </w:tr>
      <w:tr w:rsidR="001C6387" w:rsidTr="00D155E0">
        <w:tc>
          <w:tcPr>
            <w:tcW w:w="4274" w:type="pct"/>
            <w:tcBorders>
              <w:bottom w:val="single" w:sz="6" w:space="0" w:color="auto"/>
            </w:tcBorders>
            <w:shd w:val="clear" w:color="auto" w:fill="auto"/>
          </w:tcPr>
          <w:p w:rsidR="001C6387" w:rsidRPr="00A162A7" w:rsidRDefault="001C6387" w:rsidP="00124F9D">
            <w:pPr>
              <w:pStyle w:val="TableBodyText"/>
              <w:numPr>
                <w:ilvl w:val="0"/>
                <w:numId w:val="5"/>
              </w:numPr>
              <w:pBdr>
                <w:left w:val="single" w:sz="4" w:space="4" w:color="auto"/>
              </w:pBdr>
              <w:jc w:val="left"/>
            </w:pPr>
            <w:r w:rsidRPr="00A162A7">
              <w:t>Proportion of VET graduates with improved education/training status after training</w:t>
            </w:r>
          </w:p>
        </w:tc>
        <w:tc>
          <w:tcPr>
            <w:tcW w:w="726" w:type="pct"/>
            <w:tcBorders>
              <w:bottom w:val="single" w:sz="6" w:space="0" w:color="auto"/>
            </w:tcBorders>
            <w:shd w:val="clear" w:color="auto" w:fill="auto"/>
          </w:tcPr>
          <w:p w:rsidR="001C6387" w:rsidRPr="00B43CAB" w:rsidRDefault="00B43CAB" w:rsidP="00426E98">
            <w:pPr>
              <w:pStyle w:val="TableBodyText"/>
              <w:pBdr>
                <w:left w:val="single" w:sz="4" w:space="4" w:color="auto"/>
              </w:pBdr>
              <w:ind w:right="28"/>
            </w:pPr>
            <w:r>
              <w:fldChar w:fldCharType="begin"/>
            </w:r>
            <w:r>
              <w:instrText xml:space="preserve"> PAGEREF _Ref357149626 \h </w:instrText>
            </w:r>
            <w:r>
              <w:fldChar w:fldCharType="separate"/>
            </w:r>
            <w:r w:rsidR="00A57DDD">
              <w:rPr>
                <w:noProof/>
              </w:rPr>
              <w:t>325</w:t>
            </w:r>
            <w:r>
              <w:fldChar w:fldCharType="end"/>
            </w:r>
            <w:r>
              <w:t xml:space="preserve">, </w:t>
            </w:r>
            <w:r>
              <w:fldChar w:fldCharType="begin"/>
            </w:r>
            <w:r>
              <w:instrText xml:space="preserve"> PAGEREF _Ref382928132 \h </w:instrText>
            </w:r>
            <w:r>
              <w:fldChar w:fldCharType="separate"/>
            </w:r>
            <w:r w:rsidR="00A57DDD">
              <w:rPr>
                <w:noProof/>
              </w:rPr>
              <w:t>340</w:t>
            </w:r>
            <w:r>
              <w:fldChar w:fldCharType="end"/>
            </w:r>
          </w:p>
        </w:tc>
      </w:tr>
    </w:tbl>
    <w:p w:rsidR="00482E63" w:rsidRDefault="00482E63" w:rsidP="0098383A">
      <w:pPr>
        <w:pStyle w:val="Note"/>
      </w:pPr>
      <w:proofErr w:type="spellStart"/>
      <w:r w:rsidRPr="00482E63">
        <w:rPr>
          <w:rStyle w:val="NoteLabel"/>
        </w:rPr>
        <w:t>a</w:t>
      </w:r>
      <w:proofErr w:type="spellEnd"/>
      <w:r>
        <w:rPr>
          <w:rFonts w:cs="Arial"/>
        </w:rPr>
        <w:t xml:space="preserve"> </w:t>
      </w:r>
      <w:r w:rsidR="00C45887">
        <w:t xml:space="preserve">The performance indicators presented in this table refer to the performance indicators in the </w:t>
      </w:r>
      <w:proofErr w:type="spellStart"/>
      <w:r w:rsidR="00C45887">
        <w:t>NASWD</w:t>
      </w:r>
      <w:proofErr w:type="spellEnd"/>
      <w:r w:rsidR="00C45887">
        <w:t xml:space="preserve"> (COAG </w:t>
      </w:r>
      <w:proofErr w:type="spellStart"/>
      <w:r w:rsidR="00C45887">
        <w:t>2012b</w:t>
      </w:r>
      <w:proofErr w:type="spellEnd"/>
      <w:r w:rsidR="00C45887">
        <w:t>).</w:t>
      </w:r>
      <w:r w:rsidR="00957D24">
        <w:t xml:space="preserve"> .. Not applicable.</w:t>
      </w:r>
    </w:p>
    <w:p w:rsidR="00FF2E2E" w:rsidRDefault="00FF2E2E">
      <w:pPr>
        <w:rPr>
          <w:rFonts w:ascii="Arial" w:hAnsi="Arial"/>
        </w:rPr>
      </w:pPr>
      <w:r>
        <w:rPr>
          <w:b/>
        </w:rPr>
        <w:br w:type="page"/>
      </w:r>
    </w:p>
    <w:p w:rsidR="001C6387" w:rsidRDefault="001C6387" w:rsidP="0098383A">
      <w:pPr>
        <w:pStyle w:val="TableTitle"/>
      </w:pPr>
      <w:r>
        <w:rPr>
          <w:b w:val="0"/>
        </w:rPr>
        <w:t xml:space="preserve">Table </w:t>
      </w:r>
      <w:bookmarkStart w:id="32" w:name="OLE_LINK18"/>
      <w:r w:rsidR="00503759">
        <w:rPr>
          <w:b w:val="0"/>
          <w:noProof/>
        </w:rPr>
        <w:t>16</w:t>
      </w:r>
      <w:bookmarkEnd w:id="32"/>
      <w:r>
        <w:tab/>
        <w:t>Data quality statements for related performance indicator in the National Indigenous Reform Agreement</w:t>
      </w:r>
      <w:r w:rsidRPr="001C6387">
        <w:rPr>
          <w:rStyle w:val="NoteLabel"/>
          <w:b/>
        </w:rPr>
        <w:t>a</w:t>
      </w:r>
    </w:p>
    <w:tbl>
      <w:tblPr>
        <w:tblW w:w="5000" w:type="pct"/>
        <w:tblCellMar>
          <w:left w:w="0" w:type="dxa"/>
          <w:right w:w="0" w:type="dxa"/>
        </w:tblCellMar>
        <w:tblLook w:val="0000" w:firstRow="0" w:lastRow="0" w:firstColumn="0" w:lastColumn="0" w:noHBand="0" w:noVBand="0"/>
      </w:tblPr>
      <w:tblGrid>
        <w:gridCol w:w="7513"/>
        <w:gridCol w:w="1276"/>
      </w:tblGrid>
      <w:tr w:rsidR="001C6387" w:rsidTr="001C6387">
        <w:tc>
          <w:tcPr>
            <w:tcW w:w="4274" w:type="pct"/>
            <w:tcBorders>
              <w:top w:val="single" w:sz="6" w:space="0" w:color="auto"/>
              <w:bottom w:val="single" w:sz="6" w:space="0" w:color="auto"/>
            </w:tcBorders>
            <w:shd w:val="clear" w:color="auto" w:fill="auto"/>
          </w:tcPr>
          <w:p w:rsidR="001C6387" w:rsidRDefault="001C6387" w:rsidP="001C6387">
            <w:pPr>
              <w:pStyle w:val="TableColumnHeading"/>
              <w:pBdr>
                <w:left w:val="single" w:sz="4" w:space="4" w:color="auto"/>
              </w:pBdr>
              <w:jc w:val="left"/>
            </w:pPr>
            <w:r>
              <w:t>Performance indicator</w:t>
            </w:r>
          </w:p>
        </w:tc>
        <w:tc>
          <w:tcPr>
            <w:tcW w:w="726" w:type="pct"/>
            <w:tcBorders>
              <w:top w:val="single" w:sz="6" w:space="0" w:color="auto"/>
              <w:bottom w:val="single" w:sz="6" w:space="0" w:color="auto"/>
            </w:tcBorders>
            <w:shd w:val="clear" w:color="auto" w:fill="auto"/>
          </w:tcPr>
          <w:p w:rsidR="001C6387" w:rsidRDefault="001C6387" w:rsidP="001C6387">
            <w:pPr>
              <w:pStyle w:val="TableColumnHeading"/>
              <w:pBdr>
                <w:left w:val="single" w:sz="4" w:space="4" w:color="auto"/>
              </w:pBdr>
              <w:ind w:right="28"/>
            </w:pPr>
            <w:r>
              <w:t>Page no. in this report</w:t>
            </w:r>
          </w:p>
        </w:tc>
      </w:tr>
      <w:tr w:rsidR="001C6387" w:rsidTr="001C6387">
        <w:tc>
          <w:tcPr>
            <w:tcW w:w="4274" w:type="pct"/>
            <w:tcBorders>
              <w:top w:val="single" w:sz="6" w:space="0" w:color="auto"/>
              <w:bottom w:val="single" w:sz="4" w:space="0" w:color="auto"/>
            </w:tcBorders>
          </w:tcPr>
          <w:p w:rsidR="001C6387" w:rsidRDefault="001C6387" w:rsidP="00124F9D">
            <w:pPr>
              <w:pStyle w:val="TableUnitsRow"/>
              <w:numPr>
                <w:ilvl w:val="0"/>
                <w:numId w:val="5"/>
              </w:numPr>
              <w:pBdr>
                <w:left w:val="single" w:sz="4" w:space="4" w:color="auto"/>
              </w:pBdr>
              <w:jc w:val="left"/>
            </w:pPr>
            <w:r>
              <w:t xml:space="preserve">Proportion of Indigenous 20–64 year olds with or working towards post school qualification </w:t>
            </w:r>
          </w:p>
        </w:tc>
        <w:tc>
          <w:tcPr>
            <w:tcW w:w="726" w:type="pct"/>
            <w:tcBorders>
              <w:top w:val="single" w:sz="6" w:space="0" w:color="auto"/>
              <w:bottom w:val="single" w:sz="4" w:space="0" w:color="auto"/>
            </w:tcBorders>
          </w:tcPr>
          <w:p w:rsidR="001C6387" w:rsidRPr="00B43CAB" w:rsidRDefault="00B43CAB" w:rsidP="001C6387">
            <w:pPr>
              <w:pStyle w:val="TableUnitsRow"/>
              <w:pBdr>
                <w:left w:val="single" w:sz="4" w:space="4" w:color="auto"/>
              </w:pBdr>
              <w:ind w:right="28"/>
            </w:pPr>
            <w:r>
              <w:fldChar w:fldCharType="begin"/>
            </w:r>
            <w:r>
              <w:instrText xml:space="preserve"> PAGEREF _Ref382927958 \h </w:instrText>
            </w:r>
            <w:r>
              <w:fldChar w:fldCharType="separate"/>
            </w:r>
            <w:r w:rsidR="00A57DDD">
              <w:rPr>
                <w:noProof/>
              </w:rPr>
              <w:t>328</w:t>
            </w:r>
            <w:r>
              <w:fldChar w:fldCharType="end"/>
            </w:r>
          </w:p>
        </w:tc>
      </w:tr>
    </w:tbl>
    <w:p w:rsidR="008D78E9" w:rsidRPr="008D78E9" w:rsidRDefault="001C6387" w:rsidP="008D78E9">
      <w:pPr>
        <w:pStyle w:val="Note"/>
        <w:rPr>
          <w:rFonts w:cs="Arial"/>
        </w:rPr>
      </w:pPr>
      <w:proofErr w:type="spellStart"/>
      <w:r w:rsidRPr="001C6387">
        <w:rPr>
          <w:rStyle w:val="NoteLabel"/>
        </w:rPr>
        <w:t>a</w:t>
      </w:r>
      <w:proofErr w:type="spellEnd"/>
      <w:r>
        <w:rPr>
          <w:rFonts w:cs="Arial"/>
        </w:rPr>
        <w:t xml:space="preserve"> </w:t>
      </w:r>
      <w:r w:rsidR="00C45887">
        <w:t xml:space="preserve">The performance indicator presented in this table refers to the performance indicator in the </w:t>
      </w:r>
      <w:proofErr w:type="spellStart"/>
      <w:r w:rsidR="00C45887">
        <w:t>NIRA</w:t>
      </w:r>
      <w:proofErr w:type="spellEnd"/>
      <w:r w:rsidR="00C45887">
        <w:t xml:space="preserve"> </w:t>
      </w:r>
      <w:r w:rsidR="003919BA">
        <w:t>(</w:t>
      </w:r>
      <w:r w:rsidR="00990FBC">
        <w:t xml:space="preserve">COAG </w:t>
      </w:r>
      <w:proofErr w:type="spellStart"/>
      <w:r w:rsidR="00990FBC">
        <w:t>2012</w:t>
      </w:r>
      <w:r w:rsidR="00B22A96">
        <w:t>c</w:t>
      </w:r>
      <w:proofErr w:type="spellEnd"/>
      <w:r w:rsidR="003919BA">
        <w:t>).</w:t>
      </w:r>
    </w:p>
    <w:p w:rsidR="006315F9" w:rsidRDefault="008864C2">
      <w:r>
        <w:br w:type="page"/>
      </w:r>
    </w:p>
    <w:p w:rsidR="006315F9" w:rsidRPr="00EA6964" w:rsidRDefault="006315F9" w:rsidP="006315F9">
      <w:pPr>
        <w:pStyle w:val="Heading3"/>
        <w:spacing w:after="360"/>
      </w:pPr>
      <w:bookmarkStart w:id="33" w:name="_Ref357086925"/>
      <w:r w:rsidRPr="00EA6964">
        <w:t xml:space="preserve">Data quality statement — </w:t>
      </w:r>
      <w:r>
        <w:t xml:space="preserve">Target (a) </w:t>
      </w:r>
      <w:r w:rsidRPr="00EA6964">
        <w:t>—</w:t>
      </w:r>
      <w:r>
        <w:t xml:space="preserve"> Halve the proportion of Australians nationally aged 20</w:t>
      </w:r>
      <w:r>
        <w:noBreakHyphen/>
        <w:t>64 without qualifications at Certificate III level and above between 2009 and 2020 (</w:t>
      </w:r>
      <w:r w:rsidR="002A32E9">
        <w:t>SEW</w:t>
      </w:r>
      <w:r>
        <w:t xml:space="preserve"> data)</w:t>
      </w:r>
      <w:bookmarkEnd w:id="33"/>
    </w:p>
    <w:tbl>
      <w:tblPr>
        <w:tblW w:w="8820" w:type="dxa"/>
        <w:tblInd w:w="108" w:type="dxa"/>
        <w:tblLayout w:type="fixed"/>
        <w:tblLook w:val="01E0" w:firstRow="1" w:lastRow="1" w:firstColumn="1" w:lastColumn="1" w:noHBand="0" w:noVBand="0"/>
      </w:tblPr>
      <w:tblGrid>
        <w:gridCol w:w="1869"/>
        <w:gridCol w:w="6951"/>
      </w:tblGrid>
      <w:tr w:rsidR="006315F9" w:rsidRPr="00EA6964" w:rsidTr="00877AB4">
        <w:trPr>
          <w:trHeight w:val="567"/>
        </w:trPr>
        <w:tc>
          <w:tcPr>
            <w:tcW w:w="1869" w:type="dxa"/>
          </w:tcPr>
          <w:p w:rsidR="006315F9" w:rsidRPr="00EA6964" w:rsidRDefault="006315F9" w:rsidP="00E559C8">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Target/Outcome</w:t>
            </w:r>
          </w:p>
        </w:tc>
        <w:tc>
          <w:tcPr>
            <w:tcW w:w="6951" w:type="dxa"/>
          </w:tcPr>
          <w:p w:rsidR="006315F9" w:rsidRPr="002A32E9" w:rsidRDefault="006315F9" w:rsidP="00EA735E">
            <w:pPr>
              <w:pStyle w:val="TableBodyText"/>
              <w:jc w:val="both"/>
            </w:pPr>
            <w:r w:rsidRPr="002A32E9">
              <w:t>Proportion of 20–64 year olds who do not have qualifications at or above a Certificate III.</w:t>
            </w:r>
          </w:p>
        </w:tc>
      </w:tr>
      <w:tr w:rsidR="006315F9" w:rsidRPr="00EA6964" w:rsidTr="00877AB4">
        <w:trPr>
          <w:trHeight w:val="567"/>
        </w:trPr>
        <w:tc>
          <w:tcPr>
            <w:tcW w:w="1869" w:type="dxa"/>
          </w:tcPr>
          <w:p w:rsidR="006315F9" w:rsidRPr="00EA6964" w:rsidRDefault="006315F9" w:rsidP="00E559C8">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Measure (computation)</w:t>
            </w:r>
          </w:p>
        </w:tc>
        <w:tc>
          <w:tcPr>
            <w:tcW w:w="6951" w:type="dxa"/>
          </w:tcPr>
          <w:p w:rsidR="002A32E9" w:rsidRPr="002A32E9" w:rsidRDefault="002A32E9" w:rsidP="00EA735E">
            <w:pPr>
              <w:pStyle w:val="TableBodyText"/>
              <w:jc w:val="both"/>
            </w:pPr>
            <w:r w:rsidRPr="002A32E9">
              <w:t>Persons aged 20–64 years without a formal qualification at Certificate III level or above.</w:t>
            </w:r>
          </w:p>
          <w:p w:rsidR="002A32E9" w:rsidRPr="002A32E9" w:rsidRDefault="00E25151" w:rsidP="00EA735E">
            <w:pPr>
              <w:pStyle w:val="TableBullet"/>
              <w:jc w:val="both"/>
            </w:pPr>
            <w:r>
              <w:rPr>
                <w:i/>
              </w:rPr>
              <w:t>n</w:t>
            </w:r>
            <w:r w:rsidR="002A32E9" w:rsidRPr="00E25151">
              <w:rPr>
                <w:i/>
              </w:rPr>
              <w:t>umerator</w:t>
            </w:r>
            <w:r w:rsidR="002A32E9" w:rsidRPr="002A32E9">
              <w:t>:</w:t>
            </w:r>
            <w:r>
              <w:t xml:space="preserve"> </w:t>
            </w:r>
            <w:r w:rsidR="002A32E9" w:rsidRPr="002A32E9">
              <w:t xml:space="preserve">Number of persons aged 20–64 years without a formal qualification at Certificate III level or above (includes Certificate </w:t>
            </w:r>
            <w:proofErr w:type="spellStart"/>
            <w:r w:rsidR="002A32E9" w:rsidRPr="002A32E9">
              <w:t>n.f.d</w:t>
            </w:r>
            <w:proofErr w:type="spellEnd"/>
            <w:r w:rsidR="002A32E9" w:rsidRPr="002A32E9">
              <w:t>. and level not determined).</w:t>
            </w:r>
          </w:p>
          <w:p w:rsidR="002A32E9" w:rsidRPr="002A32E9" w:rsidRDefault="00E25151" w:rsidP="00EA735E">
            <w:pPr>
              <w:pStyle w:val="TableBullet"/>
              <w:jc w:val="both"/>
            </w:pPr>
            <w:r>
              <w:rPr>
                <w:i/>
              </w:rPr>
              <w:t>d</w:t>
            </w:r>
            <w:r w:rsidR="002A32E9" w:rsidRPr="00E25151">
              <w:rPr>
                <w:i/>
              </w:rPr>
              <w:t>enominator</w:t>
            </w:r>
            <w:r w:rsidR="002A32E9" w:rsidRPr="002A32E9">
              <w:t>:</w:t>
            </w:r>
            <w:r>
              <w:t xml:space="preserve"> </w:t>
            </w:r>
            <w:r w:rsidR="002A32E9" w:rsidRPr="002A32E9">
              <w:t>Total population of persons aged 20–64 years.</w:t>
            </w:r>
          </w:p>
          <w:p w:rsidR="006315F9" w:rsidRDefault="002A32E9" w:rsidP="00EA735E">
            <w:pPr>
              <w:pStyle w:val="TableBodyText"/>
              <w:jc w:val="both"/>
            </w:pPr>
            <w:r w:rsidRPr="002A32E9">
              <w:t>Excludes people whose educational attainment is not stated (only applicable to Census data).</w:t>
            </w:r>
          </w:p>
          <w:p w:rsidR="00E25151" w:rsidRPr="002A32E9" w:rsidRDefault="00E25151" w:rsidP="00EA735E">
            <w:pPr>
              <w:pStyle w:val="TableBodyText"/>
              <w:jc w:val="both"/>
            </w:pPr>
          </w:p>
        </w:tc>
      </w:tr>
      <w:tr w:rsidR="006315F9" w:rsidRPr="00EA6964" w:rsidTr="00877AB4">
        <w:trPr>
          <w:trHeight w:val="567"/>
        </w:trPr>
        <w:tc>
          <w:tcPr>
            <w:tcW w:w="1869" w:type="dxa"/>
          </w:tcPr>
          <w:p w:rsidR="006315F9" w:rsidRPr="00EA6964" w:rsidRDefault="006315F9" w:rsidP="00E559C8">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Data source/s</w:t>
            </w:r>
          </w:p>
        </w:tc>
        <w:tc>
          <w:tcPr>
            <w:tcW w:w="6951" w:type="dxa"/>
          </w:tcPr>
          <w:p w:rsidR="00E25151" w:rsidRPr="002A32E9" w:rsidRDefault="002A32E9" w:rsidP="00EA735E">
            <w:pPr>
              <w:pStyle w:val="TableBullet"/>
              <w:jc w:val="both"/>
            </w:pPr>
            <w:r w:rsidRPr="00E25151">
              <w:rPr>
                <w:i/>
              </w:rPr>
              <w:t>Numerator and denominator</w:t>
            </w:r>
            <w:r w:rsidRPr="002A32E9">
              <w:t>:</w:t>
            </w:r>
            <w:r w:rsidR="00E25151" w:rsidRPr="002A32E9">
              <w:t xml:space="preserve"> Data from the Survey of Education and Work (SEW) are provided annually to inform this measure at the state/territory national level. </w:t>
            </w:r>
          </w:p>
          <w:p w:rsidR="002A32E9" w:rsidRPr="002A32E9" w:rsidRDefault="002A32E9" w:rsidP="00EA735E">
            <w:pPr>
              <w:pStyle w:val="TableBodyText"/>
              <w:jc w:val="both"/>
            </w:pPr>
          </w:p>
          <w:p w:rsidR="002A32E9" w:rsidRDefault="002A32E9" w:rsidP="00EA735E">
            <w:pPr>
              <w:pStyle w:val="TableBodyText"/>
              <w:jc w:val="both"/>
            </w:pPr>
            <w:r w:rsidRPr="002A32E9">
              <w:t>ABS Census of Population and Housing (Census). Data are available every five years.</w:t>
            </w:r>
          </w:p>
          <w:p w:rsidR="00E25151" w:rsidRPr="002A32E9" w:rsidRDefault="00E25151" w:rsidP="00EA735E">
            <w:pPr>
              <w:pStyle w:val="TableBodyText"/>
              <w:jc w:val="both"/>
            </w:pPr>
          </w:p>
          <w:p w:rsidR="006315F9" w:rsidRDefault="002A32E9" w:rsidP="00EA735E">
            <w:pPr>
              <w:pStyle w:val="TableBodyText"/>
              <w:jc w:val="both"/>
            </w:pPr>
            <w:r w:rsidRPr="002A32E9">
              <w:t xml:space="preserve">This </w:t>
            </w:r>
            <w:proofErr w:type="spellStart"/>
            <w:r w:rsidRPr="002A32E9">
              <w:t>DQS</w:t>
            </w:r>
            <w:proofErr w:type="spellEnd"/>
            <w:r w:rsidRPr="002A32E9">
              <w:t xml:space="preserve"> applies to </w:t>
            </w:r>
            <w:proofErr w:type="spellStart"/>
            <w:r w:rsidRPr="002A32E9">
              <w:t>SWD</w:t>
            </w:r>
            <w:proofErr w:type="spellEnd"/>
            <w:r w:rsidRPr="002A32E9">
              <w:t xml:space="preserve"> measures based on 2013 SEW data.</w:t>
            </w:r>
          </w:p>
          <w:p w:rsidR="00E25151" w:rsidRPr="002A32E9" w:rsidRDefault="00E25151" w:rsidP="00EA735E">
            <w:pPr>
              <w:pStyle w:val="TableBodyText"/>
              <w:jc w:val="both"/>
            </w:pPr>
          </w:p>
        </w:tc>
      </w:tr>
      <w:tr w:rsidR="006315F9" w:rsidRPr="00EA6964" w:rsidTr="00877AB4">
        <w:trPr>
          <w:trHeight w:val="567"/>
        </w:trPr>
        <w:tc>
          <w:tcPr>
            <w:tcW w:w="1869" w:type="dxa"/>
          </w:tcPr>
          <w:p w:rsidR="006315F9" w:rsidRPr="00EA6964" w:rsidRDefault="006315F9" w:rsidP="00E559C8">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Institutional environment</w:t>
            </w:r>
          </w:p>
        </w:tc>
        <w:tc>
          <w:tcPr>
            <w:tcW w:w="6951" w:type="dxa"/>
          </w:tcPr>
          <w:p w:rsidR="002A32E9" w:rsidRDefault="002A32E9" w:rsidP="00EA735E">
            <w:pPr>
              <w:pStyle w:val="TableBodyText"/>
              <w:jc w:val="both"/>
            </w:pPr>
            <w:r w:rsidRPr="002A32E9">
              <w:t>The Census and SEW are collected by the ABS under the Census and Statistics Act 1905.</w:t>
            </w:r>
          </w:p>
          <w:p w:rsidR="00E25151" w:rsidRPr="002A32E9" w:rsidRDefault="00E25151" w:rsidP="00EA735E">
            <w:pPr>
              <w:pStyle w:val="TableBodyText"/>
              <w:jc w:val="both"/>
            </w:pPr>
          </w:p>
          <w:p w:rsidR="006315F9" w:rsidRDefault="002A32E9" w:rsidP="00EA735E">
            <w:pPr>
              <w:pStyle w:val="TableBodyText"/>
              <w:jc w:val="both"/>
            </w:pPr>
            <w:r w:rsidRPr="002A32E9">
              <w:t>For information on the institutional environment of the ABS, including the legislative obligations of the ABS, financing and government arrangements, and mechanisms for scrutiny of ABS operations, see ABS Institutional Environment.</w:t>
            </w:r>
          </w:p>
          <w:p w:rsidR="00E25151" w:rsidRPr="002A32E9" w:rsidRDefault="00E25151" w:rsidP="00EA735E">
            <w:pPr>
              <w:pStyle w:val="TableBodyText"/>
              <w:jc w:val="both"/>
            </w:pPr>
          </w:p>
        </w:tc>
      </w:tr>
      <w:tr w:rsidR="006315F9" w:rsidRPr="00EA6964" w:rsidTr="00877AB4">
        <w:trPr>
          <w:trHeight w:val="567"/>
        </w:trPr>
        <w:tc>
          <w:tcPr>
            <w:tcW w:w="1869" w:type="dxa"/>
          </w:tcPr>
          <w:p w:rsidR="006315F9" w:rsidRPr="00EA6964" w:rsidRDefault="006315F9" w:rsidP="00E559C8">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Relevance</w:t>
            </w:r>
          </w:p>
          <w:p w:rsidR="006315F9" w:rsidRPr="00EA6964" w:rsidRDefault="006315F9" w:rsidP="00E559C8">
            <w:pPr>
              <w:keepNext/>
              <w:keepLines/>
              <w:spacing w:after="40" w:line="220" w:lineRule="atLeast"/>
              <w:ind w:left="6" w:right="113"/>
              <w:rPr>
                <w:rFonts w:ascii="Arial" w:eastAsiaTheme="minorHAnsi" w:hAnsi="Arial" w:cstheme="minorBidi"/>
                <w:b/>
                <w:sz w:val="20"/>
                <w:szCs w:val="20"/>
                <w:lang w:eastAsia="en-US"/>
              </w:rPr>
            </w:pPr>
          </w:p>
        </w:tc>
        <w:tc>
          <w:tcPr>
            <w:tcW w:w="6951" w:type="dxa"/>
          </w:tcPr>
          <w:p w:rsidR="002A32E9" w:rsidRDefault="002A32E9" w:rsidP="00EA735E">
            <w:pPr>
              <w:pStyle w:val="TableBodyText"/>
              <w:jc w:val="both"/>
            </w:pPr>
            <w:r w:rsidRPr="002A32E9">
              <w:t xml:space="preserve">SEW data are available by state/territory. The SEW does not collect data from people in Indigenous communities in very remote areas. </w:t>
            </w:r>
          </w:p>
          <w:p w:rsidR="00E25151" w:rsidRPr="002A32E9" w:rsidRDefault="00E25151" w:rsidP="00EA735E">
            <w:pPr>
              <w:pStyle w:val="TableBodyText"/>
              <w:jc w:val="both"/>
            </w:pPr>
          </w:p>
          <w:p w:rsidR="002A32E9" w:rsidRPr="002A32E9" w:rsidRDefault="002A32E9" w:rsidP="00EA735E">
            <w:pPr>
              <w:pStyle w:val="TableBodyText"/>
              <w:jc w:val="both"/>
            </w:pPr>
            <w:r w:rsidRPr="002A32E9">
              <w:t>The SEW collects information on educational participation and attainment. The classification of qualifications used is the Australian Standard Classification of Education (</w:t>
            </w:r>
            <w:proofErr w:type="spellStart"/>
            <w:r w:rsidRPr="002A32E9">
              <w:t>ASCED</w:t>
            </w:r>
            <w:proofErr w:type="spellEnd"/>
            <w:r w:rsidRPr="002A32E9">
              <w:t>) (cat. no. 1272.0).</w:t>
            </w:r>
          </w:p>
          <w:p w:rsidR="00E25151" w:rsidRDefault="00E25151" w:rsidP="00EA735E">
            <w:pPr>
              <w:pStyle w:val="TableBodyText"/>
              <w:jc w:val="both"/>
            </w:pPr>
          </w:p>
          <w:p w:rsidR="006315F9" w:rsidRDefault="002A32E9" w:rsidP="00EA735E">
            <w:pPr>
              <w:pStyle w:val="TableBodyText"/>
              <w:jc w:val="both"/>
            </w:pPr>
            <w:r w:rsidRPr="002A32E9">
              <w:t>For some respondents, information is supplied by another household resident, such as a parent, partner or unrelated adult (Any Responsible Adult). While this is a standard survey methodology, answers to some questions may occasionally differ from those that would have been supplied in a personal interview.</w:t>
            </w:r>
          </w:p>
          <w:p w:rsidR="00E25151" w:rsidRPr="002A32E9" w:rsidRDefault="00E25151" w:rsidP="00EA735E">
            <w:pPr>
              <w:pStyle w:val="TableBodyText"/>
              <w:jc w:val="both"/>
            </w:pPr>
          </w:p>
        </w:tc>
      </w:tr>
      <w:tr w:rsidR="006315F9" w:rsidRPr="00EA6964" w:rsidTr="00877AB4">
        <w:trPr>
          <w:trHeight w:val="567"/>
        </w:trPr>
        <w:tc>
          <w:tcPr>
            <w:tcW w:w="1869" w:type="dxa"/>
          </w:tcPr>
          <w:p w:rsidR="006315F9" w:rsidRPr="00EA6964" w:rsidRDefault="006315F9" w:rsidP="00E559C8">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Timeliness</w:t>
            </w:r>
          </w:p>
          <w:p w:rsidR="006315F9" w:rsidRPr="00EA6964" w:rsidRDefault="006315F9" w:rsidP="00E559C8">
            <w:pPr>
              <w:keepNext/>
              <w:keepLines/>
              <w:spacing w:after="40" w:line="220" w:lineRule="atLeast"/>
              <w:ind w:left="6" w:right="113"/>
              <w:rPr>
                <w:rFonts w:ascii="Arial" w:eastAsiaTheme="minorHAnsi" w:hAnsi="Arial" w:cstheme="minorBidi"/>
                <w:b/>
                <w:sz w:val="20"/>
                <w:szCs w:val="20"/>
                <w:lang w:eastAsia="en-US"/>
              </w:rPr>
            </w:pPr>
          </w:p>
        </w:tc>
        <w:tc>
          <w:tcPr>
            <w:tcW w:w="6951" w:type="dxa"/>
          </w:tcPr>
          <w:p w:rsidR="006315F9" w:rsidRDefault="002A32E9" w:rsidP="00EA735E">
            <w:pPr>
              <w:pStyle w:val="TableBodyText"/>
              <w:jc w:val="both"/>
            </w:pPr>
            <w:r w:rsidRPr="002A32E9">
              <w:t>The SEW is conducted annually in May as a supplement to the monthly Labour Force Survey (</w:t>
            </w:r>
            <w:proofErr w:type="spellStart"/>
            <w:r w:rsidRPr="002A32E9">
              <w:t>LFS</w:t>
            </w:r>
            <w:proofErr w:type="spellEnd"/>
            <w:r w:rsidRPr="002A32E9">
              <w:t>). Results from the 2013 survey were released in November 2013.</w:t>
            </w:r>
          </w:p>
          <w:p w:rsidR="00E25151" w:rsidRPr="002A32E9" w:rsidRDefault="00E25151" w:rsidP="00EA735E">
            <w:pPr>
              <w:pStyle w:val="TableBodyText"/>
              <w:jc w:val="both"/>
            </w:pPr>
          </w:p>
        </w:tc>
      </w:tr>
      <w:tr w:rsidR="006315F9" w:rsidRPr="00EA6964" w:rsidTr="00877AB4">
        <w:trPr>
          <w:trHeight w:val="100"/>
        </w:trPr>
        <w:tc>
          <w:tcPr>
            <w:tcW w:w="1869" w:type="dxa"/>
          </w:tcPr>
          <w:p w:rsidR="006315F9" w:rsidRPr="00EA6964" w:rsidRDefault="006315F9" w:rsidP="00E559C8">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Accuracy</w:t>
            </w:r>
          </w:p>
          <w:p w:rsidR="006315F9" w:rsidRPr="00EA6964" w:rsidRDefault="006315F9" w:rsidP="00E559C8">
            <w:pPr>
              <w:keepNext/>
              <w:keepLines/>
              <w:spacing w:after="40" w:line="220" w:lineRule="atLeast"/>
              <w:ind w:left="6" w:right="113"/>
              <w:rPr>
                <w:rFonts w:ascii="Arial" w:eastAsiaTheme="minorHAnsi" w:hAnsi="Arial" w:cstheme="minorBidi"/>
                <w:b/>
                <w:sz w:val="20"/>
                <w:szCs w:val="20"/>
                <w:lang w:eastAsia="en-US"/>
              </w:rPr>
            </w:pPr>
          </w:p>
        </w:tc>
        <w:tc>
          <w:tcPr>
            <w:tcW w:w="6951" w:type="dxa"/>
          </w:tcPr>
          <w:p w:rsidR="002A32E9" w:rsidRDefault="002A32E9" w:rsidP="00EA735E">
            <w:pPr>
              <w:pStyle w:val="TableBodyText"/>
              <w:jc w:val="both"/>
            </w:pPr>
            <w:r w:rsidRPr="002A32E9">
              <w:t>The 2013 SEW response rate was 94</w:t>
            </w:r>
            <w:r w:rsidR="00E25151">
              <w:t xml:space="preserve"> per cent</w:t>
            </w:r>
            <w:r w:rsidRPr="002A32E9">
              <w:t xml:space="preserve"> which constituted 43</w:t>
            </w:r>
            <w:r w:rsidR="00E25151">
              <w:t> </w:t>
            </w:r>
            <w:r w:rsidRPr="002A32E9">
              <w:t>600 completed interviews. The 2013 response rate was consistent with that in previous years.</w:t>
            </w:r>
          </w:p>
          <w:p w:rsidR="00E25151" w:rsidRPr="002A32E9" w:rsidRDefault="00E25151" w:rsidP="00EA735E">
            <w:pPr>
              <w:pStyle w:val="TableBodyText"/>
              <w:jc w:val="both"/>
            </w:pPr>
          </w:p>
          <w:p w:rsidR="002A32E9" w:rsidRDefault="002A32E9" w:rsidP="00EA735E">
            <w:pPr>
              <w:pStyle w:val="TableBodyText"/>
              <w:jc w:val="both"/>
            </w:pPr>
            <w:r w:rsidRPr="002A32E9">
              <w:t xml:space="preserve">The data for the SEW are collected from an </w:t>
            </w:r>
            <w:proofErr w:type="spellStart"/>
            <w:r w:rsidRPr="002A32E9">
              <w:t>ARA</w:t>
            </w:r>
            <w:proofErr w:type="spellEnd"/>
            <w:r w:rsidRPr="002A32E9">
              <w:t xml:space="preserve"> (Any Responsible Adult) on behalf of other members of the household and are weighted for non-response.</w:t>
            </w:r>
          </w:p>
          <w:p w:rsidR="00E25151" w:rsidRDefault="00E25151" w:rsidP="00EA735E">
            <w:pPr>
              <w:pStyle w:val="TableBodyText"/>
              <w:jc w:val="both"/>
            </w:pPr>
          </w:p>
          <w:p w:rsidR="0021665D" w:rsidRPr="001E777B" w:rsidRDefault="0021665D" w:rsidP="0021665D">
            <w:pPr>
              <w:pStyle w:val="TableBodyText"/>
              <w:jc w:val="both"/>
            </w:pPr>
            <w:r w:rsidRPr="002479E3">
              <w:t xml:space="preserve">Prior to the 2013 SEW, people who were permanently unable to work were excluded from the in-scope population. In 2013, the </w:t>
            </w:r>
            <w:r>
              <w:t xml:space="preserve">SEW </w:t>
            </w:r>
            <w:r w:rsidRPr="002479E3">
              <w:t>scope was expanded to include people permanently unable to work. However, to ensure that the indicator measure presented here is comparable over time, the permanently unable to work population has been excluded from these tables.</w:t>
            </w:r>
          </w:p>
          <w:p w:rsidR="0021665D" w:rsidRPr="002A32E9" w:rsidRDefault="0021665D" w:rsidP="00EA735E">
            <w:pPr>
              <w:pStyle w:val="TableBodyText"/>
              <w:jc w:val="both"/>
            </w:pPr>
          </w:p>
          <w:p w:rsidR="002A32E9" w:rsidRPr="002A32E9" w:rsidRDefault="002A32E9" w:rsidP="00EA735E">
            <w:pPr>
              <w:pStyle w:val="TableBodyText"/>
              <w:jc w:val="both"/>
            </w:pPr>
            <w:r w:rsidRPr="002A32E9">
              <w:t>The data are event data that can be used to measure year to year changes provided that the changes are large enough to be detected in the context of the Relative Standard Error (</w:t>
            </w:r>
            <w:proofErr w:type="spellStart"/>
            <w:r w:rsidRPr="002A32E9">
              <w:t>RSE</w:t>
            </w:r>
            <w:proofErr w:type="spellEnd"/>
            <w:r w:rsidRPr="002A32E9">
              <w:t xml:space="preserve">) of estimates. </w:t>
            </w:r>
          </w:p>
          <w:p w:rsidR="00E25151" w:rsidRDefault="00E25151" w:rsidP="00EA735E">
            <w:pPr>
              <w:pStyle w:val="TableBodyText"/>
              <w:jc w:val="both"/>
            </w:pPr>
          </w:p>
          <w:p w:rsidR="006315F9" w:rsidRDefault="002A32E9" w:rsidP="00EA735E">
            <w:pPr>
              <w:pStyle w:val="TableBodyText"/>
              <w:jc w:val="both"/>
            </w:pPr>
            <w:r w:rsidRPr="002A32E9">
              <w:t>Data with a relative standard error of between 25</w:t>
            </w:r>
            <w:r w:rsidR="00E25151">
              <w:t xml:space="preserve"> per cent</w:t>
            </w:r>
            <w:r w:rsidRPr="002A32E9">
              <w:t xml:space="preserve"> and 50</w:t>
            </w:r>
            <w:r w:rsidR="00E25151">
              <w:t xml:space="preserve"> per cent </w:t>
            </w:r>
            <w:r w:rsidRPr="002A32E9">
              <w:t>should be used with caution while data with a relative standard error greater than 50</w:t>
            </w:r>
            <w:r w:rsidR="00E25151">
              <w:t xml:space="preserve"> per cent </w:t>
            </w:r>
            <w:r w:rsidRPr="002A32E9">
              <w:t>is considered too unreliable for general use.</w:t>
            </w:r>
          </w:p>
          <w:p w:rsidR="00E25151" w:rsidRPr="002A32E9" w:rsidRDefault="00E25151" w:rsidP="00EA735E">
            <w:pPr>
              <w:pStyle w:val="TableBodyText"/>
              <w:jc w:val="both"/>
            </w:pPr>
          </w:p>
        </w:tc>
      </w:tr>
      <w:tr w:rsidR="006315F9" w:rsidRPr="00EA6964" w:rsidTr="00877AB4">
        <w:trPr>
          <w:trHeight w:val="567"/>
        </w:trPr>
        <w:tc>
          <w:tcPr>
            <w:tcW w:w="1869" w:type="dxa"/>
          </w:tcPr>
          <w:p w:rsidR="006315F9" w:rsidRPr="00EA6964" w:rsidRDefault="006315F9" w:rsidP="00E559C8">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Coherence</w:t>
            </w:r>
          </w:p>
          <w:p w:rsidR="006315F9" w:rsidRPr="00EA6964" w:rsidRDefault="006315F9" w:rsidP="00E559C8">
            <w:pPr>
              <w:keepNext/>
              <w:keepLines/>
              <w:spacing w:after="40" w:line="220" w:lineRule="atLeast"/>
              <w:ind w:left="6" w:right="113"/>
              <w:rPr>
                <w:rFonts w:ascii="Arial" w:eastAsiaTheme="minorHAnsi" w:hAnsi="Arial" w:cstheme="minorBidi"/>
                <w:b/>
                <w:sz w:val="20"/>
                <w:szCs w:val="20"/>
                <w:lang w:eastAsia="en-US"/>
              </w:rPr>
            </w:pPr>
          </w:p>
        </w:tc>
        <w:tc>
          <w:tcPr>
            <w:tcW w:w="6951" w:type="dxa"/>
          </w:tcPr>
          <w:p w:rsidR="002A32E9" w:rsidRDefault="002A32E9" w:rsidP="00EA735E">
            <w:pPr>
              <w:pStyle w:val="TableBodyText"/>
              <w:jc w:val="both"/>
            </w:pPr>
            <w:r w:rsidRPr="002A32E9">
              <w:t xml:space="preserve">Both the numerator and denominator come from the SEW. Measures based on the 2013 SEW are consistent with those supplied for COAG reporting from </w:t>
            </w:r>
            <w:r w:rsidR="00E25151">
              <w:t>previous cycles of this survey.</w:t>
            </w:r>
          </w:p>
          <w:p w:rsidR="00E25151" w:rsidRPr="002A32E9" w:rsidRDefault="00E25151" w:rsidP="00EA735E">
            <w:pPr>
              <w:pStyle w:val="TableBodyText"/>
              <w:jc w:val="both"/>
            </w:pPr>
          </w:p>
          <w:p w:rsidR="002A32E9" w:rsidRDefault="002A32E9" w:rsidP="00EA735E">
            <w:pPr>
              <w:pStyle w:val="TableBodyText"/>
              <w:jc w:val="both"/>
            </w:pPr>
            <w:r w:rsidRPr="002A32E9">
              <w:t>The Australian Standard Classification of Education (</w:t>
            </w:r>
            <w:proofErr w:type="spellStart"/>
            <w:r w:rsidRPr="002A32E9">
              <w:t>ASCED</w:t>
            </w:r>
            <w:proofErr w:type="spellEnd"/>
            <w:r w:rsidRPr="002A32E9">
              <w:t>) (cat. no. 1272.0) has been used in all surveys with education items since 2001 and allows the education and training items between different surveys to be compared.</w:t>
            </w:r>
          </w:p>
          <w:p w:rsidR="00E25151" w:rsidRPr="002A32E9" w:rsidRDefault="00E25151" w:rsidP="00EA735E">
            <w:pPr>
              <w:pStyle w:val="TableBodyText"/>
              <w:jc w:val="both"/>
            </w:pPr>
          </w:p>
          <w:p w:rsidR="006315F9" w:rsidRDefault="002A32E9" w:rsidP="00EA735E">
            <w:pPr>
              <w:pStyle w:val="TableBodyText"/>
              <w:jc w:val="both"/>
            </w:pPr>
            <w:r w:rsidRPr="002A32E9">
              <w:t>The Census of Population and Housing and the Survey of Learning and Work (cat. no. 4235.0) also provide information on educational attainment.</w:t>
            </w:r>
          </w:p>
          <w:p w:rsidR="00E25151" w:rsidRPr="002A32E9" w:rsidRDefault="00E25151" w:rsidP="00EA735E">
            <w:pPr>
              <w:pStyle w:val="TableBodyText"/>
              <w:jc w:val="both"/>
            </w:pPr>
          </w:p>
        </w:tc>
      </w:tr>
      <w:tr w:rsidR="006315F9" w:rsidRPr="00EA6964" w:rsidTr="00877AB4">
        <w:trPr>
          <w:trHeight w:val="567"/>
        </w:trPr>
        <w:tc>
          <w:tcPr>
            <w:tcW w:w="1869" w:type="dxa"/>
          </w:tcPr>
          <w:p w:rsidR="006315F9" w:rsidRPr="00EA6964" w:rsidRDefault="006315F9" w:rsidP="00E559C8">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Accessibility</w:t>
            </w:r>
          </w:p>
          <w:p w:rsidR="006315F9" w:rsidRPr="00EA6964" w:rsidRDefault="006315F9" w:rsidP="00E559C8">
            <w:pPr>
              <w:keepNext/>
              <w:keepLines/>
              <w:spacing w:after="40" w:line="220" w:lineRule="atLeast"/>
              <w:ind w:left="6" w:right="113"/>
              <w:rPr>
                <w:rFonts w:ascii="Arial" w:eastAsiaTheme="minorHAnsi" w:hAnsi="Arial" w:cstheme="minorBidi"/>
                <w:b/>
                <w:sz w:val="20"/>
                <w:szCs w:val="20"/>
                <w:lang w:eastAsia="en-US"/>
              </w:rPr>
            </w:pPr>
          </w:p>
        </w:tc>
        <w:tc>
          <w:tcPr>
            <w:tcW w:w="6951" w:type="dxa"/>
          </w:tcPr>
          <w:p w:rsidR="002A32E9" w:rsidRDefault="002A32E9" w:rsidP="00EA735E">
            <w:pPr>
              <w:pStyle w:val="TableBodyText"/>
              <w:jc w:val="both"/>
            </w:pPr>
            <w:r w:rsidRPr="002A32E9">
              <w:t>The data for the SEW are available via the ABS website in the publication Education and Work, Australia (cat. no. 6227.0). This measure is also released as part of a SEW detailed education data cube (cat. no. 6227.0.55.003).</w:t>
            </w:r>
          </w:p>
          <w:p w:rsidR="00E25151" w:rsidRPr="002A32E9" w:rsidRDefault="00E25151" w:rsidP="00EA735E">
            <w:pPr>
              <w:pStyle w:val="TableBodyText"/>
              <w:jc w:val="both"/>
            </w:pPr>
          </w:p>
          <w:p w:rsidR="006315F9" w:rsidRDefault="002A32E9" w:rsidP="00EA735E">
            <w:pPr>
              <w:pStyle w:val="TableBodyText"/>
              <w:jc w:val="both"/>
            </w:pPr>
            <w:r w:rsidRPr="002A32E9">
              <w:t>Additional data are available at cost upon request through the National Information Referral Service (</w:t>
            </w:r>
            <w:proofErr w:type="spellStart"/>
            <w:r w:rsidRPr="002A32E9">
              <w:t>NIRS</w:t>
            </w:r>
            <w:proofErr w:type="spellEnd"/>
            <w:r w:rsidRPr="002A32E9">
              <w:t>). A Confidentialised Unit Record File (</w:t>
            </w:r>
            <w:proofErr w:type="spellStart"/>
            <w:r w:rsidRPr="002A32E9">
              <w:t>CURF</w:t>
            </w:r>
            <w:proofErr w:type="spellEnd"/>
            <w:r w:rsidRPr="002A32E9">
              <w:t xml:space="preserve">) has been produced for every second cycle of the SEW from 2001 to 2011. The survey </w:t>
            </w:r>
            <w:proofErr w:type="spellStart"/>
            <w:r w:rsidRPr="002A32E9">
              <w:t>microdata</w:t>
            </w:r>
            <w:proofErr w:type="spellEnd"/>
            <w:r w:rsidRPr="002A32E9">
              <w:t xml:space="preserve"> are also been released through the </w:t>
            </w:r>
            <w:proofErr w:type="spellStart"/>
            <w:r w:rsidRPr="002A32E9">
              <w:t>TableBuilder</w:t>
            </w:r>
            <w:proofErr w:type="spellEnd"/>
            <w:r w:rsidRPr="002A32E9">
              <w:t xml:space="preserve"> product, </w:t>
            </w:r>
            <w:proofErr w:type="spellStart"/>
            <w:r w:rsidRPr="002A32E9">
              <w:t>Microdata</w:t>
            </w:r>
            <w:proofErr w:type="spellEnd"/>
            <w:r w:rsidRPr="002A32E9">
              <w:t>: Education and Work, Australia (cat. no. 6227.0.30.001).</w:t>
            </w:r>
          </w:p>
          <w:p w:rsidR="00E25151" w:rsidRPr="002A32E9" w:rsidRDefault="00E25151" w:rsidP="00EA735E">
            <w:pPr>
              <w:pStyle w:val="TableBodyText"/>
              <w:jc w:val="both"/>
            </w:pPr>
          </w:p>
        </w:tc>
      </w:tr>
      <w:tr w:rsidR="006315F9" w:rsidRPr="00EA6964" w:rsidTr="00877AB4">
        <w:trPr>
          <w:trHeight w:val="567"/>
        </w:trPr>
        <w:tc>
          <w:tcPr>
            <w:tcW w:w="1869" w:type="dxa"/>
          </w:tcPr>
          <w:p w:rsidR="006315F9" w:rsidRPr="00EA6964" w:rsidRDefault="006315F9" w:rsidP="00E559C8">
            <w:pPr>
              <w:keepNext/>
              <w:keepLines/>
              <w:spacing w:after="40" w:line="220" w:lineRule="atLeast"/>
              <w:ind w:left="6" w:right="113"/>
              <w:jc w:val="both"/>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Interpretability</w:t>
            </w:r>
          </w:p>
        </w:tc>
        <w:tc>
          <w:tcPr>
            <w:tcW w:w="6951" w:type="dxa"/>
          </w:tcPr>
          <w:p w:rsidR="006315F9" w:rsidRDefault="002A32E9" w:rsidP="00EA735E">
            <w:pPr>
              <w:pStyle w:val="TableBodyText"/>
              <w:jc w:val="both"/>
            </w:pPr>
            <w:r w:rsidRPr="002A32E9">
              <w:t>Information on how to interpret and use the data appropriately is available on the ABS website; see Explanatory Notes in Education and Work, Australia (cat. no. 6227.0).</w:t>
            </w:r>
          </w:p>
          <w:p w:rsidR="00E25151" w:rsidRPr="002A32E9" w:rsidRDefault="00E25151" w:rsidP="00EA735E">
            <w:pPr>
              <w:pStyle w:val="TableBodyText"/>
              <w:jc w:val="both"/>
            </w:pPr>
          </w:p>
        </w:tc>
      </w:tr>
    </w:tbl>
    <w:p w:rsidR="006315F9" w:rsidRDefault="006315F9"/>
    <w:p w:rsidR="006315F9" w:rsidRPr="00BE5216" w:rsidRDefault="006315F9" w:rsidP="006315F9">
      <w:pPr>
        <w:pStyle w:val="Heading3"/>
        <w:spacing w:after="360"/>
      </w:pPr>
      <w:r>
        <w:br w:type="page"/>
      </w:r>
      <w:bookmarkStart w:id="34" w:name="_Ref357149578"/>
      <w:r w:rsidRPr="00BE5216">
        <w:t>Data quality statement — Indicator 1 — Proportion of working age population with higher level qualifications (Certificate III and above)</w:t>
      </w:r>
      <w:bookmarkEnd w:id="34"/>
    </w:p>
    <w:tbl>
      <w:tblPr>
        <w:tblW w:w="8820" w:type="dxa"/>
        <w:tblInd w:w="108" w:type="dxa"/>
        <w:tblLayout w:type="fixed"/>
        <w:tblLook w:val="01E0" w:firstRow="1" w:lastRow="1" w:firstColumn="1" w:lastColumn="1" w:noHBand="0" w:noVBand="0"/>
      </w:tblPr>
      <w:tblGrid>
        <w:gridCol w:w="1869"/>
        <w:gridCol w:w="6951"/>
      </w:tblGrid>
      <w:tr w:rsidR="006315F9" w:rsidRPr="00EA6964" w:rsidTr="00877AB4">
        <w:trPr>
          <w:trHeight w:val="567"/>
        </w:trPr>
        <w:tc>
          <w:tcPr>
            <w:tcW w:w="1869" w:type="dxa"/>
          </w:tcPr>
          <w:p w:rsidR="006315F9" w:rsidRPr="00EA6964" w:rsidRDefault="006315F9" w:rsidP="00E559C8">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Outcome</w:t>
            </w:r>
          </w:p>
        </w:tc>
        <w:tc>
          <w:tcPr>
            <w:tcW w:w="6951" w:type="dxa"/>
          </w:tcPr>
          <w:p w:rsidR="006315F9" w:rsidRPr="00EA6964" w:rsidRDefault="00472D1E" w:rsidP="00EA735E">
            <w:pPr>
              <w:pStyle w:val="TableBodyText"/>
              <w:jc w:val="both"/>
            </w:pPr>
            <w:r w:rsidRPr="00472D1E">
              <w:t>The skill levels of the working age population are increased to meet the changing needs of the economy.</w:t>
            </w:r>
          </w:p>
        </w:tc>
      </w:tr>
      <w:tr w:rsidR="006315F9" w:rsidRPr="00EA6964" w:rsidTr="00877AB4">
        <w:trPr>
          <w:trHeight w:val="567"/>
        </w:trPr>
        <w:tc>
          <w:tcPr>
            <w:tcW w:w="1869" w:type="dxa"/>
          </w:tcPr>
          <w:p w:rsidR="006315F9" w:rsidRPr="00EA6964" w:rsidRDefault="006315F9" w:rsidP="00E559C8">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Indicator</w:t>
            </w:r>
          </w:p>
        </w:tc>
        <w:tc>
          <w:tcPr>
            <w:tcW w:w="6951" w:type="dxa"/>
          </w:tcPr>
          <w:p w:rsidR="006315F9" w:rsidRDefault="005D607E" w:rsidP="00EA735E">
            <w:pPr>
              <w:pStyle w:val="TableBodyText"/>
              <w:jc w:val="both"/>
            </w:pPr>
            <w:r w:rsidRPr="005D607E">
              <w:t>Proportion of working age population with higher level qualifications (Certificate III and above)</w:t>
            </w:r>
          </w:p>
          <w:p w:rsidR="00472D1E" w:rsidRPr="00EA6964" w:rsidRDefault="00472D1E" w:rsidP="00EA735E">
            <w:pPr>
              <w:pStyle w:val="TableBodyText"/>
              <w:jc w:val="both"/>
            </w:pPr>
          </w:p>
        </w:tc>
      </w:tr>
      <w:tr w:rsidR="006315F9" w:rsidRPr="00EA6964" w:rsidTr="00877AB4">
        <w:trPr>
          <w:trHeight w:val="567"/>
        </w:trPr>
        <w:tc>
          <w:tcPr>
            <w:tcW w:w="1869" w:type="dxa"/>
          </w:tcPr>
          <w:p w:rsidR="006315F9" w:rsidRPr="00EA6964" w:rsidRDefault="006315F9" w:rsidP="00E559C8">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Measure (computation)</w:t>
            </w:r>
          </w:p>
        </w:tc>
        <w:tc>
          <w:tcPr>
            <w:tcW w:w="6951" w:type="dxa"/>
          </w:tcPr>
          <w:p w:rsidR="005D607E" w:rsidRDefault="005D607E" w:rsidP="00EA735E">
            <w:pPr>
              <w:pStyle w:val="TableBodyText"/>
              <w:jc w:val="both"/>
            </w:pPr>
            <w:r>
              <w:t>Persons aged 20–64 years with a formal qualification at Certificate III level or above.</w:t>
            </w:r>
          </w:p>
          <w:p w:rsidR="005D607E" w:rsidRDefault="00581572" w:rsidP="00EA735E">
            <w:pPr>
              <w:pStyle w:val="TableBullet"/>
              <w:jc w:val="both"/>
            </w:pPr>
            <w:r>
              <w:rPr>
                <w:i/>
              </w:rPr>
              <w:t>n</w:t>
            </w:r>
            <w:r w:rsidR="005D607E" w:rsidRPr="00472D1E">
              <w:rPr>
                <w:i/>
              </w:rPr>
              <w:t>umerator</w:t>
            </w:r>
            <w:r w:rsidR="00472D1E">
              <w:rPr>
                <w:i/>
              </w:rPr>
              <w:t xml:space="preserve"> —</w:t>
            </w:r>
            <w:r w:rsidR="00472D1E">
              <w:t xml:space="preserve"> </w:t>
            </w:r>
            <w:r w:rsidR="005D607E">
              <w:t xml:space="preserve">Number of persons aged 20–64 years with a formal qualification at Certificate III level or above (excludes Certificate </w:t>
            </w:r>
            <w:proofErr w:type="spellStart"/>
            <w:r w:rsidR="005D607E">
              <w:t>n.f.d</w:t>
            </w:r>
            <w:proofErr w:type="spellEnd"/>
            <w:r w:rsidR="005D607E">
              <w:t>. and level not determined).</w:t>
            </w:r>
          </w:p>
          <w:p w:rsidR="005D607E" w:rsidRDefault="00581572" w:rsidP="00EA735E">
            <w:pPr>
              <w:pStyle w:val="TableBullet"/>
              <w:jc w:val="both"/>
            </w:pPr>
            <w:r>
              <w:rPr>
                <w:i/>
              </w:rPr>
              <w:t>d</w:t>
            </w:r>
            <w:r w:rsidR="005D607E" w:rsidRPr="00472D1E">
              <w:rPr>
                <w:i/>
              </w:rPr>
              <w:t>enominator</w:t>
            </w:r>
            <w:r w:rsidR="00472D1E">
              <w:rPr>
                <w:i/>
              </w:rPr>
              <w:t xml:space="preserve"> —</w:t>
            </w:r>
            <w:r w:rsidR="00472D1E">
              <w:t xml:space="preserve"> </w:t>
            </w:r>
            <w:r w:rsidR="005D607E">
              <w:t>Total population of persons aged 20–64 years.</w:t>
            </w:r>
          </w:p>
          <w:p w:rsidR="00472D1E" w:rsidRDefault="00472D1E" w:rsidP="00EA735E">
            <w:pPr>
              <w:pStyle w:val="TableBodyText"/>
              <w:jc w:val="both"/>
            </w:pPr>
          </w:p>
          <w:p w:rsidR="006315F9" w:rsidRDefault="005D607E" w:rsidP="00EA735E">
            <w:pPr>
              <w:pStyle w:val="TableBodyText"/>
              <w:jc w:val="both"/>
            </w:pPr>
            <w:r>
              <w:t>Excludes people whose educational attainment is not stated (only applicable to Census data).</w:t>
            </w:r>
          </w:p>
          <w:p w:rsidR="00472D1E" w:rsidRPr="00EA6964" w:rsidRDefault="00472D1E" w:rsidP="00EA735E">
            <w:pPr>
              <w:pStyle w:val="TableBodyText"/>
              <w:jc w:val="both"/>
            </w:pPr>
          </w:p>
        </w:tc>
      </w:tr>
      <w:tr w:rsidR="006315F9" w:rsidRPr="00EA6964" w:rsidTr="00877AB4">
        <w:trPr>
          <w:trHeight w:val="567"/>
        </w:trPr>
        <w:tc>
          <w:tcPr>
            <w:tcW w:w="1869" w:type="dxa"/>
          </w:tcPr>
          <w:p w:rsidR="006315F9" w:rsidRPr="00EA6964" w:rsidRDefault="006315F9" w:rsidP="00E559C8">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Data source/s</w:t>
            </w:r>
          </w:p>
        </w:tc>
        <w:tc>
          <w:tcPr>
            <w:tcW w:w="6951" w:type="dxa"/>
          </w:tcPr>
          <w:p w:rsidR="005D607E" w:rsidRDefault="00581572" w:rsidP="00EA735E">
            <w:pPr>
              <w:pStyle w:val="TableBullet"/>
              <w:jc w:val="both"/>
            </w:pPr>
            <w:r>
              <w:rPr>
                <w:i/>
              </w:rPr>
              <w:t>n</w:t>
            </w:r>
            <w:r w:rsidR="005D607E" w:rsidRPr="00472D1E">
              <w:rPr>
                <w:i/>
              </w:rPr>
              <w:t>umerator and denominator</w:t>
            </w:r>
            <w:r w:rsidR="005D607E">
              <w:t>:</w:t>
            </w:r>
            <w:r w:rsidR="00472D1E">
              <w:t xml:space="preserve"> </w:t>
            </w:r>
            <w:r w:rsidR="005D607E">
              <w:t>ABS Census of Population and Housing (Census). Data are available every five years.</w:t>
            </w:r>
          </w:p>
          <w:p w:rsidR="00581572" w:rsidRDefault="00581572" w:rsidP="00EA735E">
            <w:pPr>
              <w:pStyle w:val="TableBodyText"/>
              <w:jc w:val="both"/>
            </w:pPr>
          </w:p>
          <w:p w:rsidR="005D607E" w:rsidRDefault="005D607E" w:rsidP="00EA735E">
            <w:pPr>
              <w:pStyle w:val="TableBodyText"/>
              <w:jc w:val="both"/>
            </w:pPr>
            <w:r>
              <w:t xml:space="preserve">Data from the Survey of Education and Work (SEW) are provided annually to inform this measure at the national and state/territory level. </w:t>
            </w:r>
          </w:p>
          <w:p w:rsidR="00472D1E" w:rsidRDefault="00472D1E" w:rsidP="00EA735E">
            <w:pPr>
              <w:pStyle w:val="TableBodyText"/>
              <w:jc w:val="both"/>
            </w:pPr>
          </w:p>
          <w:p w:rsidR="006315F9" w:rsidRDefault="005D607E" w:rsidP="00EA735E">
            <w:pPr>
              <w:pStyle w:val="TableBodyText"/>
              <w:jc w:val="both"/>
            </w:pPr>
            <w:r>
              <w:t>This DQS applies to</w:t>
            </w:r>
            <w:r w:rsidR="00553848">
              <w:t xml:space="preserve"> NASWD 1 measures based on 2007</w:t>
            </w:r>
            <w:r w:rsidR="00553848">
              <w:rPr>
                <w:rFonts w:cs="Arial"/>
              </w:rPr>
              <w:t>−</w:t>
            </w:r>
            <w:r>
              <w:t>13 SEW data.</w:t>
            </w:r>
          </w:p>
          <w:p w:rsidR="00472D1E" w:rsidRPr="00EA6964" w:rsidRDefault="00472D1E" w:rsidP="00EA735E">
            <w:pPr>
              <w:pStyle w:val="TableBodyText"/>
              <w:jc w:val="both"/>
            </w:pPr>
          </w:p>
        </w:tc>
      </w:tr>
      <w:tr w:rsidR="006315F9" w:rsidRPr="00EA6964" w:rsidTr="00877AB4">
        <w:trPr>
          <w:trHeight w:val="567"/>
        </w:trPr>
        <w:tc>
          <w:tcPr>
            <w:tcW w:w="1869" w:type="dxa"/>
          </w:tcPr>
          <w:p w:rsidR="006315F9" w:rsidRPr="00EA6964" w:rsidRDefault="006315F9" w:rsidP="00E559C8">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Institutional environment</w:t>
            </w:r>
          </w:p>
        </w:tc>
        <w:tc>
          <w:tcPr>
            <w:tcW w:w="6951" w:type="dxa"/>
          </w:tcPr>
          <w:p w:rsidR="00472D1E" w:rsidRDefault="005D607E" w:rsidP="00EA735E">
            <w:pPr>
              <w:pStyle w:val="TableBodyText"/>
              <w:jc w:val="both"/>
            </w:pPr>
            <w:r>
              <w:t>The Census and SEW are collected by the ABS under the Census and Statistics Act 1905.</w:t>
            </w:r>
          </w:p>
          <w:p w:rsidR="00472D1E" w:rsidRDefault="00472D1E" w:rsidP="00EA735E">
            <w:pPr>
              <w:pStyle w:val="TableBodyText"/>
              <w:jc w:val="both"/>
            </w:pPr>
          </w:p>
          <w:p w:rsidR="006315F9" w:rsidRDefault="005D607E" w:rsidP="00EA735E">
            <w:pPr>
              <w:pStyle w:val="TableBodyText"/>
              <w:jc w:val="both"/>
            </w:pPr>
            <w:r>
              <w:t>For information on the institutional environment of the ABS, including the legislative obligations of the ABS, financing and government arrangements, and mechanisms for scrutiny of ABS operations, see ABS Institutional Environment.</w:t>
            </w:r>
          </w:p>
          <w:p w:rsidR="00472D1E" w:rsidRPr="001532CD" w:rsidRDefault="00472D1E" w:rsidP="00EA735E">
            <w:pPr>
              <w:pStyle w:val="TableBodyText"/>
              <w:jc w:val="both"/>
            </w:pPr>
          </w:p>
        </w:tc>
      </w:tr>
      <w:tr w:rsidR="006315F9" w:rsidRPr="00EA6964" w:rsidTr="00877AB4">
        <w:trPr>
          <w:trHeight w:val="567"/>
        </w:trPr>
        <w:tc>
          <w:tcPr>
            <w:tcW w:w="1869" w:type="dxa"/>
          </w:tcPr>
          <w:p w:rsidR="006315F9" w:rsidRPr="00EA6964" w:rsidRDefault="006315F9" w:rsidP="00E559C8">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Relevance</w:t>
            </w:r>
          </w:p>
          <w:p w:rsidR="006315F9" w:rsidRPr="00EA6964" w:rsidRDefault="006315F9" w:rsidP="00E559C8">
            <w:pPr>
              <w:keepNext/>
              <w:keepLines/>
              <w:spacing w:after="40" w:line="220" w:lineRule="atLeast"/>
              <w:ind w:left="6" w:right="113"/>
              <w:rPr>
                <w:rFonts w:ascii="Arial" w:eastAsiaTheme="minorHAnsi" w:hAnsi="Arial" w:cstheme="minorBidi"/>
                <w:b/>
                <w:sz w:val="20"/>
                <w:szCs w:val="20"/>
                <w:lang w:eastAsia="en-US"/>
              </w:rPr>
            </w:pPr>
          </w:p>
        </w:tc>
        <w:tc>
          <w:tcPr>
            <w:tcW w:w="6951" w:type="dxa"/>
          </w:tcPr>
          <w:p w:rsidR="005D607E" w:rsidRDefault="005D607E" w:rsidP="00EA735E">
            <w:pPr>
              <w:pStyle w:val="TableBodyText"/>
              <w:jc w:val="both"/>
            </w:pPr>
            <w:r>
              <w:t xml:space="preserve">SEW data are available by state/territory. The SEW does not collect data from people in Indigenous communities in very remote areas. </w:t>
            </w:r>
          </w:p>
          <w:p w:rsidR="00472D1E" w:rsidRDefault="00472D1E" w:rsidP="00EA735E">
            <w:pPr>
              <w:pStyle w:val="TableBodyText"/>
              <w:jc w:val="both"/>
            </w:pPr>
          </w:p>
          <w:p w:rsidR="005D607E" w:rsidRDefault="005D607E" w:rsidP="00EA735E">
            <w:pPr>
              <w:pStyle w:val="TableBodyText"/>
              <w:jc w:val="both"/>
            </w:pPr>
            <w:r>
              <w:t>The SEW collects information on educational participation and attainment. The classification of qualifications used is the Australian Standard Classification of Education (</w:t>
            </w:r>
            <w:proofErr w:type="spellStart"/>
            <w:r>
              <w:t>ASCED</w:t>
            </w:r>
            <w:proofErr w:type="spellEnd"/>
            <w:r>
              <w:t>) (cat. no. 1272.0).</w:t>
            </w:r>
          </w:p>
          <w:p w:rsidR="00472D1E" w:rsidRDefault="00472D1E" w:rsidP="00EA735E">
            <w:pPr>
              <w:pStyle w:val="TableBodyText"/>
              <w:jc w:val="both"/>
            </w:pPr>
          </w:p>
          <w:p w:rsidR="006315F9" w:rsidRDefault="005D607E" w:rsidP="00EA735E">
            <w:pPr>
              <w:pStyle w:val="TableBodyText"/>
              <w:jc w:val="both"/>
            </w:pPr>
            <w:r>
              <w:t>For some respondents, information is supplied by another household resident, such as a parent, partner or unrelated adult (Any Responsible Adult). While this is a standard survey methodology, answers to some questions may occasionally differ from those that would have been supplied in a personal interview.</w:t>
            </w:r>
          </w:p>
          <w:p w:rsidR="00472D1E" w:rsidRPr="00EA6964" w:rsidRDefault="00472D1E" w:rsidP="00EA735E">
            <w:pPr>
              <w:pStyle w:val="TableBodyText"/>
              <w:jc w:val="both"/>
            </w:pPr>
          </w:p>
        </w:tc>
      </w:tr>
      <w:tr w:rsidR="006315F9" w:rsidRPr="00EA6964" w:rsidTr="00877AB4">
        <w:trPr>
          <w:trHeight w:val="567"/>
        </w:trPr>
        <w:tc>
          <w:tcPr>
            <w:tcW w:w="1869" w:type="dxa"/>
          </w:tcPr>
          <w:p w:rsidR="006315F9" w:rsidRPr="00EA6964" w:rsidRDefault="006315F9" w:rsidP="00E559C8">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Timeliness</w:t>
            </w:r>
          </w:p>
          <w:p w:rsidR="006315F9" w:rsidRPr="00EA6964" w:rsidRDefault="006315F9" w:rsidP="00E559C8">
            <w:pPr>
              <w:keepNext/>
              <w:keepLines/>
              <w:spacing w:after="40" w:line="220" w:lineRule="atLeast"/>
              <w:ind w:left="6" w:right="113"/>
              <w:rPr>
                <w:rFonts w:ascii="Arial" w:eastAsiaTheme="minorHAnsi" w:hAnsi="Arial" w:cstheme="minorBidi"/>
                <w:b/>
                <w:sz w:val="20"/>
                <w:szCs w:val="20"/>
                <w:lang w:eastAsia="en-US"/>
              </w:rPr>
            </w:pPr>
          </w:p>
        </w:tc>
        <w:tc>
          <w:tcPr>
            <w:tcW w:w="6951" w:type="dxa"/>
          </w:tcPr>
          <w:p w:rsidR="006315F9" w:rsidRDefault="005D607E" w:rsidP="00EA735E">
            <w:pPr>
              <w:pStyle w:val="TableBodyText"/>
              <w:jc w:val="both"/>
            </w:pPr>
            <w:r w:rsidRPr="005D607E">
              <w:t>The SEW is conducted annually in May as a supplement to the monthly Labour Force Survey (</w:t>
            </w:r>
            <w:proofErr w:type="spellStart"/>
            <w:r w:rsidRPr="005D607E">
              <w:t>LFS</w:t>
            </w:r>
            <w:proofErr w:type="spellEnd"/>
            <w:r w:rsidRPr="005D607E">
              <w:t>). Results from the 2013 survey were released in November 2013.</w:t>
            </w:r>
          </w:p>
          <w:p w:rsidR="00472D1E" w:rsidRPr="00EA6964" w:rsidRDefault="00472D1E" w:rsidP="00EA735E">
            <w:pPr>
              <w:pStyle w:val="TableBodyText"/>
              <w:jc w:val="both"/>
            </w:pPr>
          </w:p>
        </w:tc>
      </w:tr>
      <w:tr w:rsidR="006315F9" w:rsidRPr="00EA6964" w:rsidTr="00877AB4">
        <w:trPr>
          <w:trHeight w:val="100"/>
        </w:trPr>
        <w:tc>
          <w:tcPr>
            <w:tcW w:w="1869" w:type="dxa"/>
          </w:tcPr>
          <w:p w:rsidR="006315F9" w:rsidRPr="00EA6964" w:rsidRDefault="006315F9" w:rsidP="00E559C8">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Accuracy</w:t>
            </w:r>
          </w:p>
          <w:p w:rsidR="006315F9" w:rsidRPr="00EA6964" w:rsidRDefault="006315F9" w:rsidP="00E559C8">
            <w:pPr>
              <w:keepNext/>
              <w:keepLines/>
              <w:spacing w:after="40" w:line="220" w:lineRule="atLeast"/>
              <w:ind w:left="6" w:right="113"/>
              <w:rPr>
                <w:rFonts w:ascii="Arial" w:eastAsiaTheme="minorHAnsi" w:hAnsi="Arial" w:cstheme="minorBidi"/>
                <w:b/>
                <w:sz w:val="20"/>
                <w:szCs w:val="20"/>
                <w:lang w:eastAsia="en-US"/>
              </w:rPr>
            </w:pPr>
          </w:p>
        </w:tc>
        <w:tc>
          <w:tcPr>
            <w:tcW w:w="6951" w:type="dxa"/>
          </w:tcPr>
          <w:p w:rsidR="005D607E" w:rsidRDefault="005D607E" w:rsidP="00EA735E">
            <w:pPr>
              <w:pStyle w:val="TableBodyText"/>
              <w:jc w:val="both"/>
            </w:pPr>
            <w:r>
              <w:t>The 2013 SEW response rate was 94</w:t>
            </w:r>
            <w:r w:rsidR="00472D1E">
              <w:t xml:space="preserve"> per cent </w:t>
            </w:r>
            <w:r>
              <w:t>which constituted 43</w:t>
            </w:r>
            <w:r w:rsidR="00553848">
              <w:t> </w:t>
            </w:r>
            <w:r>
              <w:t>600 completed interviews. The 2013 response rate was consistent with that in previous years.</w:t>
            </w:r>
          </w:p>
          <w:p w:rsidR="00472D1E" w:rsidRDefault="00472D1E" w:rsidP="00EA735E">
            <w:pPr>
              <w:pStyle w:val="TableBodyText"/>
              <w:jc w:val="both"/>
            </w:pPr>
          </w:p>
          <w:p w:rsidR="005D607E" w:rsidRDefault="005D607E" w:rsidP="00EA735E">
            <w:pPr>
              <w:pStyle w:val="TableBodyText"/>
              <w:jc w:val="both"/>
            </w:pPr>
            <w:r>
              <w:t xml:space="preserve">The data for the SEW are collected from an </w:t>
            </w:r>
            <w:proofErr w:type="spellStart"/>
            <w:r>
              <w:t>ARA</w:t>
            </w:r>
            <w:proofErr w:type="spellEnd"/>
            <w:r>
              <w:t xml:space="preserve"> (Any Responsible Adult) on behalf of other members of the household and are weighted for non-response.</w:t>
            </w:r>
          </w:p>
          <w:p w:rsidR="0021665D" w:rsidRDefault="0021665D" w:rsidP="00EA735E">
            <w:pPr>
              <w:pStyle w:val="TableBodyText"/>
              <w:jc w:val="both"/>
            </w:pPr>
          </w:p>
          <w:p w:rsidR="0021665D" w:rsidRPr="001E777B" w:rsidRDefault="0021665D" w:rsidP="0021665D">
            <w:pPr>
              <w:pStyle w:val="TableBodyText"/>
              <w:jc w:val="both"/>
            </w:pPr>
            <w:r w:rsidRPr="002479E3">
              <w:t xml:space="preserve">Prior to the 2013 SEW, people who were permanently unable to work were excluded from the in-scope population. In 2013, the </w:t>
            </w:r>
            <w:r>
              <w:t xml:space="preserve">SEW </w:t>
            </w:r>
            <w:r w:rsidRPr="002479E3">
              <w:t>scope was expanded to include people permanently unable to work. However, to ensure that the indicator measure presented here is comparable over time, the permanently unable to work population has been excluded from these tables.</w:t>
            </w:r>
          </w:p>
          <w:p w:rsidR="0021665D" w:rsidRDefault="0021665D" w:rsidP="00EA735E">
            <w:pPr>
              <w:pStyle w:val="TableBodyText"/>
              <w:jc w:val="both"/>
            </w:pPr>
          </w:p>
          <w:p w:rsidR="005D607E" w:rsidRDefault="005D607E" w:rsidP="00EA735E">
            <w:pPr>
              <w:pStyle w:val="TableBodyText"/>
              <w:jc w:val="both"/>
            </w:pPr>
            <w:r>
              <w:t>The data are event data that can be used to measure year to year changes provided that the changes are large enough to be detected in the context of the Relative Standard Error (</w:t>
            </w:r>
            <w:proofErr w:type="spellStart"/>
            <w:r>
              <w:t>RSE</w:t>
            </w:r>
            <w:proofErr w:type="spellEnd"/>
            <w:r>
              <w:t xml:space="preserve">) of estimates. </w:t>
            </w:r>
          </w:p>
          <w:p w:rsidR="00472D1E" w:rsidRDefault="00472D1E" w:rsidP="00EA735E">
            <w:pPr>
              <w:pStyle w:val="TableBodyText"/>
              <w:jc w:val="both"/>
            </w:pPr>
          </w:p>
          <w:p w:rsidR="006315F9" w:rsidRDefault="005D607E" w:rsidP="00EA735E">
            <w:pPr>
              <w:pStyle w:val="TableBodyText"/>
              <w:jc w:val="both"/>
            </w:pPr>
            <w:r>
              <w:t>Data with a relative standard error of between 25</w:t>
            </w:r>
            <w:r w:rsidR="00472D1E">
              <w:t xml:space="preserve"> per cent </w:t>
            </w:r>
            <w:r>
              <w:t>and 50</w:t>
            </w:r>
            <w:r w:rsidR="00472D1E">
              <w:t xml:space="preserve"> per cent</w:t>
            </w:r>
            <w:r>
              <w:t xml:space="preserve"> should be used with caution while data with a relative standard error greater than 50</w:t>
            </w:r>
            <w:r w:rsidR="00472D1E">
              <w:t xml:space="preserve"> per cent </w:t>
            </w:r>
            <w:r>
              <w:t>are considered too unreliable for general use.</w:t>
            </w:r>
          </w:p>
          <w:p w:rsidR="00472D1E" w:rsidRPr="00EA6964" w:rsidRDefault="00472D1E" w:rsidP="00EA735E">
            <w:pPr>
              <w:pStyle w:val="TableBodyText"/>
              <w:jc w:val="both"/>
            </w:pPr>
          </w:p>
        </w:tc>
      </w:tr>
      <w:tr w:rsidR="006315F9" w:rsidRPr="00EA6964" w:rsidTr="00877AB4">
        <w:trPr>
          <w:trHeight w:val="567"/>
        </w:trPr>
        <w:tc>
          <w:tcPr>
            <w:tcW w:w="1869" w:type="dxa"/>
          </w:tcPr>
          <w:p w:rsidR="006315F9" w:rsidRPr="00EA6964" w:rsidRDefault="006315F9" w:rsidP="00E559C8">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Coherence</w:t>
            </w:r>
          </w:p>
          <w:p w:rsidR="006315F9" w:rsidRPr="00EA6964" w:rsidRDefault="006315F9" w:rsidP="00E559C8">
            <w:pPr>
              <w:keepNext/>
              <w:keepLines/>
              <w:spacing w:after="40" w:line="220" w:lineRule="atLeast"/>
              <w:ind w:left="6" w:right="113"/>
              <w:rPr>
                <w:rFonts w:ascii="Arial" w:eastAsiaTheme="minorHAnsi" w:hAnsi="Arial" w:cstheme="minorBidi"/>
                <w:b/>
                <w:sz w:val="20"/>
                <w:szCs w:val="20"/>
                <w:lang w:eastAsia="en-US"/>
              </w:rPr>
            </w:pPr>
          </w:p>
        </w:tc>
        <w:tc>
          <w:tcPr>
            <w:tcW w:w="6951" w:type="dxa"/>
          </w:tcPr>
          <w:p w:rsidR="005D607E" w:rsidRDefault="005D607E" w:rsidP="00EA735E">
            <w:pPr>
              <w:pStyle w:val="TableBodyText"/>
              <w:jc w:val="both"/>
            </w:pPr>
            <w:r>
              <w:t xml:space="preserve">Both the numerator and denominator come from the SEW. Measures based on the 2013 SEW are consistent with those supplied for COAG reporting from </w:t>
            </w:r>
            <w:r w:rsidR="00472D1E">
              <w:t>previous cycles of this survey.</w:t>
            </w:r>
          </w:p>
          <w:p w:rsidR="00472D1E" w:rsidRDefault="00472D1E" w:rsidP="00EA735E">
            <w:pPr>
              <w:pStyle w:val="TableBodyText"/>
              <w:jc w:val="both"/>
            </w:pPr>
          </w:p>
          <w:p w:rsidR="005D607E" w:rsidRDefault="005D607E" w:rsidP="00EA735E">
            <w:pPr>
              <w:pStyle w:val="TableBodyText"/>
              <w:jc w:val="both"/>
            </w:pPr>
            <w:r>
              <w:t>The Indigenous estimates provided in this cycle are based on the 2012-13 AATSIHS (NATSIHS component). From June 2014 estimates will be available the 2012-13 AATSIHS 2012-13 (Core component). The core component comprises estimates based on the combined NATSIHS and the National Aboriginal and Torres Strait Islander Nutrition and Physical Activity Survey (</w:t>
            </w:r>
            <w:proofErr w:type="spellStart"/>
            <w:r>
              <w:t>NATSINPAS</w:t>
            </w:r>
            <w:proofErr w:type="spellEnd"/>
            <w:r>
              <w:t>) samples.</w:t>
            </w:r>
          </w:p>
          <w:p w:rsidR="00472D1E" w:rsidRDefault="00472D1E" w:rsidP="00EA735E">
            <w:pPr>
              <w:pStyle w:val="TableBodyText"/>
              <w:jc w:val="both"/>
            </w:pPr>
          </w:p>
          <w:p w:rsidR="005D607E" w:rsidRDefault="005D607E" w:rsidP="00EA735E">
            <w:pPr>
              <w:pStyle w:val="TableBodyText"/>
              <w:jc w:val="both"/>
            </w:pPr>
            <w:r>
              <w:t>The Australian Standard Classification of Education (</w:t>
            </w:r>
            <w:proofErr w:type="spellStart"/>
            <w:r>
              <w:t>ASCED</w:t>
            </w:r>
            <w:proofErr w:type="spellEnd"/>
            <w:r>
              <w:t>) (cat. no. 1272.0) has been used in all surveys with education items since 2001 and allows the education and training items between different surveys to be compared.</w:t>
            </w:r>
          </w:p>
          <w:p w:rsidR="00472D1E" w:rsidRDefault="00472D1E" w:rsidP="00EA735E">
            <w:pPr>
              <w:pStyle w:val="TableBodyText"/>
              <w:jc w:val="both"/>
            </w:pPr>
          </w:p>
          <w:p w:rsidR="006315F9" w:rsidRDefault="005D607E" w:rsidP="00EA735E">
            <w:pPr>
              <w:pStyle w:val="TableBodyText"/>
              <w:jc w:val="both"/>
            </w:pPr>
            <w:r>
              <w:t>The Census of Population and Housing and the Survey of Learning and Work (cat. no. 4235.0) also provide information on educational attainment.</w:t>
            </w:r>
          </w:p>
          <w:p w:rsidR="00472D1E" w:rsidRPr="00EA6964" w:rsidRDefault="00472D1E" w:rsidP="00EA735E">
            <w:pPr>
              <w:pStyle w:val="TableBodyText"/>
              <w:jc w:val="both"/>
            </w:pPr>
          </w:p>
        </w:tc>
      </w:tr>
      <w:tr w:rsidR="006315F9" w:rsidRPr="00EA6964" w:rsidTr="00877AB4">
        <w:trPr>
          <w:trHeight w:val="567"/>
        </w:trPr>
        <w:tc>
          <w:tcPr>
            <w:tcW w:w="1869" w:type="dxa"/>
          </w:tcPr>
          <w:p w:rsidR="006315F9" w:rsidRPr="00EA6964" w:rsidRDefault="006315F9" w:rsidP="00E559C8">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Accessibility</w:t>
            </w:r>
          </w:p>
          <w:p w:rsidR="006315F9" w:rsidRPr="00EA6964" w:rsidRDefault="006315F9" w:rsidP="00E559C8">
            <w:pPr>
              <w:keepNext/>
              <w:keepLines/>
              <w:spacing w:after="40" w:line="220" w:lineRule="atLeast"/>
              <w:ind w:left="6" w:right="113"/>
              <w:rPr>
                <w:rFonts w:ascii="Arial" w:eastAsiaTheme="minorHAnsi" w:hAnsi="Arial" w:cstheme="minorBidi"/>
                <w:b/>
                <w:sz w:val="20"/>
                <w:szCs w:val="20"/>
                <w:lang w:eastAsia="en-US"/>
              </w:rPr>
            </w:pPr>
          </w:p>
        </w:tc>
        <w:tc>
          <w:tcPr>
            <w:tcW w:w="6951" w:type="dxa"/>
          </w:tcPr>
          <w:p w:rsidR="005D607E" w:rsidRDefault="005D607E" w:rsidP="00EA735E">
            <w:pPr>
              <w:pStyle w:val="TableBodyText"/>
              <w:jc w:val="both"/>
            </w:pPr>
            <w:r>
              <w:t>The data for the SEW are available via the ABS website in the publication Education and Work, Australia (cat. no. 6227.0). This measure is also released as part of a SEW detailed education data cube (cat. no. 6227.0.55.003).</w:t>
            </w:r>
          </w:p>
          <w:p w:rsidR="00472D1E" w:rsidRDefault="00472D1E" w:rsidP="00EA735E">
            <w:pPr>
              <w:pStyle w:val="TableBodyText"/>
              <w:jc w:val="both"/>
            </w:pPr>
          </w:p>
          <w:p w:rsidR="006315F9" w:rsidRDefault="005D607E" w:rsidP="00EA735E">
            <w:pPr>
              <w:pStyle w:val="TableBodyText"/>
              <w:jc w:val="both"/>
            </w:pPr>
            <w:r>
              <w:t>Additional data are available at cost upon request through the National Information Referral Service (</w:t>
            </w:r>
            <w:proofErr w:type="spellStart"/>
            <w:r>
              <w:t>NIRS</w:t>
            </w:r>
            <w:proofErr w:type="spellEnd"/>
            <w:r>
              <w:t>). A Confidentialised Unit Record File (</w:t>
            </w:r>
            <w:proofErr w:type="spellStart"/>
            <w:r>
              <w:t>CURF</w:t>
            </w:r>
            <w:proofErr w:type="spellEnd"/>
            <w:r>
              <w:t xml:space="preserve">) has been produced for every second cycle of the SEW from 2001 to 2011. The survey </w:t>
            </w:r>
            <w:proofErr w:type="spellStart"/>
            <w:r>
              <w:t>microdata</w:t>
            </w:r>
            <w:proofErr w:type="spellEnd"/>
            <w:r>
              <w:t xml:space="preserve"> are also been released through the </w:t>
            </w:r>
            <w:proofErr w:type="spellStart"/>
            <w:r>
              <w:t>TableBuilder</w:t>
            </w:r>
            <w:proofErr w:type="spellEnd"/>
            <w:r>
              <w:t xml:space="preserve"> product, </w:t>
            </w:r>
            <w:proofErr w:type="spellStart"/>
            <w:r>
              <w:t>Microdata</w:t>
            </w:r>
            <w:proofErr w:type="spellEnd"/>
            <w:r>
              <w:t>: Education and Work, Australia (cat. no. 6227.0.30.001).</w:t>
            </w:r>
          </w:p>
          <w:p w:rsidR="00472D1E" w:rsidRPr="001532CD" w:rsidRDefault="00472D1E" w:rsidP="00EA735E">
            <w:pPr>
              <w:pStyle w:val="TableBodyText"/>
              <w:jc w:val="both"/>
            </w:pPr>
          </w:p>
        </w:tc>
      </w:tr>
      <w:tr w:rsidR="006315F9" w:rsidRPr="00EA6964" w:rsidTr="00877AB4">
        <w:trPr>
          <w:trHeight w:val="567"/>
        </w:trPr>
        <w:tc>
          <w:tcPr>
            <w:tcW w:w="1869" w:type="dxa"/>
          </w:tcPr>
          <w:p w:rsidR="006315F9" w:rsidRPr="00EA6964" w:rsidRDefault="006315F9" w:rsidP="00E559C8">
            <w:pPr>
              <w:keepNext/>
              <w:keepLines/>
              <w:spacing w:after="40" w:line="220" w:lineRule="atLeast"/>
              <w:ind w:left="6" w:right="113"/>
              <w:jc w:val="both"/>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Interpretability</w:t>
            </w:r>
          </w:p>
        </w:tc>
        <w:tc>
          <w:tcPr>
            <w:tcW w:w="6951" w:type="dxa"/>
          </w:tcPr>
          <w:p w:rsidR="005D607E" w:rsidRDefault="005D607E" w:rsidP="00EA735E">
            <w:pPr>
              <w:pStyle w:val="TableBodyText"/>
              <w:jc w:val="both"/>
            </w:pPr>
            <w:r>
              <w:t>Information on how to interpret and use the data appropriately is available on the ABS website; see Explanatory Notes in Education and Work, Australia (cat. no. 6227.0).</w:t>
            </w:r>
          </w:p>
          <w:p w:rsidR="00472D1E" w:rsidRDefault="00472D1E" w:rsidP="00EA735E">
            <w:pPr>
              <w:pStyle w:val="TableBodyText"/>
              <w:jc w:val="both"/>
            </w:pPr>
          </w:p>
          <w:p w:rsidR="006315F9" w:rsidRDefault="005D607E" w:rsidP="00EA735E">
            <w:pPr>
              <w:pStyle w:val="TableBodyText"/>
              <w:jc w:val="both"/>
            </w:pPr>
            <w:r>
              <w:t>ABS SEIFA indexes are based on data from the Census and measure the socioeconomic status of the area in which a person lives. They do not directly measure the socioeconomic status of individuals or their households. More information on SEIFA can be found on the ABS website: www.abs.gov.au. For tables in this cycle, SEIFA quintiles are derived using the ABS 2006 SEIFA IRSD (at CD level) for data from SEW 08-11, and ABS 2011 SEIFA IRSD (at SA1 level) for data from SEW 12-13.</w:t>
            </w:r>
          </w:p>
          <w:p w:rsidR="00472D1E" w:rsidRPr="00EA6964" w:rsidRDefault="00472D1E" w:rsidP="00EA735E">
            <w:pPr>
              <w:pStyle w:val="TableBodyText"/>
              <w:jc w:val="both"/>
            </w:pPr>
          </w:p>
        </w:tc>
      </w:tr>
    </w:tbl>
    <w:p w:rsidR="006315F9" w:rsidRDefault="006315F9" w:rsidP="006315F9">
      <w:r>
        <w:br w:type="page"/>
      </w:r>
    </w:p>
    <w:p w:rsidR="00426CA2" w:rsidRPr="00BE5216" w:rsidRDefault="00426CA2" w:rsidP="00426CA2">
      <w:pPr>
        <w:pStyle w:val="Heading3"/>
        <w:spacing w:after="360"/>
      </w:pPr>
      <w:bookmarkStart w:id="35" w:name="_Ref382927888"/>
      <w:bookmarkStart w:id="36" w:name="_Ref357149591"/>
      <w:r w:rsidRPr="00BE5216">
        <w:t>Data</w:t>
      </w:r>
      <w:r>
        <w:t xml:space="preserve"> quality statement — Indicator 2</w:t>
      </w:r>
      <w:r w:rsidRPr="00BE5216">
        <w:t xml:space="preserve"> — Proportion of </w:t>
      </w:r>
      <w:r>
        <w:t>employers satisfied that training meets their need</w:t>
      </w:r>
      <w:bookmarkEnd w:id="35"/>
    </w:p>
    <w:tbl>
      <w:tblPr>
        <w:tblW w:w="8820" w:type="dxa"/>
        <w:tblInd w:w="108" w:type="dxa"/>
        <w:tblLayout w:type="fixed"/>
        <w:tblLook w:val="01E0" w:firstRow="1" w:lastRow="1" w:firstColumn="1" w:lastColumn="1" w:noHBand="0" w:noVBand="0"/>
      </w:tblPr>
      <w:tblGrid>
        <w:gridCol w:w="1869"/>
        <w:gridCol w:w="6951"/>
      </w:tblGrid>
      <w:tr w:rsidR="00426CA2" w:rsidRPr="00EA6964" w:rsidTr="00877AB4">
        <w:trPr>
          <w:trHeight w:val="567"/>
        </w:trPr>
        <w:tc>
          <w:tcPr>
            <w:tcW w:w="1869" w:type="dxa"/>
          </w:tcPr>
          <w:p w:rsidR="00426CA2" w:rsidRPr="00EA6964" w:rsidRDefault="00426CA2" w:rsidP="00494185">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Outcome</w:t>
            </w:r>
          </w:p>
        </w:tc>
        <w:tc>
          <w:tcPr>
            <w:tcW w:w="6951" w:type="dxa"/>
          </w:tcPr>
          <w:p w:rsidR="00426CA2" w:rsidRPr="00EA6964" w:rsidRDefault="00D056DC" w:rsidP="00EA735E">
            <w:pPr>
              <w:pStyle w:val="TableBodyText"/>
              <w:jc w:val="both"/>
            </w:pPr>
            <w:r w:rsidRPr="00D056DC">
              <w:t>The supply of skills provided by the national training system responds to meet changing labour market need</w:t>
            </w:r>
          </w:p>
        </w:tc>
      </w:tr>
      <w:tr w:rsidR="00426CA2" w:rsidRPr="00EA6964" w:rsidTr="00877AB4">
        <w:trPr>
          <w:trHeight w:val="567"/>
        </w:trPr>
        <w:tc>
          <w:tcPr>
            <w:tcW w:w="1869" w:type="dxa"/>
          </w:tcPr>
          <w:p w:rsidR="00426CA2" w:rsidRPr="00EA6964" w:rsidRDefault="00426CA2" w:rsidP="00494185">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Indicator</w:t>
            </w:r>
          </w:p>
        </w:tc>
        <w:tc>
          <w:tcPr>
            <w:tcW w:w="6951" w:type="dxa"/>
          </w:tcPr>
          <w:p w:rsidR="00426CA2" w:rsidRPr="00EA6964" w:rsidRDefault="00D056DC" w:rsidP="00EA735E">
            <w:pPr>
              <w:pStyle w:val="TableBodyText"/>
              <w:jc w:val="both"/>
            </w:pPr>
            <w:r w:rsidRPr="00D056DC">
              <w:t>Employers who are satisfied that training meets their needs</w:t>
            </w:r>
          </w:p>
        </w:tc>
      </w:tr>
      <w:tr w:rsidR="00426CA2" w:rsidRPr="00EA6964" w:rsidTr="00877AB4">
        <w:trPr>
          <w:trHeight w:val="567"/>
        </w:trPr>
        <w:tc>
          <w:tcPr>
            <w:tcW w:w="1869" w:type="dxa"/>
          </w:tcPr>
          <w:p w:rsidR="00426CA2" w:rsidRPr="00EA6964" w:rsidRDefault="00426CA2" w:rsidP="00494185">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Measure (computation)</w:t>
            </w:r>
          </w:p>
        </w:tc>
        <w:tc>
          <w:tcPr>
            <w:tcW w:w="6951" w:type="dxa"/>
          </w:tcPr>
          <w:p w:rsidR="00D056DC" w:rsidRDefault="00D056DC" w:rsidP="00EA735E">
            <w:pPr>
              <w:pStyle w:val="TableBodyText"/>
              <w:jc w:val="both"/>
            </w:pPr>
            <w:r>
              <w:t>Proportion of employers who are satisfied with training as a way of meeting their skill needs by type of training.</w:t>
            </w:r>
          </w:p>
          <w:p w:rsidR="00D056DC" w:rsidRDefault="00D056DC" w:rsidP="00EA735E">
            <w:pPr>
              <w:pStyle w:val="TableBodyText"/>
              <w:jc w:val="both"/>
            </w:pPr>
            <w:r>
              <w:t>The measure is defined as:</w:t>
            </w:r>
          </w:p>
          <w:p w:rsidR="00D056DC" w:rsidRDefault="00C832CB" w:rsidP="00EA735E">
            <w:pPr>
              <w:pStyle w:val="TableBullet"/>
              <w:jc w:val="both"/>
            </w:pPr>
            <w:r w:rsidRPr="00C832CB">
              <w:rPr>
                <w:i/>
              </w:rPr>
              <w:t>n</w:t>
            </w:r>
            <w:r w:rsidR="00D056DC" w:rsidRPr="00C832CB">
              <w:rPr>
                <w:i/>
              </w:rPr>
              <w:t>umerator</w:t>
            </w:r>
            <w:r w:rsidR="00D056DC">
              <w:t xml:space="preserve"> — Employers who reported as being satisfied or very satisfied with the VET system in meeting their skill needs</w:t>
            </w:r>
          </w:p>
          <w:p w:rsidR="00D056DC" w:rsidRDefault="00C832CB" w:rsidP="00EA735E">
            <w:pPr>
              <w:pStyle w:val="TableBullet"/>
              <w:jc w:val="both"/>
            </w:pPr>
            <w:r w:rsidRPr="00C832CB">
              <w:rPr>
                <w:i/>
              </w:rPr>
              <w:t>d</w:t>
            </w:r>
            <w:r w:rsidR="00D056DC" w:rsidRPr="00C832CB">
              <w:rPr>
                <w:i/>
              </w:rPr>
              <w:t>enominator</w:t>
            </w:r>
            <w:r w:rsidR="00D056DC">
              <w:t xml:space="preserve"> — Number of employers engaged with the VET system (less those with the numerator variable not stated).</w:t>
            </w:r>
          </w:p>
          <w:p w:rsidR="00C832CB" w:rsidRDefault="00C832CB" w:rsidP="00EA735E">
            <w:pPr>
              <w:pStyle w:val="TableBodyText"/>
              <w:jc w:val="both"/>
            </w:pPr>
          </w:p>
          <w:p w:rsidR="00D056DC" w:rsidRDefault="00D056DC" w:rsidP="00EA735E">
            <w:pPr>
              <w:pStyle w:val="TableBodyText"/>
              <w:jc w:val="both"/>
            </w:pPr>
            <w:r>
              <w:t>An ‘employer’ is defined as an organisation in Australia with at least one employee (in the 12 months preceding the interview). An ‘employee’ is defined as ‘a person working in, or operating from, this organisation including full-time, part-time and casual employees’.</w:t>
            </w:r>
          </w:p>
          <w:p w:rsidR="00C832CB" w:rsidRDefault="00C832CB" w:rsidP="00EA735E">
            <w:pPr>
              <w:pStyle w:val="TableBodyText"/>
              <w:jc w:val="both"/>
            </w:pPr>
          </w:p>
          <w:p w:rsidR="00D056DC" w:rsidRDefault="00D056DC" w:rsidP="00EA735E">
            <w:pPr>
              <w:pStyle w:val="TableBodyText"/>
              <w:jc w:val="both"/>
            </w:pPr>
            <w:r>
              <w:t>The measure is calculated separately for the number of employers who in the 12 months preceding the interview:</w:t>
            </w:r>
          </w:p>
          <w:p w:rsidR="00D056DC" w:rsidRDefault="00D056DC" w:rsidP="00EA735E">
            <w:pPr>
              <w:pStyle w:val="TableBullet"/>
              <w:numPr>
                <w:ilvl w:val="0"/>
                <w:numId w:val="21"/>
              </w:numPr>
              <w:jc w:val="both"/>
            </w:pPr>
            <w:r>
              <w:t>had employees undertaking apprenticeships/traineeships, or</w:t>
            </w:r>
          </w:p>
          <w:p w:rsidR="00D056DC" w:rsidRDefault="00D056DC" w:rsidP="00EA735E">
            <w:pPr>
              <w:pStyle w:val="TableBullet"/>
              <w:numPr>
                <w:ilvl w:val="0"/>
                <w:numId w:val="0"/>
              </w:numPr>
              <w:ind w:left="170"/>
              <w:jc w:val="both"/>
            </w:pPr>
            <w:r>
              <w:t>(b)</w:t>
            </w:r>
            <w:r w:rsidR="00C832CB">
              <w:t xml:space="preserve"> </w:t>
            </w:r>
            <w:r>
              <w:t>arranged or provided nationally recognised training (other than apprenticeships /traineeships) for employees, or</w:t>
            </w:r>
          </w:p>
          <w:p w:rsidR="00D056DC" w:rsidRDefault="00D056DC" w:rsidP="00EA735E">
            <w:pPr>
              <w:pStyle w:val="TableBullet"/>
              <w:numPr>
                <w:ilvl w:val="0"/>
                <w:numId w:val="0"/>
              </w:numPr>
              <w:ind w:left="170"/>
              <w:jc w:val="both"/>
            </w:pPr>
            <w:r>
              <w:t>(c)</w:t>
            </w:r>
            <w:r w:rsidR="00C832CB">
              <w:t xml:space="preserve"> </w:t>
            </w:r>
            <w:r>
              <w:t>had employees with formal vocational qualifications as a requirement of their job.</w:t>
            </w:r>
          </w:p>
          <w:p w:rsidR="00C832CB" w:rsidRDefault="00C832CB" w:rsidP="00EA735E">
            <w:pPr>
              <w:pStyle w:val="TableBodyText"/>
              <w:jc w:val="both"/>
            </w:pPr>
          </w:p>
          <w:p w:rsidR="00D056DC" w:rsidRDefault="00D056DC" w:rsidP="00EA735E">
            <w:pPr>
              <w:pStyle w:val="TableBodyText"/>
              <w:jc w:val="both"/>
            </w:pPr>
            <w:r>
              <w:t>Proportion of employers who are satisfied with vocational education and training.</w:t>
            </w:r>
          </w:p>
          <w:p w:rsidR="00D056DC" w:rsidRDefault="00D056DC" w:rsidP="00EA735E">
            <w:pPr>
              <w:pStyle w:val="TableBodyText"/>
              <w:jc w:val="both"/>
            </w:pPr>
            <w:r>
              <w:t>The measure is defined as:</w:t>
            </w:r>
          </w:p>
          <w:p w:rsidR="00D056DC" w:rsidRDefault="00C832CB" w:rsidP="00EA735E">
            <w:pPr>
              <w:pStyle w:val="TableBullet"/>
              <w:jc w:val="both"/>
            </w:pPr>
            <w:r w:rsidRPr="00C832CB">
              <w:rPr>
                <w:i/>
              </w:rPr>
              <w:t>n</w:t>
            </w:r>
            <w:r w:rsidR="00D056DC" w:rsidRPr="00C832CB">
              <w:rPr>
                <w:i/>
              </w:rPr>
              <w:t>umerator</w:t>
            </w:r>
            <w:r w:rsidR="00D056DC">
              <w:t xml:space="preserve"> — Employers engaged with the</w:t>
            </w:r>
            <w:r w:rsidR="00553848">
              <w:t xml:space="preserve"> VET system who were satisfied </w:t>
            </w:r>
            <w:r w:rsidR="00D056DC">
              <w:t>with formal vocational qualifications in providing employee(s) with the skills required for their job] (or missing) AND satisfied with apprenticeships and/or traineeships in meeting skill needs (or missing) AND satisfied with nationally recognised training in providing employee(s) with the skills required for their job (or missing).</w:t>
            </w:r>
          </w:p>
          <w:p w:rsidR="00D056DC" w:rsidRDefault="00C832CB" w:rsidP="00EA735E">
            <w:pPr>
              <w:pStyle w:val="TableBullet"/>
              <w:jc w:val="both"/>
            </w:pPr>
            <w:r w:rsidRPr="00C832CB">
              <w:rPr>
                <w:i/>
              </w:rPr>
              <w:t>d</w:t>
            </w:r>
            <w:r w:rsidR="00D056DC" w:rsidRPr="00C832CB">
              <w:rPr>
                <w:i/>
              </w:rPr>
              <w:t>enominator</w:t>
            </w:r>
            <w:r w:rsidR="00D056DC">
              <w:t xml:space="preserve"> — Number of employers engaged with the VET system (less those with the numerator variable not stated)</w:t>
            </w:r>
          </w:p>
          <w:p w:rsidR="00C832CB" w:rsidRDefault="00C832CB" w:rsidP="00EA735E">
            <w:pPr>
              <w:pStyle w:val="TableBodyText"/>
              <w:jc w:val="both"/>
            </w:pPr>
          </w:p>
          <w:p w:rsidR="00426CA2" w:rsidRDefault="00D056DC" w:rsidP="00EA735E">
            <w:pPr>
              <w:pStyle w:val="TableBodyText"/>
              <w:jc w:val="both"/>
            </w:pPr>
            <w:r>
              <w:t>‘Missing’ refers to an employer who has not engaged with that aspect of the VET system</w:t>
            </w:r>
          </w:p>
          <w:p w:rsidR="00C832CB" w:rsidRPr="00EA6964" w:rsidRDefault="00C832CB" w:rsidP="00EA735E">
            <w:pPr>
              <w:pStyle w:val="TableBodyText"/>
              <w:jc w:val="both"/>
            </w:pPr>
          </w:p>
        </w:tc>
      </w:tr>
      <w:tr w:rsidR="00426CA2" w:rsidRPr="00EA6964" w:rsidTr="00877AB4">
        <w:trPr>
          <w:trHeight w:val="567"/>
        </w:trPr>
        <w:tc>
          <w:tcPr>
            <w:tcW w:w="1869" w:type="dxa"/>
          </w:tcPr>
          <w:p w:rsidR="00426CA2" w:rsidRPr="00EA6964" w:rsidRDefault="00426CA2" w:rsidP="00494185">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Data source/s</w:t>
            </w:r>
          </w:p>
        </w:tc>
        <w:tc>
          <w:tcPr>
            <w:tcW w:w="6951" w:type="dxa"/>
          </w:tcPr>
          <w:p w:rsidR="00426CA2" w:rsidRDefault="00D056DC" w:rsidP="00EA735E">
            <w:pPr>
              <w:pStyle w:val="TableBodyText"/>
              <w:jc w:val="both"/>
            </w:pPr>
            <w:r w:rsidRPr="00D056DC">
              <w:t>All data are derived from the Survey of Employer Use and Views of the VET System (</w:t>
            </w:r>
            <w:proofErr w:type="spellStart"/>
            <w:r w:rsidRPr="00D056DC">
              <w:t>SEUV</w:t>
            </w:r>
            <w:proofErr w:type="spellEnd"/>
            <w:r w:rsidRPr="00D056DC">
              <w:t>), which is a biennial survey. This survey collects information about employers' use and views of the VET system and the various ways employers use the VET system to meet their skill needs.</w:t>
            </w:r>
          </w:p>
          <w:p w:rsidR="00C832CB" w:rsidRPr="00EA6964" w:rsidRDefault="00C832CB" w:rsidP="00EA735E">
            <w:pPr>
              <w:pStyle w:val="TableBodyText"/>
              <w:jc w:val="both"/>
            </w:pPr>
          </w:p>
        </w:tc>
      </w:tr>
      <w:tr w:rsidR="00426CA2" w:rsidRPr="00EA6964" w:rsidTr="00877AB4">
        <w:trPr>
          <w:trHeight w:val="567"/>
        </w:trPr>
        <w:tc>
          <w:tcPr>
            <w:tcW w:w="1869" w:type="dxa"/>
          </w:tcPr>
          <w:p w:rsidR="00426CA2" w:rsidRPr="00EA6964" w:rsidRDefault="00426CA2" w:rsidP="00494185">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Institutional environment</w:t>
            </w:r>
          </w:p>
        </w:tc>
        <w:tc>
          <w:tcPr>
            <w:tcW w:w="6951" w:type="dxa"/>
          </w:tcPr>
          <w:p w:rsidR="00D056DC" w:rsidRDefault="00D056DC" w:rsidP="00EA735E">
            <w:pPr>
              <w:pStyle w:val="TableBodyText"/>
              <w:jc w:val="both"/>
            </w:pPr>
            <w:r>
              <w:t>The National Centre for Vocational Education Research (NCVER) is a not-for-profit company owned by the federal, state and territory ministers responsible for training.</w:t>
            </w:r>
          </w:p>
          <w:p w:rsidR="00C832CB" w:rsidRDefault="00C832CB" w:rsidP="00EA735E">
            <w:pPr>
              <w:pStyle w:val="TableBodyText"/>
              <w:jc w:val="both"/>
            </w:pPr>
          </w:p>
          <w:p w:rsidR="00D056DC" w:rsidRDefault="00D056DC" w:rsidP="00EA735E">
            <w:pPr>
              <w:pStyle w:val="TableBodyText"/>
              <w:jc w:val="both"/>
            </w:pPr>
            <w:r>
              <w:t>NCVER is a professional and independent body responsible for collecting, managing, analysing, evaluating and communicating research and statistics about vocational education and training (VET) nationally. It is Australia's principal provider of VET research and statistics.</w:t>
            </w:r>
          </w:p>
          <w:p w:rsidR="00426CA2" w:rsidRDefault="00D056DC" w:rsidP="00EA735E">
            <w:pPr>
              <w:pStyle w:val="TableBodyText"/>
              <w:jc w:val="both"/>
            </w:pPr>
            <w:r>
              <w:t xml:space="preserve">For further information on the </w:t>
            </w:r>
            <w:proofErr w:type="spellStart"/>
            <w:r>
              <w:t>NCVER</w:t>
            </w:r>
            <w:proofErr w:type="spellEnd"/>
            <w:r>
              <w:t xml:space="preserve">, see </w:t>
            </w:r>
            <w:hyperlink r:id="rId20" w:history="1">
              <w:r w:rsidR="00C832CB" w:rsidRPr="00020B48">
                <w:rPr>
                  <w:rStyle w:val="Hyperlink"/>
                </w:rPr>
                <w:t>http://</w:t>
              </w:r>
              <w:proofErr w:type="spellStart"/>
              <w:r w:rsidR="00C832CB" w:rsidRPr="00020B48">
                <w:rPr>
                  <w:rStyle w:val="Hyperlink"/>
                </w:rPr>
                <w:t>www.ncver.edu.au</w:t>
              </w:r>
              <w:proofErr w:type="spellEnd"/>
              <w:r w:rsidR="00C832CB" w:rsidRPr="00020B48">
                <w:rPr>
                  <w:rStyle w:val="Hyperlink"/>
                </w:rPr>
                <w:t>/</w:t>
              </w:r>
              <w:proofErr w:type="spellStart"/>
              <w:r w:rsidR="00C832CB" w:rsidRPr="00020B48">
                <w:rPr>
                  <w:rStyle w:val="Hyperlink"/>
                </w:rPr>
                <w:t>aboutncver</w:t>
              </w:r>
              <w:proofErr w:type="spellEnd"/>
              <w:r w:rsidR="00C832CB" w:rsidRPr="00020B48">
                <w:rPr>
                  <w:rStyle w:val="Hyperlink"/>
                </w:rPr>
                <w:t>/</w:t>
              </w:r>
              <w:proofErr w:type="spellStart"/>
              <w:r w:rsidR="00C832CB" w:rsidRPr="00020B48">
                <w:rPr>
                  <w:rStyle w:val="Hyperlink"/>
                </w:rPr>
                <w:t>who.html</w:t>
              </w:r>
              <w:proofErr w:type="spellEnd"/>
            </w:hyperlink>
          </w:p>
          <w:p w:rsidR="00C832CB" w:rsidRPr="001532CD" w:rsidRDefault="00C832CB" w:rsidP="00EA735E">
            <w:pPr>
              <w:pStyle w:val="TableBodyText"/>
              <w:jc w:val="both"/>
            </w:pPr>
          </w:p>
        </w:tc>
      </w:tr>
      <w:tr w:rsidR="00426CA2" w:rsidRPr="00EA6964" w:rsidTr="00877AB4">
        <w:trPr>
          <w:trHeight w:val="567"/>
        </w:trPr>
        <w:tc>
          <w:tcPr>
            <w:tcW w:w="1869" w:type="dxa"/>
          </w:tcPr>
          <w:p w:rsidR="00426CA2" w:rsidRPr="00EA6964" w:rsidRDefault="00426CA2" w:rsidP="00494185">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Relevance</w:t>
            </w:r>
          </w:p>
          <w:p w:rsidR="00426CA2" w:rsidRPr="00EA6964" w:rsidRDefault="00426CA2" w:rsidP="00494185">
            <w:pPr>
              <w:keepNext/>
              <w:keepLines/>
              <w:spacing w:after="40" w:line="220" w:lineRule="atLeast"/>
              <w:ind w:left="6" w:right="113"/>
              <w:rPr>
                <w:rFonts w:ascii="Arial" w:eastAsiaTheme="minorHAnsi" w:hAnsi="Arial" w:cstheme="minorBidi"/>
                <w:b/>
                <w:sz w:val="20"/>
                <w:szCs w:val="20"/>
                <w:lang w:eastAsia="en-US"/>
              </w:rPr>
            </w:pPr>
          </w:p>
        </w:tc>
        <w:tc>
          <w:tcPr>
            <w:tcW w:w="6951" w:type="dxa"/>
          </w:tcPr>
          <w:p w:rsidR="00D056DC" w:rsidRDefault="00D056DC" w:rsidP="00EA735E">
            <w:pPr>
              <w:pStyle w:val="TableBodyText"/>
              <w:jc w:val="both"/>
            </w:pPr>
            <w:r>
              <w:t>The Survey of Employers’ Use and Views of the VET System collects information on employers’ use and views of the vocational education and training (VET) system.  Data are collected by computer assisted telephone interview.</w:t>
            </w:r>
          </w:p>
          <w:p w:rsidR="0038476A" w:rsidRDefault="0038476A" w:rsidP="00EA735E">
            <w:pPr>
              <w:pStyle w:val="TableBodyText"/>
              <w:jc w:val="both"/>
            </w:pPr>
          </w:p>
          <w:p w:rsidR="00D056DC" w:rsidRDefault="00D056DC" w:rsidP="00EA735E">
            <w:pPr>
              <w:pStyle w:val="TableBodyText"/>
              <w:jc w:val="both"/>
            </w:pPr>
            <w:r>
              <w:t>Information about the various ways in which Australian employers use the VET system and unaccredited training to meet their skill needs and their satisfaction with these methods of training is also collected.</w:t>
            </w:r>
          </w:p>
          <w:p w:rsidR="0038476A" w:rsidRDefault="0038476A" w:rsidP="00EA735E">
            <w:pPr>
              <w:pStyle w:val="TableBodyText"/>
              <w:jc w:val="both"/>
            </w:pPr>
          </w:p>
          <w:p w:rsidR="00D056DC" w:rsidRDefault="00D056DC" w:rsidP="00EA735E">
            <w:pPr>
              <w:pStyle w:val="TableBodyText"/>
              <w:jc w:val="both"/>
            </w:pPr>
            <w:r>
              <w:t>The scope of the survey is all organisations in Australia with at least one employee. For this survey, an employee is defined as “a person working in, or operating from, this organisation including full time, part time and casual employees.” An owner/operator is not classed as an employee, regardless of whether they pay themselves a wage.</w:t>
            </w:r>
          </w:p>
          <w:p w:rsidR="0038476A" w:rsidRDefault="0038476A" w:rsidP="00EA735E">
            <w:pPr>
              <w:pStyle w:val="TableBodyText"/>
              <w:jc w:val="both"/>
            </w:pPr>
          </w:p>
          <w:p w:rsidR="00D056DC" w:rsidRDefault="00D056DC" w:rsidP="00EA735E">
            <w:pPr>
              <w:pStyle w:val="TableBodyText"/>
              <w:jc w:val="both"/>
            </w:pPr>
            <w:r>
              <w:t>The following organisations are out of scope of the survey:</w:t>
            </w:r>
          </w:p>
          <w:p w:rsidR="0038476A" w:rsidRPr="0038476A" w:rsidRDefault="00D056DC" w:rsidP="00EA735E">
            <w:pPr>
              <w:pStyle w:val="TableBullet"/>
              <w:jc w:val="both"/>
            </w:pPr>
            <w:r w:rsidRPr="0038476A">
              <w:t>self</w:t>
            </w:r>
            <w:r w:rsidR="00D85EA8">
              <w:t>-</w:t>
            </w:r>
            <w:r w:rsidRPr="0038476A">
              <w:t>employed and not employing staff</w:t>
            </w:r>
          </w:p>
          <w:p w:rsidR="00D056DC" w:rsidRPr="0038476A" w:rsidRDefault="00D056DC" w:rsidP="00EA735E">
            <w:pPr>
              <w:pStyle w:val="TableBullet"/>
              <w:jc w:val="both"/>
            </w:pPr>
            <w:r w:rsidRPr="0038476A">
              <w:t>private households employing staff</w:t>
            </w:r>
          </w:p>
          <w:p w:rsidR="00D056DC" w:rsidRPr="0038476A" w:rsidRDefault="00D056DC" w:rsidP="00EA735E">
            <w:pPr>
              <w:pStyle w:val="TableBullet"/>
              <w:jc w:val="both"/>
            </w:pPr>
            <w:r w:rsidRPr="0038476A">
              <w:t>foreign diplomatic missions</w:t>
            </w:r>
          </w:p>
          <w:p w:rsidR="00D056DC" w:rsidRPr="0038476A" w:rsidRDefault="00D056DC" w:rsidP="00EA735E">
            <w:pPr>
              <w:pStyle w:val="TableBullet"/>
              <w:jc w:val="both"/>
            </w:pPr>
            <w:r w:rsidRPr="0038476A">
              <w:t>consulates in Australia</w:t>
            </w:r>
          </w:p>
          <w:p w:rsidR="00D056DC" w:rsidRPr="0038476A" w:rsidRDefault="00D056DC" w:rsidP="00EA735E">
            <w:pPr>
              <w:pStyle w:val="TableBullet"/>
              <w:jc w:val="both"/>
            </w:pPr>
            <w:r w:rsidRPr="0038476A">
              <w:t>defence force establishments</w:t>
            </w:r>
          </w:p>
          <w:p w:rsidR="00426CA2" w:rsidRDefault="00D056DC" w:rsidP="00EA735E">
            <w:pPr>
              <w:pStyle w:val="TableBullet"/>
              <w:jc w:val="both"/>
            </w:pPr>
            <w:r w:rsidRPr="0038476A">
              <w:t>superannuation funds.</w:t>
            </w:r>
          </w:p>
          <w:p w:rsidR="00C832CB" w:rsidRPr="00EA6964" w:rsidRDefault="00C832CB" w:rsidP="00EA735E">
            <w:pPr>
              <w:pStyle w:val="TableBullet"/>
              <w:numPr>
                <w:ilvl w:val="0"/>
                <w:numId w:val="0"/>
              </w:numPr>
              <w:ind w:left="170"/>
              <w:jc w:val="both"/>
            </w:pPr>
          </w:p>
        </w:tc>
      </w:tr>
      <w:tr w:rsidR="00426CA2" w:rsidRPr="00EA6964" w:rsidTr="00877AB4">
        <w:trPr>
          <w:trHeight w:val="567"/>
        </w:trPr>
        <w:tc>
          <w:tcPr>
            <w:tcW w:w="1869" w:type="dxa"/>
          </w:tcPr>
          <w:p w:rsidR="00426CA2" w:rsidRPr="00EA6964" w:rsidRDefault="00426CA2" w:rsidP="00494185">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Timeliness</w:t>
            </w:r>
          </w:p>
          <w:p w:rsidR="00426CA2" w:rsidRPr="00EA6964" w:rsidRDefault="00426CA2" w:rsidP="00494185">
            <w:pPr>
              <w:keepNext/>
              <w:keepLines/>
              <w:spacing w:after="40" w:line="220" w:lineRule="atLeast"/>
              <w:ind w:left="6" w:right="113"/>
              <w:rPr>
                <w:rFonts w:ascii="Arial" w:eastAsiaTheme="minorHAnsi" w:hAnsi="Arial" w:cstheme="minorBidi"/>
                <w:b/>
                <w:sz w:val="20"/>
                <w:szCs w:val="20"/>
                <w:lang w:eastAsia="en-US"/>
              </w:rPr>
            </w:pPr>
          </w:p>
        </w:tc>
        <w:tc>
          <w:tcPr>
            <w:tcW w:w="6951" w:type="dxa"/>
          </w:tcPr>
          <w:p w:rsidR="00426CA2" w:rsidRDefault="00D056DC" w:rsidP="00EA735E">
            <w:pPr>
              <w:pStyle w:val="TableBodyText"/>
              <w:jc w:val="both"/>
            </w:pPr>
            <w:r w:rsidRPr="00D056DC">
              <w:t>The Survey of Employers’ Use and Views of the VET System is conducted every second year. The survey is conducted by telephone interview between March and May and the results relate to employers’ training experiences in the 12 months preceding their interview. Results from the 2013 survey were released on the NCVER website on 28 October 2013.</w:t>
            </w:r>
          </w:p>
          <w:p w:rsidR="0038476A" w:rsidRPr="00EA6964" w:rsidRDefault="0038476A" w:rsidP="00EA735E">
            <w:pPr>
              <w:pStyle w:val="TableBodyText"/>
              <w:jc w:val="both"/>
            </w:pPr>
          </w:p>
        </w:tc>
      </w:tr>
      <w:tr w:rsidR="00426CA2" w:rsidRPr="00EA6964" w:rsidTr="00877AB4">
        <w:trPr>
          <w:trHeight w:val="100"/>
        </w:trPr>
        <w:tc>
          <w:tcPr>
            <w:tcW w:w="1869" w:type="dxa"/>
          </w:tcPr>
          <w:p w:rsidR="00426CA2" w:rsidRPr="00EA6964" w:rsidRDefault="00426CA2" w:rsidP="00494185">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Accuracy</w:t>
            </w:r>
          </w:p>
          <w:p w:rsidR="00426CA2" w:rsidRPr="00EA6964" w:rsidRDefault="00426CA2" w:rsidP="00494185">
            <w:pPr>
              <w:keepNext/>
              <w:keepLines/>
              <w:spacing w:after="40" w:line="220" w:lineRule="atLeast"/>
              <w:ind w:left="6" w:right="113"/>
              <w:rPr>
                <w:rFonts w:ascii="Arial" w:eastAsiaTheme="minorHAnsi" w:hAnsi="Arial" w:cstheme="minorBidi"/>
                <w:b/>
                <w:sz w:val="20"/>
                <w:szCs w:val="20"/>
                <w:lang w:eastAsia="en-US"/>
              </w:rPr>
            </w:pPr>
          </w:p>
        </w:tc>
        <w:tc>
          <w:tcPr>
            <w:tcW w:w="6951" w:type="dxa"/>
          </w:tcPr>
          <w:p w:rsidR="00D056DC" w:rsidRDefault="00D056DC" w:rsidP="00EA735E">
            <w:pPr>
              <w:pStyle w:val="TableBodyText"/>
              <w:jc w:val="both"/>
            </w:pPr>
            <w:r>
              <w:t>The survey is designed to produce estimates at the state, industry and employer size levels, with the approximate relative standard errors:</w:t>
            </w:r>
          </w:p>
          <w:p w:rsidR="00D056DC" w:rsidRPr="006618E8" w:rsidRDefault="00D056DC" w:rsidP="00EA735E">
            <w:pPr>
              <w:pStyle w:val="TableBullet"/>
              <w:jc w:val="both"/>
            </w:pPr>
            <w:r>
              <w:t xml:space="preserve">Less </w:t>
            </w:r>
            <w:r w:rsidR="0038476A">
              <w:t>than 8 per cent</w:t>
            </w:r>
            <w:r w:rsidRPr="006618E8">
              <w:t xml:space="preserve"> for state-level estimates</w:t>
            </w:r>
          </w:p>
          <w:p w:rsidR="00D056DC" w:rsidRPr="006618E8" w:rsidRDefault="0038476A" w:rsidP="00EA735E">
            <w:pPr>
              <w:pStyle w:val="TableBullet"/>
              <w:jc w:val="both"/>
            </w:pPr>
            <w:r>
              <w:t>Less than 16 per cent</w:t>
            </w:r>
            <w:r w:rsidR="00D056DC" w:rsidRPr="006618E8">
              <w:t xml:space="preserve"> for industry-level estimates</w:t>
            </w:r>
          </w:p>
          <w:p w:rsidR="00D056DC" w:rsidRPr="006618E8" w:rsidRDefault="00D056DC" w:rsidP="00EA735E">
            <w:pPr>
              <w:pStyle w:val="TableBullet"/>
              <w:jc w:val="both"/>
            </w:pPr>
            <w:r w:rsidRPr="006618E8">
              <w:t>Less than 6</w:t>
            </w:r>
            <w:r w:rsidR="0038476A">
              <w:t xml:space="preserve"> per cent</w:t>
            </w:r>
            <w:r w:rsidRPr="006618E8">
              <w:t xml:space="preserve"> for employer-size level estimates</w:t>
            </w:r>
          </w:p>
          <w:p w:rsidR="00D056DC" w:rsidRDefault="00D056DC" w:rsidP="00EA735E">
            <w:pPr>
              <w:pStyle w:val="TableBullet"/>
              <w:jc w:val="both"/>
            </w:pPr>
            <w:r w:rsidRPr="006618E8">
              <w:t xml:space="preserve">Less than </w:t>
            </w:r>
            <w:r w:rsidR="0038476A">
              <w:t>3 per cent</w:t>
            </w:r>
            <w:r>
              <w:t xml:space="preserve"> for Australia level estimates.</w:t>
            </w:r>
          </w:p>
          <w:p w:rsidR="00C832CB" w:rsidRDefault="00C832CB" w:rsidP="00EA735E">
            <w:pPr>
              <w:pStyle w:val="TableBodyText"/>
              <w:jc w:val="both"/>
            </w:pPr>
          </w:p>
          <w:p w:rsidR="00D056DC" w:rsidRDefault="00D056DC" w:rsidP="00EA735E">
            <w:pPr>
              <w:pStyle w:val="TableBodyText"/>
              <w:jc w:val="both"/>
            </w:pPr>
            <w:r>
              <w:t>Employers in scope of the survey were randomly selected and stratified by:</w:t>
            </w:r>
          </w:p>
          <w:p w:rsidR="00D056DC" w:rsidRDefault="00D056DC" w:rsidP="00EA735E">
            <w:pPr>
              <w:pStyle w:val="TableBullet"/>
              <w:jc w:val="both"/>
            </w:pPr>
            <w:r>
              <w:t>State (each of the 8 states and territories)</w:t>
            </w:r>
          </w:p>
          <w:p w:rsidR="00D056DC" w:rsidRDefault="00D056DC" w:rsidP="00EA735E">
            <w:pPr>
              <w:pStyle w:val="TableBullet"/>
              <w:jc w:val="both"/>
            </w:pPr>
            <w:r>
              <w:t xml:space="preserve">Industry (19 </w:t>
            </w:r>
            <w:proofErr w:type="spellStart"/>
            <w:r>
              <w:t>ANZSIC</w:t>
            </w:r>
            <w:proofErr w:type="spellEnd"/>
            <w:r>
              <w:t xml:space="preserve"> divisions)</w:t>
            </w:r>
          </w:p>
          <w:p w:rsidR="00D056DC" w:rsidRDefault="00D056DC" w:rsidP="00EA735E">
            <w:pPr>
              <w:pStyle w:val="TableBullet"/>
              <w:jc w:val="both"/>
            </w:pPr>
            <w:r>
              <w:t>Employer size (small = 1-9 employees, medium = 10-99 employees, large = 100 or more employees).</w:t>
            </w:r>
          </w:p>
          <w:p w:rsidR="00D056DC" w:rsidRDefault="00D056DC" w:rsidP="00EA735E">
            <w:pPr>
              <w:pStyle w:val="TableBodyText"/>
              <w:jc w:val="both"/>
            </w:pPr>
            <w:r>
              <w:t xml:space="preserve">Potential sources of error in survey data include failure to complete the survey or failure to answer every applicable question. Neither of these sources of error is considered, by NCVER, to have affected the quality of data. </w:t>
            </w:r>
          </w:p>
          <w:p w:rsidR="00C832CB" w:rsidRDefault="00C832CB" w:rsidP="00EA735E">
            <w:pPr>
              <w:pStyle w:val="TableBodyText"/>
              <w:jc w:val="both"/>
            </w:pPr>
          </w:p>
          <w:p w:rsidR="00D056DC" w:rsidRDefault="00D056DC" w:rsidP="00EA735E">
            <w:pPr>
              <w:pStyle w:val="TableBodyText"/>
              <w:jc w:val="both"/>
            </w:pPr>
            <w:r>
              <w:t>In 2013, a total of 9 052 interviews were conducted. Response rates to the 2013 survey are shown in table 1.</w:t>
            </w:r>
          </w:p>
          <w:p w:rsidR="00C832CB" w:rsidRDefault="00C832CB" w:rsidP="00EA735E">
            <w:pPr>
              <w:pStyle w:val="TableBodyText"/>
              <w:jc w:val="both"/>
            </w:pPr>
          </w:p>
          <w:p w:rsidR="0038476A" w:rsidRPr="0043422E" w:rsidRDefault="0038476A" w:rsidP="00EA735E">
            <w:pPr>
              <w:pStyle w:val="TableBodyText"/>
              <w:spacing w:after="120"/>
              <w:jc w:val="both"/>
              <w:rPr>
                <w:rFonts w:cs="Arial"/>
                <w:b/>
                <w:sz w:val="17"/>
                <w:szCs w:val="17"/>
              </w:rPr>
            </w:pPr>
            <w:r w:rsidRPr="0043422E">
              <w:rPr>
                <w:rFonts w:cs="Arial"/>
                <w:b/>
                <w:sz w:val="17"/>
                <w:szCs w:val="17"/>
              </w:rPr>
              <w:t>Table 1: Response rates to the 20</w:t>
            </w:r>
            <w:r>
              <w:rPr>
                <w:rFonts w:cs="Arial"/>
                <w:b/>
                <w:sz w:val="17"/>
                <w:szCs w:val="17"/>
              </w:rPr>
              <w:t>13</w:t>
            </w:r>
            <w:r w:rsidRPr="0043422E">
              <w:rPr>
                <w:rFonts w:cs="Arial"/>
                <w:b/>
                <w:sz w:val="17"/>
                <w:szCs w:val="17"/>
              </w:rPr>
              <w:t xml:space="preserve"> Survey of Employers’ Use and Views of VET by state</w:t>
            </w:r>
          </w:p>
          <w:tbl>
            <w:tblPr>
              <w:tblW w:w="3058" w:type="pct"/>
              <w:tblBorders>
                <w:top w:val="single" w:sz="4" w:space="0" w:color="auto"/>
                <w:bottom w:val="single" w:sz="4" w:space="0" w:color="auto"/>
              </w:tblBorders>
              <w:tblLayout w:type="fixed"/>
              <w:tblLook w:val="01E0" w:firstRow="1" w:lastRow="1" w:firstColumn="1" w:lastColumn="1" w:noHBand="0" w:noVBand="0"/>
            </w:tblPr>
            <w:tblGrid>
              <w:gridCol w:w="2276"/>
              <w:gridCol w:w="1843"/>
            </w:tblGrid>
            <w:tr w:rsidR="0038476A" w:rsidRPr="0043422E" w:rsidTr="00C832CB">
              <w:trPr>
                <w:trHeight w:val="170"/>
              </w:trPr>
              <w:tc>
                <w:tcPr>
                  <w:tcW w:w="2763" w:type="pct"/>
                  <w:tcBorders>
                    <w:top w:val="single" w:sz="4" w:space="0" w:color="auto"/>
                    <w:left w:val="nil"/>
                    <w:bottom w:val="single" w:sz="4" w:space="0" w:color="auto"/>
                  </w:tcBorders>
                </w:tcPr>
                <w:p w:rsidR="0038476A" w:rsidRPr="0043422E" w:rsidRDefault="0038476A" w:rsidP="00553848">
                  <w:pPr>
                    <w:pStyle w:val="TableBodyText"/>
                    <w:spacing w:after="120"/>
                    <w:jc w:val="left"/>
                    <w:rPr>
                      <w:rFonts w:cs="Arial"/>
                      <w:b/>
                      <w:sz w:val="16"/>
                      <w:szCs w:val="16"/>
                    </w:rPr>
                  </w:pPr>
                  <w:r w:rsidRPr="0043422E">
                    <w:rPr>
                      <w:rFonts w:cs="Arial"/>
                      <w:b/>
                      <w:sz w:val="16"/>
                      <w:szCs w:val="16"/>
                    </w:rPr>
                    <w:t>State/Territory</w:t>
                  </w:r>
                </w:p>
              </w:tc>
              <w:tc>
                <w:tcPr>
                  <w:tcW w:w="2237" w:type="pct"/>
                  <w:tcBorders>
                    <w:top w:val="single" w:sz="4" w:space="0" w:color="auto"/>
                    <w:bottom w:val="single" w:sz="4" w:space="0" w:color="auto"/>
                  </w:tcBorders>
                </w:tcPr>
                <w:p w:rsidR="0038476A" w:rsidRPr="0043422E" w:rsidRDefault="0038476A" w:rsidP="00553848">
                  <w:pPr>
                    <w:pStyle w:val="TableBodyText"/>
                    <w:spacing w:after="120"/>
                    <w:jc w:val="left"/>
                    <w:rPr>
                      <w:rFonts w:cs="Arial"/>
                      <w:b/>
                      <w:sz w:val="16"/>
                      <w:szCs w:val="16"/>
                    </w:rPr>
                  </w:pPr>
                  <w:r w:rsidRPr="0043422E">
                    <w:rPr>
                      <w:rFonts w:cs="Arial"/>
                      <w:b/>
                      <w:sz w:val="16"/>
                      <w:szCs w:val="16"/>
                    </w:rPr>
                    <w:t>Response rate (%)</w:t>
                  </w:r>
                </w:p>
              </w:tc>
            </w:tr>
            <w:tr w:rsidR="0038476A" w:rsidRPr="0043422E" w:rsidTr="00C832CB">
              <w:trPr>
                <w:trHeight w:val="170"/>
              </w:trPr>
              <w:tc>
                <w:tcPr>
                  <w:tcW w:w="2763" w:type="pct"/>
                  <w:tcBorders>
                    <w:top w:val="single" w:sz="4" w:space="0" w:color="auto"/>
                    <w:left w:val="nil"/>
                  </w:tcBorders>
                </w:tcPr>
                <w:p w:rsidR="0038476A" w:rsidRPr="00553848" w:rsidRDefault="00553848" w:rsidP="00553848">
                  <w:pPr>
                    <w:pStyle w:val="TableBodyText"/>
                    <w:jc w:val="both"/>
                  </w:pPr>
                  <w:r w:rsidRPr="00553848">
                    <w:t>NSW</w:t>
                  </w:r>
                </w:p>
              </w:tc>
              <w:tc>
                <w:tcPr>
                  <w:tcW w:w="2237" w:type="pct"/>
                  <w:tcBorders>
                    <w:top w:val="single" w:sz="4" w:space="0" w:color="auto"/>
                  </w:tcBorders>
                </w:tcPr>
                <w:p w:rsidR="0038476A" w:rsidRPr="00363CF1" w:rsidRDefault="0038476A" w:rsidP="00553848">
                  <w:pPr>
                    <w:pStyle w:val="TableBodyText"/>
                    <w:jc w:val="both"/>
                  </w:pPr>
                  <w:r>
                    <w:t>73.3</w:t>
                  </w:r>
                </w:p>
              </w:tc>
            </w:tr>
            <w:tr w:rsidR="0038476A" w:rsidRPr="0043422E" w:rsidTr="00C832CB">
              <w:trPr>
                <w:trHeight w:val="170"/>
              </w:trPr>
              <w:tc>
                <w:tcPr>
                  <w:tcW w:w="2763" w:type="pct"/>
                  <w:tcBorders>
                    <w:left w:val="nil"/>
                  </w:tcBorders>
                </w:tcPr>
                <w:p w:rsidR="0038476A" w:rsidRPr="00553848" w:rsidRDefault="00553848" w:rsidP="00553848">
                  <w:pPr>
                    <w:pStyle w:val="TableBodyText"/>
                    <w:jc w:val="both"/>
                  </w:pPr>
                  <w:r w:rsidRPr="00553848">
                    <w:t>Vic</w:t>
                  </w:r>
                </w:p>
              </w:tc>
              <w:tc>
                <w:tcPr>
                  <w:tcW w:w="2237" w:type="pct"/>
                </w:tcPr>
                <w:p w:rsidR="0038476A" w:rsidRPr="00363CF1" w:rsidRDefault="0038476A" w:rsidP="00553848">
                  <w:pPr>
                    <w:pStyle w:val="TableBodyText"/>
                    <w:jc w:val="both"/>
                  </w:pPr>
                  <w:r>
                    <w:t>71.0</w:t>
                  </w:r>
                </w:p>
              </w:tc>
            </w:tr>
            <w:tr w:rsidR="0038476A" w:rsidRPr="0043422E" w:rsidTr="00C832CB">
              <w:trPr>
                <w:trHeight w:val="170"/>
              </w:trPr>
              <w:tc>
                <w:tcPr>
                  <w:tcW w:w="2763" w:type="pct"/>
                  <w:tcBorders>
                    <w:left w:val="nil"/>
                  </w:tcBorders>
                </w:tcPr>
                <w:p w:rsidR="0038476A" w:rsidRPr="00553848" w:rsidRDefault="00553848" w:rsidP="00553848">
                  <w:pPr>
                    <w:pStyle w:val="TableBodyText"/>
                    <w:jc w:val="both"/>
                  </w:pPr>
                  <w:r w:rsidRPr="00553848">
                    <w:t>QLD</w:t>
                  </w:r>
                </w:p>
              </w:tc>
              <w:tc>
                <w:tcPr>
                  <w:tcW w:w="2237" w:type="pct"/>
                </w:tcPr>
                <w:p w:rsidR="0038476A" w:rsidRPr="00363CF1" w:rsidRDefault="0038476A" w:rsidP="00553848">
                  <w:pPr>
                    <w:pStyle w:val="TableBodyText"/>
                    <w:jc w:val="both"/>
                  </w:pPr>
                  <w:r>
                    <w:t>74.7</w:t>
                  </w:r>
                </w:p>
              </w:tc>
            </w:tr>
            <w:tr w:rsidR="0038476A" w:rsidRPr="0043422E" w:rsidTr="00C832CB">
              <w:trPr>
                <w:trHeight w:val="170"/>
              </w:trPr>
              <w:tc>
                <w:tcPr>
                  <w:tcW w:w="2763" w:type="pct"/>
                  <w:tcBorders>
                    <w:left w:val="nil"/>
                  </w:tcBorders>
                </w:tcPr>
                <w:p w:rsidR="0038476A" w:rsidRPr="00553848" w:rsidRDefault="00553848" w:rsidP="00553848">
                  <w:pPr>
                    <w:pStyle w:val="TableBodyText"/>
                    <w:jc w:val="both"/>
                  </w:pPr>
                  <w:r w:rsidRPr="00553848">
                    <w:t>SA</w:t>
                  </w:r>
                </w:p>
              </w:tc>
              <w:tc>
                <w:tcPr>
                  <w:tcW w:w="2237" w:type="pct"/>
                </w:tcPr>
                <w:p w:rsidR="0038476A" w:rsidRPr="00363CF1" w:rsidRDefault="0038476A" w:rsidP="00553848">
                  <w:pPr>
                    <w:pStyle w:val="TableBodyText"/>
                    <w:jc w:val="both"/>
                  </w:pPr>
                  <w:r>
                    <w:t>75.7</w:t>
                  </w:r>
                </w:p>
              </w:tc>
            </w:tr>
            <w:tr w:rsidR="0038476A" w:rsidRPr="0043422E" w:rsidTr="00C832CB">
              <w:trPr>
                <w:trHeight w:val="170"/>
              </w:trPr>
              <w:tc>
                <w:tcPr>
                  <w:tcW w:w="2763" w:type="pct"/>
                  <w:tcBorders>
                    <w:left w:val="nil"/>
                  </w:tcBorders>
                </w:tcPr>
                <w:p w:rsidR="0038476A" w:rsidRPr="00553848" w:rsidRDefault="00553848" w:rsidP="00553848">
                  <w:pPr>
                    <w:pStyle w:val="TableBodyText"/>
                    <w:jc w:val="both"/>
                  </w:pPr>
                  <w:r w:rsidRPr="00553848">
                    <w:t>WA</w:t>
                  </w:r>
                </w:p>
              </w:tc>
              <w:tc>
                <w:tcPr>
                  <w:tcW w:w="2237" w:type="pct"/>
                </w:tcPr>
                <w:p w:rsidR="0038476A" w:rsidRPr="00363CF1" w:rsidRDefault="0038476A" w:rsidP="00553848">
                  <w:pPr>
                    <w:pStyle w:val="TableBodyText"/>
                    <w:jc w:val="both"/>
                  </w:pPr>
                  <w:r>
                    <w:t>75.8</w:t>
                  </w:r>
                </w:p>
              </w:tc>
            </w:tr>
            <w:tr w:rsidR="0038476A" w:rsidRPr="0043422E" w:rsidTr="00C832CB">
              <w:trPr>
                <w:trHeight w:val="170"/>
              </w:trPr>
              <w:tc>
                <w:tcPr>
                  <w:tcW w:w="2763" w:type="pct"/>
                  <w:tcBorders>
                    <w:left w:val="nil"/>
                  </w:tcBorders>
                </w:tcPr>
                <w:p w:rsidR="0038476A" w:rsidRPr="00553848" w:rsidRDefault="00553848" w:rsidP="00553848">
                  <w:pPr>
                    <w:pStyle w:val="TableBodyText"/>
                    <w:jc w:val="both"/>
                  </w:pPr>
                  <w:r w:rsidRPr="00553848">
                    <w:t>Tas</w:t>
                  </w:r>
                </w:p>
              </w:tc>
              <w:tc>
                <w:tcPr>
                  <w:tcW w:w="2237" w:type="pct"/>
                </w:tcPr>
                <w:p w:rsidR="0038476A" w:rsidRPr="00363CF1" w:rsidRDefault="0038476A" w:rsidP="00553848">
                  <w:pPr>
                    <w:pStyle w:val="TableBodyText"/>
                    <w:jc w:val="both"/>
                  </w:pPr>
                  <w:r>
                    <w:t>82.0</w:t>
                  </w:r>
                </w:p>
              </w:tc>
            </w:tr>
            <w:tr w:rsidR="0038476A" w:rsidRPr="0043422E" w:rsidTr="00C832CB">
              <w:trPr>
                <w:trHeight w:val="170"/>
              </w:trPr>
              <w:tc>
                <w:tcPr>
                  <w:tcW w:w="2763" w:type="pct"/>
                  <w:tcBorders>
                    <w:left w:val="nil"/>
                  </w:tcBorders>
                </w:tcPr>
                <w:p w:rsidR="0038476A" w:rsidRPr="00553848" w:rsidRDefault="00553848" w:rsidP="00553848">
                  <w:pPr>
                    <w:pStyle w:val="TableBodyText"/>
                    <w:jc w:val="both"/>
                  </w:pPr>
                  <w:r w:rsidRPr="00553848">
                    <w:t>NT</w:t>
                  </w:r>
                </w:p>
              </w:tc>
              <w:tc>
                <w:tcPr>
                  <w:tcW w:w="2237" w:type="pct"/>
                </w:tcPr>
                <w:p w:rsidR="0038476A" w:rsidRPr="00363CF1" w:rsidRDefault="0038476A" w:rsidP="00553848">
                  <w:pPr>
                    <w:pStyle w:val="TableBodyText"/>
                    <w:jc w:val="both"/>
                  </w:pPr>
                  <w:r>
                    <w:t>82.4</w:t>
                  </w:r>
                </w:p>
              </w:tc>
            </w:tr>
            <w:tr w:rsidR="0038476A" w:rsidRPr="0043422E" w:rsidTr="00C832CB">
              <w:trPr>
                <w:trHeight w:val="170"/>
              </w:trPr>
              <w:tc>
                <w:tcPr>
                  <w:tcW w:w="2763" w:type="pct"/>
                  <w:tcBorders>
                    <w:left w:val="nil"/>
                  </w:tcBorders>
                </w:tcPr>
                <w:p w:rsidR="0038476A" w:rsidRPr="00553848" w:rsidRDefault="00553848" w:rsidP="00553848">
                  <w:pPr>
                    <w:pStyle w:val="TableBodyText"/>
                    <w:jc w:val="both"/>
                  </w:pPr>
                  <w:r w:rsidRPr="00553848">
                    <w:t>ACT</w:t>
                  </w:r>
                </w:p>
              </w:tc>
              <w:tc>
                <w:tcPr>
                  <w:tcW w:w="2237" w:type="pct"/>
                </w:tcPr>
                <w:p w:rsidR="0038476A" w:rsidRPr="00363CF1" w:rsidRDefault="0038476A" w:rsidP="00553848">
                  <w:pPr>
                    <w:pStyle w:val="TableBodyText"/>
                    <w:jc w:val="both"/>
                  </w:pPr>
                  <w:r>
                    <w:t>79.7</w:t>
                  </w:r>
                </w:p>
              </w:tc>
            </w:tr>
            <w:tr w:rsidR="0038476A" w:rsidRPr="0043422E" w:rsidTr="00C832CB">
              <w:trPr>
                <w:trHeight w:val="170"/>
              </w:trPr>
              <w:tc>
                <w:tcPr>
                  <w:tcW w:w="2763" w:type="pct"/>
                  <w:tcBorders>
                    <w:left w:val="nil"/>
                    <w:bottom w:val="single" w:sz="4" w:space="0" w:color="auto"/>
                  </w:tcBorders>
                </w:tcPr>
                <w:p w:rsidR="0038476A" w:rsidRPr="00553848" w:rsidRDefault="0038476A" w:rsidP="00553848">
                  <w:pPr>
                    <w:pStyle w:val="TableBodyText"/>
                    <w:jc w:val="both"/>
                  </w:pPr>
                  <w:r w:rsidRPr="00553848">
                    <w:t>Australia</w:t>
                  </w:r>
                </w:p>
              </w:tc>
              <w:tc>
                <w:tcPr>
                  <w:tcW w:w="2237" w:type="pct"/>
                  <w:tcBorders>
                    <w:bottom w:val="single" w:sz="4" w:space="0" w:color="auto"/>
                  </w:tcBorders>
                </w:tcPr>
                <w:p w:rsidR="0038476A" w:rsidRPr="00553848" w:rsidRDefault="0038476A" w:rsidP="00553848">
                  <w:pPr>
                    <w:pStyle w:val="TableBodyText"/>
                    <w:jc w:val="both"/>
                  </w:pPr>
                  <w:r w:rsidRPr="00553848">
                    <w:t>75.2</w:t>
                  </w:r>
                </w:p>
              </w:tc>
            </w:tr>
          </w:tbl>
          <w:p w:rsidR="006618E8" w:rsidRDefault="0038476A" w:rsidP="00EA735E">
            <w:pPr>
              <w:pStyle w:val="TableBodyText"/>
              <w:jc w:val="both"/>
            </w:pPr>
            <w:r w:rsidRPr="0043422E">
              <w:t>The indicat</w:t>
            </w:r>
            <w:r>
              <w:t>or has acceptable (less than 25 per cent</w:t>
            </w:r>
            <w:r w:rsidRPr="0043422E">
              <w:t>) relative standard errors (RSEs).</w:t>
            </w:r>
          </w:p>
          <w:p w:rsidR="0038476A" w:rsidRPr="00EA6964" w:rsidRDefault="0038476A" w:rsidP="00EA735E">
            <w:pPr>
              <w:pStyle w:val="TableBodyText"/>
              <w:jc w:val="both"/>
            </w:pPr>
          </w:p>
        </w:tc>
      </w:tr>
      <w:tr w:rsidR="00426CA2" w:rsidRPr="00EA6964" w:rsidTr="00877AB4">
        <w:trPr>
          <w:trHeight w:val="567"/>
        </w:trPr>
        <w:tc>
          <w:tcPr>
            <w:tcW w:w="1869" w:type="dxa"/>
          </w:tcPr>
          <w:p w:rsidR="00426CA2" w:rsidRPr="00EA6964" w:rsidRDefault="00426CA2" w:rsidP="00494185">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Coherence</w:t>
            </w:r>
          </w:p>
          <w:p w:rsidR="00426CA2" w:rsidRPr="00EA6964" w:rsidRDefault="00426CA2" w:rsidP="00494185">
            <w:pPr>
              <w:keepNext/>
              <w:keepLines/>
              <w:spacing w:after="40" w:line="220" w:lineRule="atLeast"/>
              <w:ind w:left="6" w:right="113"/>
              <w:rPr>
                <w:rFonts w:ascii="Arial" w:eastAsiaTheme="minorHAnsi" w:hAnsi="Arial" w:cstheme="minorBidi"/>
                <w:b/>
                <w:sz w:val="20"/>
                <w:szCs w:val="20"/>
                <w:lang w:eastAsia="en-US"/>
              </w:rPr>
            </w:pPr>
          </w:p>
        </w:tc>
        <w:tc>
          <w:tcPr>
            <w:tcW w:w="6951" w:type="dxa"/>
          </w:tcPr>
          <w:p w:rsidR="00426CA2" w:rsidRDefault="00D056DC" w:rsidP="00EA735E">
            <w:pPr>
              <w:pStyle w:val="TableBodyText"/>
              <w:jc w:val="both"/>
            </w:pPr>
            <w:r w:rsidRPr="00D056DC">
              <w:t>This is the fifth time the survey has been conducted in this form.  Previous surveys were conducted in 2005, 2007, 2009 and 2011. The majority of data items in the 2013 survey are directly comparable with those of the previous four surveys.</w:t>
            </w:r>
          </w:p>
          <w:p w:rsidR="00C832CB" w:rsidRPr="00EA6964" w:rsidRDefault="00C832CB" w:rsidP="00EA735E">
            <w:pPr>
              <w:pStyle w:val="TableBodyText"/>
              <w:jc w:val="both"/>
            </w:pPr>
          </w:p>
        </w:tc>
      </w:tr>
      <w:tr w:rsidR="00426CA2" w:rsidRPr="00EA6964" w:rsidTr="00877AB4">
        <w:trPr>
          <w:trHeight w:val="567"/>
        </w:trPr>
        <w:tc>
          <w:tcPr>
            <w:tcW w:w="1869" w:type="dxa"/>
          </w:tcPr>
          <w:p w:rsidR="00426CA2" w:rsidRPr="00EA6964" w:rsidRDefault="00426CA2" w:rsidP="00494185">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Accessibility</w:t>
            </w:r>
          </w:p>
          <w:p w:rsidR="00426CA2" w:rsidRPr="00EA6964" w:rsidRDefault="00426CA2" w:rsidP="00494185">
            <w:pPr>
              <w:keepNext/>
              <w:keepLines/>
              <w:spacing w:after="40" w:line="220" w:lineRule="atLeast"/>
              <w:ind w:left="6" w:right="113"/>
              <w:rPr>
                <w:rFonts w:ascii="Arial" w:eastAsiaTheme="minorHAnsi" w:hAnsi="Arial" w:cstheme="minorBidi"/>
                <w:b/>
                <w:sz w:val="20"/>
                <w:szCs w:val="20"/>
                <w:lang w:eastAsia="en-US"/>
              </w:rPr>
            </w:pPr>
          </w:p>
        </w:tc>
        <w:tc>
          <w:tcPr>
            <w:tcW w:w="6951" w:type="dxa"/>
          </w:tcPr>
          <w:p w:rsidR="00C832CB" w:rsidRDefault="001621F2" w:rsidP="00EA735E">
            <w:pPr>
              <w:pStyle w:val="TableBodyText"/>
              <w:jc w:val="both"/>
            </w:pPr>
            <w:r>
              <w:t xml:space="preserve">Results of the survey are available free of charge on </w:t>
            </w:r>
            <w:proofErr w:type="spellStart"/>
            <w:r>
              <w:t>NCVER’s</w:t>
            </w:r>
            <w:proofErr w:type="spellEnd"/>
            <w:r>
              <w:t xml:space="preserve"> website at: http://</w:t>
            </w:r>
            <w:proofErr w:type="spellStart"/>
            <w:r>
              <w:t>www.ncver.edu.au</w:t>
            </w:r>
            <w:proofErr w:type="spellEnd"/>
            <w:r>
              <w:t>/statistic/</w:t>
            </w:r>
            <w:proofErr w:type="spellStart"/>
            <w:r>
              <w:t>21066.html</w:t>
            </w:r>
            <w:proofErr w:type="spellEnd"/>
            <w:r>
              <w:t xml:space="preserve">. Requests for more detailed statistical information or further information about the Survey of Employers’ </w:t>
            </w:r>
          </w:p>
          <w:p w:rsidR="00C832CB" w:rsidRDefault="00C832CB" w:rsidP="00EA735E">
            <w:pPr>
              <w:pStyle w:val="TableBodyText"/>
              <w:jc w:val="both"/>
            </w:pPr>
          </w:p>
          <w:p w:rsidR="001621F2" w:rsidRDefault="001621F2" w:rsidP="00EA735E">
            <w:pPr>
              <w:pStyle w:val="TableBodyText"/>
              <w:jc w:val="both"/>
            </w:pPr>
            <w:r>
              <w:t xml:space="preserve">Use and Views of the VET System can be made to: </w:t>
            </w:r>
          </w:p>
          <w:p w:rsidR="001621F2" w:rsidRDefault="001621F2" w:rsidP="00EA735E">
            <w:pPr>
              <w:pStyle w:val="TableBodyText"/>
              <w:jc w:val="both"/>
            </w:pPr>
            <w:r>
              <w:t xml:space="preserve">NCVER on (08) 8230 8400 or </w:t>
            </w:r>
            <w:proofErr w:type="spellStart"/>
            <w:r>
              <w:t>surveys_req@ncver.edu.au</w:t>
            </w:r>
            <w:proofErr w:type="spellEnd"/>
          </w:p>
          <w:p w:rsidR="00C832CB" w:rsidRDefault="00C832CB" w:rsidP="00EA735E">
            <w:pPr>
              <w:pStyle w:val="TableBodyText"/>
              <w:jc w:val="both"/>
            </w:pPr>
          </w:p>
          <w:p w:rsidR="00426CA2" w:rsidRDefault="001621F2" w:rsidP="00EA735E">
            <w:pPr>
              <w:pStyle w:val="TableBodyText"/>
              <w:jc w:val="both"/>
            </w:pPr>
            <w:r>
              <w:t xml:space="preserve">A charge will be generally made by the NCVER for more complex requests for information. See </w:t>
            </w:r>
            <w:proofErr w:type="spellStart"/>
            <w:r>
              <w:t>NCVER’s</w:t>
            </w:r>
            <w:proofErr w:type="spellEnd"/>
            <w:r>
              <w:t xml:space="preserve"> fees and charges policy at </w:t>
            </w:r>
            <w:hyperlink r:id="rId21" w:history="1">
              <w:r w:rsidR="00C832CB" w:rsidRPr="00020B48">
                <w:rPr>
                  <w:rStyle w:val="Hyperlink"/>
                </w:rPr>
                <w:t>http://</w:t>
              </w:r>
              <w:proofErr w:type="spellStart"/>
              <w:r w:rsidR="00C832CB" w:rsidRPr="00020B48">
                <w:rPr>
                  <w:rStyle w:val="Hyperlink"/>
                </w:rPr>
                <w:t>www.ncver.edu.au</w:t>
              </w:r>
              <w:proofErr w:type="spellEnd"/>
              <w:r w:rsidR="00C832CB" w:rsidRPr="00020B48">
                <w:rPr>
                  <w:rStyle w:val="Hyperlink"/>
                </w:rPr>
                <w:t>/statistic/</w:t>
              </w:r>
              <w:proofErr w:type="spellStart"/>
              <w:r w:rsidR="00C832CB" w:rsidRPr="00020B48">
                <w:rPr>
                  <w:rStyle w:val="Hyperlink"/>
                </w:rPr>
                <w:t>21075.html</w:t>
              </w:r>
              <w:proofErr w:type="spellEnd"/>
            </w:hyperlink>
          </w:p>
          <w:p w:rsidR="00C832CB" w:rsidRPr="001532CD" w:rsidRDefault="00C832CB" w:rsidP="00EA735E">
            <w:pPr>
              <w:pStyle w:val="TableBodyText"/>
              <w:jc w:val="both"/>
            </w:pPr>
          </w:p>
        </w:tc>
      </w:tr>
      <w:tr w:rsidR="00426CA2" w:rsidRPr="00EA6964" w:rsidTr="00877AB4">
        <w:trPr>
          <w:trHeight w:val="567"/>
        </w:trPr>
        <w:tc>
          <w:tcPr>
            <w:tcW w:w="1869" w:type="dxa"/>
          </w:tcPr>
          <w:p w:rsidR="00426CA2" w:rsidRPr="00EA6964" w:rsidRDefault="00426CA2" w:rsidP="00494185">
            <w:pPr>
              <w:keepNext/>
              <w:keepLines/>
              <w:spacing w:after="40" w:line="220" w:lineRule="atLeast"/>
              <w:ind w:left="6" w:right="113"/>
              <w:jc w:val="both"/>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Interpretability</w:t>
            </w:r>
          </w:p>
        </w:tc>
        <w:tc>
          <w:tcPr>
            <w:tcW w:w="6951" w:type="dxa"/>
          </w:tcPr>
          <w:p w:rsidR="001621F2" w:rsidRDefault="001621F2" w:rsidP="00EA735E">
            <w:pPr>
              <w:pStyle w:val="TableBodyText"/>
              <w:jc w:val="both"/>
            </w:pPr>
            <w:r>
              <w:t>To aid interpretation of the data, information on the Survey of Employers’ Use and Views of the VET System is available on the NCVER website.</w:t>
            </w:r>
          </w:p>
          <w:p w:rsidR="00426CA2" w:rsidRPr="00EA6964" w:rsidRDefault="001621F2" w:rsidP="00EA735E">
            <w:pPr>
              <w:pStyle w:val="TableBodyText"/>
              <w:jc w:val="both"/>
            </w:pPr>
            <w:r>
              <w:t>The survey uses the Australian and New Zealand Standard Industry Classification (</w:t>
            </w:r>
            <w:proofErr w:type="spellStart"/>
            <w:r>
              <w:t>ANZSIC</w:t>
            </w:r>
            <w:proofErr w:type="spellEnd"/>
            <w:r>
              <w:t>).</w:t>
            </w:r>
          </w:p>
        </w:tc>
      </w:tr>
    </w:tbl>
    <w:p w:rsidR="00426CA2" w:rsidRPr="00426CA2" w:rsidRDefault="00426CA2">
      <w:r>
        <w:br w:type="page"/>
      </w:r>
    </w:p>
    <w:p w:rsidR="006315F9" w:rsidRPr="00BE5216" w:rsidRDefault="006315F9" w:rsidP="006315F9">
      <w:pPr>
        <w:pStyle w:val="Heading3"/>
        <w:spacing w:after="360"/>
      </w:pPr>
      <w:bookmarkStart w:id="37" w:name="_Ref382927894"/>
      <w:r w:rsidRPr="00BE5216">
        <w:t>Data quality statement — Indicator 3 — Proportion of working age population with adequate foundation skills (literacy level 3 or above)</w:t>
      </w:r>
      <w:bookmarkEnd w:id="36"/>
      <w:bookmarkEnd w:id="37"/>
    </w:p>
    <w:tbl>
      <w:tblPr>
        <w:tblW w:w="8820" w:type="dxa"/>
        <w:tblInd w:w="108" w:type="dxa"/>
        <w:tblLayout w:type="fixed"/>
        <w:tblLook w:val="01E0" w:firstRow="1" w:lastRow="1" w:firstColumn="1" w:lastColumn="1" w:noHBand="0" w:noVBand="0"/>
      </w:tblPr>
      <w:tblGrid>
        <w:gridCol w:w="1869"/>
        <w:gridCol w:w="6951"/>
      </w:tblGrid>
      <w:tr w:rsidR="006315F9" w:rsidRPr="00EA6964" w:rsidTr="00877AB4">
        <w:trPr>
          <w:trHeight w:val="567"/>
        </w:trPr>
        <w:tc>
          <w:tcPr>
            <w:tcW w:w="1869" w:type="dxa"/>
          </w:tcPr>
          <w:p w:rsidR="006315F9" w:rsidRPr="00EA6964" w:rsidRDefault="006315F9" w:rsidP="00E559C8">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Outcome</w:t>
            </w:r>
          </w:p>
        </w:tc>
        <w:tc>
          <w:tcPr>
            <w:tcW w:w="6951" w:type="dxa"/>
          </w:tcPr>
          <w:p w:rsidR="006315F9" w:rsidRPr="00EA6964" w:rsidRDefault="00581572" w:rsidP="00EA735E">
            <w:pPr>
              <w:pStyle w:val="TableBodyText"/>
              <w:jc w:val="both"/>
            </w:pPr>
            <w:r w:rsidRPr="00581572">
              <w:t>All working age Australians have the opportunity to develop skills</w:t>
            </w:r>
          </w:p>
        </w:tc>
      </w:tr>
      <w:tr w:rsidR="006315F9" w:rsidRPr="00EA6964" w:rsidTr="00877AB4">
        <w:trPr>
          <w:trHeight w:val="567"/>
        </w:trPr>
        <w:tc>
          <w:tcPr>
            <w:tcW w:w="1869" w:type="dxa"/>
          </w:tcPr>
          <w:p w:rsidR="006315F9" w:rsidRPr="00EA6964" w:rsidRDefault="006315F9" w:rsidP="00E559C8">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Indicator</w:t>
            </w:r>
          </w:p>
        </w:tc>
        <w:tc>
          <w:tcPr>
            <w:tcW w:w="6951" w:type="dxa"/>
          </w:tcPr>
          <w:p w:rsidR="006315F9" w:rsidRDefault="008B66F5" w:rsidP="00EA735E">
            <w:pPr>
              <w:pStyle w:val="TableBodyText"/>
              <w:jc w:val="both"/>
            </w:pPr>
            <w:r w:rsidRPr="008B66F5">
              <w:t>Proportion of Working Age Population with Adequate Foundation Skills (Literacy Level 3 or Above)</w:t>
            </w:r>
          </w:p>
          <w:p w:rsidR="00581572" w:rsidRPr="00EA6964" w:rsidRDefault="00581572" w:rsidP="00EA735E">
            <w:pPr>
              <w:pStyle w:val="TableBodyText"/>
              <w:jc w:val="both"/>
            </w:pPr>
          </w:p>
        </w:tc>
      </w:tr>
      <w:tr w:rsidR="006315F9" w:rsidRPr="00EA6964" w:rsidTr="00877AB4">
        <w:trPr>
          <w:trHeight w:val="567"/>
        </w:trPr>
        <w:tc>
          <w:tcPr>
            <w:tcW w:w="1869" w:type="dxa"/>
          </w:tcPr>
          <w:p w:rsidR="006315F9" w:rsidRPr="00EA6964" w:rsidRDefault="006315F9" w:rsidP="00E559C8">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Measure (computation)</w:t>
            </w:r>
          </w:p>
        </w:tc>
        <w:tc>
          <w:tcPr>
            <w:tcW w:w="6951" w:type="dxa"/>
          </w:tcPr>
          <w:p w:rsidR="008B66F5" w:rsidRDefault="008B66F5" w:rsidP="00EA735E">
            <w:pPr>
              <w:pStyle w:val="TableBodyText"/>
              <w:jc w:val="both"/>
            </w:pPr>
            <w:r>
              <w:t xml:space="preserve">Persons aged 20–64 years with PIAAC Literacy and Numeracy Levels Below 1/1,2,3 and 4/5. </w:t>
            </w:r>
          </w:p>
          <w:p w:rsidR="008B66F5" w:rsidRDefault="008B66F5" w:rsidP="00EA735E">
            <w:pPr>
              <w:pStyle w:val="TableBodyText"/>
              <w:jc w:val="both"/>
            </w:pPr>
          </w:p>
          <w:p w:rsidR="008B66F5" w:rsidRDefault="004C13C5" w:rsidP="00EA735E">
            <w:pPr>
              <w:pStyle w:val="TableBullet"/>
              <w:jc w:val="both"/>
            </w:pPr>
            <w:r>
              <w:rPr>
                <w:i/>
              </w:rPr>
              <w:t>n</w:t>
            </w:r>
            <w:r w:rsidR="008B66F5" w:rsidRPr="004C13C5">
              <w:rPr>
                <w:i/>
              </w:rPr>
              <w:t>umerator</w:t>
            </w:r>
            <w:r>
              <w:t xml:space="preserve"> — N</w:t>
            </w:r>
            <w:r w:rsidR="008B66F5">
              <w:t>umber of persons aged 20–64 years with literacy or numeracy skills at levels Below 1/1, 2, 3 and 4/5.</w:t>
            </w:r>
          </w:p>
          <w:p w:rsidR="006315F9" w:rsidRDefault="004C13C5" w:rsidP="00EA735E">
            <w:pPr>
              <w:pStyle w:val="TableBullet"/>
              <w:jc w:val="both"/>
            </w:pPr>
            <w:r>
              <w:rPr>
                <w:i/>
              </w:rPr>
              <w:t>d</w:t>
            </w:r>
            <w:r w:rsidR="008B66F5" w:rsidRPr="004C13C5">
              <w:rPr>
                <w:i/>
              </w:rPr>
              <w:t>enominator</w:t>
            </w:r>
            <w:r>
              <w:rPr>
                <w:i/>
              </w:rPr>
              <w:t xml:space="preserve"> —</w:t>
            </w:r>
            <w:r>
              <w:t xml:space="preserve"> </w:t>
            </w:r>
            <w:r w:rsidR="008B66F5">
              <w:t>Total population of persons aged 20–64 years.</w:t>
            </w:r>
          </w:p>
          <w:p w:rsidR="004C13C5" w:rsidRPr="00EA6964" w:rsidRDefault="004C13C5" w:rsidP="00EA735E">
            <w:pPr>
              <w:pStyle w:val="TableBodyText"/>
              <w:jc w:val="both"/>
            </w:pPr>
          </w:p>
        </w:tc>
      </w:tr>
      <w:tr w:rsidR="006315F9" w:rsidRPr="00EA6964" w:rsidTr="00877AB4">
        <w:trPr>
          <w:trHeight w:val="567"/>
        </w:trPr>
        <w:tc>
          <w:tcPr>
            <w:tcW w:w="1869" w:type="dxa"/>
          </w:tcPr>
          <w:p w:rsidR="006315F9" w:rsidRPr="00EA6964" w:rsidRDefault="006315F9" w:rsidP="00E559C8">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Data source/s</w:t>
            </w:r>
          </w:p>
        </w:tc>
        <w:tc>
          <w:tcPr>
            <w:tcW w:w="6951" w:type="dxa"/>
          </w:tcPr>
          <w:p w:rsidR="006315F9" w:rsidRDefault="008B66F5" w:rsidP="00EA735E">
            <w:pPr>
              <w:pStyle w:val="TableBullet"/>
              <w:jc w:val="both"/>
            </w:pPr>
            <w:r w:rsidRPr="004C13C5">
              <w:rPr>
                <w:i/>
              </w:rPr>
              <w:t>Numerator and denominator</w:t>
            </w:r>
            <w:r w:rsidR="004C13C5">
              <w:rPr>
                <w:i/>
              </w:rPr>
              <w:t xml:space="preserve"> —</w:t>
            </w:r>
            <w:r w:rsidR="004C13C5">
              <w:t xml:space="preserve"> </w:t>
            </w:r>
            <w:r>
              <w:t>The Australian component of the Programme for the International Assessment of Adult Competencies (PIAAC). PIAAC is an international survey (being conducted in 24 countries) coordinated by the Organisation for Economic Cooperation and Development (OECD).</w:t>
            </w:r>
          </w:p>
          <w:p w:rsidR="004C13C5" w:rsidRPr="00EA6964" w:rsidRDefault="004C13C5" w:rsidP="00EA735E">
            <w:pPr>
              <w:pStyle w:val="TableBodyText"/>
              <w:jc w:val="both"/>
            </w:pPr>
          </w:p>
        </w:tc>
      </w:tr>
      <w:tr w:rsidR="006315F9" w:rsidRPr="00EA6964" w:rsidTr="00877AB4">
        <w:trPr>
          <w:trHeight w:val="567"/>
        </w:trPr>
        <w:tc>
          <w:tcPr>
            <w:tcW w:w="1869" w:type="dxa"/>
          </w:tcPr>
          <w:p w:rsidR="006315F9" w:rsidRPr="00EA6964" w:rsidRDefault="006315F9" w:rsidP="00E559C8">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Institutional environment</w:t>
            </w:r>
          </w:p>
        </w:tc>
        <w:tc>
          <w:tcPr>
            <w:tcW w:w="6951" w:type="dxa"/>
          </w:tcPr>
          <w:p w:rsidR="008B66F5" w:rsidRDefault="008B66F5" w:rsidP="00EA735E">
            <w:pPr>
              <w:pStyle w:val="TableBodyText"/>
              <w:jc w:val="both"/>
            </w:pPr>
            <w:r>
              <w:t>PIAAC in Australia was collected by the ABS under the Census and Statistics Act 1905.</w:t>
            </w:r>
          </w:p>
          <w:p w:rsidR="008B66F5" w:rsidRDefault="008B66F5" w:rsidP="00EA735E">
            <w:pPr>
              <w:pStyle w:val="TableBodyText"/>
              <w:jc w:val="both"/>
            </w:pPr>
          </w:p>
          <w:p w:rsidR="006315F9" w:rsidRDefault="008B66F5" w:rsidP="00EA735E">
            <w:pPr>
              <w:pStyle w:val="TableBodyText"/>
              <w:jc w:val="both"/>
            </w:pPr>
            <w:r>
              <w:t>For information on the institutional environment of the ABS, including the legislative obligations of the ABS, financing and government arrangements, and mechanisms for scrutiny of ABS operations, see ABS Institutional Environment.</w:t>
            </w:r>
          </w:p>
          <w:p w:rsidR="004C13C5" w:rsidRPr="00EA6964" w:rsidRDefault="004C13C5" w:rsidP="00EA735E">
            <w:pPr>
              <w:pStyle w:val="TableBodyText"/>
              <w:jc w:val="both"/>
            </w:pPr>
          </w:p>
        </w:tc>
      </w:tr>
      <w:tr w:rsidR="006315F9" w:rsidRPr="00EA6964" w:rsidTr="00877AB4">
        <w:trPr>
          <w:trHeight w:val="567"/>
        </w:trPr>
        <w:tc>
          <w:tcPr>
            <w:tcW w:w="1869" w:type="dxa"/>
          </w:tcPr>
          <w:p w:rsidR="006315F9" w:rsidRPr="00EA6964" w:rsidRDefault="006315F9" w:rsidP="00E559C8">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Relevance</w:t>
            </w:r>
          </w:p>
          <w:p w:rsidR="006315F9" w:rsidRPr="00EA6964" w:rsidRDefault="006315F9" w:rsidP="00E559C8">
            <w:pPr>
              <w:keepNext/>
              <w:keepLines/>
              <w:spacing w:after="40" w:line="220" w:lineRule="atLeast"/>
              <w:ind w:left="6" w:right="113"/>
              <w:rPr>
                <w:rFonts w:ascii="Arial" w:eastAsiaTheme="minorHAnsi" w:hAnsi="Arial" w:cstheme="minorBidi"/>
                <w:b/>
                <w:sz w:val="20"/>
                <w:szCs w:val="20"/>
                <w:lang w:eastAsia="en-US"/>
              </w:rPr>
            </w:pPr>
          </w:p>
        </w:tc>
        <w:tc>
          <w:tcPr>
            <w:tcW w:w="6951" w:type="dxa"/>
          </w:tcPr>
          <w:p w:rsidR="008B66F5" w:rsidRDefault="008B66F5" w:rsidP="00EA735E">
            <w:pPr>
              <w:pStyle w:val="TableBodyText"/>
              <w:jc w:val="both"/>
            </w:pPr>
            <w:r>
              <w:t xml:space="preserve">PIAAC data are available by state/territory. The PIAAC did not collect data from people in Indigenous communities or people in very remote areas. </w:t>
            </w:r>
          </w:p>
          <w:p w:rsidR="008B66F5" w:rsidRDefault="008B66F5" w:rsidP="00EA735E">
            <w:pPr>
              <w:pStyle w:val="TableBodyText"/>
              <w:jc w:val="both"/>
            </w:pPr>
          </w:p>
          <w:p w:rsidR="006315F9" w:rsidRDefault="008B66F5" w:rsidP="00EA735E">
            <w:pPr>
              <w:pStyle w:val="TableBodyText"/>
              <w:jc w:val="both"/>
            </w:pPr>
            <w:r>
              <w:t>The levels describe the skills of the population in key foundation skills including literacy and numeracy.</w:t>
            </w:r>
          </w:p>
          <w:p w:rsidR="004C13C5" w:rsidRPr="00EA6964" w:rsidRDefault="004C13C5" w:rsidP="00EA735E">
            <w:pPr>
              <w:pStyle w:val="TableBodyText"/>
              <w:jc w:val="both"/>
            </w:pPr>
          </w:p>
        </w:tc>
      </w:tr>
      <w:tr w:rsidR="006315F9" w:rsidRPr="00EA6964" w:rsidTr="00877AB4">
        <w:trPr>
          <w:trHeight w:val="567"/>
        </w:trPr>
        <w:tc>
          <w:tcPr>
            <w:tcW w:w="1869" w:type="dxa"/>
          </w:tcPr>
          <w:p w:rsidR="006315F9" w:rsidRPr="00EA6964" w:rsidRDefault="006315F9" w:rsidP="00E559C8">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Timeliness</w:t>
            </w:r>
          </w:p>
          <w:p w:rsidR="006315F9" w:rsidRPr="00EA6964" w:rsidRDefault="006315F9" w:rsidP="00E559C8">
            <w:pPr>
              <w:keepNext/>
              <w:keepLines/>
              <w:spacing w:after="40" w:line="220" w:lineRule="atLeast"/>
              <w:ind w:left="6" w:right="113"/>
              <w:rPr>
                <w:rFonts w:ascii="Arial" w:eastAsiaTheme="minorHAnsi" w:hAnsi="Arial" w:cstheme="minorBidi"/>
                <w:b/>
                <w:sz w:val="20"/>
                <w:szCs w:val="20"/>
                <w:lang w:eastAsia="en-US"/>
              </w:rPr>
            </w:pPr>
          </w:p>
        </w:tc>
        <w:tc>
          <w:tcPr>
            <w:tcW w:w="6951" w:type="dxa"/>
          </w:tcPr>
          <w:p w:rsidR="008B66F5" w:rsidRDefault="008B66F5" w:rsidP="00EA735E">
            <w:pPr>
              <w:pStyle w:val="TableBodyText"/>
              <w:jc w:val="both"/>
            </w:pPr>
            <w:r>
              <w:t xml:space="preserve">PIAAC was conducted from October 2011 to March 2012. OECD proposes to undertake the PIAAC survey internationally every 10 years. </w:t>
            </w:r>
          </w:p>
          <w:p w:rsidR="006315F9" w:rsidRDefault="008B66F5" w:rsidP="00EA735E">
            <w:pPr>
              <w:pStyle w:val="TableBodyText"/>
              <w:jc w:val="both"/>
            </w:pPr>
            <w:r>
              <w:t>The literacy and numeracy scores for the earlier surveys, the 1996 Survey of Aspects of Literacy (SAL) and the 2006 Adult Literacy and Life skills Survey (ALLS), have been remodelled to allow comparisons with scores from PIAAC. However, ABS recommends that time series not be used for National Agreement reporting at this stage.</w:t>
            </w:r>
          </w:p>
          <w:p w:rsidR="004C13C5" w:rsidRPr="00EA6964" w:rsidRDefault="004C13C5" w:rsidP="00EA735E">
            <w:pPr>
              <w:pStyle w:val="TableBodyText"/>
              <w:jc w:val="both"/>
            </w:pPr>
          </w:p>
        </w:tc>
      </w:tr>
      <w:tr w:rsidR="006315F9" w:rsidRPr="00EA6964" w:rsidTr="00877AB4">
        <w:trPr>
          <w:trHeight w:val="100"/>
        </w:trPr>
        <w:tc>
          <w:tcPr>
            <w:tcW w:w="1869" w:type="dxa"/>
          </w:tcPr>
          <w:p w:rsidR="006315F9" w:rsidRPr="00EA6964" w:rsidRDefault="006315F9" w:rsidP="00E559C8">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Accuracy</w:t>
            </w:r>
          </w:p>
          <w:p w:rsidR="006315F9" w:rsidRPr="00EA6964" w:rsidRDefault="006315F9" w:rsidP="00E559C8">
            <w:pPr>
              <w:keepNext/>
              <w:keepLines/>
              <w:spacing w:after="40" w:line="220" w:lineRule="atLeast"/>
              <w:ind w:left="6" w:right="113"/>
              <w:rPr>
                <w:rFonts w:ascii="Arial" w:eastAsiaTheme="minorHAnsi" w:hAnsi="Arial" w:cstheme="minorBidi"/>
                <w:b/>
                <w:sz w:val="20"/>
                <w:szCs w:val="20"/>
                <w:lang w:eastAsia="en-US"/>
              </w:rPr>
            </w:pPr>
          </w:p>
        </w:tc>
        <w:tc>
          <w:tcPr>
            <w:tcW w:w="6951" w:type="dxa"/>
          </w:tcPr>
          <w:p w:rsidR="008B66F5" w:rsidRDefault="008B66F5" w:rsidP="00EA735E">
            <w:pPr>
              <w:pStyle w:val="TableBodyText"/>
              <w:jc w:val="both"/>
            </w:pPr>
            <w:r>
              <w:t>PIAAC was designed to provide reliable estimates at the national level and for each state and territory.</w:t>
            </w:r>
          </w:p>
          <w:p w:rsidR="008B66F5" w:rsidRDefault="008B66F5" w:rsidP="00EA735E">
            <w:pPr>
              <w:pStyle w:val="TableBodyText"/>
              <w:jc w:val="both"/>
            </w:pPr>
          </w:p>
          <w:p w:rsidR="008B66F5" w:rsidRDefault="008B66F5" w:rsidP="00EA735E">
            <w:pPr>
              <w:pStyle w:val="TableBodyText"/>
              <w:jc w:val="both"/>
            </w:pPr>
            <w:r>
              <w:t>Dwellings in each state and territory were selected at random using a multi-stage area sample. The sample included only private dwellings from the geographic areas covered by the survey.</w:t>
            </w:r>
          </w:p>
          <w:p w:rsidR="008B66F5" w:rsidRDefault="008B66F5" w:rsidP="00EA735E">
            <w:pPr>
              <w:pStyle w:val="TableBodyText"/>
              <w:jc w:val="both"/>
            </w:pPr>
          </w:p>
          <w:p w:rsidR="008B66F5" w:rsidRDefault="008B66F5" w:rsidP="00EA735E">
            <w:pPr>
              <w:pStyle w:val="TableBodyText"/>
              <w:jc w:val="both"/>
            </w:pPr>
            <w:r>
              <w:t>The initial sample for PIAAC consisted of 14</w:t>
            </w:r>
            <w:r w:rsidR="00553848">
              <w:t> </w:t>
            </w:r>
            <w:r>
              <w:t>442 private dwellings. Of the 11</w:t>
            </w:r>
            <w:r w:rsidR="00553848">
              <w:t> </w:t>
            </w:r>
            <w:r>
              <w:t>532 households that remained in the survey after sample loss, 8</w:t>
            </w:r>
            <w:r w:rsidR="00553848">
              <w:t> </w:t>
            </w:r>
            <w:r>
              <w:t>446 (73</w:t>
            </w:r>
            <w:r w:rsidR="00553848">
              <w:t xml:space="preserve"> per cent</w:t>
            </w:r>
            <w:r>
              <w:t>) were fully responding or provided sufficient detail for scores to be determined.</w:t>
            </w:r>
          </w:p>
          <w:p w:rsidR="008B66F5" w:rsidRDefault="008B66F5" w:rsidP="00EA735E">
            <w:pPr>
              <w:pStyle w:val="TableBodyText"/>
              <w:jc w:val="both"/>
            </w:pPr>
          </w:p>
          <w:p w:rsidR="008B66F5" w:rsidRDefault="008B66F5" w:rsidP="00EA735E">
            <w:pPr>
              <w:pStyle w:val="TableBodyText"/>
              <w:jc w:val="both"/>
            </w:pPr>
            <w:r>
              <w:t>Data were collected by trained ABS interviewers who conducted computer-assisted personal interviews. An in-scope household respondent was randomly selected to be interviewed and asked background information before undertaking a self-enumeration exercise on their literacy, numeracy and problem solving skills in technology-rich environments. Respondents either completed the exercise on the notebook computer or on paper. Respondents who passed the core stage proceeded to the main exercise. Those who failed the core stage were directed to the Reading Components booklet, which was designed to measure basic reading skills.</w:t>
            </w:r>
          </w:p>
          <w:p w:rsidR="008B66F5" w:rsidRDefault="008B66F5" w:rsidP="00EA735E">
            <w:pPr>
              <w:pStyle w:val="TableBodyText"/>
              <w:jc w:val="both"/>
            </w:pPr>
          </w:p>
          <w:p w:rsidR="008B66F5" w:rsidRDefault="008B66F5" w:rsidP="00EA735E">
            <w:pPr>
              <w:pStyle w:val="TableBodyText"/>
              <w:jc w:val="both"/>
            </w:pPr>
            <w:r>
              <w:t>To minimise respondent burden, respondents completed exercise tasks in only one or two of the skill domains. PIAAC then used multiple imputation methodology to obtain proficiency scores for each respondent for the skill domains for which the respondent was not required to do an exercise.</w:t>
            </w:r>
          </w:p>
          <w:p w:rsidR="008B66F5" w:rsidRDefault="008B66F5" w:rsidP="00EA735E">
            <w:pPr>
              <w:pStyle w:val="TableBodyText"/>
              <w:jc w:val="both"/>
            </w:pPr>
          </w:p>
          <w:p w:rsidR="008B66F5" w:rsidRDefault="008B66F5" w:rsidP="00EA735E">
            <w:pPr>
              <w:pStyle w:val="TableBodyText"/>
              <w:jc w:val="both"/>
            </w:pPr>
            <w:r>
              <w:t>Two initial weighting adjustment factors were applied:</w:t>
            </w:r>
          </w:p>
          <w:p w:rsidR="008B66F5" w:rsidRDefault="008B66F5" w:rsidP="00EA735E">
            <w:pPr>
              <w:pStyle w:val="TableBullet"/>
              <w:jc w:val="both"/>
            </w:pPr>
            <w:r>
              <w:t>A literacy-related non-response adjustment to ensure that people who could not complete the questionnaire for a literacy or language reason.</w:t>
            </w:r>
          </w:p>
          <w:p w:rsidR="008B66F5" w:rsidRDefault="008B66F5" w:rsidP="00EA735E">
            <w:pPr>
              <w:pStyle w:val="TableBullet"/>
              <w:jc w:val="both"/>
            </w:pPr>
            <w:r>
              <w:t>A non-literacy-related non-response adjustment to adjust for people who were not able to complete the questionnaire for other reasons.</w:t>
            </w:r>
          </w:p>
          <w:p w:rsidR="008B66F5" w:rsidRDefault="008B66F5" w:rsidP="00EA735E">
            <w:pPr>
              <w:pStyle w:val="TableBodyText"/>
              <w:jc w:val="both"/>
            </w:pPr>
          </w:p>
          <w:p w:rsidR="008B66F5" w:rsidRDefault="008B66F5" w:rsidP="00EA735E">
            <w:pPr>
              <w:pStyle w:val="TableBodyText"/>
              <w:jc w:val="both"/>
            </w:pPr>
            <w:r>
              <w:t>The weights were then adjusted to align with independent estimates of the population.</w:t>
            </w:r>
          </w:p>
          <w:p w:rsidR="008B66F5" w:rsidRDefault="008B66F5" w:rsidP="00EA735E">
            <w:pPr>
              <w:pStyle w:val="TableBodyText"/>
              <w:jc w:val="both"/>
            </w:pPr>
          </w:p>
          <w:p w:rsidR="008B66F5" w:rsidRDefault="008B66F5" w:rsidP="00EA735E">
            <w:pPr>
              <w:pStyle w:val="TableBodyText"/>
              <w:jc w:val="both"/>
            </w:pPr>
            <w:r>
              <w:t>Data with a relative standard error of between 25</w:t>
            </w:r>
            <w:r w:rsidR="004C13C5">
              <w:t xml:space="preserve"> per cent</w:t>
            </w:r>
            <w:r>
              <w:t xml:space="preserve"> and 50</w:t>
            </w:r>
            <w:r w:rsidR="004C13C5">
              <w:t xml:space="preserve"> per cent </w:t>
            </w:r>
            <w:r>
              <w:t>should be used with caution while data with a relative standard error greater than 50</w:t>
            </w:r>
            <w:r w:rsidR="004C13C5">
              <w:t xml:space="preserve"> per cent </w:t>
            </w:r>
            <w:r>
              <w:t>is considered too unreliable for general use.</w:t>
            </w:r>
          </w:p>
          <w:p w:rsidR="008B66F5" w:rsidRDefault="008B66F5" w:rsidP="00EA735E">
            <w:pPr>
              <w:pStyle w:val="TableBodyText"/>
              <w:jc w:val="both"/>
            </w:pPr>
          </w:p>
          <w:p w:rsidR="006315F9" w:rsidRDefault="008B66F5" w:rsidP="00EA735E">
            <w:pPr>
              <w:pStyle w:val="TableBodyText"/>
              <w:jc w:val="both"/>
            </w:pPr>
            <w:r>
              <w:t>PIAAC estimates include significant imputation variability, due to the use of multiple possible assessment modules and the complex literacy scaling procedures. The effect of the plausible scoring methodology on the estimation is included in the calculated RSEs. For more detail see the technical note on data quality statement in the PIAAC publication (cat. no. 4228.0).</w:t>
            </w:r>
          </w:p>
          <w:p w:rsidR="004C13C5" w:rsidRPr="00EA6964" w:rsidRDefault="004C13C5" w:rsidP="00EA735E">
            <w:pPr>
              <w:pStyle w:val="TableBodyText"/>
              <w:jc w:val="both"/>
            </w:pPr>
          </w:p>
        </w:tc>
      </w:tr>
      <w:tr w:rsidR="006315F9" w:rsidRPr="00EA6964" w:rsidTr="00877AB4">
        <w:trPr>
          <w:trHeight w:val="567"/>
        </w:trPr>
        <w:tc>
          <w:tcPr>
            <w:tcW w:w="1869" w:type="dxa"/>
          </w:tcPr>
          <w:p w:rsidR="006315F9" w:rsidRPr="00EA6964" w:rsidRDefault="006315F9" w:rsidP="00E559C8">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Coherence</w:t>
            </w:r>
          </w:p>
          <w:p w:rsidR="006315F9" w:rsidRPr="00EA6964" w:rsidRDefault="006315F9" w:rsidP="00E559C8">
            <w:pPr>
              <w:keepNext/>
              <w:keepLines/>
              <w:spacing w:after="40" w:line="220" w:lineRule="atLeast"/>
              <w:ind w:left="6" w:right="113"/>
              <w:rPr>
                <w:rFonts w:ascii="Arial" w:eastAsiaTheme="minorHAnsi" w:hAnsi="Arial" w:cstheme="minorBidi"/>
                <w:b/>
                <w:sz w:val="20"/>
                <w:szCs w:val="20"/>
                <w:lang w:eastAsia="en-US"/>
              </w:rPr>
            </w:pPr>
          </w:p>
        </w:tc>
        <w:tc>
          <w:tcPr>
            <w:tcW w:w="6951" w:type="dxa"/>
          </w:tcPr>
          <w:p w:rsidR="008B66F5" w:rsidRDefault="008B66F5" w:rsidP="00EA735E">
            <w:pPr>
              <w:pStyle w:val="TableBodyText"/>
              <w:jc w:val="both"/>
            </w:pPr>
            <w:r>
              <w:t>Both the numerator and denominator come from PIAAC.</w:t>
            </w:r>
          </w:p>
          <w:p w:rsidR="004C13C5" w:rsidRDefault="004C13C5" w:rsidP="00EA735E">
            <w:pPr>
              <w:pStyle w:val="TableBodyText"/>
              <w:jc w:val="both"/>
            </w:pPr>
          </w:p>
          <w:p w:rsidR="008B66F5" w:rsidRDefault="008B66F5" w:rsidP="00EA735E">
            <w:pPr>
              <w:pStyle w:val="TableBodyText"/>
              <w:jc w:val="both"/>
            </w:pPr>
            <w:r>
              <w:t>While it was intended that data from PIAAC would be comparable with ALLS (literacy and numeracy) and SAL  (literacy) data (following those surveys being rescored), analysis undertaken by the ABS and internationally has shown that in some cases the observed trend is difficult to reconcile with other known factors and is not fully explained by sampling variability. Further work needs to be undertaken to determine whether this constitutes a break in series. ABS recommends that caution be used when comparing results from PIAAC with earlier surveys, and recommends that a time series not be used for National Agreement reporting at this stage.</w:t>
            </w:r>
          </w:p>
          <w:p w:rsidR="008B66F5" w:rsidRDefault="008B66F5" w:rsidP="00EA735E">
            <w:pPr>
              <w:pStyle w:val="TableBodyText"/>
              <w:jc w:val="both"/>
            </w:pPr>
          </w:p>
          <w:p w:rsidR="006315F9" w:rsidRDefault="008B66F5" w:rsidP="00EA735E">
            <w:pPr>
              <w:pStyle w:val="TableBodyText"/>
              <w:jc w:val="both"/>
            </w:pPr>
            <w:r>
              <w:t>Some respondents were unable to complete the background questionnaire as they were unable to speak or read the language of the assessment, in Australia's case, English; had difficulty reading or writing; or had a learning or mental disability. Their records were weighted but not given plausible scores for PIAAC. These records are shown as ‘missing’ in the tables. A few records for people who completed the background questionnaire but did not undertake the assessment were weighted and given plausible scores for PIAAC. However, all similar records were treated as non-respondents for ALLS and SAL.</w:t>
            </w:r>
          </w:p>
          <w:p w:rsidR="004C13C5" w:rsidRPr="00EA6964" w:rsidRDefault="004C13C5" w:rsidP="00EA735E">
            <w:pPr>
              <w:pStyle w:val="TableBodyText"/>
              <w:jc w:val="both"/>
            </w:pPr>
          </w:p>
        </w:tc>
      </w:tr>
      <w:tr w:rsidR="006315F9" w:rsidRPr="00EA6964" w:rsidTr="00877AB4">
        <w:trPr>
          <w:trHeight w:val="567"/>
        </w:trPr>
        <w:tc>
          <w:tcPr>
            <w:tcW w:w="1869" w:type="dxa"/>
          </w:tcPr>
          <w:p w:rsidR="006315F9" w:rsidRPr="00EA6964" w:rsidRDefault="006315F9" w:rsidP="00E559C8">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Accessibility</w:t>
            </w:r>
          </w:p>
          <w:p w:rsidR="006315F9" w:rsidRPr="00EA6964" w:rsidRDefault="006315F9" w:rsidP="00E559C8">
            <w:pPr>
              <w:keepNext/>
              <w:keepLines/>
              <w:spacing w:after="40" w:line="220" w:lineRule="atLeast"/>
              <w:ind w:left="6" w:right="113"/>
              <w:rPr>
                <w:rFonts w:ascii="Arial" w:eastAsiaTheme="minorHAnsi" w:hAnsi="Arial" w:cstheme="minorBidi"/>
                <w:b/>
                <w:sz w:val="20"/>
                <w:szCs w:val="20"/>
                <w:lang w:eastAsia="en-US"/>
              </w:rPr>
            </w:pPr>
          </w:p>
        </w:tc>
        <w:tc>
          <w:tcPr>
            <w:tcW w:w="6951" w:type="dxa"/>
          </w:tcPr>
          <w:p w:rsidR="006315F9" w:rsidRDefault="008B66F5" w:rsidP="00EA735E">
            <w:pPr>
              <w:pStyle w:val="TableBodyText"/>
              <w:jc w:val="both"/>
            </w:pPr>
            <w:r w:rsidRPr="008B66F5">
              <w:t xml:space="preserve">Data for PIAAC are available via the ABS website in the publication Programme for the International Assessment of Adult Competencies, 2011-12 (cat. no. 4228.0). International results are available from the OECD website at </w:t>
            </w:r>
            <w:hyperlink r:id="rId22" w:history="1">
              <w:proofErr w:type="spellStart"/>
              <w:r w:rsidR="004C13C5" w:rsidRPr="00020B48">
                <w:rPr>
                  <w:rStyle w:val="Hyperlink"/>
                </w:rPr>
                <w:t>www.oecd.org</w:t>
              </w:r>
              <w:proofErr w:type="spellEnd"/>
            </w:hyperlink>
            <w:r w:rsidRPr="008B66F5">
              <w:t>.</w:t>
            </w:r>
          </w:p>
          <w:p w:rsidR="004C13C5" w:rsidRPr="001F5B3D" w:rsidRDefault="004C13C5" w:rsidP="00EA735E">
            <w:pPr>
              <w:pStyle w:val="TableBodyText"/>
              <w:jc w:val="both"/>
            </w:pPr>
          </w:p>
        </w:tc>
      </w:tr>
      <w:tr w:rsidR="006315F9" w:rsidRPr="00EA6964" w:rsidTr="00877AB4">
        <w:trPr>
          <w:trHeight w:val="567"/>
        </w:trPr>
        <w:tc>
          <w:tcPr>
            <w:tcW w:w="1869" w:type="dxa"/>
          </w:tcPr>
          <w:p w:rsidR="006315F9" w:rsidRPr="00EA6964" w:rsidRDefault="006315F9" w:rsidP="00E559C8">
            <w:pPr>
              <w:keepNext/>
              <w:keepLines/>
              <w:spacing w:after="40" w:line="220" w:lineRule="atLeast"/>
              <w:ind w:left="6" w:right="113"/>
              <w:jc w:val="both"/>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Interpretability</w:t>
            </w:r>
          </w:p>
        </w:tc>
        <w:tc>
          <w:tcPr>
            <w:tcW w:w="6951" w:type="dxa"/>
          </w:tcPr>
          <w:p w:rsidR="008B66F5" w:rsidRDefault="008B66F5" w:rsidP="00EA735E">
            <w:pPr>
              <w:pStyle w:val="TableBodyText"/>
              <w:jc w:val="both"/>
            </w:pPr>
            <w:r>
              <w:t>Information on how to interpret and use the data appropriately is available on the ABS website; see Explanatory Notes in Programme for the International Assessment of Adult Competenc</w:t>
            </w:r>
            <w:r w:rsidR="004C13C5">
              <w:t>ies, 2011-12 (cat. no. 4228.0).</w:t>
            </w:r>
          </w:p>
          <w:p w:rsidR="004C13C5" w:rsidRDefault="004C13C5" w:rsidP="00EA735E">
            <w:pPr>
              <w:pStyle w:val="TableBodyText"/>
              <w:jc w:val="both"/>
            </w:pPr>
          </w:p>
          <w:p w:rsidR="006315F9" w:rsidRDefault="008B66F5" w:rsidP="00EA735E">
            <w:pPr>
              <w:pStyle w:val="TableBodyText"/>
              <w:jc w:val="both"/>
            </w:pPr>
            <w:r>
              <w:t>The literacy and numeracy scores based on a model with a RP value of 0.67. The value was used in PIAAC to achieve consistency with the OECD survey Programme for International Student Assessment (PISA), in the description of what it means to be performing at a particular level of proficiency.</w:t>
            </w:r>
          </w:p>
          <w:p w:rsidR="004C13C5" w:rsidRPr="00EA6964" w:rsidRDefault="004C13C5" w:rsidP="00EA735E">
            <w:pPr>
              <w:pStyle w:val="TableBodyText"/>
              <w:jc w:val="both"/>
            </w:pPr>
          </w:p>
        </w:tc>
      </w:tr>
    </w:tbl>
    <w:p w:rsidR="006315F9" w:rsidRDefault="006315F9" w:rsidP="006315F9"/>
    <w:p w:rsidR="006315F9" w:rsidRDefault="006315F9" w:rsidP="006315F9">
      <w:pPr>
        <w:pStyle w:val="BodyText"/>
      </w:pPr>
      <w:r>
        <w:br w:type="page"/>
      </w:r>
    </w:p>
    <w:p w:rsidR="006315F9" w:rsidRPr="00BE5216" w:rsidRDefault="006315F9" w:rsidP="006315F9">
      <w:pPr>
        <w:pStyle w:val="Heading3"/>
        <w:spacing w:after="360"/>
      </w:pPr>
      <w:bookmarkStart w:id="38" w:name="_Ref357149601"/>
      <w:r w:rsidRPr="00BE5216">
        <w:t>Data quality statement — Indicator 4 — Proportion of working age population with or working towards a non-</w:t>
      </w:r>
      <w:r>
        <w:t xml:space="preserve">school </w:t>
      </w:r>
      <w:proofErr w:type="spellStart"/>
      <w:r>
        <w:t>AQF</w:t>
      </w:r>
      <w:proofErr w:type="spellEnd"/>
      <w:r>
        <w:t xml:space="preserve"> qualification </w:t>
      </w:r>
      <w:bookmarkEnd w:id="38"/>
    </w:p>
    <w:tbl>
      <w:tblPr>
        <w:tblW w:w="8820" w:type="dxa"/>
        <w:tblInd w:w="108" w:type="dxa"/>
        <w:tblLayout w:type="fixed"/>
        <w:tblLook w:val="01E0" w:firstRow="1" w:lastRow="1" w:firstColumn="1" w:lastColumn="1" w:noHBand="0" w:noVBand="0"/>
      </w:tblPr>
      <w:tblGrid>
        <w:gridCol w:w="1869"/>
        <w:gridCol w:w="6951"/>
      </w:tblGrid>
      <w:tr w:rsidR="006315F9" w:rsidRPr="00EA6964" w:rsidTr="00877AB4">
        <w:trPr>
          <w:trHeight w:val="567"/>
        </w:trPr>
        <w:tc>
          <w:tcPr>
            <w:tcW w:w="1869" w:type="dxa"/>
          </w:tcPr>
          <w:p w:rsidR="006315F9" w:rsidRPr="00EA6964" w:rsidRDefault="006315F9" w:rsidP="00E559C8">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Outcome</w:t>
            </w:r>
          </w:p>
        </w:tc>
        <w:tc>
          <w:tcPr>
            <w:tcW w:w="6951" w:type="dxa"/>
          </w:tcPr>
          <w:p w:rsidR="006315F9" w:rsidRPr="004C13C5" w:rsidRDefault="004C13C5" w:rsidP="00EA735E">
            <w:pPr>
              <w:pStyle w:val="TableBodyText"/>
              <w:jc w:val="both"/>
            </w:pPr>
            <w:r w:rsidRPr="004C13C5">
              <w:t>All working age Australians have the opportunity to develop skills</w:t>
            </w:r>
          </w:p>
        </w:tc>
      </w:tr>
      <w:tr w:rsidR="006315F9" w:rsidRPr="00EA6964" w:rsidTr="00877AB4">
        <w:trPr>
          <w:trHeight w:val="567"/>
        </w:trPr>
        <w:tc>
          <w:tcPr>
            <w:tcW w:w="1869" w:type="dxa"/>
          </w:tcPr>
          <w:p w:rsidR="006315F9" w:rsidRPr="00EA6964" w:rsidRDefault="006315F9" w:rsidP="00E559C8">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Indicator</w:t>
            </w:r>
          </w:p>
        </w:tc>
        <w:tc>
          <w:tcPr>
            <w:tcW w:w="6951" w:type="dxa"/>
          </w:tcPr>
          <w:p w:rsidR="006315F9" w:rsidRDefault="00F94274" w:rsidP="00EA735E">
            <w:pPr>
              <w:pStyle w:val="TableBodyText"/>
              <w:jc w:val="both"/>
            </w:pPr>
            <w:r w:rsidRPr="004C13C5">
              <w:t xml:space="preserve">Proportion of working age population with or working towards a non-school </w:t>
            </w:r>
            <w:proofErr w:type="spellStart"/>
            <w:r w:rsidRPr="004C13C5">
              <w:t>AQF</w:t>
            </w:r>
            <w:proofErr w:type="spellEnd"/>
            <w:r w:rsidRPr="004C13C5">
              <w:t xml:space="preserve"> qualification.</w:t>
            </w:r>
          </w:p>
          <w:p w:rsidR="004C13C5" w:rsidRPr="004C13C5" w:rsidRDefault="004C13C5" w:rsidP="00EA735E">
            <w:pPr>
              <w:pStyle w:val="TableBodyText"/>
              <w:jc w:val="both"/>
            </w:pPr>
          </w:p>
        </w:tc>
      </w:tr>
      <w:tr w:rsidR="006315F9" w:rsidRPr="00EA6964" w:rsidTr="00877AB4">
        <w:trPr>
          <w:trHeight w:val="567"/>
        </w:trPr>
        <w:tc>
          <w:tcPr>
            <w:tcW w:w="1869" w:type="dxa"/>
          </w:tcPr>
          <w:p w:rsidR="006315F9" w:rsidRPr="00EA6964" w:rsidRDefault="006315F9" w:rsidP="00E559C8">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Measure (computation)</w:t>
            </w:r>
          </w:p>
        </w:tc>
        <w:tc>
          <w:tcPr>
            <w:tcW w:w="6951" w:type="dxa"/>
          </w:tcPr>
          <w:p w:rsidR="00F94274" w:rsidRPr="004C13C5" w:rsidRDefault="00F94274" w:rsidP="00EA735E">
            <w:pPr>
              <w:pStyle w:val="TableBodyText"/>
              <w:jc w:val="both"/>
            </w:pPr>
            <w:r w:rsidRPr="004C13C5">
              <w:t>Persons aged 20–64 years with a non-school qualification or who are currently studying for a non-school qualification.</w:t>
            </w:r>
          </w:p>
          <w:p w:rsidR="00F94274" w:rsidRPr="004C13C5" w:rsidRDefault="00F94274" w:rsidP="00EA735E">
            <w:pPr>
              <w:pStyle w:val="TableBullet"/>
              <w:jc w:val="both"/>
            </w:pPr>
            <w:r w:rsidRPr="004C13C5">
              <w:rPr>
                <w:i/>
              </w:rPr>
              <w:t>Numerator</w:t>
            </w:r>
            <w:r w:rsidR="006C27D1">
              <w:rPr>
                <w:i/>
              </w:rPr>
              <w:t xml:space="preserve"> </w:t>
            </w:r>
            <w:r w:rsidR="006C27D1">
              <w:rPr>
                <w:rFonts w:cs="Arial"/>
                <w:i/>
              </w:rPr>
              <w:t>—</w:t>
            </w:r>
            <w:r w:rsidR="004C13C5">
              <w:t xml:space="preserve"> </w:t>
            </w:r>
            <w:r w:rsidRPr="004C13C5">
              <w:t>Number of persons aged 20–64 years who state they have a non-school qualification or who are currently studying for a non-school qualification.</w:t>
            </w:r>
          </w:p>
          <w:p w:rsidR="00F94274" w:rsidRPr="004C13C5" w:rsidRDefault="00F94274" w:rsidP="00EA735E">
            <w:pPr>
              <w:pStyle w:val="TableBullet"/>
              <w:jc w:val="both"/>
            </w:pPr>
            <w:r w:rsidRPr="004C13C5">
              <w:rPr>
                <w:i/>
              </w:rPr>
              <w:t>Denominator</w:t>
            </w:r>
            <w:r w:rsidR="006C27D1">
              <w:rPr>
                <w:i/>
              </w:rPr>
              <w:t xml:space="preserve"> </w:t>
            </w:r>
            <w:r w:rsidR="006C27D1">
              <w:rPr>
                <w:rFonts w:cs="Arial"/>
                <w:i/>
              </w:rPr>
              <w:t>—</w:t>
            </w:r>
            <w:r w:rsidR="006C27D1">
              <w:t xml:space="preserve"> </w:t>
            </w:r>
            <w:r w:rsidR="004C13C5">
              <w:t xml:space="preserve"> </w:t>
            </w:r>
            <w:r w:rsidRPr="004C13C5">
              <w:t>Total population of persons aged 20–64 years.</w:t>
            </w:r>
          </w:p>
          <w:p w:rsidR="004C13C5" w:rsidRDefault="004C13C5" w:rsidP="00EA735E">
            <w:pPr>
              <w:pStyle w:val="TableBodyText"/>
              <w:jc w:val="both"/>
            </w:pPr>
          </w:p>
          <w:p w:rsidR="006315F9" w:rsidRDefault="00F94274" w:rsidP="00EA735E">
            <w:pPr>
              <w:pStyle w:val="TableBodyText"/>
              <w:jc w:val="both"/>
            </w:pPr>
            <w:r w:rsidRPr="004C13C5">
              <w:t>Excludes people whose educational attainment is not stated (only applicable to Census data).</w:t>
            </w:r>
          </w:p>
          <w:p w:rsidR="004C13C5" w:rsidRPr="004C13C5" w:rsidRDefault="004C13C5" w:rsidP="00EA735E">
            <w:pPr>
              <w:pStyle w:val="TableBodyText"/>
              <w:jc w:val="both"/>
            </w:pPr>
          </w:p>
        </w:tc>
      </w:tr>
      <w:tr w:rsidR="006315F9" w:rsidRPr="00EA6964" w:rsidTr="00877AB4">
        <w:trPr>
          <w:trHeight w:val="567"/>
        </w:trPr>
        <w:tc>
          <w:tcPr>
            <w:tcW w:w="1869" w:type="dxa"/>
          </w:tcPr>
          <w:p w:rsidR="006315F9" w:rsidRPr="00EA6964" w:rsidRDefault="006315F9" w:rsidP="00E559C8">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Data source/s</w:t>
            </w:r>
          </w:p>
        </w:tc>
        <w:tc>
          <w:tcPr>
            <w:tcW w:w="6951" w:type="dxa"/>
          </w:tcPr>
          <w:p w:rsidR="00F94274" w:rsidRDefault="00F94274" w:rsidP="00EA735E">
            <w:pPr>
              <w:pStyle w:val="TableBullet"/>
              <w:jc w:val="both"/>
            </w:pPr>
            <w:r w:rsidRPr="006C27D1">
              <w:rPr>
                <w:i/>
              </w:rPr>
              <w:t>Numerator and denominator</w:t>
            </w:r>
            <w:r w:rsidRPr="004C13C5">
              <w:t>:</w:t>
            </w:r>
            <w:r w:rsidR="004C13C5">
              <w:t xml:space="preserve"> </w:t>
            </w:r>
            <w:r w:rsidRPr="004C13C5">
              <w:t>ABS Census of Population and Housing (Census). Data are available every five years.</w:t>
            </w:r>
          </w:p>
          <w:p w:rsidR="004C13C5" w:rsidRPr="004C13C5" w:rsidRDefault="004C13C5" w:rsidP="00EA735E">
            <w:pPr>
              <w:pStyle w:val="TableBullet"/>
              <w:numPr>
                <w:ilvl w:val="0"/>
                <w:numId w:val="0"/>
              </w:numPr>
              <w:ind w:left="170"/>
              <w:jc w:val="both"/>
            </w:pPr>
          </w:p>
          <w:p w:rsidR="00F94274" w:rsidRPr="004C13C5" w:rsidRDefault="00F94274" w:rsidP="00EA735E">
            <w:pPr>
              <w:pStyle w:val="TableBodyText"/>
              <w:jc w:val="both"/>
            </w:pPr>
            <w:r w:rsidRPr="004C13C5">
              <w:t xml:space="preserve">Data from the Survey of Education and Work (SEW) are provided annually to inform this measure at the national and state/territory level. </w:t>
            </w:r>
          </w:p>
          <w:p w:rsidR="006315F9" w:rsidRDefault="00F94274" w:rsidP="00EA735E">
            <w:pPr>
              <w:pStyle w:val="TableBodyText"/>
              <w:jc w:val="both"/>
            </w:pPr>
            <w:r w:rsidRPr="004C13C5">
              <w:t>This DQS applies to NASWD 4 measures based on 2007-13 SEW data.</w:t>
            </w:r>
          </w:p>
          <w:p w:rsidR="004C13C5" w:rsidRPr="004C13C5" w:rsidRDefault="004C13C5" w:rsidP="00EA735E">
            <w:pPr>
              <w:pStyle w:val="TableBodyText"/>
              <w:jc w:val="both"/>
            </w:pPr>
          </w:p>
        </w:tc>
      </w:tr>
      <w:tr w:rsidR="006315F9" w:rsidRPr="00EA6964" w:rsidTr="00877AB4">
        <w:trPr>
          <w:trHeight w:val="567"/>
        </w:trPr>
        <w:tc>
          <w:tcPr>
            <w:tcW w:w="1869" w:type="dxa"/>
          </w:tcPr>
          <w:p w:rsidR="006315F9" w:rsidRPr="00EA6964" w:rsidRDefault="006315F9" w:rsidP="00E559C8">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Institutional environment</w:t>
            </w:r>
          </w:p>
        </w:tc>
        <w:tc>
          <w:tcPr>
            <w:tcW w:w="6951" w:type="dxa"/>
          </w:tcPr>
          <w:p w:rsidR="00F94274" w:rsidRDefault="00F94274" w:rsidP="00EA735E">
            <w:pPr>
              <w:pStyle w:val="TableBodyText"/>
              <w:jc w:val="both"/>
            </w:pPr>
            <w:r w:rsidRPr="004C13C5">
              <w:t>The Census and SEW are collected by the ABS under the Census and Statistics Act 1905.</w:t>
            </w:r>
          </w:p>
          <w:p w:rsidR="004C13C5" w:rsidRPr="004C13C5" w:rsidRDefault="004C13C5" w:rsidP="00EA735E">
            <w:pPr>
              <w:pStyle w:val="TableBodyText"/>
              <w:jc w:val="both"/>
            </w:pPr>
          </w:p>
          <w:p w:rsidR="006315F9" w:rsidRDefault="00F94274" w:rsidP="00EA735E">
            <w:pPr>
              <w:pStyle w:val="TableBodyText"/>
              <w:jc w:val="both"/>
            </w:pPr>
            <w:r w:rsidRPr="004C13C5">
              <w:t>For information on the institutional environment of the ABS, including the legislative obligations of the ABS, financing and government arrangements, and mechanisms for scrutiny of ABS operations, see ABS Institutional Environment.</w:t>
            </w:r>
          </w:p>
          <w:p w:rsidR="004C13C5" w:rsidRPr="004C13C5" w:rsidRDefault="004C13C5" w:rsidP="00EA735E">
            <w:pPr>
              <w:pStyle w:val="TableBodyText"/>
              <w:jc w:val="both"/>
            </w:pPr>
          </w:p>
        </w:tc>
      </w:tr>
      <w:tr w:rsidR="006315F9" w:rsidRPr="00EA6964" w:rsidTr="00877AB4">
        <w:trPr>
          <w:trHeight w:val="567"/>
        </w:trPr>
        <w:tc>
          <w:tcPr>
            <w:tcW w:w="1869" w:type="dxa"/>
          </w:tcPr>
          <w:p w:rsidR="006315F9" w:rsidRPr="00EA6964" w:rsidRDefault="006315F9" w:rsidP="00E559C8">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Relevance</w:t>
            </w:r>
          </w:p>
          <w:p w:rsidR="006315F9" w:rsidRPr="00EA6964" w:rsidRDefault="006315F9" w:rsidP="00E559C8">
            <w:pPr>
              <w:keepNext/>
              <w:keepLines/>
              <w:spacing w:after="40" w:line="220" w:lineRule="atLeast"/>
              <w:ind w:left="6" w:right="113"/>
              <w:rPr>
                <w:rFonts w:ascii="Arial" w:eastAsiaTheme="minorHAnsi" w:hAnsi="Arial" w:cstheme="minorBidi"/>
                <w:b/>
                <w:sz w:val="20"/>
                <w:szCs w:val="20"/>
                <w:lang w:eastAsia="en-US"/>
              </w:rPr>
            </w:pPr>
          </w:p>
        </w:tc>
        <w:tc>
          <w:tcPr>
            <w:tcW w:w="6951" w:type="dxa"/>
          </w:tcPr>
          <w:p w:rsidR="00521A12" w:rsidRDefault="00521A12" w:rsidP="00EA735E">
            <w:pPr>
              <w:pStyle w:val="TableBodyText"/>
              <w:jc w:val="both"/>
            </w:pPr>
            <w:r w:rsidRPr="004C13C5">
              <w:t xml:space="preserve">SEW data are available by state/territory. The SEW does not collect data from people in Indigenous communities in very remote areas (see Coherence). </w:t>
            </w:r>
          </w:p>
          <w:p w:rsidR="004C13C5" w:rsidRPr="004C13C5" w:rsidRDefault="004C13C5" w:rsidP="00EA735E">
            <w:pPr>
              <w:pStyle w:val="TableBodyText"/>
              <w:jc w:val="both"/>
            </w:pPr>
          </w:p>
          <w:p w:rsidR="00521A12" w:rsidRDefault="00521A12" w:rsidP="00EA735E">
            <w:pPr>
              <w:pStyle w:val="TableBodyText"/>
              <w:jc w:val="both"/>
            </w:pPr>
            <w:r w:rsidRPr="004C13C5">
              <w:t>The SEW collects information on educational participation and attainment. The classification of qualifications used is the Australian Standard Classification of Education (</w:t>
            </w:r>
            <w:proofErr w:type="spellStart"/>
            <w:r w:rsidRPr="004C13C5">
              <w:t>ASCED</w:t>
            </w:r>
            <w:proofErr w:type="spellEnd"/>
            <w:r w:rsidRPr="004C13C5">
              <w:t>) (cat. no. 1272.0).</w:t>
            </w:r>
          </w:p>
          <w:p w:rsidR="004C13C5" w:rsidRPr="004C13C5" w:rsidRDefault="004C13C5" w:rsidP="00EA735E">
            <w:pPr>
              <w:pStyle w:val="TableBodyText"/>
              <w:jc w:val="both"/>
            </w:pPr>
          </w:p>
          <w:p w:rsidR="006315F9" w:rsidRDefault="00521A12" w:rsidP="00EA735E">
            <w:pPr>
              <w:pStyle w:val="TableBodyText"/>
              <w:jc w:val="both"/>
            </w:pPr>
            <w:r w:rsidRPr="004C13C5">
              <w:t>For some respondents, information is supplied by another household resident, such as a parent, partner or unrelated adult (Any Responsible Adult). While this is a standard survey methodology, answers to some questions may occasionally differ from those that would have been supplied in a personal interview.</w:t>
            </w:r>
          </w:p>
          <w:p w:rsidR="004C13C5" w:rsidRPr="004C13C5" w:rsidRDefault="004C13C5" w:rsidP="00EA735E">
            <w:pPr>
              <w:pStyle w:val="TableBodyText"/>
              <w:jc w:val="both"/>
            </w:pPr>
          </w:p>
        </w:tc>
      </w:tr>
      <w:tr w:rsidR="006315F9" w:rsidRPr="00EA6964" w:rsidTr="00877AB4">
        <w:trPr>
          <w:trHeight w:val="567"/>
        </w:trPr>
        <w:tc>
          <w:tcPr>
            <w:tcW w:w="1869" w:type="dxa"/>
          </w:tcPr>
          <w:p w:rsidR="006315F9" w:rsidRPr="00EA6964" w:rsidRDefault="006315F9" w:rsidP="00E559C8">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Timeliness</w:t>
            </w:r>
          </w:p>
          <w:p w:rsidR="006315F9" w:rsidRPr="00EA6964" w:rsidRDefault="006315F9" w:rsidP="00E559C8">
            <w:pPr>
              <w:keepNext/>
              <w:keepLines/>
              <w:spacing w:after="40" w:line="220" w:lineRule="atLeast"/>
              <w:ind w:left="6" w:right="113"/>
              <w:rPr>
                <w:rFonts w:ascii="Arial" w:eastAsiaTheme="minorHAnsi" w:hAnsi="Arial" w:cstheme="minorBidi"/>
                <w:b/>
                <w:sz w:val="20"/>
                <w:szCs w:val="20"/>
                <w:lang w:eastAsia="en-US"/>
              </w:rPr>
            </w:pPr>
          </w:p>
        </w:tc>
        <w:tc>
          <w:tcPr>
            <w:tcW w:w="6951" w:type="dxa"/>
          </w:tcPr>
          <w:p w:rsidR="006315F9" w:rsidRDefault="00521A12" w:rsidP="00EA735E">
            <w:pPr>
              <w:pStyle w:val="TableBodyText"/>
              <w:jc w:val="both"/>
            </w:pPr>
            <w:r w:rsidRPr="004C13C5">
              <w:t>The SEW is conducted annually in May as a supplement to the monthly Labour Force Survey (</w:t>
            </w:r>
            <w:proofErr w:type="spellStart"/>
            <w:r w:rsidRPr="004C13C5">
              <w:t>LFS</w:t>
            </w:r>
            <w:proofErr w:type="spellEnd"/>
            <w:r w:rsidRPr="004C13C5">
              <w:t>). Results from the 2013 survey were released in November 2013.</w:t>
            </w:r>
          </w:p>
          <w:p w:rsidR="00D85EA8" w:rsidRPr="004C13C5" w:rsidRDefault="00D85EA8" w:rsidP="00EA735E">
            <w:pPr>
              <w:pStyle w:val="TableBodyText"/>
              <w:jc w:val="both"/>
            </w:pPr>
          </w:p>
        </w:tc>
      </w:tr>
      <w:tr w:rsidR="006315F9" w:rsidRPr="00EA6964" w:rsidTr="00877AB4">
        <w:trPr>
          <w:trHeight w:val="100"/>
        </w:trPr>
        <w:tc>
          <w:tcPr>
            <w:tcW w:w="1869" w:type="dxa"/>
          </w:tcPr>
          <w:p w:rsidR="006315F9" w:rsidRPr="00EA6964" w:rsidRDefault="006315F9" w:rsidP="00E559C8">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Accuracy</w:t>
            </w:r>
          </w:p>
          <w:p w:rsidR="006315F9" w:rsidRPr="00EA6964" w:rsidRDefault="006315F9" w:rsidP="00E559C8">
            <w:pPr>
              <w:keepNext/>
              <w:keepLines/>
              <w:spacing w:after="40" w:line="220" w:lineRule="atLeast"/>
              <w:ind w:left="6" w:right="113"/>
              <w:rPr>
                <w:rFonts w:ascii="Arial" w:eastAsiaTheme="minorHAnsi" w:hAnsi="Arial" w:cstheme="minorBidi"/>
                <w:b/>
                <w:sz w:val="20"/>
                <w:szCs w:val="20"/>
                <w:lang w:eastAsia="en-US"/>
              </w:rPr>
            </w:pPr>
          </w:p>
        </w:tc>
        <w:tc>
          <w:tcPr>
            <w:tcW w:w="6951" w:type="dxa"/>
          </w:tcPr>
          <w:p w:rsidR="00521A12" w:rsidRDefault="00521A12" w:rsidP="00EA735E">
            <w:pPr>
              <w:pStyle w:val="TableBodyText"/>
              <w:jc w:val="both"/>
            </w:pPr>
            <w:r w:rsidRPr="004C13C5">
              <w:t>Th</w:t>
            </w:r>
            <w:r w:rsidR="00553848">
              <w:t>e 2013 SEW response rate was 94 per cent which constituted 43 </w:t>
            </w:r>
            <w:r w:rsidRPr="004C13C5">
              <w:t>600 completed interviews. The 2013 response rate was consistent with that in previous years.</w:t>
            </w:r>
          </w:p>
          <w:p w:rsidR="004C13C5" w:rsidRPr="004C13C5" w:rsidRDefault="004C13C5" w:rsidP="00EA735E">
            <w:pPr>
              <w:pStyle w:val="TableBodyText"/>
              <w:jc w:val="both"/>
            </w:pPr>
          </w:p>
          <w:p w:rsidR="00521A12" w:rsidRDefault="00521A12" w:rsidP="00EA735E">
            <w:pPr>
              <w:pStyle w:val="TableBodyText"/>
              <w:jc w:val="both"/>
            </w:pPr>
            <w:r w:rsidRPr="004C13C5">
              <w:t xml:space="preserve">The data for the SEW are collected from an </w:t>
            </w:r>
            <w:proofErr w:type="spellStart"/>
            <w:r w:rsidRPr="004C13C5">
              <w:t>ARA</w:t>
            </w:r>
            <w:proofErr w:type="spellEnd"/>
            <w:r w:rsidRPr="004C13C5">
              <w:t xml:space="preserve"> (Any Responsible Adult) on behalf of other members of the household and are weighted for non-response.</w:t>
            </w:r>
          </w:p>
          <w:p w:rsidR="004C13C5" w:rsidRDefault="004C13C5" w:rsidP="00EA735E">
            <w:pPr>
              <w:pStyle w:val="TableBodyText"/>
              <w:jc w:val="both"/>
            </w:pPr>
          </w:p>
          <w:p w:rsidR="0021665D" w:rsidRPr="001E777B" w:rsidRDefault="0021665D" w:rsidP="0021665D">
            <w:pPr>
              <w:pStyle w:val="TableBodyText"/>
              <w:jc w:val="both"/>
            </w:pPr>
            <w:r w:rsidRPr="002479E3">
              <w:t xml:space="preserve">Prior to the 2013 SEW, people who were permanently unable to work were excluded from the in-scope population. In 2013, the </w:t>
            </w:r>
            <w:r>
              <w:t xml:space="preserve">SEW </w:t>
            </w:r>
            <w:r w:rsidRPr="002479E3">
              <w:t>scope was expanded to include people permanently unable to work. However, to ensure that the indicator measure presented here is comparable over time, the permanently unable to work population has been excluded from these tables.</w:t>
            </w:r>
          </w:p>
          <w:p w:rsidR="0021665D" w:rsidRPr="004C13C5" w:rsidRDefault="0021665D" w:rsidP="00EA735E">
            <w:pPr>
              <w:pStyle w:val="TableBodyText"/>
              <w:jc w:val="both"/>
            </w:pPr>
          </w:p>
          <w:p w:rsidR="00521A12" w:rsidRDefault="00521A12" w:rsidP="00EA735E">
            <w:pPr>
              <w:pStyle w:val="TableBodyText"/>
              <w:jc w:val="both"/>
            </w:pPr>
            <w:r w:rsidRPr="004C13C5">
              <w:t>The data are event data that can be used to measure year to year changes provided that the changes are large enough to be detected in the context of the Relative Standard Error (</w:t>
            </w:r>
            <w:proofErr w:type="spellStart"/>
            <w:r w:rsidRPr="004C13C5">
              <w:t>RSE</w:t>
            </w:r>
            <w:proofErr w:type="spellEnd"/>
            <w:r w:rsidRPr="004C13C5">
              <w:t xml:space="preserve">) of estimates. </w:t>
            </w:r>
          </w:p>
          <w:p w:rsidR="004C13C5" w:rsidRPr="004C13C5" w:rsidRDefault="004C13C5" w:rsidP="00EA735E">
            <w:pPr>
              <w:pStyle w:val="TableBodyText"/>
              <w:jc w:val="both"/>
            </w:pPr>
          </w:p>
          <w:p w:rsidR="006315F9" w:rsidRDefault="00521A12" w:rsidP="00EA735E">
            <w:pPr>
              <w:pStyle w:val="TableBodyText"/>
              <w:jc w:val="both"/>
            </w:pPr>
            <w:r w:rsidRPr="004C13C5">
              <w:t>Data with a relative standard error of between 25</w:t>
            </w:r>
            <w:r w:rsidR="004C13C5">
              <w:t xml:space="preserve"> per cent </w:t>
            </w:r>
            <w:r w:rsidRPr="004C13C5">
              <w:t>and 50</w:t>
            </w:r>
            <w:r w:rsidR="004C13C5">
              <w:t xml:space="preserve"> per cent </w:t>
            </w:r>
            <w:r w:rsidRPr="004C13C5">
              <w:t>should be used with caution while data with a relative standard error greater than 50</w:t>
            </w:r>
            <w:r w:rsidR="004C13C5">
              <w:t xml:space="preserve"> per cent </w:t>
            </w:r>
            <w:r w:rsidRPr="004C13C5">
              <w:t>is considered too unreliable for general use.</w:t>
            </w:r>
          </w:p>
          <w:p w:rsidR="004C13C5" w:rsidRPr="004C13C5" w:rsidRDefault="004C13C5" w:rsidP="00EA735E">
            <w:pPr>
              <w:pStyle w:val="TableBodyText"/>
              <w:jc w:val="both"/>
            </w:pPr>
          </w:p>
        </w:tc>
      </w:tr>
      <w:tr w:rsidR="006315F9" w:rsidRPr="00EA6964" w:rsidTr="00877AB4">
        <w:trPr>
          <w:trHeight w:val="567"/>
        </w:trPr>
        <w:tc>
          <w:tcPr>
            <w:tcW w:w="1869" w:type="dxa"/>
          </w:tcPr>
          <w:p w:rsidR="006315F9" w:rsidRPr="00EA6964" w:rsidRDefault="006315F9" w:rsidP="00E559C8">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Coherence</w:t>
            </w:r>
          </w:p>
          <w:p w:rsidR="006315F9" w:rsidRPr="00EA6964" w:rsidRDefault="006315F9" w:rsidP="00E559C8">
            <w:pPr>
              <w:keepNext/>
              <w:keepLines/>
              <w:spacing w:after="40" w:line="220" w:lineRule="atLeast"/>
              <w:ind w:left="6" w:right="113"/>
              <w:rPr>
                <w:rFonts w:ascii="Arial" w:eastAsiaTheme="minorHAnsi" w:hAnsi="Arial" w:cstheme="minorBidi"/>
                <w:b/>
                <w:sz w:val="20"/>
                <w:szCs w:val="20"/>
                <w:lang w:eastAsia="en-US"/>
              </w:rPr>
            </w:pPr>
          </w:p>
        </w:tc>
        <w:tc>
          <w:tcPr>
            <w:tcW w:w="6951" w:type="dxa"/>
          </w:tcPr>
          <w:p w:rsidR="00521A12" w:rsidRDefault="00521A12" w:rsidP="00EA735E">
            <w:pPr>
              <w:pStyle w:val="TableBodyText"/>
              <w:jc w:val="both"/>
            </w:pPr>
            <w:r w:rsidRPr="004C13C5">
              <w:t xml:space="preserve">Both the numerator and denominator come from the SEW. Measures based on the 2013 SEW are consistent with those supplied for COAG reporting from previous cycles of this survey. </w:t>
            </w:r>
          </w:p>
          <w:p w:rsidR="004C13C5" w:rsidRPr="004C13C5" w:rsidRDefault="004C13C5" w:rsidP="00EA735E">
            <w:pPr>
              <w:pStyle w:val="TableBodyText"/>
              <w:jc w:val="both"/>
            </w:pPr>
          </w:p>
          <w:p w:rsidR="00521A12" w:rsidRDefault="00521A12" w:rsidP="00EA735E">
            <w:pPr>
              <w:pStyle w:val="TableBodyText"/>
              <w:jc w:val="both"/>
            </w:pPr>
            <w:r w:rsidRPr="004C13C5">
              <w:t>The Indigenous estimates provided in this cycle are based on the 2012-13 AATSIHS (NATSIHS component). From June 2014 estimates will be available the 2012-13 AATSIHS 2012-13 (Core component). The core component comprises estimates based on the combined NATSIHS and the National Aboriginal and Torres Strait Islander Nutrition and Physical Activity Survey (</w:t>
            </w:r>
            <w:proofErr w:type="spellStart"/>
            <w:r w:rsidRPr="004C13C5">
              <w:t>NATSINPAS</w:t>
            </w:r>
            <w:proofErr w:type="spellEnd"/>
            <w:r w:rsidRPr="004C13C5">
              <w:t>) samples.</w:t>
            </w:r>
          </w:p>
          <w:p w:rsidR="004C13C5" w:rsidRPr="004C13C5" w:rsidRDefault="004C13C5" w:rsidP="00EA735E">
            <w:pPr>
              <w:pStyle w:val="TableBodyText"/>
              <w:jc w:val="both"/>
            </w:pPr>
          </w:p>
          <w:p w:rsidR="00521A12" w:rsidRDefault="00521A12" w:rsidP="00EA735E">
            <w:pPr>
              <w:pStyle w:val="TableBodyText"/>
              <w:jc w:val="both"/>
            </w:pPr>
            <w:r w:rsidRPr="004C13C5">
              <w:t>The Australian Standard Classification of Education (</w:t>
            </w:r>
            <w:proofErr w:type="spellStart"/>
            <w:r w:rsidRPr="004C13C5">
              <w:t>ASCED</w:t>
            </w:r>
            <w:proofErr w:type="spellEnd"/>
            <w:r w:rsidRPr="004C13C5">
              <w:t>) (cat. no. 1272.0) has been used in all surveys with education items since 2001 and allows the education and training items between different surveys to be compared.</w:t>
            </w:r>
          </w:p>
          <w:p w:rsidR="004C13C5" w:rsidRPr="004C13C5" w:rsidRDefault="004C13C5" w:rsidP="00EA735E">
            <w:pPr>
              <w:pStyle w:val="TableBodyText"/>
              <w:jc w:val="both"/>
            </w:pPr>
          </w:p>
          <w:p w:rsidR="006315F9" w:rsidRDefault="00521A12" w:rsidP="00EA735E">
            <w:pPr>
              <w:pStyle w:val="TableBodyText"/>
              <w:jc w:val="both"/>
            </w:pPr>
            <w:r w:rsidRPr="004C13C5">
              <w:t>The Census of Population and Housing and the Survey of Learning and Work (cat. no. 4235.0) also provide information on educational attainment.</w:t>
            </w:r>
          </w:p>
          <w:p w:rsidR="004C13C5" w:rsidRPr="004C13C5" w:rsidRDefault="004C13C5" w:rsidP="00EA735E">
            <w:pPr>
              <w:pStyle w:val="TableBodyText"/>
              <w:jc w:val="both"/>
            </w:pPr>
          </w:p>
        </w:tc>
      </w:tr>
      <w:tr w:rsidR="006315F9" w:rsidRPr="00EA6964" w:rsidTr="00877AB4">
        <w:trPr>
          <w:trHeight w:val="567"/>
        </w:trPr>
        <w:tc>
          <w:tcPr>
            <w:tcW w:w="1869" w:type="dxa"/>
          </w:tcPr>
          <w:p w:rsidR="006315F9" w:rsidRPr="00EA6964" w:rsidRDefault="006315F9" w:rsidP="00E559C8">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Accessibility</w:t>
            </w:r>
          </w:p>
          <w:p w:rsidR="006315F9" w:rsidRPr="00EA6964" w:rsidRDefault="006315F9" w:rsidP="00E559C8">
            <w:pPr>
              <w:keepNext/>
              <w:keepLines/>
              <w:spacing w:after="40" w:line="220" w:lineRule="atLeast"/>
              <w:ind w:left="6" w:right="113"/>
              <w:rPr>
                <w:rFonts w:ascii="Arial" w:eastAsiaTheme="minorHAnsi" w:hAnsi="Arial" w:cstheme="minorBidi"/>
                <w:b/>
                <w:sz w:val="20"/>
                <w:szCs w:val="20"/>
                <w:lang w:eastAsia="en-US"/>
              </w:rPr>
            </w:pPr>
          </w:p>
        </w:tc>
        <w:tc>
          <w:tcPr>
            <w:tcW w:w="6951" w:type="dxa"/>
          </w:tcPr>
          <w:p w:rsidR="00521A12" w:rsidRDefault="00521A12" w:rsidP="00EA735E">
            <w:pPr>
              <w:pStyle w:val="TableBodyText"/>
              <w:jc w:val="both"/>
            </w:pPr>
            <w:r w:rsidRPr="004C13C5">
              <w:t>The data for the SEW are available via the ABS website in the publication Education and Work, Australia (cat. no. 6</w:t>
            </w:r>
            <w:r w:rsidR="004C13C5">
              <w:t>227.0).</w:t>
            </w:r>
          </w:p>
          <w:p w:rsidR="004C13C5" w:rsidRPr="004C13C5" w:rsidRDefault="004C13C5" w:rsidP="00EA735E">
            <w:pPr>
              <w:pStyle w:val="TableBodyText"/>
              <w:jc w:val="both"/>
            </w:pPr>
          </w:p>
          <w:p w:rsidR="006315F9" w:rsidRDefault="00521A12" w:rsidP="00EA735E">
            <w:pPr>
              <w:pStyle w:val="TableBodyText"/>
              <w:jc w:val="both"/>
            </w:pPr>
            <w:r w:rsidRPr="004C13C5">
              <w:t>Additional data are available at cost upon request through the National Information Referral Service (</w:t>
            </w:r>
            <w:proofErr w:type="spellStart"/>
            <w:r w:rsidRPr="004C13C5">
              <w:t>NIRS</w:t>
            </w:r>
            <w:proofErr w:type="spellEnd"/>
            <w:r w:rsidRPr="004C13C5">
              <w:t>). A Confidentialised Unit Record File (</w:t>
            </w:r>
            <w:proofErr w:type="spellStart"/>
            <w:r w:rsidRPr="004C13C5">
              <w:t>CURF</w:t>
            </w:r>
            <w:proofErr w:type="spellEnd"/>
            <w:r w:rsidRPr="004C13C5">
              <w:t xml:space="preserve">) has been produced for every second cycle of the SEW from 2001 to 2011. The survey </w:t>
            </w:r>
            <w:proofErr w:type="spellStart"/>
            <w:r w:rsidRPr="004C13C5">
              <w:t>microdata</w:t>
            </w:r>
            <w:proofErr w:type="spellEnd"/>
            <w:r w:rsidRPr="004C13C5">
              <w:t xml:space="preserve"> are also been released through the </w:t>
            </w:r>
            <w:proofErr w:type="spellStart"/>
            <w:r w:rsidRPr="004C13C5">
              <w:t>TableBuilder</w:t>
            </w:r>
            <w:proofErr w:type="spellEnd"/>
            <w:r w:rsidRPr="004C13C5">
              <w:t xml:space="preserve"> product, </w:t>
            </w:r>
            <w:proofErr w:type="spellStart"/>
            <w:r w:rsidRPr="004C13C5">
              <w:t>Microdata</w:t>
            </w:r>
            <w:proofErr w:type="spellEnd"/>
            <w:r w:rsidRPr="004C13C5">
              <w:t>: Education and Work, Australia (cat. no. 6227.0.30.001).</w:t>
            </w:r>
          </w:p>
          <w:p w:rsidR="004C13C5" w:rsidRPr="004C13C5" w:rsidRDefault="004C13C5" w:rsidP="00EA735E">
            <w:pPr>
              <w:pStyle w:val="TableBodyText"/>
              <w:jc w:val="both"/>
            </w:pPr>
          </w:p>
        </w:tc>
      </w:tr>
      <w:tr w:rsidR="006315F9" w:rsidRPr="00EA6964" w:rsidTr="00877AB4">
        <w:trPr>
          <w:trHeight w:val="567"/>
        </w:trPr>
        <w:tc>
          <w:tcPr>
            <w:tcW w:w="1869" w:type="dxa"/>
          </w:tcPr>
          <w:p w:rsidR="006315F9" w:rsidRPr="00EA6964" w:rsidRDefault="006315F9" w:rsidP="00E559C8">
            <w:pPr>
              <w:keepNext/>
              <w:keepLines/>
              <w:spacing w:after="40" w:line="220" w:lineRule="atLeast"/>
              <w:ind w:left="6" w:right="113"/>
              <w:jc w:val="both"/>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Interpretability</w:t>
            </w:r>
          </w:p>
        </w:tc>
        <w:tc>
          <w:tcPr>
            <w:tcW w:w="6951" w:type="dxa"/>
          </w:tcPr>
          <w:p w:rsidR="00521A12" w:rsidRDefault="00521A12" w:rsidP="00EA735E">
            <w:pPr>
              <w:pStyle w:val="TableBodyText"/>
              <w:jc w:val="both"/>
            </w:pPr>
            <w:r w:rsidRPr="004C13C5">
              <w:t>Information on how to interpret and use the data appropriately is available on the ABS website; see Explanatory Notes in Education and Work, Australia (cat. no. 6227.0).</w:t>
            </w:r>
          </w:p>
          <w:p w:rsidR="004C13C5" w:rsidRPr="004C13C5" w:rsidRDefault="004C13C5" w:rsidP="00EA735E">
            <w:pPr>
              <w:pStyle w:val="TableBodyText"/>
              <w:jc w:val="both"/>
            </w:pPr>
          </w:p>
          <w:p w:rsidR="004C13C5" w:rsidRPr="004C13C5" w:rsidRDefault="00521A12" w:rsidP="00EA735E">
            <w:pPr>
              <w:pStyle w:val="TableBodyText"/>
              <w:jc w:val="both"/>
            </w:pPr>
            <w:r w:rsidRPr="004C13C5">
              <w:t xml:space="preserve">ABS SEIFA indexes are based on data from the Census and measure the socioeconomic status of the area in which a person lives. They do not directly measure the socioeconomic status of individuals or their households. More information on SEIFA can be found on the ABS website: www.abs.gov.au. For tables in this cycle, SEIFA quintiles are derived using the ABS 2006 SEIFA IRSD (at CD level) for data from SEW </w:t>
            </w:r>
            <w:r w:rsidR="00553848">
              <w:t>20</w:t>
            </w:r>
            <w:r w:rsidRPr="004C13C5">
              <w:t>08</w:t>
            </w:r>
            <w:r w:rsidR="00553848">
              <w:rPr>
                <w:rFonts w:cs="Arial"/>
              </w:rPr>
              <w:t>−</w:t>
            </w:r>
            <w:r w:rsidRPr="004C13C5">
              <w:t xml:space="preserve">11, and ABS 2011 SEIFA IRSD (at SA1 level) for data from SEW </w:t>
            </w:r>
            <w:r w:rsidR="00553848">
              <w:t>20</w:t>
            </w:r>
            <w:r w:rsidRPr="004C13C5">
              <w:t>12</w:t>
            </w:r>
            <w:r w:rsidR="00553848">
              <w:rPr>
                <w:rFonts w:cs="Arial"/>
              </w:rPr>
              <w:t>−</w:t>
            </w:r>
            <w:r w:rsidRPr="004C13C5">
              <w:t>13.</w:t>
            </w:r>
          </w:p>
        </w:tc>
      </w:tr>
    </w:tbl>
    <w:p w:rsidR="006315F9" w:rsidRDefault="006315F9" w:rsidP="006315F9"/>
    <w:p w:rsidR="006315F9" w:rsidRDefault="006315F9">
      <w:r>
        <w:br w:type="page"/>
      </w:r>
    </w:p>
    <w:p w:rsidR="006315F9" w:rsidRPr="00BE5216" w:rsidRDefault="006315F9" w:rsidP="006315F9">
      <w:pPr>
        <w:pStyle w:val="Heading3"/>
        <w:spacing w:after="360"/>
      </w:pPr>
      <w:bookmarkStart w:id="39" w:name="_Ref357149612"/>
      <w:r w:rsidRPr="00BE5216">
        <w:t>Data quality statement — Indicator 5 — Proportion of VET graduates with improved employment status after training</w:t>
      </w:r>
      <w:bookmarkEnd w:id="39"/>
    </w:p>
    <w:tbl>
      <w:tblPr>
        <w:tblW w:w="8820" w:type="dxa"/>
        <w:tblInd w:w="108" w:type="dxa"/>
        <w:tblLayout w:type="fixed"/>
        <w:tblLook w:val="01E0" w:firstRow="1" w:lastRow="1" w:firstColumn="1" w:lastColumn="1" w:noHBand="0" w:noVBand="0"/>
      </w:tblPr>
      <w:tblGrid>
        <w:gridCol w:w="1869"/>
        <w:gridCol w:w="6951"/>
      </w:tblGrid>
      <w:tr w:rsidR="006315F9" w:rsidRPr="00EA6964" w:rsidTr="00877AB4">
        <w:trPr>
          <w:trHeight w:val="567"/>
        </w:trPr>
        <w:tc>
          <w:tcPr>
            <w:tcW w:w="1869" w:type="dxa"/>
          </w:tcPr>
          <w:p w:rsidR="006315F9" w:rsidRPr="00EA6964" w:rsidRDefault="006315F9" w:rsidP="00E559C8">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Outcome</w:t>
            </w:r>
          </w:p>
        </w:tc>
        <w:tc>
          <w:tcPr>
            <w:tcW w:w="6951" w:type="dxa"/>
          </w:tcPr>
          <w:p w:rsidR="006315F9" w:rsidRDefault="0030468E" w:rsidP="00EA735E">
            <w:pPr>
              <w:pStyle w:val="TableBodyText"/>
              <w:jc w:val="both"/>
            </w:pPr>
            <w:r w:rsidRPr="0030468E">
              <w:t>Training delivers the skills and capabilities needed for improved economic participation for working age Australians</w:t>
            </w:r>
          </w:p>
          <w:p w:rsidR="006C27D1" w:rsidRPr="00EA6964" w:rsidRDefault="006C27D1" w:rsidP="00EA735E">
            <w:pPr>
              <w:pStyle w:val="TableBodyText"/>
              <w:jc w:val="both"/>
            </w:pPr>
          </w:p>
        </w:tc>
      </w:tr>
      <w:tr w:rsidR="006315F9" w:rsidRPr="00EA6964" w:rsidTr="00877AB4">
        <w:trPr>
          <w:trHeight w:val="567"/>
        </w:trPr>
        <w:tc>
          <w:tcPr>
            <w:tcW w:w="1869" w:type="dxa"/>
          </w:tcPr>
          <w:p w:rsidR="006315F9" w:rsidRPr="00EA6964" w:rsidRDefault="006315F9" w:rsidP="00E559C8">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Indicator</w:t>
            </w:r>
          </w:p>
        </w:tc>
        <w:tc>
          <w:tcPr>
            <w:tcW w:w="6951" w:type="dxa"/>
          </w:tcPr>
          <w:p w:rsidR="006315F9" w:rsidRDefault="0030468E" w:rsidP="00EA735E">
            <w:pPr>
              <w:pStyle w:val="TableBodyText"/>
              <w:jc w:val="both"/>
            </w:pPr>
            <w:r w:rsidRPr="0030468E">
              <w:t>The proportion of VET graduates with improved employment status after training</w:t>
            </w:r>
          </w:p>
          <w:p w:rsidR="006C27D1" w:rsidRPr="00EA6964" w:rsidRDefault="006C27D1" w:rsidP="00EA735E">
            <w:pPr>
              <w:pStyle w:val="TableBodyText"/>
              <w:jc w:val="both"/>
            </w:pPr>
          </w:p>
        </w:tc>
      </w:tr>
      <w:tr w:rsidR="006315F9" w:rsidRPr="00EA6964" w:rsidTr="00877AB4">
        <w:trPr>
          <w:trHeight w:val="567"/>
        </w:trPr>
        <w:tc>
          <w:tcPr>
            <w:tcW w:w="1869" w:type="dxa"/>
          </w:tcPr>
          <w:p w:rsidR="006315F9" w:rsidRPr="00EA6964" w:rsidRDefault="006315F9" w:rsidP="00E559C8">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Measure (computation)</w:t>
            </w:r>
          </w:p>
        </w:tc>
        <w:tc>
          <w:tcPr>
            <w:tcW w:w="6951" w:type="dxa"/>
          </w:tcPr>
          <w:p w:rsidR="0030468E" w:rsidRDefault="0030468E" w:rsidP="00EA735E">
            <w:pPr>
              <w:pStyle w:val="TableBodyText"/>
              <w:jc w:val="both"/>
            </w:pPr>
            <w:r>
              <w:t>Proportion of VET graduates with improved employment status after  training</w:t>
            </w:r>
          </w:p>
          <w:p w:rsidR="0030468E" w:rsidRDefault="0030468E" w:rsidP="00EA735E">
            <w:pPr>
              <w:pStyle w:val="TableBodyText"/>
              <w:jc w:val="both"/>
            </w:pPr>
            <w:r>
              <w:t>The measure is defined as:</w:t>
            </w:r>
          </w:p>
          <w:p w:rsidR="0030468E" w:rsidRDefault="006C27D1" w:rsidP="00EA735E">
            <w:pPr>
              <w:pStyle w:val="TableBullet"/>
              <w:jc w:val="both"/>
            </w:pPr>
            <w:r w:rsidRPr="006C27D1">
              <w:rPr>
                <w:i/>
              </w:rPr>
              <w:t>n</w:t>
            </w:r>
            <w:r w:rsidR="0030468E" w:rsidRPr="006C27D1">
              <w:rPr>
                <w:i/>
              </w:rPr>
              <w:t>umerator</w:t>
            </w:r>
            <w:r w:rsidR="0030468E">
              <w:t xml:space="preserve"> — VET graduates aged 20</w:t>
            </w:r>
            <w:r w:rsidR="00553848">
              <w:rPr>
                <w:rFonts w:cs="Arial"/>
              </w:rPr>
              <w:t>−</w:t>
            </w:r>
            <w:r w:rsidR="0030468E">
              <w:t>64 with an improved employment status after training</w:t>
            </w:r>
          </w:p>
          <w:p w:rsidR="0030468E" w:rsidRDefault="006C27D1" w:rsidP="00EA735E">
            <w:pPr>
              <w:pStyle w:val="TableBullet"/>
              <w:jc w:val="both"/>
            </w:pPr>
            <w:r w:rsidRPr="006C27D1">
              <w:rPr>
                <w:i/>
              </w:rPr>
              <w:t>d</w:t>
            </w:r>
            <w:r w:rsidR="0030468E" w:rsidRPr="006C27D1">
              <w:rPr>
                <w:i/>
              </w:rPr>
              <w:t>enominator</w:t>
            </w:r>
            <w:r w:rsidR="0030468E">
              <w:t xml:space="preserve"> — total VET graduates aged 20</w:t>
            </w:r>
            <w:r w:rsidR="00553848">
              <w:rPr>
                <w:rFonts w:cs="Arial"/>
              </w:rPr>
              <w:t>−</w:t>
            </w:r>
            <w:r w:rsidR="0030468E">
              <w:t>64 (less those with all three numerator variables not stated).</w:t>
            </w:r>
          </w:p>
          <w:p w:rsidR="0030468E" w:rsidRDefault="0030468E" w:rsidP="00EA735E">
            <w:pPr>
              <w:pStyle w:val="TableBodyText"/>
              <w:jc w:val="both"/>
            </w:pPr>
          </w:p>
          <w:p w:rsidR="0030468E" w:rsidRDefault="0030468E" w:rsidP="00EA735E">
            <w:pPr>
              <w:pStyle w:val="TableBodyText"/>
              <w:jc w:val="both"/>
            </w:pPr>
            <w:r>
              <w:t>‘Graduate’ is defined as a past student who was awarded a qualification from a vocational education and training (VET) provider in Australia. This excludes those students who left their training before completing a qualification.</w:t>
            </w:r>
          </w:p>
          <w:p w:rsidR="0030468E" w:rsidRDefault="0030468E" w:rsidP="00EA735E">
            <w:pPr>
              <w:pStyle w:val="TableBodyText"/>
              <w:jc w:val="both"/>
            </w:pPr>
          </w:p>
          <w:p w:rsidR="0030468E" w:rsidRDefault="0030468E" w:rsidP="00EA735E">
            <w:pPr>
              <w:pStyle w:val="TableBodyText"/>
              <w:jc w:val="both"/>
            </w:pPr>
            <w:r>
              <w:t>‘Improved employment status’ is defined as any one of the following:</w:t>
            </w:r>
          </w:p>
          <w:p w:rsidR="0030468E" w:rsidRDefault="0030468E" w:rsidP="00EA735E">
            <w:pPr>
              <w:pStyle w:val="TableBullet"/>
              <w:jc w:val="both"/>
            </w:pPr>
            <w:r>
              <w:t>employment status changing from not employed before training (both unemployed and not in labour force) to employed after training (both full time and part time employed)</w:t>
            </w:r>
          </w:p>
          <w:p w:rsidR="0030468E" w:rsidRDefault="0030468E" w:rsidP="00EA735E">
            <w:pPr>
              <w:pStyle w:val="TableBullet"/>
              <w:jc w:val="both"/>
            </w:pPr>
            <w:r>
              <w:t xml:space="preserve">employed at a higher skill level (based on </w:t>
            </w:r>
            <w:proofErr w:type="spellStart"/>
            <w:r>
              <w:t>ANZSCO</w:t>
            </w:r>
            <w:proofErr w:type="spellEnd"/>
            <w:r>
              <w:t>) after training (regardless of full time or part time employment status before and after training)</w:t>
            </w:r>
          </w:p>
          <w:p w:rsidR="006315F9" w:rsidRDefault="0030468E" w:rsidP="00EA735E">
            <w:pPr>
              <w:pStyle w:val="TableBullet"/>
              <w:jc w:val="both"/>
            </w:pPr>
            <w:r>
              <w:t>received one of the following job related benefits: set up or expanded their own business, got a promotion, increased earnings, or other job-related benefits after completing their training.</w:t>
            </w:r>
          </w:p>
          <w:p w:rsidR="006C27D1" w:rsidRPr="00EA6964" w:rsidRDefault="006C27D1" w:rsidP="00EA735E">
            <w:pPr>
              <w:pStyle w:val="TableBodyText"/>
              <w:jc w:val="both"/>
            </w:pPr>
          </w:p>
        </w:tc>
      </w:tr>
      <w:tr w:rsidR="006315F9" w:rsidRPr="00EA6964" w:rsidTr="00877AB4">
        <w:trPr>
          <w:trHeight w:val="567"/>
        </w:trPr>
        <w:tc>
          <w:tcPr>
            <w:tcW w:w="1869" w:type="dxa"/>
          </w:tcPr>
          <w:p w:rsidR="006315F9" w:rsidRPr="00EA6964" w:rsidRDefault="006315F9" w:rsidP="00E559C8">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Data source/s</w:t>
            </w:r>
          </w:p>
        </w:tc>
        <w:tc>
          <w:tcPr>
            <w:tcW w:w="6951" w:type="dxa"/>
          </w:tcPr>
          <w:p w:rsidR="0030468E" w:rsidRDefault="0030468E" w:rsidP="00EA735E">
            <w:pPr>
              <w:pStyle w:val="TableBodyText"/>
              <w:jc w:val="both"/>
            </w:pPr>
            <w:r>
              <w:t xml:space="preserve">All data are derived from the Student Outcomes Survey, which is an annual survey of students who successfully complete VET in Australia. It has been conducted by the National Centre for Vocational Education and Research (NCVER) since 1997. </w:t>
            </w:r>
          </w:p>
          <w:p w:rsidR="0030468E" w:rsidRDefault="0030468E" w:rsidP="00EA735E">
            <w:pPr>
              <w:pStyle w:val="TableBodyText"/>
              <w:jc w:val="both"/>
            </w:pPr>
          </w:p>
          <w:p w:rsidR="0030468E" w:rsidRDefault="0030468E" w:rsidP="00EA735E">
            <w:pPr>
              <w:pStyle w:val="TableBodyText"/>
              <w:jc w:val="both"/>
            </w:pPr>
            <w:r>
              <w:t>For information on the scope and coverage of the survey, see the Student Outcomes Quality Statement.</w:t>
            </w:r>
          </w:p>
          <w:p w:rsidR="0030468E" w:rsidRDefault="0030468E" w:rsidP="00EA735E">
            <w:pPr>
              <w:pStyle w:val="TableBodyText"/>
              <w:jc w:val="both"/>
            </w:pPr>
          </w:p>
          <w:p w:rsidR="006315F9" w:rsidRDefault="0030468E" w:rsidP="00EA735E">
            <w:pPr>
              <w:pStyle w:val="TableBodyText"/>
              <w:jc w:val="both"/>
            </w:pPr>
            <w:r>
              <w:t>The sample for the survey is drawn from the National VET Provider Collection. For further information, see the National VET Provider Collection Quality Statement.</w:t>
            </w:r>
          </w:p>
          <w:p w:rsidR="006C27D1" w:rsidRPr="00EA6964" w:rsidRDefault="006C27D1" w:rsidP="00EA735E">
            <w:pPr>
              <w:pStyle w:val="TableBodyText"/>
              <w:jc w:val="both"/>
            </w:pPr>
          </w:p>
        </w:tc>
      </w:tr>
      <w:tr w:rsidR="006315F9" w:rsidRPr="00EA6964" w:rsidTr="00877AB4">
        <w:trPr>
          <w:trHeight w:val="567"/>
        </w:trPr>
        <w:tc>
          <w:tcPr>
            <w:tcW w:w="1869" w:type="dxa"/>
          </w:tcPr>
          <w:p w:rsidR="006315F9" w:rsidRPr="00EA6964" w:rsidRDefault="006315F9" w:rsidP="00E559C8">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Institutional environment</w:t>
            </w:r>
          </w:p>
        </w:tc>
        <w:tc>
          <w:tcPr>
            <w:tcW w:w="6951" w:type="dxa"/>
          </w:tcPr>
          <w:p w:rsidR="0030468E" w:rsidRDefault="0030468E" w:rsidP="00EA735E">
            <w:pPr>
              <w:pStyle w:val="TableBodyText"/>
              <w:jc w:val="both"/>
            </w:pPr>
            <w:r>
              <w:t>The National Centre for Vocational Education Research (NCVER) is a not-for-profit company owned by the federal, state and territory ministers responsible for training.</w:t>
            </w:r>
          </w:p>
          <w:p w:rsidR="0030468E" w:rsidRDefault="0030468E" w:rsidP="00EA735E">
            <w:pPr>
              <w:pStyle w:val="TableBodyText"/>
              <w:jc w:val="both"/>
            </w:pPr>
          </w:p>
          <w:p w:rsidR="0030468E" w:rsidRDefault="0030468E" w:rsidP="00EA735E">
            <w:pPr>
              <w:pStyle w:val="TableBodyText"/>
              <w:jc w:val="both"/>
            </w:pPr>
            <w:r>
              <w:t>NCVER is a professional and independent body responsible for collecting, managing, analysing, evaluating and communicating research and statistics about vocational education and training (VET) nationally. It is Australia's principal provider of VET research and statistics.</w:t>
            </w:r>
          </w:p>
          <w:p w:rsidR="0030468E" w:rsidRDefault="0030468E" w:rsidP="00EA735E">
            <w:pPr>
              <w:pStyle w:val="TableBodyText"/>
              <w:jc w:val="both"/>
            </w:pPr>
          </w:p>
          <w:p w:rsidR="006315F9" w:rsidRDefault="0030468E" w:rsidP="00EA735E">
            <w:pPr>
              <w:pStyle w:val="TableBodyText"/>
              <w:jc w:val="both"/>
            </w:pPr>
            <w:r>
              <w:t xml:space="preserve">For further information on the </w:t>
            </w:r>
            <w:proofErr w:type="spellStart"/>
            <w:r>
              <w:t>NCVER</w:t>
            </w:r>
            <w:proofErr w:type="spellEnd"/>
            <w:r>
              <w:t xml:space="preserve">, see </w:t>
            </w:r>
            <w:hyperlink r:id="rId23" w:history="1">
              <w:r w:rsidR="00D85EA8" w:rsidRPr="00854D7E">
                <w:rPr>
                  <w:rStyle w:val="Hyperlink"/>
                </w:rPr>
                <w:t>http://</w:t>
              </w:r>
              <w:proofErr w:type="spellStart"/>
              <w:r w:rsidR="00D85EA8" w:rsidRPr="00854D7E">
                <w:rPr>
                  <w:rStyle w:val="Hyperlink"/>
                </w:rPr>
                <w:t>www.ncver.edu.au</w:t>
              </w:r>
              <w:proofErr w:type="spellEnd"/>
              <w:r w:rsidR="00D85EA8" w:rsidRPr="00854D7E">
                <w:rPr>
                  <w:rStyle w:val="Hyperlink"/>
                </w:rPr>
                <w:t>/</w:t>
              </w:r>
              <w:proofErr w:type="spellStart"/>
              <w:r w:rsidR="00D85EA8" w:rsidRPr="00854D7E">
                <w:rPr>
                  <w:rStyle w:val="Hyperlink"/>
                </w:rPr>
                <w:t>aboutncver</w:t>
              </w:r>
              <w:proofErr w:type="spellEnd"/>
              <w:r w:rsidR="00D85EA8" w:rsidRPr="00854D7E">
                <w:rPr>
                  <w:rStyle w:val="Hyperlink"/>
                </w:rPr>
                <w:t>/</w:t>
              </w:r>
              <w:proofErr w:type="spellStart"/>
              <w:r w:rsidR="00D85EA8" w:rsidRPr="00854D7E">
                <w:rPr>
                  <w:rStyle w:val="Hyperlink"/>
                </w:rPr>
                <w:t>who.html</w:t>
              </w:r>
              <w:proofErr w:type="spellEnd"/>
            </w:hyperlink>
          </w:p>
          <w:p w:rsidR="00D85EA8" w:rsidRPr="00EA6964" w:rsidRDefault="00D85EA8" w:rsidP="00EA735E">
            <w:pPr>
              <w:pStyle w:val="TableBodyText"/>
              <w:jc w:val="both"/>
            </w:pPr>
          </w:p>
        </w:tc>
      </w:tr>
      <w:tr w:rsidR="006315F9" w:rsidRPr="00EA6964" w:rsidTr="00877AB4">
        <w:trPr>
          <w:trHeight w:val="567"/>
        </w:trPr>
        <w:tc>
          <w:tcPr>
            <w:tcW w:w="1869" w:type="dxa"/>
          </w:tcPr>
          <w:p w:rsidR="006315F9" w:rsidRPr="00EA6964" w:rsidRDefault="006315F9" w:rsidP="00E559C8">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Relevance</w:t>
            </w:r>
          </w:p>
          <w:p w:rsidR="006315F9" w:rsidRPr="00EA6964" w:rsidRDefault="006315F9" w:rsidP="00E559C8">
            <w:pPr>
              <w:keepNext/>
              <w:keepLines/>
              <w:spacing w:after="40" w:line="220" w:lineRule="atLeast"/>
              <w:ind w:left="6" w:right="113"/>
              <w:rPr>
                <w:rFonts w:ascii="Arial" w:eastAsiaTheme="minorHAnsi" w:hAnsi="Arial" w:cstheme="minorBidi"/>
                <w:b/>
                <w:sz w:val="20"/>
                <w:szCs w:val="20"/>
                <w:lang w:eastAsia="en-US"/>
              </w:rPr>
            </w:pPr>
          </w:p>
        </w:tc>
        <w:tc>
          <w:tcPr>
            <w:tcW w:w="6951" w:type="dxa"/>
          </w:tcPr>
          <w:p w:rsidR="0030468E" w:rsidRDefault="0030468E" w:rsidP="00EA735E">
            <w:pPr>
              <w:pStyle w:val="TableBodyText"/>
              <w:jc w:val="both"/>
            </w:pPr>
            <w:r>
              <w:t>The Student Outcomes Survey collects information on students’ employment outcomes and satisfaction with VET in Australia. Data are collected by mail-out survey with an option to complete the survey online.</w:t>
            </w:r>
          </w:p>
          <w:p w:rsidR="0030468E" w:rsidRDefault="0030468E" w:rsidP="00EA735E">
            <w:pPr>
              <w:pStyle w:val="TableBodyText"/>
              <w:jc w:val="both"/>
            </w:pPr>
          </w:p>
          <w:p w:rsidR="0030468E" w:rsidRDefault="0030468E" w:rsidP="00EA735E">
            <w:pPr>
              <w:pStyle w:val="TableBodyText"/>
              <w:jc w:val="both"/>
            </w:pPr>
            <w:r>
              <w:t>Information about the level and type of training students undertake, further study patterns and reasons for not continuing with the training (where applicable) is also collected.</w:t>
            </w:r>
          </w:p>
          <w:p w:rsidR="0030468E" w:rsidRDefault="0030468E" w:rsidP="00EA735E">
            <w:pPr>
              <w:pStyle w:val="TableBodyText"/>
              <w:jc w:val="both"/>
            </w:pPr>
          </w:p>
          <w:p w:rsidR="0030468E" w:rsidRDefault="0030468E" w:rsidP="00EA735E">
            <w:pPr>
              <w:pStyle w:val="TableBodyText"/>
              <w:jc w:val="both"/>
            </w:pPr>
            <w:r>
              <w:t>The scope of the survey is nationally recognised VET (</w:t>
            </w:r>
            <w:proofErr w:type="spellStart"/>
            <w:r w:rsidR="00553848">
              <w:t>table</w:t>
            </w:r>
            <w:r w:rsidR="003D3E08">
              <w:t>1</w:t>
            </w:r>
            <w:proofErr w:type="spellEnd"/>
            <w:r w:rsidR="003D3E08">
              <w:t>).</w:t>
            </w:r>
          </w:p>
          <w:p w:rsidR="0030468E" w:rsidRDefault="0030468E" w:rsidP="00EA735E">
            <w:pPr>
              <w:pStyle w:val="TableBodyText"/>
              <w:jc w:val="both"/>
            </w:pPr>
            <w:r>
              <w:t>The survey includes:</w:t>
            </w:r>
          </w:p>
          <w:p w:rsidR="0030468E" w:rsidRDefault="0030468E" w:rsidP="00EA735E">
            <w:pPr>
              <w:pStyle w:val="TableBullet"/>
              <w:jc w:val="both"/>
            </w:pPr>
            <w:r>
              <w:t>Publicly funded VET activity (all providers)</w:t>
            </w:r>
          </w:p>
          <w:p w:rsidR="0030468E" w:rsidRDefault="0030468E" w:rsidP="00EA735E">
            <w:pPr>
              <w:pStyle w:val="TableBullet"/>
              <w:jc w:val="both"/>
            </w:pPr>
            <w:r w:rsidRPr="006C27D1">
              <w:rPr>
                <w:rStyle w:val="TableBulletChar"/>
              </w:rPr>
              <w:t>Privately funded VET activity delivered by TAFE institutions, Adult and Community Education (ACE) providers, and other government providers</w:t>
            </w:r>
            <w:r>
              <w:t xml:space="preserve"> </w:t>
            </w:r>
          </w:p>
          <w:p w:rsidR="0030468E" w:rsidRDefault="0030468E" w:rsidP="00EA735E">
            <w:pPr>
              <w:pStyle w:val="TableBodyText"/>
              <w:jc w:val="both"/>
            </w:pPr>
          </w:p>
          <w:p w:rsidR="0030468E" w:rsidRDefault="0030468E" w:rsidP="00EA735E">
            <w:pPr>
              <w:pStyle w:val="TableBodyText"/>
              <w:jc w:val="both"/>
            </w:pPr>
            <w:r>
              <w:t>The survey excludes:</w:t>
            </w:r>
          </w:p>
          <w:p w:rsidR="0030468E" w:rsidRDefault="0030468E" w:rsidP="00EA735E">
            <w:pPr>
              <w:pStyle w:val="TableBullet"/>
              <w:jc w:val="both"/>
            </w:pPr>
            <w:r>
              <w:t>Recreation, leisure and personal enrichment (non-vocational programs)</w:t>
            </w:r>
          </w:p>
          <w:p w:rsidR="0030468E" w:rsidRDefault="0030468E" w:rsidP="00EA735E">
            <w:pPr>
              <w:pStyle w:val="TableBullet"/>
              <w:jc w:val="both"/>
            </w:pPr>
            <w:r>
              <w:t>Privately funded VET activity delivered by private providers</w:t>
            </w:r>
          </w:p>
          <w:p w:rsidR="0030468E" w:rsidRDefault="0030468E" w:rsidP="00EA735E">
            <w:pPr>
              <w:pStyle w:val="TableBullet"/>
              <w:jc w:val="both"/>
            </w:pPr>
            <w:r>
              <w:t>VET activity delivered at overseas campuses of Australian VET institutions</w:t>
            </w:r>
          </w:p>
          <w:p w:rsidR="0030468E" w:rsidRDefault="0030468E" w:rsidP="00EA735E">
            <w:pPr>
              <w:pStyle w:val="TableBullet"/>
              <w:jc w:val="both"/>
            </w:pPr>
            <w:r>
              <w:t>VET activity delivered in schools.</w:t>
            </w:r>
          </w:p>
          <w:p w:rsidR="0030468E" w:rsidRDefault="0030468E" w:rsidP="00EA735E">
            <w:pPr>
              <w:pStyle w:val="TableBodyText"/>
              <w:jc w:val="both"/>
            </w:pPr>
          </w:p>
          <w:p w:rsidR="0030468E" w:rsidRDefault="0030468E" w:rsidP="00EA735E">
            <w:pPr>
              <w:pStyle w:val="TableBodyText"/>
              <w:jc w:val="both"/>
            </w:pPr>
            <w:r>
              <w:t>This scope has been in place since 2005. Prior to 2005, information was only collected from students undertaking Commonwealth/State funded programs through TAFE.</w:t>
            </w:r>
          </w:p>
          <w:p w:rsidR="0030468E" w:rsidRDefault="0030468E" w:rsidP="00EA735E">
            <w:pPr>
              <w:pStyle w:val="TableBodyText"/>
              <w:jc w:val="both"/>
            </w:pPr>
          </w:p>
          <w:p w:rsidR="00CE72DC" w:rsidRPr="002D7DAF" w:rsidRDefault="00CE72DC" w:rsidP="00EA735E">
            <w:pPr>
              <w:pStyle w:val="TableBodyText"/>
              <w:jc w:val="both"/>
            </w:pPr>
            <w:r>
              <w:t>Table 1: Scope of the 2013 Student Outcomes Survey</w:t>
            </w:r>
            <w:r w:rsidRPr="00057E79">
              <w:rPr>
                <w:rStyle w:val="NoteLabel"/>
              </w:rPr>
              <w:t>a</w:t>
            </w:r>
          </w:p>
          <w:tbl>
            <w:tblPr>
              <w:tblStyle w:val="TableGrid"/>
              <w:tblW w:w="6720" w:type="dxa"/>
              <w:tblInd w:w="6" w:type="dxa"/>
              <w:tblLayout w:type="fixed"/>
              <w:tblLook w:val="04A0" w:firstRow="1" w:lastRow="0" w:firstColumn="1" w:lastColumn="0" w:noHBand="0" w:noVBand="1"/>
            </w:tblPr>
            <w:tblGrid>
              <w:gridCol w:w="1680"/>
              <w:gridCol w:w="1680"/>
              <w:gridCol w:w="1680"/>
              <w:gridCol w:w="1680"/>
            </w:tblGrid>
            <w:tr w:rsidR="00CE72DC" w:rsidTr="008D7EFE">
              <w:tc>
                <w:tcPr>
                  <w:tcW w:w="1680" w:type="dxa"/>
                </w:tcPr>
                <w:p w:rsidR="00CE72DC" w:rsidRDefault="00CE72DC" w:rsidP="00EA735E">
                  <w:pPr>
                    <w:pStyle w:val="TableBodyText"/>
                    <w:jc w:val="both"/>
                  </w:pPr>
                </w:p>
              </w:tc>
              <w:tc>
                <w:tcPr>
                  <w:tcW w:w="5040" w:type="dxa"/>
                  <w:gridSpan w:val="3"/>
                </w:tcPr>
                <w:p w:rsidR="00CE72DC" w:rsidRDefault="00CE72DC" w:rsidP="00EA735E">
                  <w:pPr>
                    <w:pStyle w:val="TableBodyText"/>
                    <w:jc w:val="both"/>
                  </w:pPr>
                  <w:r>
                    <w:t>Provider Type</w:t>
                  </w:r>
                </w:p>
              </w:tc>
            </w:tr>
            <w:tr w:rsidR="00CE72DC" w:rsidTr="008D7EFE">
              <w:tc>
                <w:tcPr>
                  <w:tcW w:w="1680" w:type="dxa"/>
                </w:tcPr>
                <w:p w:rsidR="00CE72DC" w:rsidRDefault="00CE72DC" w:rsidP="00EA735E">
                  <w:pPr>
                    <w:pStyle w:val="TableBodyText"/>
                    <w:jc w:val="both"/>
                  </w:pPr>
                  <w:r>
                    <w:t>Funding type</w:t>
                  </w:r>
                </w:p>
              </w:tc>
              <w:tc>
                <w:tcPr>
                  <w:tcW w:w="1680" w:type="dxa"/>
                </w:tcPr>
                <w:p w:rsidR="00CE72DC" w:rsidRDefault="00CE72DC" w:rsidP="00EA735E">
                  <w:pPr>
                    <w:pStyle w:val="TableBodyText"/>
                    <w:jc w:val="both"/>
                  </w:pPr>
                  <w:r>
                    <w:t>TAFE and other Government providers</w:t>
                  </w:r>
                </w:p>
              </w:tc>
              <w:tc>
                <w:tcPr>
                  <w:tcW w:w="1680" w:type="dxa"/>
                </w:tcPr>
                <w:p w:rsidR="00CE72DC" w:rsidRDefault="00CE72DC" w:rsidP="00EA735E">
                  <w:pPr>
                    <w:pStyle w:val="TableBodyText"/>
                    <w:jc w:val="both"/>
                  </w:pPr>
                  <w:r>
                    <w:t>Private providers</w:t>
                  </w:r>
                </w:p>
              </w:tc>
              <w:tc>
                <w:tcPr>
                  <w:tcW w:w="1680" w:type="dxa"/>
                </w:tcPr>
                <w:p w:rsidR="00CE72DC" w:rsidRDefault="00CE72DC" w:rsidP="00EA735E">
                  <w:pPr>
                    <w:pStyle w:val="TableBodyText"/>
                    <w:jc w:val="both"/>
                  </w:pPr>
                  <w:r>
                    <w:t>Community Education Providers</w:t>
                  </w:r>
                </w:p>
              </w:tc>
            </w:tr>
            <w:tr w:rsidR="00CE72DC" w:rsidTr="008D7EFE">
              <w:tc>
                <w:tcPr>
                  <w:tcW w:w="1680" w:type="dxa"/>
                </w:tcPr>
                <w:p w:rsidR="00CE72DC" w:rsidRDefault="00CE72DC" w:rsidP="00EA735E">
                  <w:pPr>
                    <w:pStyle w:val="TableBodyText"/>
                    <w:jc w:val="both"/>
                  </w:pPr>
                  <w:r>
                    <w:t>Commonwealth and state funded</w:t>
                  </w:r>
                </w:p>
              </w:tc>
              <w:tc>
                <w:tcPr>
                  <w:tcW w:w="1680" w:type="dxa"/>
                </w:tcPr>
                <w:p w:rsidR="00CE72DC" w:rsidRPr="004231C2" w:rsidRDefault="00CE72DC" w:rsidP="00EA735E">
                  <w:pPr>
                    <w:pStyle w:val="TableBodyText"/>
                    <w:jc w:val="both"/>
                  </w:pPr>
                  <w:r>
                    <w:sym w:font="Wingdings" w:char="F0FC"/>
                  </w:r>
                </w:p>
              </w:tc>
              <w:tc>
                <w:tcPr>
                  <w:tcW w:w="1680" w:type="dxa"/>
                </w:tcPr>
                <w:p w:rsidR="00CE72DC" w:rsidRPr="004231C2" w:rsidRDefault="00CE72DC" w:rsidP="00EA735E">
                  <w:pPr>
                    <w:pStyle w:val="TableBodyText"/>
                    <w:jc w:val="both"/>
                  </w:pPr>
                  <w:r>
                    <w:sym w:font="Wingdings" w:char="F0FC"/>
                  </w:r>
                </w:p>
              </w:tc>
              <w:tc>
                <w:tcPr>
                  <w:tcW w:w="1680" w:type="dxa"/>
                </w:tcPr>
                <w:p w:rsidR="00CE72DC" w:rsidRPr="004231C2" w:rsidRDefault="00CE72DC" w:rsidP="00EA735E">
                  <w:pPr>
                    <w:pStyle w:val="TableBodyText"/>
                    <w:jc w:val="both"/>
                  </w:pPr>
                  <w:r>
                    <w:sym w:font="Wingdings" w:char="F0FC"/>
                  </w:r>
                </w:p>
              </w:tc>
            </w:tr>
            <w:tr w:rsidR="00CE72DC" w:rsidTr="008D7EFE">
              <w:tc>
                <w:tcPr>
                  <w:tcW w:w="1680" w:type="dxa"/>
                </w:tcPr>
                <w:p w:rsidR="00CE72DC" w:rsidRDefault="00CE72DC" w:rsidP="00EA735E">
                  <w:pPr>
                    <w:pStyle w:val="TableBodyText"/>
                    <w:jc w:val="both"/>
                  </w:pPr>
                  <w:r>
                    <w:t>Fee-for-service</w:t>
                  </w:r>
                </w:p>
              </w:tc>
              <w:tc>
                <w:tcPr>
                  <w:tcW w:w="1680" w:type="dxa"/>
                </w:tcPr>
                <w:p w:rsidR="00CE72DC" w:rsidRPr="004231C2" w:rsidRDefault="00CE72DC" w:rsidP="00EA735E">
                  <w:pPr>
                    <w:pStyle w:val="TableBodyText"/>
                    <w:jc w:val="both"/>
                  </w:pPr>
                  <w:r>
                    <w:sym w:font="Wingdings" w:char="F0FC"/>
                  </w:r>
                </w:p>
              </w:tc>
              <w:tc>
                <w:tcPr>
                  <w:tcW w:w="1680" w:type="dxa"/>
                </w:tcPr>
                <w:p w:rsidR="00CE72DC" w:rsidRPr="004231C2" w:rsidRDefault="00CE72DC" w:rsidP="00EA735E">
                  <w:pPr>
                    <w:pStyle w:val="TableBodyText"/>
                    <w:jc w:val="both"/>
                  </w:pPr>
                </w:p>
              </w:tc>
              <w:tc>
                <w:tcPr>
                  <w:tcW w:w="1680" w:type="dxa"/>
                </w:tcPr>
                <w:p w:rsidR="00CE72DC" w:rsidRPr="004231C2" w:rsidRDefault="00CE72DC" w:rsidP="00EA735E">
                  <w:pPr>
                    <w:pStyle w:val="TableBodyText"/>
                    <w:jc w:val="both"/>
                  </w:pPr>
                  <w:r>
                    <w:sym w:font="Wingdings" w:char="F0FC"/>
                  </w:r>
                </w:p>
              </w:tc>
            </w:tr>
          </w:tbl>
          <w:p w:rsidR="00CE72DC" w:rsidRDefault="00CE72DC" w:rsidP="00EA735E">
            <w:pPr>
              <w:pStyle w:val="TableBodyText"/>
              <w:jc w:val="both"/>
            </w:pPr>
            <w:proofErr w:type="spellStart"/>
            <w:r w:rsidRPr="00057E79">
              <w:rPr>
                <w:rStyle w:val="NoteLabel"/>
              </w:rPr>
              <w:t>a</w:t>
            </w:r>
            <w:proofErr w:type="spellEnd"/>
            <w:r>
              <w:t xml:space="preserve"> This information is only collected in New South Wales and Victoria.</w:t>
            </w:r>
          </w:p>
          <w:p w:rsidR="006315F9" w:rsidRPr="00EA6964" w:rsidRDefault="006315F9" w:rsidP="00EA735E">
            <w:pPr>
              <w:pStyle w:val="TableBodyText"/>
              <w:jc w:val="both"/>
            </w:pPr>
          </w:p>
        </w:tc>
      </w:tr>
      <w:tr w:rsidR="006315F9" w:rsidRPr="00EA6964" w:rsidTr="00877AB4">
        <w:trPr>
          <w:trHeight w:val="567"/>
        </w:trPr>
        <w:tc>
          <w:tcPr>
            <w:tcW w:w="1869" w:type="dxa"/>
          </w:tcPr>
          <w:p w:rsidR="006315F9" w:rsidRPr="00EA6964" w:rsidRDefault="006315F9" w:rsidP="00E559C8">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Timeliness</w:t>
            </w:r>
          </w:p>
          <w:p w:rsidR="006315F9" w:rsidRPr="00EA6964" w:rsidRDefault="006315F9" w:rsidP="00E559C8">
            <w:pPr>
              <w:keepNext/>
              <w:keepLines/>
              <w:spacing w:after="40" w:line="220" w:lineRule="atLeast"/>
              <w:ind w:left="6" w:right="113"/>
              <w:rPr>
                <w:rFonts w:ascii="Arial" w:eastAsiaTheme="minorHAnsi" w:hAnsi="Arial" w:cstheme="minorBidi"/>
                <w:b/>
                <w:sz w:val="20"/>
                <w:szCs w:val="20"/>
                <w:lang w:eastAsia="en-US"/>
              </w:rPr>
            </w:pPr>
          </w:p>
        </w:tc>
        <w:tc>
          <w:tcPr>
            <w:tcW w:w="6951" w:type="dxa"/>
          </w:tcPr>
          <w:p w:rsidR="006315F9" w:rsidRDefault="00CE72DC" w:rsidP="00EA735E">
            <w:pPr>
              <w:pStyle w:val="TableBodyText"/>
              <w:jc w:val="both"/>
            </w:pPr>
            <w:r w:rsidRPr="00CE72DC">
              <w:t>The Student Outcomes Survey is conducted every year. The reference date is the last Friday in May of the year after the training was completed. Results from the 2013 survey (for students who completed their training in 2012) were released on the NCVER website in December 2013.</w:t>
            </w:r>
          </w:p>
          <w:p w:rsidR="006C27D1" w:rsidRPr="00EA6964" w:rsidRDefault="006C27D1" w:rsidP="00EA735E">
            <w:pPr>
              <w:pStyle w:val="TableBodyText"/>
              <w:jc w:val="both"/>
            </w:pPr>
          </w:p>
        </w:tc>
      </w:tr>
      <w:tr w:rsidR="006315F9" w:rsidRPr="00EA6964" w:rsidTr="00877AB4">
        <w:trPr>
          <w:trHeight w:val="100"/>
        </w:trPr>
        <w:tc>
          <w:tcPr>
            <w:tcW w:w="1869" w:type="dxa"/>
          </w:tcPr>
          <w:p w:rsidR="006315F9" w:rsidRPr="00EA6964" w:rsidRDefault="006315F9" w:rsidP="00E559C8">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Accuracy</w:t>
            </w:r>
          </w:p>
          <w:p w:rsidR="006315F9" w:rsidRPr="00EA6964" w:rsidRDefault="006315F9" w:rsidP="00E559C8">
            <w:pPr>
              <w:keepNext/>
              <w:keepLines/>
              <w:spacing w:after="40" w:line="220" w:lineRule="atLeast"/>
              <w:ind w:left="6" w:right="113"/>
              <w:rPr>
                <w:rFonts w:ascii="Arial" w:eastAsiaTheme="minorHAnsi" w:hAnsi="Arial" w:cstheme="minorBidi"/>
                <w:b/>
                <w:sz w:val="20"/>
                <w:szCs w:val="20"/>
                <w:lang w:eastAsia="en-US"/>
              </w:rPr>
            </w:pPr>
          </w:p>
        </w:tc>
        <w:tc>
          <w:tcPr>
            <w:tcW w:w="6951" w:type="dxa"/>
          </w:tcPr>
          <w:p w:rsidR="00CE72DC" w:rsidRDefault="00CE72DC" w:rsidP="00EA735E">
            <w:pPr>
              <w:pStyle w:val="TableBodyText"/>
              <w:jc w:val="both"/>
            </w:pPr>
            <w:r>
              <w:t>In odd years, the sample is designed for reporting at the national, state/territory and institute level.  In even years, a smaller sample is used for reporting at the national and state/territory level only. The survey is undertaken as a stratified, randomly selected sample, with survey responses weighted to population benchmarks from the National VET Provider Collection.</w:t>
            </w:r>
          </w:p>
          <w:p w:rsidR="00CE72DC" w:rsidRDefault="00CE72DC" w:rsidP="00EA735E">
            <w:pPr>
              <w:pStyle w:val="TableBodyText"/>
              <w:jc w:val="both"/>
            </w:pPr>
          </w:p>
          <w:p w:rsidR="00CE72DC" w:rsidRDefault="00CE72DC" w:rsidP="00EA735E">
            <w:pPr>
              <w:pStyle w:val="TableBodyText"/>
              <w:jc w:val="both"/>
            </w:pPr>
            <w:r>
              <w:t>Potential sources of error in survey data include failure to complete the survey or failure to answer every applicable question. Neither of these sources of error is considered, by NCVER, to have affected the quality of data. Three analyses are conducted to determine the impact of non-response and mode bias. They are performed on weighted and unweighted data and include:</w:t>
            </w:r>
          </w:p>
          <w:p w:rsidR="00CE72DC" w:rsidRDefault="00CE72DC" w:rsidP="00EA735E">
            <w:pPr>
              <w:pStyle w:val="TableBullet"/>
              <w:jc w:val="both"/>
            </w:pPr>
            <w:r>
              <w:t>a comparison of the responding sample with the mailing list sample</w:t>
            </w:r>
          </w:p>
          <w:p w:rsidR="00CE72DC" w:rsidRDefault="00CE72DC" w:rsidP="00EA735E">
            <w:pPr>
              <w:pStyle w:val="TableBullet"/>
              <w:jc w:val="both"/>
            </w:pPr>
            <w:r>
              <w:t>a comparison of the characteristics of the responding sample with non-respondents. Information on a sample of non-respondents is collected via telephone interview</w:t>
            </w:r>
          </w:p>
          <w:p w:rsidR="00CE72DC" w:rsidRDefault="00CE72DC" w:rsidP="00EA735E">
            <w:pPr>
              <w:pStyle w:val="TableBullet"/>
              <w:jc w:val="both"/>
            </w:pPr>
            <w:r>
              <w:t>a comparison of the results obtained from mail and online completion.</w:t>
            </w:r>
          </w:p>
          <w:p w:rsidR="00CE72DC" w:rsidRDefault="00CE72DC" w:rsidP="00EA735E">
            <w:pPr>
              <w:pStyle w:val="TableBodyText"/>
              <w:jc w:val="both"/>
            </w:pPr>
          </w:p>
          <w:p w:rsidR="00CE72DC" w:rsidRDefault="00CE72DC" w:rsidP="00EA735E">
            <w:pPr>
              <w:pStyle w:val="TableBodyText"/>
              <w:jc w:val="both"/>
            </w:pPr>
            <w:r>
              <w:t xml:space="preserve">Table 2: Response rates for graduates to </w:t>
            </w:r>
          </w:p>
          <w:p w:rsidR="00CE72DC" w:rsidRPr="00BC6137" w:rsidRDefault="00CE72DC" w:rsidP="00EA735E">
            <w:pPr>
              <w:pStyle w:val="TableBodyText"/>
              <w:jc w:val="both"/>
            </w:pPr>
            <w:r>
              <w:t>the 2013 Student Outcomes Survey</w:t>
            </w:r>
          </w:p>
          <w:tbl>
            <w:tblPr>
              <w:tblStyle w:val="TableGrid"/>
              <w:tblW w:w="4255" w:type="dxa"/>
              <w:tblLayout w:type="fixed"/>
              <w:tblLook w:val="04A0" w:firstRow="1" w:lastRow="0" w:firstColumn="1" w:lastColumn="0" w:noHBand="0" w:noVBand="1"/>
            </w:tblPr>
            <w:tblGrid>
              <w:gridCol w:w="2271"/>
              <w:gridCol w:w="1984"/>
            </w:tblGrid>
            <w:tr w:rsidR="00CE72DC" w:rsidRPr="00057E79" w:rsidTr="00553848">
              <w:tc>
                <w:tcPr>
                  <w:tcW w:w="2271" w:type="dxa"/>
                  <w:tcBorders>
                    <w:top w:val="single" w:sz="4" w:space="0" w:color="auto"/>
                    <w:left w:val="nil"/>
                    <w:bottom w:val="single" w:sz="4" w:space="0" w:color="auto"/>
                    <w:right w:val="nil"/>
                  </w:tcBorders>
                </w:tcPr>
                <w:p w:rsidR="00CE72DC" w:rsidRPr="00057E79" w:rsidRDefault="00CE72DC" w:rsidP="00EA735E">
                  <w:pPr>
                    <w:pStyle w:val="TableBodyText"/>
                    <w:jc w:val="both"/>
                    <w:rPr>
                      <w:b/>
                    </w:rPr>
                  </w:pPr>
                  <w:r w:rsidRPr="00057E79">
                    <w:rPr>
                      <w:b/>
                    </w:rPr>
                    <w:t>State/Territory</w:t>
                  </w:r>
                </w:p>
              </w:tc>
              <w:tc>
                <w:tcPr>
                  <w:tcW w:w="1984" w:type="dxa"/>
                  <w:tcBorders>
                    <w:top w:val="single" w:sz="4" w:space="0" w:color="auto"/>
                    <w:left w:val="nil"/>
                    <w:bottom w:val="single" w:sz="4" w:space="0" w:color="auto"/>
                    <w:right w:val="nil"/>
                  </w:tcBorders>
                </w:tcPr>
                <w:p w:rsidR="00CE72DC" w:rsidRPr="00057E79" w:rsidRDefault="00CE72DC" w:rsidP="00EA735E">
                  <w:pPr>
                    <w:pStyle w:val="TableBodyText"/>
                    <w:jc w:val="both"/>
                    <w:rPr>
                      <w:b/>
                    </w:rPr>
                  </w:pPr>
                  <w:r w:rsidRPr="00057E79">
                    <w:rPr>
                      <w:b/>
                    </w:rPr>
                    <w:t>Response rate (per cent)</w:t>
                  </w:r>
                </w:p>
              </w:tc>
            </w:tr>
            <w:tr w:rsidR="00CE72DC" w:rsidTr="00553848">
              <w:tc>
                <w:tcPr>
                  <w:tcW w:w="2271" w:type="dxa"/>
                  <w:tcBorders>
                    <w:top w:val="single" w:sz="4" w:space="0" w:color="auto"/>
                    <w:left w:val="nil"/>
                    <w:bottom w:val="nil"/>
                    <w:right w:val="nil"/>
                  </w:tcBorders>
                </w:tcPr>
                <w:p w:rsidR="00CE72DC" w:rsidRDefault="00CE72DC" w:rsidP="00EA735E">
                  <w:pPr>
                    <w:pStyle w:val="TableBodyText"/>
                    <w:jc w:val="both"/>
                  </w:pPr>
                  <w:r>
                    <w:t>NSW</w:t>
                  </w:r>
                </w:p>
              </w:tc>
              <w:tc>
                <w:tcPr>
                  <w:tcW w:w="1984" w:type="dxa"/>
                  <w:tcBorders>
                    <w:top w:val="single" w:sz="4" w:space="0" w:color="auto"/>
                    <w:left w:val="nil"/>
                    <w:bottom w:val="nil"/>
                    <w:right w:val="nil"/>
                  </w:tcBorders>
                </w:tcPr>
                <w:p w:rsidR="00CE72DC" w:rsidRPr="00605B28" w:rsidRDefault="00CE72DC" w:rsidP="00EA735E">
                  <w:pPr>
                    <w:pStyle w:val="TableBodyText"/>
                    <w:jc w:val="both"/>
                  </w:pPr>
                  <w:r w:rsidRPr="00605B28">
                    <w:t>43.4</w:t>
                  </w:r>
                </w:p>
              </w:tc>
            </w:tr>
            <w:tr w:rsidR="00CE72DC" w:rsidTr="00553848">
              <w:tc>
                <w:tcPr>
                  <w:tcW w:w="2271" w:type="dxa"/>
                  <w:tcBorders>
                    <w:top w:val="nil"/>
                    <w:left w:val="nil"/>
                    <w:bottom w:val="nil"/>
                    <w:right w:val="nil"/>
                  </w:tcBorders>
                </w:tcPr>
                <w:p w:rsidR="00CE72DC" w:rsidRDefault="00CE72DC" w:rsidP="00EA735E">
                  <w:pPr>
                    <w:pStyle w:val="TableBodyText"/>
                    <w:jc w:val="both"/>
                  </w:pPr>
                  <w:r>
                    <w:t>VIC</w:t>
                  </w:r>
                </w:p>
              </w:tc>
              <w:tc>
                <w:tcPr>
                  <w:tcW w:w="1984" w:type="dxa"/>
                  <w:tcBorders>
                    <w:top w:val="nil"/>
                    <w:left w:val="nil"/>
                    <w:bottom w:val="nil"/>
                    <w:right w:val="nil"/>
                  </w:tcBorders>
                </w:tcPr>
                <w:p w:rsidR="00CE72DC" w:rsidRPr="00605B28" w:rsidRDefault="00CE72DC" w:rsidP="00EA735E">
                  <w:pPr>
                    <w:pStyle w:val="TableBodyText"/>
                    <w:jc w:val="both"/>
                  </w:pPr>
                  <w:r w:rsidRPr="00605B28">
                    <w:t>40.9</w:t>
                  </w:r>
                </w:p>
              </w:tc>
            </w:tr>
            <w:tr w:rsidR="00CE72DC" w:rsidTr="00553848">
              <w:tc>
                <w:tcPr>
                  <w:tcW w:w="2271" w:type="dxa"/>
                  <w:tcBorders>
                    <w:top w:val="nil"/>
                    <w:left w:val="nil"/>
                    <w:bottom w:val="nil"/>
                    <w:right w:val="nil"/>
                  </w:tcBorders>
                </w:tcPr>
                <w:p w:rsidR="00CE72DC" w:rsidRDefault="00CE72DC" w:rsidP="00EA735E">
                  <w:pPr>
                    <w:pStyle w:val="TableBodyText"/>
                    <w:jc w:val="both"/>
                  </w:pPr>
                  <w:r>
                    <w:t>QLD</w:t>
                  </w:r>
                </w:p>
              </w:tc>
              <w:tc>
                <w:tcPr>
                  <w:tcW w:w="1984" w:type="dxa"/>
                  <w:tcBorders>
                    <w:top w:val="nil"/>
                    <w:left w:val="nil"/>
                    <w:bottom w:val="nil"/>
                    <w:right w:val="nil"/>
                  </w:tcBorders>
                </w:tcPr>
                <w:p w:rsidR="00CE72DC" w:rsidRPr="00605B28" w:rsidRDefault="00CE72DC" w:rsidP="00EA735E">
                  <w:pPr>
                    <w:pStyle w:val="TableBodyText"/>
                    <w:jc w:val="both"/>
                  </w:pPr>
                  <w:r w:rsidRPr="00605B28">
                    <w:t>41.3</w:t>
                  </w:r>
                </w:p>
              </w:tc>
            </w:tr>
            <w:tr w:rsidR="00CE72DC" w:rsidTr="00553848">
              <w:tc>
                <w:tcPr>
                  <w:tcW w:w="2271" w:type="dxa"/>
                  <w:tcBorders>
                    <w:top w:val="nil"/>
                    <w:left w:val="nil"/>
                    <w:bottom w:val="nil"/>
                    <w:right w:val="nil"/>
                  </w:tcBorders>
                </w:tcPr>
                <w:p w:rsidR="00CE72DC" w:rsidRDefault="00CE72DC" w:rsidP="00EA735E">
                  <w:pPr>
                    <w:pStyle w:val="TableBodyText"/>
                    <w:jc w:val="both"/>
                  </w:pPr>
                  <w:r>
                    <w:t>SA</w:t>
                  </w:r>
                </w:p>
              </w:tc>
              <w:tc>
                <w:tcPr>
                  <w:tcW w:w="1984" w:type="dxa"/>
                  <w:tcBorders>
                    <w:top w:val="nil"/>
                    <w:left w:val="nil"/>
                    <w:bottom w:val="nil"/>
                    <w:right w:val="nil"/>
                  </w:tcBorders>
                </w:tcPr>
                <w:p w:rsidR="00CE72DC" w:rsidRPr="00605B28" w:rsidRDefault="00CE72DC" w:rsidP="00EA735E">
                  <w:pPr>
                    <w:pStyle w:val="TableBodyText"/>
                    <w:jc w:val="both"/>
                  </w:pPr>
                  <w:r w:rsidRPr="00605B28">
                    <w:t>46.1</w:t>
                  </w:r>
                </w:p>
              </w:tc>
            </w:tr>
            <w:tr w:rsidR="00CE72DC" w:rsidTr="00553848">
              <w:tc>
                <w:tcPr>
                  <w:tcW w:w="2271" w:type="dxa"/>
                  <w:tcBorders>
                    <w:top w:val="nil"/>
                    <w:left w:val="nil"/>
                    <w:bottom w:val="nil"/>
                    <w:right w:val="nil"/>
                  </w:tcBorders>
                </w:tcPr>
                <w:p w:rsidR="00CE72DC" w:rsidRDefault="00CE72DC" w:rsidP="00EA735E">
                  <w:pPr>
                    <w:pStyle w:val="TableBodyText"/>
                    <w:jc w:val="both"/>
                  </w:pPr>
                  <w:r>
                    <w:t>WA</w:t>
                  </w:r>
                </w:p>
              </w:tc>
              <w:tc>
                <w:tcPr>
                  <w:tcW w:w="1984" w:type="dxa"/>
                  <w:tcBorders>
                    <w:top w:val="nil"/>
                    <w:left w:val="nil"/>
                    <w:bottom w:val="nil"/>
                    <w:right w:val="nil"/>
                  </w:tcBorders>
                </w:tcPr>
                <w:p w:rsidR="00CE72DC" w:rsidRPr="00605B28" w:rsidRDefault="00CE72DC" w:rsidP="00EA735E">
                  <w:pPr>
                    <w:pStyle w:val="TableBodyText"/>
                    <w:jc w:val="both"/>
                  </w:pPr>
                  <w:r w:rsidRPr="00605B28">
                    <w:t>40.4</w:t>
                  </w:r>
                </w:p>
              </w:tc>
            </w:tr>
            <w:tr w:rsidR="00CE72DC" w:rsidTr="00553848">
              <w:tc>
                <w:tcPr>
                  <w:tcW w:w="2271" w:type="dxa"/>
                  <w:tcBorders>
                    <w:top w:val="nil"/>
                    <w:left w:val="nil"/>
                    <w:bottom w:val="nil"/>
                    <w:right w:val="nil"/>
                  </w:tcBorders>
                </w:tcPr>
                <w:p w:rsidR="00CE72DC" w:rsidRDefault="00CE72DC" w:rsidP="00EA735E">
                  <w:pPr>
                    <w:pStyle w:val="TableBodyText"/>
                    <w:jc w:val="both"/>
                  </w:pPr>
                  <w:r>
                    <w:t>Tas</w:t>
                  </w:r>
                </w:p>
              </w:tc>
              <w:tc>
                <w:tcPr>
                  <w:tcW w:w="1984" w:type="dxa"/>
                  <w:tcBorders>
                    <w:top w:val="nil"/>
                    <w:left w:val="nil"/>
                    <w:bottom w:val="nil"/>
                    <w:right w:val="nil"/>
                  </w:tcBorders>
                </w:tcPr>
                <w:p w:rsidR="00CE72DC" w:rsidRPr="00605B28" w:rsidRDefault="00CE72DC" w:rsidP="00EA735E">
                  <w:pPr>
                    <w:pStyle w:val="TableBodyText"/>
                    <w:jc w:val="both"/>
                  </w:pPr>
                  <w:r w:rsidRPr="00605B28">
                    <w:t>44.7</w:t>
                  </w:r>
                </w:p>
              </w:tc>
            </w:tr>
            <w:tr w:rsidR="00CE72DC" w:rsidTr="00553848">
              <w:tc>
                <w:tcPr>
                  <w:tcW w:w="2271" w:type="dxa"/>
                  <w:tcBorders>
                    <w:top w:val="nil"/>
                    <w:left w:val="nil"/>
                    <w:bottom w:val="nil"/>
                    <w:right w:val="nil"/>
                  </w:tcBorders>
                </w:tcPr>
                <w:p w:rsidR="00CE72DC" w:rsidRDefault="00CE72DC" w:rsidP="00EA735E">
                  <w:pPr>
                    <w:pStyle w:val="TableBodyText"/>
                    <w:jc w:val="both"/>
                  </w:pPr>
                  <w:r>
                    <w:t>NT</w:t>
                  </w:r>
                </w:p>
              </w:tc>
              <w:tc>
                <w:tcPr>
                  <w:tcW w:w="1984" w:type="dxa"/>
                  <w:tcBorders>
                    <w:top w:val="nil"/>
                    <w:left w:val="nil"/>
                    <w:bottom w:val="nil"/>
                    <w:right w:val="nil"/>
                  </w:tcBorders>
                </w:tcPr>
                <w:p w:rsidR="00CE72DC" w:rsidRPr="00605B28" w:rsidRDefault="00CE72DC" w:rsidP="00EA735E">
                  <w:pPr>
                    <w:pStyle w:val="TableBodyText"/>
                    <w:jc w:val="both"/>
                  </w:pPr>
                  <w:r w:rsidRPr="00605B28">
                    <w:t>38.8</w:t>
                  </w:r>
                </w:p>
              </w:tc>
            </w:tr>
            <w:tr w:rsidR="00CE72DC" w:rsidTr="00553848">
              <w:tc>
                <w:tcPr>
                  <w:tcW w:w="2271" w:type="dxa"/>
                  <w:tcBorders>
                    <w:top w:val="nil"/>
                    <w:left w:val="nil"/>
                    <w:bottom w:val="nil"/>
                    <w:right w:val="nil"/>
                  </w:tcBorders>
                </w:tcPr>
                <w:p w:rsidR="00CE72DC" w:rsidRDefault="00CE72DC" w:rsidP="00EA735E">
                  <w:pPr>
                    <w:pStyle w:val="TableBodyText"/>
                    <w:jc w:val="both"/>
                  </w:pPr>
                  <w:r>
                    <w:t>ACT</w:t>
                  </w:r>
                </w:p>
              </w:tc>
              <w:tc>
                <w:tcPr>
                  <w:tcW w:w="1984" w:type="dxa"/>
                  <w:tcBorders>
                    <w:top w:val="nil"/>
                    <w:left w:val="nil"/>
                    <w:bottom w:val="nil"/>
                    <w:right w:val="nil"/>
                  </w:tcBorders>
                </w:tcPr>
                <w:p w:rsidR="00CE72DC" w:rsidRPr="00605B28" w:rsidRDefault="00CE72DC" w:rsidP="00EA735E">
                  <w:pPr>
                    <w:pStyle w:val="TableBodyText"/>
                    <w:jc w:val="both"/>
                  </w:pPr>
                  <w:r w:rsidRPr="00605B28">
                    <w:t>41.0</w:t>
                  </w:r>
                </w:p>
              </w:tc>
            </w:tr>
            <w:tr w:rsidR="00CE72DC" w:rsidTr="00553848">
              <w:tc>
                <w:tcPr>
                  <w:tcW w:w="2271" w:type="dxa"/>
                  <w:tcBorders>
                    <w:top w:val="nil"/>
                    <w:left w:val="nil"/>
                    <w:bottom w:val="single" w:sz="4" w:space="0" w:color="auto"/>
                    <w:right w:val="nil"/>
                  </w:tcBorders>
                </w:tcPr>
                <w:p w:rsidR="00CE72DC" w:rsidRDefault="00CE72DC" w:rsidP="00EA735E">
                  <w:pPr>
                    <w:pStyle w:val="TableBodyText"/>
                    <w:jc w:val="both"/>
                  </w:pPr>
                  <w:r>
                    <w:t xml:space="preserve">Australia </w:t>
                  </w:r>
                </w:p>
              </w:tc>
              <w:tc>
                <w:tcPr>
                  <w:tcW w:w="1984" w:type="dxa"/>
                  <w:tcBorders>
                    <w:top w:val="nil"/>
                    <w:left w:val="nil"/>
                    <w:bottom w:val="single" w:sz="4" w:space="0" w:color="auto"/>
                    <w:right w:val="nil"/>
                  </w:tcBorders>
                </w:tcPr>
                <w:p w:rsidR="00CE72DC" w:rsidRDefault="00CE72DC" w:rsidP="00EA735E">
                  <w:pPr>
                    <w:pStyle w:val="TableBodyText"/>
                    <w:jc w:val="both"/>
                  </w:pPr>
                  <w:r w:rsidRPr="00605B28">
                    <w:t>41.9</w:t>
                  </w:r>
                </w:p>
              </w:tc>
            </w:tr>
          </w:tbl>
          <w:p w:rsidR="00CE72DC" w:rsidRDefault="00CE72DC" w:rsidP="00EA735E">
            <w:pPr>
              <w:pStyle w:val="TableBodyText"/>
              <w:jc w:val="both"/>
            </w:pPr>
          </w:p>
          <w:p w:rsidR="00CE72DC" w:rsidRDefault="00CE72DC" w:rsidP="00EA735E">
            <w:pPr>
              <w:pStyle w:val="TableBodyText"/>
              <w:jc w:val="both"/>
            </w:pPr>
            <w:r w:rsidRPr="00CE72DC">
              <w:t>For 2013, the indicat</w:t>
            </w:r>
            <w:r w:rsidR="006C27D1">
              <w:t>or has acceptable (less than 25 per cent</w:t>
            </w:r>
            <w:r w:rsidRPr="00CE72DC">
              <w:t xml:space="preserve">) relative standard errors (RSEs) for all VET graduates at the national level. When data are disaggregated by state/territory and Indigenous status or </w:t>
            </w:r>
            <w:proofErr w:type="spellStart"/>
            <w:r w:rsidRPr="00CE72DC">
              <w:t>socio-economic</w:t>
            </w:r>
            <w:proofErr w:type="spellEnd"/>
            <w:r w:rsidRPr="00CE72DC">
              <w:t xml:space="preserve"> status (SES), some RSEs are consistently above 25</w:t>
            </w:r>
            <w:r w:rsidR="006C27D1">
              <w:t xml:space="preserve"> per cent</w:t>
            </w:r>
            <w:r w:rsidRPr="00CE72DC">
              <w:t xml:space="preserve"> due to small sample sizes.</w:t>
            </w:r>
          </w:p>
          <w:p w:rsidR="006315F9" w:rsidRPr="00EA6964" w:rsidRDefault="006315F9" w:rsidP="00EA735E">
            <w:pPr>
              <w:pStyle w:val="TableBodyText"/>
              <w:jc w:val="both"/>
            </w:pPr>
          </w:p>
        </w:tc>
      </w:tr>
      <w:tr w:rsidR="006315F9" w:rsidRPr="00EA6964" w:rsidTr="00877AB4">
        <w:trPr>
          <w:trHeight w:val="567"/>
        </w:trPr>
        <w:tc>
          <w:tcPr>
            <w:tcW w:w="1869" w:type="dxa"/>
          </w:tcPr>
          <w:p w:rsidR="006315F9" w:rsidRPr="00EA6964" w:rsidRDefault="006315F9" w:rsidP="00E559C8">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Coherence</w:t>
            </w:r>
          </w:p>
          <w:p w:rsidR="006315F9" w:rsidRPr="00EA6964" w:rsidRDefault="006315F9" w:rsidP="00E559C8">
            <w:pPr>
              <w:keepNext/>
              <w:keepLines/>
              <w:spacing w:after="40" w:line="220" w:lineRule="atLeast"/>
              <w:ind w:left="6" w:right="113"/>
              <w:rPr>
                <w:rFonts w:ascii="Arial" w:eastAsiaTheme="minorHAnsi" w:hAnsi="Arial" w:cstheme="minorBidi"/>
                <w:b/>
                <w:sz w:val="20"/>
                <w:szCs w:val="20"/>
                <w:lang w:eastAsia="en-US"/>
              </w:rPr>
            </w:pPr>
          </w:p>
        </w:tc>
        <w:tc>
          <w:tcPr>
            <w:tcW w:w="6951" w:type="dxa"/>
          </w:tcPr>
          <w:p w:rsidR="00CE72DC" w:rsidRDefault="00CE72DC" w:rsidP="00EA735E">
            <w:pPr>
              <w:pStyle w:val="TableBodyText"/>
              <w:jc w:val="both"/>
            </w:pPr>
            <w:r>
              <w:t xml:space="preserve">The majority of data items have not changed since the survey was first conducted in 1997. The scope of the survey has increased over time. Until 2000, the survey was restricted to TAFE students. From 2000, it was expanded to include students from Adult and Community Education, private and other government providers. </w:t>
            </w:r>
          </w:p>
          <w:p w:rsidR="006C27D1" w:rsidRDefault="006C27D1" w:rsidP="00EA735E">
            <w:pPr>
              <w:pStyle w:val="TableBodyText"/>
              <w:jc w:val="both"/>
            </w:pPr>
          </w:p>
          <w:p w:rsidR="006315F9" w:rsidRDefault="00CE72DC" w:rsidP="00EA735E">
            <w:pPr>
              <w:pStyle w:val="TableBodyText"/>
              <w:jc w:val="both"/>
            </w:pPr>
            <w:r>
              <w:t>Two questionnaires are used to collect the data. The main questionnaire is sent to students from TAFE, other Government and private providers. A separate shorter questionnaire is sent to students from Adult and Community Education (ACE) providers.</w:t>
            </w:r>
          </w:p>
          <w:p w:rsidR="006C27D1" w:rsidRPr="00EA6964" w:rsidRDefault="006C27D1" w:rsidP="00EA735E">
            <w:pPr>
              <w:pStyle w:val="TableBodyText"/>
              <w:jc w:val="both"/>
            </w:pPr>
          </w:p>
        </w:tc>
      </w:tr>
      <w:tr w:rsidR="006315F9" w:rsidRPr="00EA6964" w:rsidTr="00877AB4">
        <w:trPr>
          <w:trHeight w:val="567"/>
        </w:trPr>
        <w:tc>
          <w:tcPr>
            <w:tcW w:w="1869" w:type="dxa"/>
          </w:tcPr>
          <w:p w:rsidR="006315F9" w:rsidRPr="00EA6964" w:rsidRDefault="006315F9" w:rsidP="00E559C8">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Accessibility</w:t>
            </w:r>
          </w:p>
          <w:p w:rsidR="006315F9" w:rsidRPr="00EA6964" w:rsidRDefault="006315F9" w:rsidP="00E559C8">
            <w:pPr>
              <w:keepNext/>
              <w:keepLines/>
              <w:spacing w:after="40" w:line="220" w:lineRule="atLeast"/>
              <w:ind w:left="6" w:right="113"/>
              <w:rPr>
                <w:rFonts w:ascii="Arial" w:eastAsiaTheme="minorHAnsi" w:hAnsi="Arial" w:cstheme="minorBidi"/>
                <w:b/>
                <w:sz w:val="20"/>
                <w:szCs w:val="20"/>
                <w:lang w:eastAsia="en-US"/>
              </w:rPr>
            </w:pPr>
          </w:p>
        </w:tc>
        <w:tc>
          <w:tcPr>
            <w:tcW w:w="6951" w:type="dxa"/>
          </w:tcPr>
          <w:p w:rsidR="00CE72DC" w:rsidRPr="00CE72DC" w:rsidRDefault="00CE72DC" w:rsidP="00EA735E">
            <w:pPr>
              <w:pStyle w:val="TableBodyText"/>
              <w:jc w:val="both"/>
              <w:rPr>
                <w:bCs/>
                <w:lang w:val="en"/>
              </w:rPr>
            </w:pPr>
            <w:r w:rsidRPr="00CE72DC">
              <w:rPr>
                <w:bCs/>
                <w:lang w:val="en"/>
              </w:rPr>
              <w:t xml:space="preserve">Results of the survey are available free of charge on </w:t>
            </w:r>
            <w:proofErr w:type="spellStart"/>
            <w:r w:rsidRPr="00CE72DC">
              <w:rPr>
                <w:bCs/>
                <w:lang w:val="en"/>
              </w:rPr>
              <w:t>NCVER’s</w:t>
            </w:r>
            <w:proofErr w:type="spellEnd"/>
            <w:r w:rsidRPr="00CE72DC">
              <w:rPr>
                <w:bCs/>
                <w:lang w:val="en"/>
              </w:rPr>
              <w:t xml:space="preserve"> website at: http://</w:t>
            </w:r>
            <w:proofErr w:type="spellStart"/>
            <w:r w:rsidRPr="00CE72DC">
              <w:rPr>
                <w:bCs/>
                <w:lang w:val="en"/>
              </w:rPr>
              <w:t>www.ncver.edu.au</w:t>
            </w:r>
            <w:proofErr w:type="spellEnd"/>
            <w:r w:rsidRPr="00CE72DC">
              <w:rPr>
                <w:bCs/>
                <w:lang w:val="en"/>
              </w:rPr>
              <w:t>/statistic/</w:t>
            </w:r>
            <w:proofErr w:type="spellStart"/>
            <w:r w:rsidRPr="00CE72DC">
              <w:rPr>
                <w:bCs/>
                <w:lang w:val="en"/>
              </w:rPr>
              <w:t>21065.html</w:t>
            </w:r>
            <w:proofErr w:type="spellEnd"/>
            <w:r w:rsidRPr="00CE72DC">
              <w:rPr>
                <w:bCs/>
                <w:lang w:val="en"/>
              </w:rPr>
              <w:t xml:space="preserve">. Requests for more detailed statistical information or further information about the Student Outcomes Survey can be made to NCVER on (08) 8230 8400 or </w:t>
            </w:r>
            <w:proofErr w:type="spellStart"/>
            <w:r w:rsidRPr="00CE72DC">
              <w:rPr>
                <w:bCs/>
                <w:lang w:val="en"/>
              </w:rPr>
              <w:t>surveys_req@ncver.edu.au</w:t>
            </w:r>
            <w:proofErr w:type="spellEnd"/>
            <w:r w:rsidRPr="00CE72DC">
              <w:rPr>
                <w:bCs/>
                <w:lang w:val="en"/>
              </w:rPr>
              <w:t>.</w:t>
            </w:r>
          </w:p>
          <w:p w:rsidR="00CE72DC" w:rsidRPr="00CE72DC" w:rsidRDefault="00CE72DC" w:rsidP="00EA735E">
            <w:pPr>
              <w:pStyle w:val="TableBodyText"/>
              <w:jc w:val="both"/>
              <w:rPr>
                <w:bCs/>
                <w:lang w:val="en"/>
              </w:rPr>
            </w:pPr>
          </w:p>
          <w:p w:rsidR="006315F9" w:rsidRPr="00EA6964" w:rsidRDefault="00CE72DC" w:rsidP="00EA735E">
            <w:pPr>
              <w:pStyle w:val="TableBodyText"/>
              <w:jc w:val="both"/>
              <w:rPr>
                <w:bCs/>
                <w:lang w:val="en"/>
              </w:rPr>
            </w:pPr>
            <w:r w:rsidRPr="00CE72DC">
              <w:rPr>
                <w:bCs/>
                <w:lang w:val="en"/>
              </w:rPr>
              <w:t xml:space="preserve">A charge will be generally made by the NCVER for more complex requests for information. See </w:t>
            </w:r>
            <w:proofErr w:type="spellStart"/>
            <w:r w:rsidRPr="00CE72DC">
              <w:rPr>
                <w:bCs/>
                <w:lang w:val="en"/>
              </w:rPr>
              <w:t>NCVER’s</w:t>
            </w:r>
            <w:proofErr w:type="spellEnd"/>
            <w:r w:rsidRPr="00CE72DC">
              <w:rPr>
                <w:bCs/>
                <w:lang w:val="en"/>
              </w:rPr>
              <w:t xml:space="preserve"> fees and charges policy at http://</w:t>
            </w:r>
            <w:proofErr w:type="spellStart"/>
            <w:r w:rsidRPr="00CE72DC">
              <w:rPr>
                <w:bCs/>
                <w:lang w:val="en"/>
              </w:rPr>
              <w:t>www.ncver.edu.au</w:t>
            </w:r>
            <w:proofErr w:type="spellEnd"/>
            <w:r w:rsidRPr="00CE72DC">
              <w:rPr>
                <w:bCs/>
                <w:lang w:val="en"/>
              </w:rPr>
              <w:t>/statistic/</w:t>
            </w:r>
            <w:proofErr w:type="spellStart"/>
            <w:r w:rsidRPr="00CE72DC">
              <w:rPr>
                <w:bCs/>
                <w:lang w:val="en"/>
              </w:rPr>
              <w:t>21075.html</w:t>
            </w:r>
            <w:proofErr w:type="spellEnd"/>
          </w:p>
        </w:tc>
      </w:tr>
      <w:tr w:rsidR="006315F9" w:rsidRPr="00EA6964" w:rsidTr="00877AB4">
        <w:trPr>
          <w:trHeight w:val="567"/>
        </w:trPr>
        <w:tc>
          <w:tcPr>
            <w:tcW w:w="1869" w:type="dxa"/>
          </w:tcPr>
          <w:p w:rsidR="006315F9" w:rsidRPr="00EA6964" w:rsidRDefault="006315F9" w:rsidP="00E559C8">
            <w:pPr>
              <w:keepNext/>
              <w:keepLines/>
              <w:spacing w:after="40" w:line="220" w:lineRule="atLeast"/>
              <w:ind w:left="6" w:right="113"/>
              <w:jc w:val="both"/>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Interpretability</w:t>
            </w:r>
          </w:p>
        </w:tc>
        <w:tc>
          <w:tcPr>
            <w:tcW w:w="6951" w:type="dxa"/>
          </w:tcPr>
          <w:p w:rsidR="00CE72DC" w:rsidRDefault="00CE72DC" w:rsidP="00EA735E">
            <w:pPr>
              <w:pStyle w:val="TableBodyText"/>
              <w:jc w:val="both"/>
            </w:pPr>
            <w:r>
              <w:t>To aid interpretation of the data, information on the Student Outcomes Survey is available on the NCVER Portal.</w:t>
            </w:r>
          </w:p>
          <w:p w:rsidR="00CE72DC" w:rsidRDefault="00CE72DC" w:rsidP="00EA735E">
            <w:pPr>
              <w:pStyle w:val="TableBodyText"/>
              <w:jc w:val="both"/>
            </w:pPr>
          </w:p>
          <w:p w:rsidR="00CE72DC" w:rsidRDefault="00CE72DC" w:rsidP="00EA735E">
            <w:pPr>
              <w:pStyle w:val="TableBodyText"/>
              <w:jc w:val="both"/>
            </w:pPr>
            <w:r>
              <w:t>The survey uses the:</w:t>
            </w:r>
          </w:p>
          <w:p w:rsidR="00CE72DC" w:rsidRDefault="00CE72DC" w:rsidP="00EA735E">
            <w:pPr>
              <w:pStyle w:val="TableBullet"/>
              <w:jc w:val="both"/>
            </w:pPr>
            <w:r>
              <w:t>Australian Classification of Education (</w:t>
            </w:r>
            <w:proofErr w:type="spellStart"/>
            <w:r>
              <w:t>ASCED</w:t>
            </w:r>
            <w:proofErr w:type="spellEnd"/>
            <w:r>
              <w:t>) (ABS cat. no. 1272.0) to classify the level and field of education</w:t>
            </w:r>
          </w:p>
          <w:p w:rsidR="00CE72DC" w:rsidRDefault="00CE72DC" w:rsidP="00EA735E">
            <w:pPr>
              <w:pStyle w:val="TableBullet"/>
              <w:jc w:val="both"/>
            </w:pPr>
            <w:r>
              <w:t>Australian and New Zealand Standard Industry Classification (</w:t>
            </w:r>
            <w:proofErr w:type="spellStart"/>
            <w:r>
              <w:t>ANZSIC</w:t>
            </w:r>
            <w:proofErr w:type="spellEnd"/>
            <w:r>
              <w:t>) (ABS cat. no. 1292.0) to classify industry</w:t>
            </w:r>
          </w:p>
          <w:p w:rsidR="00CE72DC" w:rsidRDefault="00CE72DC" w:rsidP="00EA735E">
            <w:pPr>
              <w:pStyle w:val="TableBullet"/>
              <w:jc w:val="both"/>
            </w:pPr>
            <w:r>
              <w:t>Australian and New Zealand Standard Classification of Occupations (</w:t>
            </w:r>
            <w:proofErr w:type="spellStart"/>
            <w:r>
              <w:t>ANZSCO</w:t>
            </w:r>
            <w:proofErr w:type="spellEnd"/>
            <w:r>
              <w:t xml:space="preserve">, previously </w:t>
            </w:r>
            <w:proofErr w:type="spellStart"/>
            <w:r>
              <w:t>ASCO</w:t>
            </w:r>
            <w:proofErr w:type="spellEnd"/>
            <w:r>
              <w:t>) (ABS cat. no. 1220.0) to classify occupation</w:t>
            </w:r>
          </w:p>
          <w:p w:rsidR="00CE72DC" w:rsidRDefault="00CE72DC" w:rsidP="00EA735E">
            <w:pPr>
              <w:pStyle w:val="TableBullet"/>
              <w:jc w:val="both"/>
            </w:pPr>
            <w:r>
              <w:t xml:space="preserve">Australian Statistical Geography Standard (ASGS): Volume 5 - Remoteness Structure (ABS cat. </w:t>
            </w:r>
            <w:proofErr w:type="spellStart"/>
            <w:r>
              <w:t>no.1270.0.55.005</w:t>
            </w:r>
            <w:proofErr w:type="spellEnd"/>
            <w:r>
              <w:t>) together with the Accessibility/Remoteness Index of Australia (ARIA) to classify remoteness.</w:t>
            </w:r>
          </w:p>
          <w:p w:rsidR="00CE72DC" w:rsidRDefault="00CE72DC" w:rsidP="00EA735E">
            <w:pPr>
              <w:pStyle w:val="TableBullet"/>
              <w:jc w:val="both"/>
            </w:pPr>
            <w:r>
              <w:t>Census of Population and Housing: Socio-economic Index for Area - Index of Relative Socio-economic Disadvantage (SEIFA IRSD) (ABS cat. no. 2033.0.55.001) to summarise information about the economic and social conditions of people and households within an area. The index is based on information from the five-yearly Census. The ABS has assigned a SEIFA IRSD score to each Statistical Area 2 (</w:t>
            </w:r>
            <w:proofErr w:type="spellStart"/>
            <w:r>
              <w:t>SA2</w:t>
            </w:r>
            <w:proofErr w:type="spellEnd"/>
            <w:r>
              <w:t>) and the distribution of scores is divided into ten equal groups (</w:t>
            </w:r>
            <w:proofErr w:type="spellStart"/>
            <w:r>
              <w:t>deciles</w:t>
            </w:r>
            <w:proofErr w:type="spellEnd"/>
            <w:r>
              <w:t xml:space="preserve">). Then, a simple matching exercise is undertaken for each student where their postcode and location in the VET Provider Collection are mapped to a </w:t>
            </w:r>
            <w:proofErr w:type="spellStart"/>
            <w:r>
              <w:t>SA2</w:t>
            </w:r>
            <w:proofErr w:type="spellEnd"/>
            <w:r>
              <w:t xml:space="preserve">. The </w:t>
            </w:r>
            <w:proofErr w:type="spellStart"/>
            <w:r>
              <w:t>deciles</w:t>
            </w:r>
            <w:proofErr w:type="spellEnd"/>
            <w:r>
              <w:t xml:space="preserve"> are converted to quintiles for reporting.</w:t>
            </w:r>
          </w:p>
          <w:p w:rsidR="00CE72DC" w:rsidRDefault="00CE72DC" w:rsidP="00EA735E">
            <w:pPr>
              <w:pStyle w:val="TableBodyText"/>
              <w:jc w:val="both"/>
            </w:pPr>
          </w:p>
          <w:p w:rsidR="00CE72DC" w:rsidRDefault="00CE72DC" w:rsidP="00EA735E">
            <w:pPr>
              <w:pStyle w:val="TableBodyText"/>
              <w:jc w:val="both"/>
            </w:pPr>
            <w:r>
              <w:t>Other standards used include the ABS standard question on:</w:t>
            </w:r>
          </w:p>
          <w:p w:rsidR="00CE72DC" w:rsidRDefault="00CE72DC" w:rsidP="00EA735E">
            <w:pPr>
              <w:pStyle w:val="TableBullet"/>
              <w:jc w:val="both"/>
            </w:pPr>
            <w:r>
              <w:t>Indigenous status</w:t>
            </w:r>
          </w:p>
          <w:p w:rsidR="00CE72DC" w:rsidRDefault="00CE72DC" w:rsidP="00EA735E">
            <w:pPr>
              <w:pStyle w:val="TableBullet"/>
              <w:jc w:val="both"/>
            </w:pPr>
            <w:r>
              <w:t>Country of birth</w:t>
            </w:r>
          </w:p>
          <w:p w:rsidR="00CE72DC" w:rsidRDefault="00CE72DC" w:rsidP="00EA735E">
            <w:pPr>
              <w:pStyle w:val="TableBullet"/>
              <w:jc w:val="both"/>
            </w:pPr>
            <w:r>
              <w:t>Main Language Other than English Spoken at Home</w:t>
            </w:r>
          </w:p>
          <w:p w:rsidR="006315F9" w:rsidRPr="00EA6964" w:rsidRDefault="00CE72DC" w:rsidP="00EA735E">
            <w:pPr>
              <w:pStyle w:val="TableBullet"/>
              <w:jc w:val="both"/>
            </w:pPr>
            <w:r>
              <w:t>Labour force status.</w:t>
            </w:r>
          </w:p>
        </w:tc>
      </w:tr>
    </w:tbl>
    <w:p w:rsidR="006315F9" w:rsidRDefault="006315F9" w:rsidP="006315F9"/>
    <w:p w:rsidR="006315F9" w:rsidRDefault="006315F9" w:rsidP="006315F9">
      <w:r>
        <w:br w:type="page"/>
      </w:r>
    </w:p>
    <w:p w:rsidR="006315F9" w:rsidRPr="00910491" w:rsidRDefault="006315F9" w:rsidP="006315F9">
      <w:pPr>
        <w:pStyle w:val="Heading3"/>
        <w:spacing w:after="360"/>
      </w:pPr>
      <w:bookmarkStart w:id="40" w:name="_Ref357149626"/>
      <w:r w:rsidRPr="00910491">
        <w:t>Data quality statement — Indicator 6 — Proportion of VET graduates with improved employment status after training</w:t>
      </w:r>
      <w:bookmarkEnd w:id="40"/>
    </w:p>
    <w:tbl>
      <w:tblPr>
        <w:tblW w:w="8820" w:type="dxa"/>
        <w:tblInd w:w="108" w:type="dxa"/>
        <w:tblLayout w:type="fixed"/>
        <w:tblLook w:val="01E0" w:firstRow="1" w:lastRow="1" w:firstColumn="1" w:lastColumn="1" w:noHBand="0" w:noVBand="0"/>
      </w:tblPr>
      <w:tblGrid>
        <w:gridCol w:w="1869"/>
        <w:gridCol w:w="6951"/>
      </w:tblGrid>
      <w:tr w:rsidR="006315F9" w:rsidRPr="00EA6964" w:rsidTr="00877AB4">
        <w:trPr>
          <w:trHeight w:val="567"/>
        </w:trPr>
        <w:tc>
          <w:tcPr>
            <w:tcW w:w="1869" w:type="dxa"/>
          </w:tcPr>
          <w:p w:rsidR="006315F9" w:rsidRPr="00EA6964" w:rsidRDefault="006315F9" w:rsidP="00E559C8">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Outcome</w:t>
            </w:r>
          </w:p>
        </w:tc>
        <w:tc>
          <w:tcPr>
            <w:tcW w:w="6951" w:type="dxa"/>
          </w:tcPr>
          <w:p w:rsidR="006315F9" w:rsidRDefault="00CE72DC" w:rsidP="00EA735E">
            <w:pPr>
              <w:pStyle w:val="TableBodyText"/>
              <w:jc w:val="both"/>
            </w:pPr>
            <w:r w:rsidRPr="00CE72DC">
              <w:t>Training delivers the skills and capabilities needed for improved economic participation for working age Australians</w:t>
            </w:r>
          </w:p>
          <w:p w:rsidR="006C27D1" w:rsidRPr="00EA6964" w:rsidRDefault="006C27D1" w:rsidP="00EA735E">
            <w:pPr>
              <w:pStyle w:val="TableBodyText"/>
              <w:jc w:val="both"/>
            </w:pPr>
          </w:p>
        </w:tc>
      </w:tr>
      <w:tr w:rsidR="006315F9" w:rsidRPr="00EA6964" w:rsidTr="00877AB4">
        <w:trPr>
          <w:trHeight w:val="567"/>
        </w:trPr>
        <w:tc>
          <w:tcPr>
            <w:tcW w:w="1869" w:type="dxa"/>
          </w:tcPr>
          <w:p w:rsidR="006315F9" w:rsidRPr="00EA6964" w:rsidRDefault="006315F9" w:rsidP="00E559C8">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Indicator</w:t>
            </w:r>
          </w:p>
        </w:tc>
        <w:tc>
          <w:tcPr>
            <w:tcW w:w="6951" w:type="dxa"/>
          </w:tcPr>
          <w:p w:rsidR="006315F9" w:rsidRDefault="00CE72DC" w:rsidP="00EA735E">
            <w:pPr>
              <w:pStyle w:val="TableBodyText"/>
              <w:jc w:val="both"/>
            </w:pPr>
            <w:r w:rsidRPr="00CE72DC">
              <w:t>Proportion of VET graduates with improved education/training status after training</w:t>
            </w:r>
          </w:p>
          <w:p w:rsidR="006C27D1" w:rsidRPr="00EA6964" w:rsidRDefault="006C27D1" w:rsidP="00EA735E">
            <w:pPr>
              <w:pStyle w:val="TableBodyText"/>
              <w:jc w:val="both"/>
            </w:pPr>
          </w:p>
        </w:tc>
      </w:tr>
      <w:tr w:rsidR="006315F9" w:rsidRPr="00EA6964" w:rsidTr="00877AB4">
        <w:trPr>
          <w:trHeight w:val="567"/>
        </w:trPr>
        <w:tc>
          <w:tcPr>
            <w:tcW w:w="1869" w:type="dxa"/>
          </w:tcPr>
          <w:p w:rsidR="006315F9" w:rsidRPr="00EA6964" w:rsidRDefault="006315F9" w:rsidP="00E559C8">
            <w:pPr>
              <w:keepNext/>
              <w:keepLines/>
              <w:spacing w:after="40" w:line="220" w:lineRule="atLeast"/>
              <w:ind w:left="6" w:right="113"/>
              <w:rPr>
                <w:rFonts w:ascii="Arial" w:eastAsiaTheme="minorHAnsi" w:hAnsi="Arial" w:cstheme="minorBidi"/>
                <w:b/>
                <w:sz w:val="20"/>
                <w:szCs w:val="20"/>
                <w:lang w:eastAsia="en-US"/>
              </w:rPr>
            </w:pPr>
            <w:r>
              <w:rPr>
                <w:rFonts w:ascii="Arial" w:eastAsiaTheme="minorHAnsi" w:hAnsi="Arial" w:cstheme="minorBidi"/>
                <w:b/>
                <w:sz w:val="20"/>
                <w:szCs w:val="20"/>
                <w:lang w:eastAsia="en-US"/>
              </w:rPr>
              <w:t>Measure (main)</w:t>
            </w:r>
          </w:p>
        </w:tc>
        <w:tc>
          <w:tcPr>
            <w:tcW w:w="6951" w:type="dxa"/>
          </w:tcPr>
          <w:p w:rsidR="00CE72DC" w:rsidRDefault="00CE72DC" w:rsidP="00EA735E">
            <w:pPr>
              <w:pStyle w:val="TableBodyText"/>
              <w:jc w:val="both"/>
            </w:pPr>
            <w:r>
              <w:t>The measure is defined as:</w:t>
            </w:r>
          </w:p>
          <w:p w:rsidR="00CE72DC" w:rsidRDefault="006C27D1" w:rsidP="00EA735E">
            <w:pPr>
              <w:pStyle w:val="TableBullet"/>
              <w:jc w:val="both"/>
            </w:pPr>
            <w:r w:rsidRPr="006C27D1">
              <w:rPr>
                <w:i/>
              </w:rPr>
              <w:t>n</w:t>
            </w:r>
            <w:r w:rsidR="00CE72DC" w:rsidRPr="006C27D1">
              <w:rPr>
                <w:i/>
              </w:rPr>
              <w:t>umerator</w:t>
            </w:r>
            <w:r w:rsidR="00CE72DC">
              <w:t xml:space="preserve"> — </w:t>
            </w:r>
            <w:proofErr w:type="spellStart"/>
            <w:r w:rsidR="00CE72DC">
              <w:t>AQF</w:t>
            </w:r>
            <w:proofErr w:type="spellEnd"/>
            <w:r w:rsidR="00CE72DC">
              <w:t xml:space="preserve"> qualifications completed by students aged 20–64 years at a higher education level than their previous highest education level</w:t>
            </w:r>
          </w:p>
          <w:p w:rsidR="006315F9" w:rsidRDefault="006C27D1" w:rsidP="00EA735E">
            <w:pPr>
              <w:pStyle w:val="TableBullet"/>
              <w:jc w:val="both"/>
            </w:pPr>
            <w:r w:rsidRPr="006C27D1">
              <w:rPr>
                <w:i/>
              </w:rPr>
              <w:t>d</w:t>
            </w:r>
            <w:r w:rsidR="00CE72DC" w:rsidRPr="006C27D1">
              <w:rPr>
                <w:i/>
              </w:rPr>
              <w:t>enominator</w:t>
            </w:r>
            <w:r w:rsidR="00CE72DC">
              <w:t xml:space="preserve"> —</w:t>
            </w:r>
            <w:r w:rsidR="0023156D">
              <w:t xml:space="preserve"> </w:t>
            </w:r>
            <w:proofErr w:type="spellStart"/>
            <w:r w:rsidR="00CE72DC">
              <w:t>AQF</w:t>
            </w:r>
            <w:proofErr w:type="spellEnd"/>
            <w:r w:rsidR="00CE72DC">
              <w:t xml:space="preserve"> VET course enrolments by students aged 20–64 years and is expressed as a percentage</w:t>
            </w:r>
          </w:p>
          <w:p w:rsidR="006C27D1" w:rsidRPr="00813EC1" w:rsidRDefault="006C27D1" w:rsidP="00EA735E">
            <w:pPr>
              <w:pStyle w:val="TableBullet"/>
              <w:numPr>
                <w:ilvl w:val="0"/>
                <w:numId w:val="0"/>
              </w:numPr>
              <w:ind w:left="170"/>
              <w:jc w:val="both"/>
            </w:pPr>
          </w:p>
        </w:tc>
      </w:tr>
      <w:tr w:rsidR="006315F9" w:rsidRPr="00EA6964" w:rsidTr="00877AB4">
        <w:trPr>
          <w:trHeight w:val="567"/>
        </w:trPr>
        <w:tc>
          <w:tcPr>
            <w:tcW w:w="1869" w:type="dxa"/>
          </w:tcPr>
          <w:p w:rsidR="006315F9" w:rsidRPr="00EA6964" w:rsidRDefault="006315F9" w:rsidP="00E559C8">
            <w:pPr>
              <w:keepNext/>
              <w:keepLines/>
              <w:spacing w:after="40" w:line="220" w:lineRule="atLeast"/>
              <w:ind w:left="6" w:right="113"/>
              <w:rPr>
                <w:rFonts w:ascii="Arial" w:eastAsiaTheme="minorHAnsi" w:hAnsi="Arial" w:cstheme="minorBidi"/>
                <w:b/>
                <w:sz w:val="20"/>
                <w:szCs w:val="20"/>
                <w:lang w:eastAsia="en-US"/>
              </w:rPr>
            </w:pPr>
            <w:r>
              <w:rPr>
                <w:rFonts w:ascii="Arial" w:eastAsiaTheme="minorHAnsi" w:hAnsi="Arial" w:cstheme="minorBidi"/>
                <w:b/>
                <w:sz w:val="20"/>
                <w:szCs w:val="20"/>
                <w:lang w:eastAsia="en-US"/>
              </w:rPr>
              <w:t>Measure supplementary</w:t>
            </w:r>
          </w:p>
        </w:tc>
        <w:tc>
          <w:tcPr>
            <w:tcW w:w="6951" w:type="dxa"/>
          </w:tcPr>
          <w:p w:rsidR="00CE72DC" w:rsidRDefault="00CE72DC" w:rsidP="00EA735E">
            <w:pPr>
              <w:pStyle w:val="TableBodyText"/>
              <w:jc w:val="both"/>
            </w:pPr>
            <w:r>
              <w:t>The measure is defined as:</w:t>
            </w:r>
          </w:p>
          <w:p w:rsidR="00CE72DC" w:rsidRDefault="0072647D" w:rsidP="00EA735E">
            <w:pPr>
              <w:pStyle w:val="TableBullet"/>
              <w:jc w:val="both"/>
            </w:pPr>
            <w:r w:rsidRPr="0072647D">
              <w:rPr>
                <w:i/>
              </w:rPr>
              <w:t>n</w:t>
            </w:r>
            <w:r w:rsidR="00CE72DC" w:rsidRPr="0072647D">
              <w:rPr>
                <w:i/>
              </w:rPr>
              <w:t>umerator</w:t>
            </w:r>
            <w:r w:rsidR="00CE72DC">
              <w:t xml:space="preserve"> — </w:t>
            </w:r>
            <w:proofErr w:type="spellStart"/>
            <w:r w:rsidR="00CE72DC">
              <w:t>AQF</w:t>
            </w:r>
            <w:proofErr w:type="spellEnd"/>
            <w:r w:rsidR="00CE72DC">
              <w:t xml:space="preserve"> qualifications completed by students aged 20–64 years at a higher education level than their previous highest education level</w:t>
            </w:r>
          </w:p>
          <w:p w:rsidR="00CE72DC" w:rsidRDefault="0072647D" w:rsidP="00EA735E">
            <w:pPr>
              <w:pStyle w:val="TableBullet"/>
              <w:jc w:val="both"/>
            </w:pPr>
            <w:r w:rsidRPr="0072647D">
              <w:rPr>
                <w:i/>
              </w:rPr>
              <w:t>d</w:t>
            </w:r>
            <w:r w:rsidR="00CE72DC" w:rsidRPr="0072647D">
              <w:rPr>
                <w:i/>
              </w:rPr>
              <w:t>enominator</w:t>
            </w:r>
            <w:r w:rsidR="00CE72DC">
              <w:t xml:space="preserve"> — </w:t>
            </w:r>
            <w:proofErr w:type="spellStart"/>
            <w:r w:rsidR="00CE72DC">
              <w:t>AQF</w:t>
            </w:r>
            <w:proofErr w:type="spellEnd"/>
            <w:r w:rsidR="00CE72DC">
              <w:t xml:space="preserve"> VET course qualification  completions by students aged 20–64 years and is expressed as a percentage.</w:t>
            </w:r>
          </w:p>
          <w:p w:rsidR="00CE72DC" w:rsidRDefault="00CE72DC" w:rsidP="00EA735E">
            <w:pPr>
              <w:pStyle w:val="TableBodyText"/>
              <w:jc w:val="both"/>
            </w:pPr>
          </w:p>
          <w:p w:rsidR="00CE72DC" w:rsidRDefault="00CE72DC" w:rsidP="00EA735E">
            <w:pPr>
              <w:pStyle w:val="TableBodyText"/>
              <w:jc w:val="both"/>
            </w:pPr>
            <w:r>
              <w:t>For both measures, the hierarchy for highest level of education as follows:</w:t>
            </w:r>
          </w:p>
          <w:p w:rsidR="00CE72DC" w:rsidRDefault="00CE72DC" w:rsidP="00EA735E">
            <w:pPr>
              <w:pStyle w:val="TableBullet"/>
              <w:jc w:val="both"/>
            </w:pPr>
            <w:r>
              <w:t>Bachelor degree/Higher degree level</w:t>
            </w:r>
          </w:p>
          <w:p w:rsidR="00CE72DC" w:rsidRDefault="00CE72DC" w:rsidP="00EA735E">
            <w:pPr>
              <w:pStyle w:val="TableBullet"/>
              <w:jc w:val="both"/>
            </w:pPr>
            <w:r>
              <w:t>Advanced diploma/Associate degree</w:t>
            </w:r>
          </w:p>
          <w:p w:rsidR="00CE72DC" w:rsidRDefault="00CE72DC" w:rsidP="00EA735E">
            <w:pPr>
              <w:pStyle w:val="TableBullet"/>
              <w:jc w:val="both"/>
            </w:pPr>
            <w:r>
              <w:t>Diploma</w:t>
            </w:r>
          </w:p>
          <w:p w:rsidR="00CE72DC" w:rsidRDefault="00CE72DC" w:rsidP="00EA735E">
            <w:pPr>
              <w:pStyle w:val="TableBullet"/>
              <w:jc w:val="both"/>
            </w:pPr>
            <w:r>
              <w:t>Certificate IV</w:t>
            </w:r>
          </w:p>
          <w:p w:rsidR="00CE72DC" w:rsidRDefault="00CE72DC" w:rsidP="00EA735E">
            <w:pPr>
              <w:pStyle w:val="TableBullet"/>
              <w:jc w:val="both"/>
            </w:pPr>
            <w:r>
              <w:t>Certificate III</w:t>
            </w:r>
          </w:p>
          <w:p w:rsidR="00CE72DC" w:rsidRDefault="00CE72DC" w:rsidP="00EA735E">
            <w:pPr>
              <w:pStyle w:val="TableBullet"/>
              <w:jc w:val="both"/>
            </w:pPr>
            <w:r>
              <w:t>Certificate II</w:t>
            </w:r>
          </w:p>
          <w:p w:rsidR="00CE72DC" w:rsidRDefault="00CE72DC" w:rsidP="00EA735E">
            <w:pPr>
              <w:pStyle w:val="TableBullet"/>
              <w:jc w:val="both"/>
            </w:pPr>
            <w:r>
              <w:t>Year 12</w:t>
            </w:r>
          </w:p>
          <w:p w:rsidR="00CE72DC" w:rsidRDefault="00CE72DC" w:rsidP="00EA735E">
            <w:pPr>
              <w:pStyle w:val="TableBullet"/>
              <w:jc w:val="both"/>
            </w:pPr>
            <w:r>
              <w:t>Certificate I</w:t>
            </w:r>
          </w:p>
          <w:p w:rsidR="00CE72DC" w:rsidRDefault="00CE72DC" w:rsidP="00EA735E">
            <w:pPr>
              <w:pStyle w:val="TableBullet"/>
              <w:jc w:val="both"/>
            </w:pPr>
            <w:r>
              <w:t>Year 11</w:t>
            </w:r>
          </w:p>
          <w:p w:rsidR="00CE72DC" w:rsidRDefault="00CE72DC" w:rsidP="00EA735E">
            <w:pPr>
              <w:pStyle w:val="TableBullet"/>
              <w:jc w:val="both"/>
            </w:pPr>
            <w:r>
              <w:t>Year 10</w:t>
            </w:r>
          </w:p>
          <w:p w:rsidR="00CE72DC" w:rsidRDefault="00CE72DC" w:rsidP="00EA735E">
            <w:pPr>
              <w:pStyle w:val="TableBullet"/>
              <w:jc w:val="both"/>
            </w:pPr>
            <w:r>
              <w:t>Year 9 or lower</w:t>
            </w:r>
          </w:p>
          <w:p w:rsidR="00CE72DC" w:rsidRDefault="00CE72DC" w:rsidP="00EA735E">
            <w:pPr>
              <w:pStyle w:val="TableBullet"/>
              <w:jc w:val="both"/>
            </w:pPr>
            <w:r>
              <w:t>Miscellaneous education</w:t>
            </w:r>
          </w:p>
          <w:p w:rsidR="00CE72DC" w:rsidRDefault="00CE72DC" w:rsidP="00EA735E">
            <w:pPr>
              <w:pStyle w:val="TableBullet"/>
              <w:jc w:val="both"/>
            </w:pPr>
            <w:r>
              <w:t>Did not go to school</w:t>
            </w:r>
            <w:r w:rsidR="0023156D">
              <w:t>.</w:t>
            </w:r>
          </w:p>
          <w:p w:rsidR="0072647D" w:rsidRDefault="00CE72DC" w:rsidP="00EA735E">
            <w:pPr>
              <w:pStyle w:val="TableBodyText"/>
              <w:jc w:val="both"/>
            </w:pPr>
            <w:r>
              <w:t>‘</w:t>
            </w:r>
          </w:p>
          <w:p w:rsidR="006315F9" w:rsidRDefault="00CE72DC" w:rsidP="00EA735E">
            <w:pPr>
              <w:pStyle w:val="TableBodyText"/>
              <w:jc w:val="both"/>
            </w:pPr>
            <w:r>
              <w:t>Not stated’ responses have been excluded from the computation</w:t>
            </w:r>
          </w:p>
          <w:p w:rsidR="0072647D" w:rsidRPr="00EA6964" w:rsidRDefault="0072647D" w:rsidP="00EA735E">
            <w:pPr>
              <w:pStyle w:val="TableBodyText"/>
              <w:jc w:val="both"/>
            </w:pPr>
          </w:p>
        </w:tc>
      </w:tr>
      <w:tr w:rsidR="006315F9" w:rsidRPr="00EA6964" w:rsidTr="00877AB4">
        <w:trPr>
          <w:trHeight w:val="567"/>
        </w:trPr>
        <w:tc>
          <w:tcPr>
            <w:tcW w:w="1869" w:type="dxa"/>
          </w:tcPr>
          <w:p w:rsidR="006315F9" w:rsidRPr="00EA6964" w:rsidRDefault="006315F9" w:rsidP="00E559C8">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Data source/s</w:t>
            </w:r>
          </w:p>
        </w:tc>
        <w:tc>
          <w:tcPr>
            <w:tcW w:w="6951" w:type="dxa"/>
          </w:tcPr>
          <w:p w:rsidR="006315F9" w:rsidRDefault="00CE72DC" w:rsidP="00EA735E">
            <w:pPr>
              <w:pStyle w:val="TableBodyText"/>
              <w:jc w:val="both"/>
            </w:pPr>
            <w:r w:rsidRPr="00CE72DC">
              <w:t>All data are derived from the National VET Provider Collection, which collects information relating to students, courses, qualifications, training providers and funding in Australia’s publicly funded vocational education and training (VET) system.</w:t>
            </w:r>
          </w:p>
          <w:p w:rsidR="0072647D" w:rsidRPr="00EA6964" w:rsidRDefault="0072647D" w:rsidP="00EA735E">
            <w:pPr>
              <w:pStyle w:val="TableBodyText"/>
              <w:jc w:val="both"/>
            </w:pPr>
          </w:p>
        </w:tc>
      </w:tr>
      <w:tr w:rsidR="006315F9" w:rsidRPr="00EA6964" w:rsidTr="00877AB4">
        <w:trPr>
          <w:trHeight w:val="567"/>
        </w:trPr>
        <w:tc>
          <w:tcPr>
            <w:tcW w:w="1869" w:type="dxa"/>
          </w:tcPr>
          <w:p w:rsidR="006315F9" w:rsidRPr="00EA6964" w:rsidRDefault="006315F9" w:rsidP="00E559C8">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Institutional environment</w:t>
            </w:r>
          </w:p>
        </w:tc>
        <w:tc>
          <w:tcPr>
            <w:tcW w:w="6951" w:type="dxa"/>
          </w:tcPr>
          <w:p w:rsidR="00CE72DC" w:rsidRDefault="00CE72DC" w:rsidP="00EA735E">
            <w:pPr>
              <w:pStyle w:val="TableBodyText"/>
              <w:jc w:val="both"/>
            </w:pPr>
            <w:r>
              <w:t>The National Centre for Vocational Education Research (NCVER) is a not-for-profit company owned by the federal, state and territory ministers responsible for training.</w:t>
            </w:r>
          </w:p>
          <w:p w:rsidR="00CE72DC" w:rsidRDefault="00CE72DC" w:rsidP="00EA735E">
            <w:pPr>
              <w:pStyle w:val="TableBodyText"/>
              <w:jc w:val="both"/>
            </w:pPr>
          </w:p>
          <w:p w:rsidR="00CE72DC" w:rsidRDefault="00CE72DC" w:rsidP="00EA735E">
            <w:pPr>
              <w:pStyle w:val="TableBodyText"/>
              <w:jc w:val="both"/>
            </w:pPr>
            <w:r>
              <w:t>NCVER is a professional and independent body responsible for collecting, managing, analysing, evaluating and communicating research and statistics about vocational education and training (VET) nationally. It is Australia's principal provider of VET research and statistics.</w:t>
            </w:r>
          </w:p>
          <w:p w:rsidR="00CE72DC" w:rsidRDefault="00CE72DC" w:rsidP="00EA735E">
            <w:pPr>
              <w:pStyle w:val="TableBodyText"/>
              <w:jc w:val="both"/>
            </w:pPr>
          </w:p>
          <w:p w:rsidR="006315F9" w:rsidRDefault="00CE72DC" w:rsidP="00EA735E">
            <w:pPr>
              <w:pStyle w:val="TableBodyText"/>
              <w:jc w:val="both"/>
            </w:pPr>
            <w:r>
              <w:t xml:space="preserve">For further information on the </w:t>
            </w:r>
            <w:proofErr w:type="spellStart"/>
            <w:r>
              <w:t>NCVER</w:t>
            </w:r>
            <w:proofErr w:type="spellEnd"/>
            <w:r>
              <w:t xml:space="preserve">, see </w:t>
            </w:r>
            <w:hyperlink r:id="rId24" w:history="1">
              <w:r w:rsidR="0072647D" w:rsidRPr="00020B48">
                <w:rPr>
                  <w:rStyle w:val="Hyperlink"/>
                </w:rPr>
                <w:t>http://</w:t>
              </w:r>
              <w:proofErr w:type="spellStart"/>
              <w:r w:rsidR="0072647D" w:rsidRPr="00020B48">
                <w:rPr>
                  <w:rStyle w:val="Hyperlink"/>
                </w:rPr>
                <w:t>www.ncver.edu.au</w:t>
              </w:r>
              <w:proofErr w:type="spellEnd"/>
              <w:r w:rsidR="0072647D" w:rsidRPr="00020B48">
                <w:rPr>
                  <w:rStyle w:val="Hyperlink"/>
                </w:rPr>
                <w:t>/</w:t>
              </w:r>
              <w:proofErr w:type="spellStart"/>
              <w:r w:rsidR="0072647D" w:rsidRPr="00020B48">
                <w:rPr>
                  <w:rStyle w:val="Hyperlink"/>
                </w:rPr>
                <w:t>aboutncver</w:t>
              </w:r>
              <w:proofErr w:type="spellEnd"/>
              <w:r w:rsidR="0072647D" w:rsidRPr="00020B48">
                <w:rPr>
                  <w:rStyle w:val="Hyperlink"/>
                </w:rPr>
                <w:t>/</w:t>
              </w:r>
              <w:proofErr w:type="spellStart"/>
              <w:r w:rsidR="0072647D" w:rsidRPr="00020B48">
                <w:rPr>
                  <w:rStyle w:val="Hyperlink"/>
                </w:rPr>
                <w:t>who.html</w:t>
              </w:r>
              <w:proofErr w:type="spellEnd"/>
            </w:hyperlink>
          </w:p>
          <w:p w:rsidR="0072647D" w:rsidRPr="00EA6964" w:rsidRDefault="0072647D" w:rsidP="00EA735E">
            <w:pPr>
              <w:pStyle w:val="TableBodyText"/>
              <w:jc w:val="both"/>
            </w:pPr>
          </w:p>
        </w:tc>
      </w:tr>
      <w:tr w:rsidR="006315F9" w:rsidRPr="00EA6964" w:rsidTr="00877AB4">
        <w:trPr>
          <w:trHeight w:val="567"/>
        </w:trPr>
        <w:tc>
          <w:tcPr>
            <w:tcW w:w="1869" w:type="dxa"/>
          </w:tcPr>
          <w:p w:rsidR="006315F9" w:rsidRPr="00EA6964" w:rsidRDefault="006315F9" w:rsidP="00E559C8">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Relevance</w:t>
            </w:r>
          </w:p>
          <w:p w:rsidR="006315F9" w:rsidRPr="00EA6964" w:rsidRDefault="006315F9" w:rsidP="00E559C8">
            <w:pPr>
              <w:keepNext/>
              <w:keepLines/>
              <w:spacing w:after="40" w:line="220" w:lineRule="atLeast"/>
              <w:ind w:left="6" w:right="113"/>
              <w:rPr>
                <w:rFonts w:ascii="Arial" w:eastAsiaTheme="minorHAnsi" w:hAnsi="Arial" w:cstheme="minorBidi"/>
                <w:b/>
                <w:sz w:val="20"/>
                <w:szCs w:val="20"/>
                <w:lang w:eastAsia="en-US"/>
              </w:rPr>
            </w:pPr>
          </w:p>
        </w:tc>
        <w:tc>
          <w:tcPr>
            <w:tcW w:w="6951" w:type="dxa"/>
          </w:tcPr>
          <w:p w:rsidR="00CE72DC" w:rsidRDefault="00CE72DC" w:rsidP="00EA735E">
            <w:pPr>
              <w:pStyle w:val="TableBodyText"/>
              <w:jc w:val="both"/>
            </w:pPr>
            <w:r>
              <w:t>The National VET Provider Collection collects information relating to students, courses, qualifications, training providers and funding in Australia’s publicly funded vocational education and training (VET) system.</w:t>
            </w:r>
          </w:p>
          <w:p w:rsidR="00CE72DC" w:rsidRDefault="00CE72DC" w:rsidP="00EA735E">
            <w:pPr>
              <w:pStyle w:val="TableBodyText"/>
              <w:jc w:val="both"/>
            </w:pPr>
          </w:p>
          <w:p w:rsidR="00CE72DC" w:rsidRDefault="00CE72DC" w:rsidP="00EA735E">
            <w:pPr>
              <w:pStyle w:val="TableBodyText"/>
              <w:jc w:val="both"/>
            </w:pPr>
            <w:r>
              <w:t>The system provides training for students of all ages and backgrounds. Students have many options for training and may study individual subjects or full courses that lead to formal qualifications. Training takes place in classrooms, in the workplace, online and through other flexible delivery methods.</w:t>
            </w:r>
          </w:p>
          <w:p w:rsidR="0072647D" w:rsidRDefault="0072647D" w:rsidP="00EA735E">
            <w:pPr>
              <w:pStyle w:val="TableBodyText"/>
              <w:jc w:val="both"/>
            </w:pPr>
          </w:p>
          <w:p w:rsidR="00CE72DC" w:rsidRDefault="00CE72DC" w:rsidP="00EA735E">
            <w:pPr>
              <w:pStyle w:val="TableBodyText"/>
              <w:jc w:val="both"/>
            </w:pPr>
            <w:r>
              <w:t>Providers of vocational education and training in Australia include not only technical and further education (TAFE) institutes, but also universities, secondary schools, industry organisations, private enterprises, agricultural colleges, community education providers and other government providers.</w:t>
            </w:r>
          </w:p>
          <w:p w:rsidR="00CE72DC" w:rsidRDefault="00CE72DC" w:rsidP="00EA735E">
            <w:pPr>
              <w:pStyle w:val="TableBodyText"/>
              <w:jc w:val="both"/>
            </w:pPr>
          </w:p>
          <w:p w:rsidR="00CE72DC" w:rsidRDefault="00CE72DC" w:rsidP="00EA735E">
            <w:pPr>
              <w:pStyle w:val="TableBodyText"/>
              <w:jc w:val="both"/>
            </w:pPr>
            <w:r>
              <w:t>This collection does not report on the following types of training activity:</w:t>
            </w:r>
          </w:p>
          <w:p w:rsidR="00CE72DC" w:rsidRDefault="00CE72DC" w:rsidP="00EA735E">
            <w:pPr>
              <w:pStyle w:val="TableBullet"/>
              <w:jc w:val="both"/>
            </w:pPr>
            <w:r>
              <w:t xml:space="preserve">recreation, leisure and personal enrichment </w:t>
            </w:r>
          </w:p>
          <w:p w:rsidR="00CE72DC" w:rsidRDefault="00CE72DC" w:rsidP="00EA735E">
            <w:pPr>
              <w:pStyle w:val="TableBullet"/>
              <w:jc w:val="both"/>
            </w:pPr>
            <w:r>
              <w:t xml:space="preserve">fee-for-service VET by private providers </w:t>
            </w:r>
          </w:p>
          <w:p w:rsidR="00CE72DC" w:rsidRDefault="00CE72DC" w:rsidP="00EA735E">
            <w:pPr>
              <w:pStyle w:val="TableBullet"/>
              <w:jc w:val="both"/>
            </w:pPr>
            <w:r>
              <w:t xml:space="preserve">delivery undertaken at overseas campuses of Australian VET institutions </w:t>
            </w:r>
          </w:p>
          <w:p w:rsidR="00CE72DC" w:rsidRDefault="00CE72DC" w:rsidP="00EA735E">
            <w:pPr>
              <w:pStyle w:val="TableBullet"/>
              <w:jc w:val="both"/>
            </w:pPr>
            <w:r>
              <w:t xml:space="preserve">credit transfer </w:t>
            </w:r>
          </w:p>
          <w:p w:rsidR="006315F9" w:rsidRDefault="00CE72DC" w:rsidP="00EA735E">
            <w:pPr>
              <w:pStyle w:val="TableBullet"/>
              <w:jc w:val="both"/>
            </w:pPr>
            <w:r>
              <w:t>VET delivered in schools, where the delivery has been undertaken by schools.</w:t>
            </w:r>
          </w:p>
          <w:p w:rsidR="0072647D" w:rsidRPr="00EA6964" w:rsidRDefault="0072647D" w:rsidP="00EA735E">
            <w:pPr>
              <w:pStyle w:val="TableBullet"/>
              <w:numPr>
                <w:ilvl w:val="0"/>
                <w:numId w:val="0"/>
              </w:numPr>
              <w:ind w:left="170"/>
              <w:jc w:val="both"/>
            </w:pPr>
          </w:p>
        </w:tc>
      </w:tr>
      <w:tr w:rsidR="006315F9" w:rsidRPr="00EA6964" w:rsidTr="00877AB4">
        <w:trPr>
          <w:trHeight w:val="567"/>
        </w:trPr>
        <w:tc>
          <w:tcPr>
            <w:tcW w:w="1869" w:type="dxa"/>
          </w:tcPr>
          <w:p w:rsidR="006315F9" w:rsidRPr="00EA6964" w:rsidRDefault="006315F9" w:rsidP="00E559C8">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Timeliness</w:t>
            </w:r>
          </w:p>
          <w:p w:rsidR="006315F9" w:rsidRPr="00EA6964" w:rsidRDefault="006315F9" w:rsidP="00E559C8">
            <w:pPr>
              <w:keepNext/>
              <w:keepLines/>
              <w:spacing w:after="40" w:line="220" w:lineRule="atLeast"/>
              <w:ind w:left="6" w:right="113"/>
              <w:rPr>
                <w:rFonts w:ascii="Arial" w:eastAsiaTheme="minorHAnsi" w:hAnsi="Arial" w:cstheme="minorBidi"/>
                <w:b/>
                <w:sz w:val="20"/>
                <w:szCs w:val="20"/>
                <w:lang w:eastAsia="en-US"/>
              </w:rPr>
            </w:pPr>
          </w:p>
        </w:tc>
        <w:tc>
          <w:tcPr>
            <w:tcW w:w="6951" w:type="dxa"/>
          </w:tcPr>
          <w:p w:rsidR="006315F9" w:rsidRDefault="00CE72DC" w:rsidP="00EA735E">
            <w:pPr>
              <w:pStyle w:val="TableBodyText"/>
              <w:jc w:val="both"/>
            </w:pPr>
            <w:r w:rsidRPr="00CE72DC">
              <w:t>The National VET Provider Collection is an annual collection of data. Data are submitted to NCVER (via state training authorities) by 31 March in the year following activity. A summary of 2012 data was released on 12 July 2013.</w:t>
            </w:r>
          </w:p>
          <w:p w:rsidR="0072647D" w:rsidRPr="00EA6964" w:rsidRDefault="0072647D" w:rsidP="00EA735E">
            <w:pPr>
              <w:pStyle w:val="TableBodyText"/>
              <w:jc w:val="both"/>
            </w:pPr>
          </w:p>
        </w:tc>
      </w:tr>
      <w:tr w:rsidR="006315F9" w:rsidRPr="00EA6964" w:rsidTr="00877AB4">
        <w:trPr>
          <w:trHeight w:val="100"/>
        </w:trPr>
        <w:tc>
          <w:tcPr>
            <w:tcW w:w="1869" w:type="dxa"/>
          </w:tcPr>
          <w:p w:rsidR="006315F9" w:rsidRPr="00EA6964" w:rsidRDefault="006315F9" w:rsidP="00E559C8">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Accuracy</w:t>
            </w:r>
          </w:p>
          <w:p w:rsidR="006315F9" w:rsidRPr="00EA6964" w:rsidRDefault="006315F9" w:rsidP="00E559C8">
            <w:pPr>
              <w:keepNext/>
              <w:keepLines/>
              <w:spacing w:after="40" w:line="220" w:lineRule="atLeast"/>
              <w:ind w:left="6" w:right="113"/>
              <w:rPr>
                <w:rFonts w:ascii="Arial" w:eastAsiaTheme="minorHAnsi" w:hAnsi="Arial" w:cstheme="minorBidi"/>
                <w:b/>
                <w:sz w:val="20"/>
                <w:szCs w:val="20"/>
                <w:lang w:eastAsia="en-US"/>
              </w:rPr>
            </w:pPr>
          </w:p>
        </w:tc>
        <w:tc>
          <w:tcPr>
            <w:tcW w:w="6951" w:type="dxa"/>
          </w:tcPr>
          <w:p w:rsidR="00CE72DC" w:rsidRDefault="00CE72DC" w:rsidP="00EA735E">
            <w:pPr>
              <w:pStyle w:val="TableBodyText"/>
              <w:jc w:val="both"/>
            </w:pPr>
            <w:r>
              <w:t>The National VET Provider Collection is a collection of all publicly funded training activity in Australia in a particular year. It is an administrative collection.</w:t>
            </w:r>
          </w:p>
          <w:p w:rsidR="00CE72DC" w:rsidRDefault="00CE72DC" w:rsidP="00EA735E">
            <w:pPr>
              <w:pStyle w:val="TableBodyText"/>
              <w:jc w:val="both"/>
            </w:pPr>
          </w:p>
          <w:p w:rsidR="00CE72DC" w:rsidRDefault="00CE72DC" w:rsidP="00EA735E">
            <w:pPr>
              <w:pStyle w:val="TableBodyText"/>
              <w:jc w:val="both"/>
            </w:pPr>
            <w:r>
              <w:t>Publicly funded registered training organisations submit unit record data directly to state/territory training authorities, who in turn submit the data to NCVER. Prior to submissions to NCVER, data must first pass a validation process to ensure that data conforms to the Australian vocational education and training management information statistical standard (</w:t>
            </w:r>
            <w:proofErr w:type="spellStart"/>
            <w:r>
              <w:t>AVETMISS</w:t>
            </w:r>
            <w:proofErr w:type="spellEnd"/>
            <w:r>
              <w:t>) (Refer to http://</w:t>
            </w:r>
            <w:proofErr w:type="spellStart"/>
            <w:r>
              <w:t>www.ncver.edu.au</w:t>
            </w:r>
            <w:proofErr w:type="spellEnd"/>
            <w:r>
              <w:t>/</w:t>
            </w:r>
            <w:proofErr w:type="spellStart"/>
            <w:r>
              <w:t>avetmiss</w:t>
            </w:r>
            <w:proofErr w:type="spellEnd"/>
            <w:r>
              <w:t>/</w:t>
            </w:r>
            <w:proofErr w:type="spellStart"/>
            <w:r>
              <w:t>21055.html</w:t>
            </w:r>
            <w:proofErr w:type="spellEnd"/>
            <w:r>
              <w:t xml:space="preserve">). </w:t>
            </w:r>
          </w:p>
          <w:p w:rsidR="00CE72DC" w:rsidRDefault="00CE72DC" w:rsidP="00EA735E">
            <w:pPr>
              <w:pStyle w:val="TableBodyText"/>
              <w:jc w:val="both"/>
            </w:pPr>
          </w:p>
          <w:p w:rsidR="00CE72DC" w:rsidRDefault="00CE72DC" w:rsidP="00EA735E">
            <w:pPr>
              <w:pStyle w:val="TableBodyText"/>
              <w:jc w:val="both"/>
            </w:pPr>
            <w:r>
              <w:t>Once data submissions are received by NCVER they are subjected to a comprehensive data quality checking program to ensure accurate reporting against agreed Key Performance Measures (</w:t>
            </w:r>
            <w:proofErr w:type="spellStart"/>
            <w:r>
              <w:t>KPMs</w:t>
            </w:r>
            <w:proofErr w:type="spellEnd"/>
            <w:r>
              <w:t xml:space="preserve">). Some of the </w:t>
            </w:r>
            <w:proofErr w:type="spellStart"/>
            <w:r>
              <w:t>KPMs</w:t>
            </w:r>
            <w:proofErr w:type="spellEnd"/>
            <w:r>
              <w:t xml:space="preserve"> include:</w:t>
            </w:r>
          </w:p>
          <w:p w:rsidR="00CE72DC" w:rsidRDefault="00CE72DC" w:rsidP="00EA735E">
            <w:pPr>
              <w:pStyle w:val="TableBullet"/>
              <w:jc w:val="both"/>
            </w:pPr>
            <w:r>
              <w:t>Percentage of unknown data</w:t>
            </w:r>
          </w:p>
          <w:p w:rsidR="00CE72DC" w:rsidRDefault="00CE72DC" w:rsidP="00EA735E">
            <w:pPr>
              <w:pStyle w:val="TableBullet"/>
              <w:jc w:val="both"/>
            </w:pPr>
            <w:r>
              <w:t xml:space="preserve">The number of training organisation identifiers that do not match the </w:t>
            </w:r>
            <w:proofErr w:type="spellStart"/>
            <w:r>
              <w:t>training.gov.au</w:t>
            </w:r>
            <w:proofErr w:type="spellEnd"/>
            <w:r>
              <w:t xml:space="preserve"> listing</w:t>
            </w:r>
          </w:p>
          <w:p w:rsidR="00CE72DC" w:rsidRDefault="00CE72DC" w:rsidP="00EA735E">
            <w:pPr>
              <w:pStyle w:val="TableBullet"/>
              <w:jc w:val="both"/>
            </w:pPr>
            <w:r>
              <w:t>Inappropriate training organisation delivery locations</w:t>
            </w:r>
          </w:p>
          <w:p w:rsidR="00CE72DC" w:rsidRDefault="00CE72DC" w:rsidP="00EA735E">
            <w:pPr>
              <w:pStyle w:val="TableBullet"/>
              <w:jc w:val="both"/>
            </w:pPr>
            <w:r>
              <w:t xml:space="preserve">The number of qualifications/courses that do not match the </w:t>
            </w:r>
            <w:proofErr w:type="spellStart"/>
            <w:r>
              <w:t>training.gov.au</w:t>
            </w:r>
            <w:proofErr w:type="spellEnd"/>
            <w:r>
              <w:t xml:space="preserve"> listing</w:t>
            </w:r>
          </w:p>
          <w:p w:rsidR="00CE72DC" w:rsidRDefault="00CE72DC" w:rsidP="00EA735E">
            <w:pPr>
              <w:pStyle w:val="TableBullet"/>
              <w:jc w:val="both"/>
            </w:pPr>
            <w:r>
              <w:t xml:space="preserve">The number of modules/units of competency that do not match the </w:t>
            </w:r>
            <w:proofErr w:type="spellStart"/>
            <w:r>
              <w:t>training.gov.au</w:t>
            </w:r>
            <w:proofErr w:type="spellEnd"/>
            <w:r>
              <w:t xml:space="preserve"> listing </w:t>
            </w:r>
          </w:p>
          <w:p w:rsidR="00CE72DC" w:rsidRDefault="00CE72DC" w:rsidP="00EA735E">
            <w:pPr>
              <w:pStyle w:val="TableBullet"/>
              <w:jc w:val="both"/>
            </w:pPr>
            <w:r>
              <w:t>Duplicate client identification</w:t>
            </w:r>
          </w:p>
          <w:p w:rsidR="00CE72DC" w:rsidRDefault="00CE72DC" w:rsidP="00EA735E">
            <w:pPr>
              <w:pStyle w:val="TableBullet"/>
              <w:jc w:val="both"/>
            </w:pPr>
            <w:r>
              <w:t>Duplicate qualifications completed</w:t>
            </w:r>
          </w:p>
          <w:p w:rsidR="00CE72DC" w:rsidRDefault="00CE72DC" w:rsidP="00EA735E">
            <w:pPr>
              <w:pStyle w:val="TableBullet"/>
              <w:jc w:val="both"/>
            </w:pPr>
            <w:r>
              <w:t>Reporting scopes</w:t>
            </w:r>
          </w:p>
          <w:p w:rsidR="00CE72DC" w:rsidRDefault="00CE72DC" w:rsidP="00EA735E">
            <w:pPr>
              <w:pStyle w:val="TableBullet"/>
              <w:jc w:val="both"/>
            </w:pPr>
            <w:r>
              <w:t>Funding sources</w:t>
            </w:r>
          </w:p>
          <w:p w:rsidR="006315F9" w:rsidRDefault="00CE72DC" w:rsidP="00EA735E">
            <w:pPr>
              <w:pStyle w:val="TableBullet"/>
              <w:jc w:val="both"/>
            </w:pPr>
            <w:r>
              <w:t>Outcome identifiers</w:t>
            </w:r>
            <w:r w:rsidR="0023156D">
              <w:t>.</w:t>
            </w:r>
          </w:p>
          <w:p w:rsidR="0072647D" w:rsidRPr="00EA6964" w:rsidRDefault="0072647D" w:rsidP="00EA735E">
            <w:pPr>
              <w:pStyle w:val="TableBodyText"/>
              <w:jc w:val="both"/>
            </w:pPr>
          </w:p>
        </w:tc>
      </w:tr>
      <w:tr w:rsidR="006315F9" w:rsidRPr="00EA6964" w:rsidTr="00877AB4">
        <w:trPr>
          <w:trHeight w:val="567"/>
        </w:trPr>
        <w:tc>
          <w:tcPr>
            <w:tcW w:w="1869" w:type="dxa"/>
          </w:tcPr>
          <w:p w:rsidR="006315F9" w:rsidRPr="00EA6964" w:rsidRDefault="006315F9" w:rsidP="00E559C8">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Coherence</w:t>
            </w:r>
          </w:p>
          <w:p w:rsidR="006315F9" w:rsidRPr="00EA6964" w:rsidRDefault="006315F9" w:rsidP="00E559C8">
            <w:pPr>
              <w:keepNext/>
              <w:keepLines/>
              <w:spacing w:after="40" w:line="220" w:lineRule="atLeast"/>
              <w:ind w:left="6" w:right="113"/>
              <w:rPr>
                <w:rFonts w:ascii="Arial" w:eastAsiaTheme="minorHAnsi" w:hAnsi="Arial" w:cstheme="minorBidi"/>
                <w:b/>
                <w:sz w:val="20"/>
                <w:szCs w:val="20"/>
                <w:lang w:eastAsia="en-US"/>
              </w:rPr>
            </w:pPr>
          </w:p>
        </w:tc>
        <w:tc>
          <w:tcPr>
            <w:tcW w:w="6951" w:type="dxa"/>
          </w:tcPr>
          <w:p w:rsidR="006315F9" w:rsidRDefault="00CE72DC" w:rsidP="00EA735E">
            <w:pPr>
              <w:pStyle w:val="TableBodyText"/>
              <w:jc w:val="both"/>
            </w:pPr>
            <w:r w:rsidRPr="00CE72DC">
              <w:t xml:space="preserve">AVETMISS provides the foundation for nationally comparable data and includes a range of data items relevant to the VET system. For 2012, data comply with release 6.1 of AVETMISS, whereas previous collections complied with earlier releases. For details, see </w:t>
            </w:r>
            <w:hyperlink r:id="rId25" w:history="1">
              <w:r w:rsidR="0072647D" w:rsidRPr="00020B48">
                <w:rPr>
                  <w:rStyle w:val="Hyperlink"/>
                </w:rPr>
                <w:t>http://</w:t>
              </w:r>
              <w:proofErr w:type="spellStart"/>
              <w:r w:rsidR="0072647D" w:rsidRPr="00020B48">
                <w:rPr>
                  <w:rStyle w:val="Hyperlink"/>
                </w:rPr>
                <w:t>www.ncver.edu.au</w:t>
              </w:r>
              <w:proofErr w:type="spellEnd"/>
              <w:r w:rsidR="0072647D" w:rsidRPr="00020B48">
                <w:rPr>
                  <w:rStyle w:val="Hyperlink"/>
                </w:rPr>
                <w:t>/</w:t>
              </w:r>
              <w:proofErr w:type="spellStart"/>
              <w:r w:rsidR="0072647D" w:rsidRPr="00020B48">
                <w:rPr>
                  <w:rStyle w:val="Hyperlink"/>
                </w:rPr>
                <w:t>avetmiss</w:t>
              </w:r>
              <w:proofErr w:type="spellEnd"/>
              <w:r w:rsidR="0072647D" w:rsidRPr="00020B48">
                <w:rPr>
                  <w:rStyle w:val="Hyperlink"/>
                </w:rPr>
                <w:t>/</w:t>
              </w:r>
              <w:proofErr w:type="spellStart"/>
              <w:r w:rsidR="0072647D" w:rsidRPr="00020B48">
                <w:rPr>
                  <w:rStyle w:val="Hyperlink"/>
                </w:rPr>
                <w:t>21055.html</w:t>
              </w:r>
              <w:proofErr w:type="spellEnd"/>
            </w:hyperlink>
            <w:r w:rsidRPr="00CE72DC">
              <w:t>.</w:t>
            </w:r>
          </w:p>
          <w:p w:rsidR="0072647D" w:rsidRPr="00EA6964" w:rsidRDefault="0072647D" w:rsidP="00EA735E">
            <w:pPr>
              <w:pStyle w:val="TableBodyText"/>
              <w:jc w:val="both"/>
            </w:pPr>
          </w:p>
        </w:tc>
      </w:tr>
      <w:tr w:rsidR="006315F9" w:rsidRPr="00EA6964" w:rsidTr="00877AB4">
        <w:trPr>
          <w:trHeight w:val="567"/>
        </w:trPr>
        <w:tc>
          <w:tcPr>
            <w:tcW w:w="1869" w:type="dxa"/>
          </w:tcPr>
          <w:p w:rsidR="006315F9" w:rsidRPr="00EA6964" w:rsidRDefault="006315F9" w:rsidP="00E559C8">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Accessibility</w:t>
            </w:r>
          </w:p>
          <w:p w:rsidR="006315F9" w:rsidRPr="00EA6964" w:rsidRDefault="006315F9" w:rsidP="00E559C8">
            <w:pPr>
              <w:keepNext/>
              <w:keepLines/>
              <w:spacing w:after="40" w:line="220" w:lineRule="atLeast"/>
              <w:ind w:left="6" w:right="113"/>
              <w:rPr>
                <w:rFonts w:ascii="Arial" w:eastAsiaTheme="minorHAnsi" w:hAnsi="Arial" w:cstheme="minorBidi"/>
                <w:b/>
                <w:sz w:val="20"/>
                <w:szCs w:val="20"/>
                <w:lang w:eastAsia="en-US"/>
              </w:rPr>
            </w:pPr>
          </w:p>
        </w:tc>
        <w:tc>
          <w:tcPr>
            <w:tcW w:w="6951" w:type="dxa"/>
          </w:tcPr>
          <w:p w:rsidR="00CE72DC" w:rsidRPr="00CE72DC" w:rsidRDefault="00CE72DC" w:rsidP="00EA735E">
            <w:pPr>
              <w:pStyle w:val="TableBodyText"/>
              <w:jc w:val="both"/>
              <w:rPr>
                <w:bCs/>
                <w:lang w:val="en"/>
              </w:rPr>
            </w:pPr>
            <w:r w:rsidRPr="00CE72DC">
              <w:rPr>
                <w:bCs/>
                <w:lang w:val="en"/>
              </w:rPr>
              <w:t xml:space="preserve">Summary information is available free of charge in Students and Courses on </w:t>
            </w:r>
            <w:proofErr w:type="spellStart"/>
            <w:r w:rsidRPr="00CE72DC">
              <w:rPr>
                <w:bCs/>
                <w:lang w:val="en"/>
              </w:rPr>
              <w:t>NCVER’s</w:t>
            </w:r>
            <w:proofErr w:type="spellEnd"/>
            <w:r w:rsidRPr="00CE72DC">
              <w:rPr>
                <w:bCs/>
                <w:lang w:val="en"/>
              </w:rPr>
              <w:t xml:space="preserve"> website at: http://</w:t>
            </w:r>
            <w:proofErr w:type="spellStart"/>
            <w:r w:rsidRPr="00CE72DC">
              <w:rPr>
                <w:bCs/>
                <w:lang w:val="en"/>
              </w:rPr>
              <w:t>www.ncver.edu.au</w:t>
            </w:r>
            <w:proofErr w:type="spellEnd"/>
            <w:r w:rsidRPr="00CE72DC">
              <w:rPr>
                <w:bCs/>
                <w:lang w:val="en"/>
              </w:rPr>
              <w:t>/statistic/</w:t>
            </w:r>
            <w:proofErr w:type="spellStart"/>
            <w:r w:rsidRPr="00CE72DC">
              <w:rPr>
                <w:bCs/>
                <w:lang w:val="en"/>
              </w:rPr>
              <w:t>21053.html</w:t>
            </w:r>
            <w:proofErr w:type="spellEnd"/>
            <w:r w:rsidRPr="00CE72DC">
              <w:rPr>
                <w:bCs/>
                <w:lang w:val="en"/>
              </w:rPr>
              <w:t xml:space="preserve">. Requests for more detailed statistical information can be made to NCVER on (08) 8230 8400 or </w:t>
            </w:r>
            <w:proofErr w:type="spellStart"/>
            <w:r w:rsidRPr="00CE72DC">
              <w:rPr>
                <w:bCs/>
                <w:lang w:val="en"/>
              </w:rPr>
              <w:t>vet_req@ncver.edu.au</w:t>
            </w:r>
            <w:proofErr w:type="spellEnd"/>
            <w:r w:rsidRPr="00CE72DC">
              <w:rPr>
                <w:bCs/>
                <w:lang w:val="en"/>
              </w:rPr>
              <w:t>.</w:t>
            </w:r>
            <w:r w:rsidRPr="00CE72DC">
              <w:rPr>
                <w:bCs/>
                <w:lang w:val="en"/>
              </w:rPr>
              <w:cr/>
            </w:r>
          </w:p>
          <w:p w:rsidR="006315F9" w:rsidRDefault="00CE72DC" w:rsidP="00EA735E">
            <w:pPr>
              <w:pStyle w:val="TableBodyText"/>
              <w:jc w:val="both"/>
              <w:rPr>
                <w:bCs/>
                <w:lang w:val="en"/>
              </w:rPr>
            </w:pPr>
            <w:r w:rsidRPr="00CE72DC">
              <w:rPr>
                <w:bCs/>
                <w:lang w:val="en"/>
              </w:rPr>
              <w:t xml:space="preserve">A charge will be generally made by the NCVER for more complex requests for information. See </w:t>
            </w:r>
            <w:proofErr w:type="spellStart"/>
            <w:r w:rsidRPr="00CE72DC">
              <w:rPr>
                <w:bCs/>
                <w:lang w:val="en"/>
              </w:rPr>
              <w:t>NCVER’s</w:t>
            </w:r>
            <w:proofErr w:type="spellEnd"/>
            <w:r w:rsidRPr="00CE72DC">
              <w:rPr>
                <w:bCs/>
                <w:lang w:val="en"/>
              </w:rPr>
              <w:t xml:space="preserve"> fees and charges policy at </w:t>
            </w:r>
            <w:hyperlink r:id="rId26" w:history="1">
              <w:r w:rsidR="0072647D" w:rsidRPr="00020B48">
                <w:rPr>
                  <w:rStyle w:val="Hyperlink"/>
                  <w:bCs/>
                  <w:lang w:val="en"/>
                </w:rPr>
                <w:t>http://</w:t>
              </w:r>
              <w:proofErr w:type="spellStart"/>
              <w:r w:rsidR="0072647D" w:rsidRPr="00020B48">
                <w:rPr>
                  <w:rStyle w:val="Hyperlink"/>
                  <w:bCs/>
                  <w:lang w:val="en"/>
                </w:rPr>
                <w:t>www.ncver.edu.au</w:t>
              </w:r>
              <w:proofErr w:type="spellEnd"/>
              <w:r w:rsidR="0072647D" w:rsidRPr="00020B48">
                <w:rPr>
                  <w:rStyle w:val="Hyperlink"/>
                  <w:bCs/>
                  <w:lang w:val="en"/>
                </w:rPr>
                <w:t>/statistic/</w:t>
              </w:r>
              <w:proofErr w:type="spellStart"/>
              <w:r w:rsidR="0072647D" w:rsidRPr="00020B48">
                <w:rPr>
                  <w:rStyle w:val="Hyperlink"/>
                  <w:bCs/>
                  <w:lang w:val="en"/>
                </w:rPr>
                <w:t>21075.html</w:t>
              </w:r>
              <w:proofErr w:type="spellEnd"/>
            </w:hyperlink>
          </w:p>
          <w:p w:rsidR="0072647D" w:rsidRPr="00EA6964" w:rsidRDefault="0072647D" w:rsidP="00EA735E">
            <w:pPr>
              <w:pStyle w:val="TableBodyText"/>
              <w:jc w:val="both"/>
              <w:rPr>
                <w:bCs/>
                <w:lang w:val="en"/>
              </w:rPr>
            </w:pPr>
          </w:p>
        </w:tc>
      </w:tr>
      <w:tr w:rsidR="006315F9" w:rsidRPr="00EA6964" w:rsidTr="00877AB4">
        <w:trPr>
          <w:trHeight w:val="567"/>
        </w:trPr>
        <w:tc>
          <w:tcPr>
            <w:tcW w:w="1869" w:type="dxa"/>
          </w:tcPr>
          <w:p w:rsidR="006315F9" w:rsidRPr="00EA6964" w:rsidRDefault="006315F9" w:rsidP="00E559C8">
            <w:pPr>
              <w:keepNext/>
              <w:keepLines/>
              <w:spacing w:after="40" w:line="220" w:lineRule="atLeast"/>
              <w:ind w:left="6" w:right="113"/>
              <w:jc w:val="both"/>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Interpretability</w:t>
            </w:r>
          </w:p>
        </w:tc>
        <w:tc>
          <w:tcPr>
            <w:tcW w:w="6951" w:type="dxa"/>
          </w:tcPr>
          <w:p w:rsidR="00C22684" w:rsidRDefault="00C22684" w:rsidP="00EA735E">
            <w:pPr>
              <w:pStyle w:val="TableBodyText"/>
              <w:jc w:val="both"/>
            </w:pPr>
            <w:r>
              <w:t>To aid interpretation, information on the National VET Provider Collection, AVETMISS, and Students and Courses is available on the NCVER website.</w:t>
            </w:r>
          </w:p>
          <w:p w:rsidR="00C22684" w:rsidRDefault="00C22684" w:rsidP="00EA735E">
            <w:pPr>
              <w:pStyle w:val="TableBodyText"/>
              <w:jc w:val="both"/>
            </w:pPr>
          </w:p>
          <w:p w:rsidR="00C22684" w:rsidRDefault="00C22684" w:rsidP="00EA735E">
            <w:pPr>
              <w:pStyle w:val="TableBodyText"/>
              <w:jc w:val="both"/>
            </w:pPr>
            <w:r>
              <w:t>Among other standards detailed in AVETMISS, the collection uses the:</w:t>
            </w:r>
          </w:p>
          <w:p w:rsidR="00C22684" w:rsidRDefault="00C22684" w:rsidP="00EA735E">
            <w:pPr>
              <w:pStyle w:val="TableBullet"/>
              <w:jc w:val="both"/>
            </w:pPr>
            <w:r>
              <w:t>Australian Classification of Education (</w:t>
            </w:r>
            <w:proofErr w:type="spellStart"/>
            <w:r>
              <w:t>ASCED</w:t>
            </w:r>
            <w:proofErr w:type="spellEnd"/>
            <w:r>
              <w:t>) (ABS cat. no. 1272.0) to classify the level and field of education.</w:t>
            </w:r>
          </w:p>
          <w:p w:rsidR="00C22684" w:rsidRDefault="00C22684" w:rsidP="00EA735E">
            <w:pPr>
              <w:pStyle w:val="TableBullet"/>
              <w:jc w:val="both"/>
            </w:pPr>
            <w:r>
              <w:t>Australian and New Zealand Standard Classification of Occupations (</w:t>
            </w:r>
            <w:proofErr w:type="spellStart"/>
            <w:r>
              <w:t>ANZSCO</w:t>
            </w:r>
            <w:proofErr w:type="spellEnd"/>
            <w:r>
              <w:t xml:space="preserve">, previously </w:t>
            </w:r>
            <w:proofErr w:type="spellStart"/>
            <w:r>
              <w:t>ASCO</w:t>
            </w:r>
            <w:proofErr w:type="spellEnd"/>
            <w:r>
              <w:t>) (ABS cat. no. 1220.0) to classify occupation.</w:t>
            </w:r>
          </w:p>
          <w:p w:rsidR="00C22684" w:rsidRDefault="00C22684" w:rsidP="00EA735E">
            <w:pPr>
              <w:pStyle w:val="TableBullet"/>
              <w:jc w:val="both"/>
            </w:pPr>
            <w:r>
              <w:t xml:space="preserve">Australian Statistical Geography Standard (ASGS): Volume 5 - Remoteness Structure (ABS cat. </w:t>
            </w:r>
            <w:proofErr w:type="spellStart"/>
            <w:r>
              <w:t>no.1270.0.55.005</w:t>
            </w:r>
            <w:proofErr w:type="spellEnd"/>
            <w:r>
              <w:t>) together with the Accessibility/Remoteness Index of Australia (ARIA) to classify remoteness.</w:t>
            </w:r>
          </w:p>
          <w:p w:rsidR="006315F9" w:rsidRPr="00EA6964" w:rsidRDefault="00C22684" w:rsidP="00EA735E">
            <w:pPr>
              <w:pStyle w:val="TableBullet"/>
              <w:jc w:val="both"/>
            </w:pPr>
            <w:r>
              <w:t>Census of Population and Housing: Socio-economic Index for Area - Index of Relative Socio-economic Disadvantage (SEIFA IRSD) (ABS cat. no. 2033.0.55.001) to summarise information about the economic and social conditions of people and households within an area. The index is based on information from the five-yearly Census. The ABS has assigned a SEIFA IRSD score to each Statistical Area 2 (</w:t>
            </w:r>
            <w:proofErr w:type="spellStart"/>
            <w:r>
              <w:t>SA2</w:t>
            </w:r>
            <w:proofErr w:type="spellEnd"/>
            <w:r>
              <w:t>) and the distribution of scores is divided into ten equal groups (</w:t>
            </w:r>
            <w:proofErr w:type="spellStart"/>
            <w:r>
              <w:t>deciles</w:t>
            </w:r>
            <w:proofErr w:type="spellEnd"/>
            <w:r>
              <w:t xml:space="preserve">). Then, a simple matching exercise is undertaken for each student where their postcode and location in the VET Provider Collection are mapped to a </w:t>
            </w:r>
            <w:proofErr w:type="spellStart"/>
            <w:r>
              <w:t>SA2</w:t>
            </w:r>
            <w:proofErr w:type="spellEnd"/>
            <w:r>
              <w:t xml:space="preserve">. The </w:t>
            </w:r>
            <w:proofErr w:type="spellStart"/>
            <w:r>
              <w:t>deciles</w:t>
            </w:r>
            <w:proofErr w:type="spellEnd"/>
            <w:r>
              <w:t xml:space="preserve"> are converted to quintiles for reporting.</w:t>
            </w:r>
          </w:p>
        </w:tc>
      </w:tr>
    </w:tbl>
    <w:p w:rsidR="00CE72DC" w:rsidRDefault="00CE72DC" w:rsidP="00CE72DC">
      <w:pPr>
        <w:pStyle w:val="BodyText"/>
        <w:rPr>
          <w:rFonts w:ascii="Arial" w:hAnsi="Arial"/>
        </w:rPr>
      </w:pPr>
      <w:bookmarkStart w:id="41" w:name="_Ref357149639"/>
      <w:r>
        <w:br w:type="page"/>
      </w:r>
    </w:p>
    <w:p w:rsidR="006315F9" w:rsidRPr="00910491" w:rsidRDefault="006315F9" w:rsidP="006315F9">
      <w:pPr>
        <w:pStyle w:val="Heading3"/>
        <w:spacing w:after="360"/>
      </w:pPr>
      <w:bookmarkStart w:id="42" w:name="_Ref382927958"/>
      <w:r w:rsidRPr="00910491">
        <w:t xml:space="preserve">Data quality statement — Indicator 7 [NIRA Indicator 15] – Proportion of Indigenous 20-64 year olds with or working towards post school qualification in </w:t>
      </w:r>
      <w:proofErr w:type="spellStart"/>
      <w:r w:rsidRPr="00910491">
        <w:t>AQF</w:t>
      </w:r>
      <w:proofErr w:type="spellEnd"/>
      <w:r w:rsidRPr="00910491">
        <w:t xml:space="preserve"> Certificate III or above</w:t>
      </w:r>
      <w:bookmarkEnd w:id="41"/>
      <w:bookmarkEnd w:id="42"/>
    </w:p>
    <w:tbl>
      <w:tblPr>
        <w:tblW w:w="8820" w:type="dxa"/>
        <w:tblInd w:w="108" w:type="dxa"/>
        <w:tblLayout w:type="fixed"/>
        <w:tblLook w:val="01E0" w:firstRow="1" w:lastRow="1" w:firstColumn="1" w:lastColumn="1" w:noHBand="0" w:noVBand="0"/>
      </w:tblPr>
      <w:tblGrid>
        <w:gridCol w:w="1869"/>
        <w:gridCol w:w="6951"/>
      </w:tblGrid>
      <w:tr w:rsidR="006315F9" w:rsidRPr="00EA6964" w:rsidTr="00FE680A">
        <w:trPr>
          <w:trHeight w:val="702"/>
        </w:trPr>
        <w:tc>
          <w:tcPr>
            <w:tcW w:w="1869" w:type="dxa"/>
          </w:tcPr>
          <w:p w:rsidR="006315F9" w:rsidRPr="00EA6964" w:rsidRDefault="006315F9" w:rsidP="00E559C8">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Outcome</w:t>
            </w:r>
          </w:p>
        </w:tc>
        <w:tc>
          <w:tcPr>
            <w:tcW w:w="6951" w:type="dxa"/>
          </w:tcPr>
          <w:p w:rsidR="006315F9" w:rsidRPr="00EA6964" w:rsidRDefault="00C22684" w:rsidP="00EA735E">
            <w:pPr>
              <w:pStyle w:val="TableBodyText"/>
              <w:jc w:val="both"/>
            </w:pPr>
            <w:r w:rsidRPr="00C22684">
              <w:t>Halving the gap in employment for Indigenous people and non-Indigenous Australians within a decade (by 2018)</w:t>
            </w:r>
          </w:p>
        </w:tc>
      </w:tr>
      <w:tr w:rsidR="006315F9" w:rsidRPr="00EA6964" w:rsidTr="00FE680A">
        <w:trPr>
          <w:trHeight w:val="725"/>
        </w:trPr>
        <w:tc>
          <w:tcPr>
            <w:tcW w:w="1869" w:type="dxa"/>
          </w:tcPr>
          <w:p w:rsidR="006315F9" w:rsidRPr="00EA6964" w:rsidRDefault="006315F9" w:rsidP="00E559C8">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Indicator</w:t>
            </w:r>
          </w:p>
        </w:tc>
        <w:tc>
          <w:tcPr>
            <w:tcW w:w="6951" w:type="dxa"/>
          </w:tcPr>
          <w:p w:rsidR="006315F9" w:rsidRPr="00EA6964" w:rsidRDefault="00C22684" w:rsidP="00EA735E">
            <w:pPr>
              <w:pStyle w:val="TableBodyText"/>
              <w:jc w:val="both"/>
            </w:pPr>
            <w:r w:rsidRPr="00C22684">
              <w:t xml:space="preserve">Proportion of Indigenous 20 to 64 year olds with or working towards post school qualification in </w:t>
            </w:r>
            <w:proofErr w:type="spellStart"/>
            <w:r w:rsidRPr="00C22684">
              <w:t>AQF</w:t>
            </w:r>
            <w:proofErr w:type="spellEnd"/>
            <w:r w:rsidRPr="00C22684">
              <w:t xml:space="preserve"> Certificate III or above</w:t>
            </w:r>
          </w:p>
        </w:tc>
      </w:tr>
      <w:tr w:rsidR="006315F9" w:rsidRPr="00EA6964" w:rsidTr="00877AB4">
        <w:trPr>
          <w:trHeight w:val="567"/>
        </w:trPr>
        <w:tc>
          <w:tcPr>
            <w:tcW w:w="1869" w:type="dxa"/>
          </w:tcPr>
          <w:p w:rsidR="006315F9" w:rsidRPr="00EA6964" w:rsidRDefault="006315F9" w:rsidP="00E559C8">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Measure (computation)</w:t>
            </w:r>
          </w:p>
        </w:tc>
        <w:tc>
          <w:tcPr>
            <w:tcW w:w="6951" w:type="dxa"/>
          </w:tcPr>
          <w:p w:rsidR="00C22684" w:rsidRDefault="00C22684" w:rsidP="00EA735E">
            <w:pPr>
              <w:pStyle w:val="TableBodyText"/>
              <w:jc w:val="both"/>
            </w:pPr>
            <w:r>
              <w:t>Proportion of people aged 20-64 years with, or working towards, post-school qualifications in Australian Qualifications Framework (</w:t>
            </w:r>
            <w:proofErr w:type="spellStart"/>
            <w:r>
              <w:t>AQF</w:t>
            </w:r>
            <w:proofErr w:type="spellEnd"/>
            <w:r>
              <w:t>) Certificate III or above by Indigenous status.</w:t>
            </w:r>
          </w:p>
          <w:p w:rsidR="00C22684" w:rsidRDefault="00C22684" w:rsidP="00EA735E">
            <w:pPr>
              <w:pStyle w:val="TableBodyText"/>
              <w:jc w:val="both"/>
            </w:pPr>
          </w:p>
          <w:p w:rsidR="00C22684" w:rsidRDefault="00C22684" w:rsidP="00EA735E">
            <w:pPr>
              <w:pStyle w:val="TableBullet"/>
              <w:jc w:val="both"/>
            </w:pPr>
            <w:r w:rsidRPr="0072647D">
              <w:rPr>
                <w:i/>
              </w:rPr>
              <w:t>Numerator</w:t>
            </w:r>
            <w:r>
              <w:t xml:space="preserve"> – People aged 20-64 years who have attained post school qualifications in </w:t>
            </w:r>
            <w:proofErr w:type="spellStart"/>
            <w:r>
              <w:t>AQF</w:t>
            </w:r>
            <w:proofErr w:type="spellEnd"/>
            <w:r>
              <w:t xml:space="preserve"> Certificate III or above, or are currently studying a non-school qualification.</w:t>
            </w:r>
          </w:p>
          <w:p w:rsidR="006315F9" w:rsidRDefault="00C22684" w:rsidP="00EA735E">
            <w:pPr>
              <w:pStyle w:val="TableBullet"/>
              <w:jc w:val="both"/>
            </w:pPr>
            <w:r w:rsidRPr="0072647D">
              <w:rPr>
                <w:i/>
              </w:rPr>
              <w:t>Denominator</w:t>
            </w:r>
            <w:r>
              <w:t xml:space="preserve"> – total population of people aged 20-64 years</w:t>
            </w:r>
          </w:p>
          <w:p w:rsidR="0072647D" w:rsidRPr="00EA6964" w:rsidRDefault="0072647D" w:rsidP="00EA735E">
            <w:pPr>
              <w:pStyle w:val="TableBullet"/>
              <w:numPr>
                <w:ilvl w:val="0"/>
                <w:numId w:val="0"/>
              </w:numPr>
              <w:ind w:left="170"/>
              <w:jc w:val="both"/>
            </w:pPr>
          </w:p>
        </w:tc>
      </w:tr>
      <w:tr w:rsidR="006315F9" w:rsidRPr="00EA6964" w:rsidTr="00877AB4">
        <w:trPr>
          <w:trHeight w:val="567"/>
        </w:trPr>
        <w:tc>
          <w:tcPr>
            <w:tcW w:w="1869" w:type="dxa"/>
          </w:tcPr>
          <w:p w:rsidR="006315F9" w:rsidRPr="00EA6964" w:rsidRDefault="006315F9" w:rsidP="00E559C8">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Data source/s</w:t>
            </w:r>
          </w:p>
        </w:tc>
        <w:tc>
          <w:tcPr>
            <w:tcW w:w="6951" w:type="dxa"/>
          </w:tcPr>
          <w:p w:rsidR="00C22684" w:rsidRDefault="00C22684" w:rsidP="00EA735E">
            <w:pPr>
              <w:pStyle w:val="TableBodyText"/>
              <w:jc w:val="both"/>
            </w:pPr>
            <w:r>
              <w:t>For the Aboriginal and/or Torres Strait Islander population: the Australian Bureau of Statistics (ABS) 2012-13 Australian Aboriginal and Torres Strait Islander Health Survey (AATSIHS) comprises three surveys — the National Aboriginal and Torres Strait Islander Health Survey (NATSIHS), the National Aboriginal and Torres Strait Islander Nutrition and Physical Activity Survey (</w:t>
            </w:r>
            <w:proofErr w:type="spellStart"/>
            <w:r>
              <w:t>NATSINPAS</w:t>
            </w:r>
            <w:proofErr w:type="spellEnd"/>
            <w:r>
              <w:t>) and the National Aboriginal and Torres Strait Islander Health Measurements Survey (</w:t>
            </w:r>
            <w:proofErr w:type="spellStart"/>
            <w:r>
              <w:t>NATSIHMS</w:t>
            </w:r>
            <w:proofErr w:type="spellEnd"/>
            <w:r>
              <w:t xml:space="preserve">). Data for proportion of Indigenous 20 to 64 year olds with or working towards post school qualification in </w:t>
            </w:r>
            <w:proofErr w:type="spellStart"/>
            <w:r>
              <w:t>AQF</w:t>
            </w:r>
            <w:proofErr w:type="spellEnd"/>
            <w:r>
              <w:t xml:space="preserve"> Certificate III or above is sourced from the NATSIHS component of AATSIHS.</w:t>
            </w:r>
          </w:p>
          <w:p w:rsidR="00C22684" w:rsidRDefault="00C22684" w:rsidP="00EA735E">
            <w:pPr>
              <w:pStyle w:val="TableBodyText"/>
              <w:jc w:val="both"/>
            </w:pPr>
          </w:p>
          <w:p w:rsidR="00C22684" w:rsidRDefault="00C22684" w:rsidP="00EA735E">
            <w:pPr>
              <w:pStyle w:val="TableBodyText"/>
              <w:jc w:val="both"/>
            </w:pPr>
            <w:r>
              <w:t>For the non-Indigenous population: the ABS Survey of Education and Work (SEW). Data is available annually.</w:t>
            </w:r>
          </w:p>
          <w:p w:rsidR="00C22684" w:rsidRDefault="00C22684" w:rsidP="00EA735E">
            <w:pPr>
              <w:pStyle w:val="TableBodyText"/>
              <w:jc w:val="both"/>
            </w:pPr>
          </w:p>
          <w:p w:rsidR="006315F9" w:rsidRDefault="00C22684" w:rsidP="00EA735E">
            <w:pPr>
              <w:pStyle w:val="TableBodyText"/>
              <w:jc w:val="both"/>
            </w:pPr>
            <w:r>
              <w:t>These surveys are weighted to benchmarks for the total in-scope population derived from the Estimated Resident Population (ERP).</w:t>
            </w:r>
          </w:p>
          <w:p w:rsidR="0072647D" w:rsidRPr="00EA6964" w:rsidRDefault="0072647D" w:rsidP="00EA735E">
            <w:pPr>
              <w:pStyle w:val="TableBodyText"/>
              <w:jc w:val="both"/>
            </w:pPr>
          </w:p>
        </w:tc>
      </w:tr>
      <w:tr w:rsidR="006315F9" w:rsidRPr="00EA6964" w:rsidTr="00877AB4">
        <w:trPr>
          <w:trHeight w:val="567"/>
        </w:trPr>
        <w:tc>
          <w:tcPr>
            <w:tcW w:w="1869" w:type="dxa"/>
          </w:tcPr>
          <w:p w:rsidR="006315F9" w:rsidRPr="00EA6964" w:rsidRDefault="006315F9" w:rsidP="00E559C8">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Institutional environment</w:t>
            </w:r>
          </w:p>
        </w:tc>
        <w:tc>
          <w:tcPr>
            <w:tcW w:w="6951" w:type="dxa"/>
          </w:tcPr>
          <w:p w:rsidR="00C22684" w:rsidRDefault="00C22684" w:rsidP="00EA735E">
            <w:pPr>
              <w:pStyle w:val="TableBodyText"/>
              <w:jc w:val="both"/>
            </w:pPr>
            <w:r>
              <w:t>The SEW and the NATSIHS were collected, processed and published by the ABS. The ABS operates within a framework that includes the Census and Statistics Act 1905 and the Australian Bureau of Statistics Act 1975. These ensure the independence from political influence and impartiality of the ABS and the confidentiality of respondents.</w:t>
            </w:r>
          </w:p>
          <w:p w:rsidR="00C22684" w:rsidRDefault="00C22684" w:rsidP="00EA735E">
            <w:pPr>
              <w:pStyle w:val="TableBodyText"/>
              <w:jc w:val="both"/>
            </w:pPr>
          </w:p>
          <w:p w:rsidR="006315F9" w:rsidRDefault="00C22684" w:rsidP="00EA735E">
            <w:pPr>
              <w:pStyle w:val="TableBodyText"/>
              <w:jc w:val="both"/>
            </w:pPr>
            <w:r>
              <w:t>For more information on the institutional environment of the ABS, including the legislative obligations of the ABS, financing and governance arrangements, and mechanisms for scrutiny of ABS operations, please see ABS Institutional Environment.</w:t>
            </w:r>
          </w:p>
          <w:p w:rsidR="0072647D" w:rsidRPr="00EA6964" w:rsidRDefault="0072647D" w:rsidP="00EA735E">
            <w:pPr>
              <w:pStyle w:val="TableBodyText"/>
              <w:jc w:val="both"/>
            </w:pPr>
          </w:p>
        </w:tc>
      </w:tr>
      <w:tr w:rsidR="006315F9" w:rsidRPr="00EA6964" w:rsidTr="00877AB4">
        <w:trPr>
          <w:trHeight w:val="567"/>
        </w:trPr>
        <w:tc>
          <w:tcPr>
            <w:tcW w:w="1869" w:type="dxa"/>
          </w:tcPr>
          <w:p w:rsidR="006315F9" w:rsidRPr="00EA6964" w:rsidRDefault="006315F9" w:rsidP="00E559C8">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Relevance</w:t>
            </w:r>
          </w:p>
          <w:p w:rsidR="006315F9" w:rsidRPr="00EA6964" w:rsidRDefault="006315F9" w:rsidP="00E559C8">
            <w:pPr>
              <w:keepNext/>
              <w:keepLines/>
              <w:spacing w:after="40" w:line="220" w:lineRule="atLeast"/>
              <w:ind w:left="6" w:right="113"/>
              <w:rPr>
                <w:rFonts w:ascii="Arial" w:eastAsiaTheme="minorHAnsi" w:hAnsi="Arial" w:cstheme="minorBidi"/>
                <w:b/>
                <w:sz w:val="20"/>
                <w:szCs w:val="20"/>
                <w:lang w:eastAsia="en-US"/>
              </w:rPr>
            </w:pPr>
          </w:p>
        </w:tc>
        <w:tc>
          <w:tcPr>
            <w:tcW w:w="6951" w:type="dxa"/>
          </w:tcPr>
          <w:p w:rsidR="00C22684" w:rsidRDefault="00C22684" w:rsidP="00EA735E">
            <w:pPr>
              <w:pStyle w:val="TableBodyText"/>
              <w:jc w:val="both"/>
            </w:pPr>
            <w:r>
              <w:t>The SEW collects information on level of highest non-school qualification and level of current study. The classification of qualifications used is the Australian Standard Classification of Education (</w:t>
            </w:r>
            <w:proofErr w:type="spellStart"/>
            <w:r>
              <w:t>ASCED</w:t>
            </w:r>
            <w:proofErr w:type="spellEnd"/>
            <w:r>
              <w:t>) (cat. no. 1272.0).</w:t>
            </w:r>
          </w:p>
          <w:p w:rsidR="00C22684" w:rsidRDefault="00C22684" w:rsidP="00EA735E">
            <w:pPr>
              <w:pStyle w:val="TableBodyText"/>
              <w:jc w:val="both"/>
            </w:pPr>
          </w:p>
          <w:p w:rsidR="00C22684" w:rsidRDefault="00C22684" w:rsidP="00EA735E">
            <w:pPr>
              <w:pStyle w:val="TableBodyText"/>
              <w:jc w:val="both"/>
            </w:pPr>
            <w:r>
              <w:t>For some respondents, information is supplied by another household resident (referred to as Any Responsible Adult), such as a parent, partner or unrelated adult. While this is a standard survey methodology, answers to some questions may occasionally differ from those that would have been supplied in a personal interview.</w:t>
            </w:r>
          </w:p>
          <w:p w:rsidR="00C22684" w:rsidRDefault="00C22684" w:rsidP="00EA735E">
            <w:pPr>
              <w:pStyle w:val="TableBodyText"/>
              <w:jc w:val="both"/>
            </w:pPr>
          </w:p>
          <w:p w:rsidR="00C22684" w:rsidRDefault="00C22684" w:rsidP="00EA735E">
            <w:pPr>
              <w:pStyle w:val="TableBodyText"/>
              <w:jc w:val="both"/>
            </w:pPr>
            <w:r>
              <w:t>While Indigenous status is collected in the SEW, the survey sample and methodology are not designed to provide output that separately identifies Aboriginal and/or Torres Strait Islander people. The SEW can, however be used for providing non-Indigenous comparisons.</w:t>
            </w:r>
          </w:p>
          <w:p w:rsidR="00C22684" w:rsidRDefault="00C22684" w:rsidP="00EA735E">
            <w:pPr>
              <w:pStyle w:val="TableBodyText"/>
              <w:jc w:val="both"/>
            </w:pPr>
          </w:p>
          <w:p w:rsidR="006315F9" w:rsidRDefault="00C22684" w:rsidP="00EA735E">
            <w:pPr>
              <w:pStyle w:val="TableBodyText"/>
              <w:jc w:val="both"/>
            </w:pPr>
            <w:r>
              <w:t>The SEW and NATSIHS collect information on current study, level of current study and qualifications.</w:t>
            </w:r>
          </w:p>
          <w:p w:rsidR="0072647D" w:rsidRPr="00EA6964" w:rsidRDefault="0072647D" w:rsidP="00EA735E">
            <w:pPr>
              <w:pStyle w:val="TableBodyText"/>
              <w:jc w:val="both"/>
            </w:pPr>
          </w:p>
        </w:tc>
      </w:tr>
      <w:tr w:rsidR="006315F9" w:rsidRPr="00EA6964" w:rsidTr="00877AB4">
        <w:trPr>
          <w:trHeight w:val="567"/>
        </w:trPr>
        <w:tc>
          <w:tcPr>
            <w:tcW w:w="1869" w:type="dxa"/>
          </w:tcPr>
          <w:p w:rsidR="006315F9" w:rsidRPr="00EA6964" w:rsidRDefault="006315F9" w:rsidP="00E559C8">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Timeliness</w:t>
            </w:r>
          </w:p>
          <w:p w:rsidR="006315F9" w:rsidRPr="00EA6964" w:rsidRDefault="006315F9" w:rsidP="00E559C8">
            <w:pPr>
              <w:keepNext/>
              <w:keepLines/>
              <w:spacing w:after="40" w:line="220" w:lineRule="atLeast"/>
              <w:ind w:left="6" w:right="113"/>
              <w:rPr>
                <w:rFonts w:ascii="Arial" w:eastAsiaTheme="minorHAnsi" w:hAnsi="Arial" w:cstheme="minorBidi"/>
                <w:b/>
                <w:sz w:val="20"/>
                <w:szCs w:val="20"/>
                <w:lang w:eastAsia="en-US"/>
              </w:rPr>
            </w:pPr>
          </w:p>
        </w:tc>
        <w:tc>
          <w:tcPr>
            <w:tcW w:w="6951" w:type="dxa"/>
          </w:tcPr>
          <w:p w:rsidR="00C22684" w:rsidRDefault="00C22684" w:rsidP="00EA735E">
            <w:pPr>
              <w:pStyle w:val="TableBodyText"/>
              <w:jc w:val="both"/>
            </w:pPr>
            <w:r>
              <w:t>The SEW is conducted annually in May as a supplement to the monthly Labour Force Survey (</w:t>
            </w:r>
            <w:proofErr w:type="spellStart"/>
            <w:r>
              <w:t>LFS</w:t>
            </w:r>
            <w:proofErr w:type="spellEnd"/>
            <w:r>
              <w:t>). Results from the 2012 survey were released in November 2012.</w:t>
            </w:r>
          </w:p>
          <w:p w:rsidR="00C22684" w:rsidRDefault="00C22684" w:rsidP="00EA735E">
            <w:pPr>
              <w:pStyle w:val="TableBodyText"/>
              <w:jc w:val="both"/>
            </w:pPr>
          </w:p>
          <w:p w:rsidR="006315F9" w:rsidRDefault="00C22684" w:rsidP="00EA735E">
            <w:pPr>
              <w:pStyle w:val="TableBodyText"/>
              <w:jc w:val="both"/>
            </w:pPr>
            <w:r>
              <w:t>The 2012-13 NATSIHS was conducted from May 2012 to February 2013. Results were released in November 2013. The previous NATSIHS was conducted in 2004-05.</w:t>
            </w:r>
          </w:p>
          <w:p w:rsidR="0072647D" w:rsidRPr="00EA6964" w:rsidRDefault="0072647D" w:rsidP="00EA735E">
            <w:pPr>
              <w:pStyle w:val="TableBodyText"/>
              <w:jc w:val="both"/>
            </w:pPr>
          </w:p>
        </w:tc>
      </w:tr>
      <w:tr w:rsidR="006315F9" w:rsidRPr="00EA6964" w:rsidTr="00877AB4">
        <w:trPr>
          <w:trHeight w:val="100"/>
        </w:trPr>
        <w:tc>
          <w:tcPr>
            <w:tcW w:w="1869" w:type="dxa"/>
          </w:tcPr>
          <w:p w:rsidR="006315F9" w:rsidRPr="00EA6964" w:rsidRDefault="006315F9" w:rsidP="00E559C8">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Accuracy</w:t>
            </w:r>
          </w:p>
          <w:p w:rsidR="006315F9" w:rsidRPr="00EA6964" w:rsidRDefault="006315F9" w:rsidP="00E559C8">
            <w:pPr>
              <w:keepNext/>
              <w:keepLines/>
              <w:spacing w:after="40" w:line="220" w:lineRule="atLeast"/>
              <w:ind w:left="6" w:right="113"/>
              <w:rPr>
                <w:rFonts w:ascii="Arial" w:eastAsiaTheme="minorHAnsi" w:hAnsi="Arial" w:cstheme="minorBidi"/>
                <w:b/>
                <w:sz w:val="20"/>
                <w:szCs w:val="20"/>
                <w:lang w:eastAsia="en-US"/>
              </w:rPr>
            </w:pPr>
          </w:p>
        </w:tc>
        <w:tc>
          <w:tcPr>
            <w:tcW w:w="6951" w:type="dxa"/>
          </w:tcPr>
          <w:p w:rsidR="00C22684" w:rsidRDefault="00C22684" w:rsidP="00EA735E">
            <w:pPr>
              <w:pStyle w:val="TableBodyText"/>
              <w:jc w:val="both"/>
            </w:pPr>
            <w:r>
              <w:t>The</w:t>
            </w:r>
            <w:r w:rsidR="0072647D">
              <w:t xml:space="preserve"> 2012 SEW response rate was 95 per cent </w:t>
            </w:r>
            <w:r>
              <w:t>which constituted 39</w:t>
            </w:r>
            <w:r w:rsidR="0072647D">
              <w:t> </w:t>
            </w:r>
            <w:r>
              <w:t>500 completed interviews. The 2012 response rate was consistent with that in previous years.</w:t>
            </w:r>
          </w:p>
          <w:p w:rsidR="00C22684" w:rsidRDefault="00C22684" w:rsidP="00EA735E">
            <w:pPr>
              <w:pStyle w:val="TableBodyText"/>
              <w:jc w:val="both"/>
            </w:pPr>
          </w:p>
          <w:p w:rsidR="00C22684" w:rsidRDefault="00C22684" w:rsidP="00EA735E">
            <w:pPr>
              <w:pStyle w:val="TableBodyText"/>
              <w:jc w:val="both"/>
            </w:pPr>
            <w:r>
              <w:t xml:space="preserve">The data for the SEW are collected from an </w:t>
            </w:r>
            <w:proofErr w:type="spellStart"/>
            <w:r>
              <w:t>ARA</w:t>
            </w:r>
            <w:proofErr w:type="spellEnd"/>
            <w:r>
              <w:t xml:space="preserve"> (Any Responsible Adult) on behalf of other members of the household and are weighted for non-response.</w:t>
            </w:r>
          </w:p>
          <w:p w:rsidR="00C22684" w:rsidRDefault="00C22684" w:rsidP="00EA735E">
            <w:pPr>
              <w:pStyle w:val="TableBodyText"/>
              <w:jc w:val="both"/>
            </w:pPr>
          </w:p>
          <w:p w:rsidR="00C22684" w:rsidRDefault="00C22684" w:rsidP="00EA735E">
            <w:pPr>
              <w:pStyle w:val="TableBodyText"/>
              <w:jc w:val="both"/>
            </w:pPr>
            <w:r>
              <w:t>The 2012-13 NATSIHS was conducted in all states and territories, including very remote areas. Non-private dwellings such as hotels, motels, hospitals, nursing homes and short-stay caravan parks were excluded from the survey. The final response rate for the 2012-13 NATSIHS component was 80</w:t>
            </w:r>
            <w:r w:rsidR="0072647D">
              <w:t xml:space="preserve"> per cent</w:t>
            </w:r>
            <w:r>
              <w:t xml:space="preserve">. </w:t>
            </w:r>
          </w:p>
          <w:p w:rsidR="00C22684" w:rsidRDefault="00C22684" w:rsidP="00EA735E">
            <w:pPr>
              <w:pStyle w:val="TableBodyText"/>
              <w:jc w:val="both"/>
            </w:pPr>
          </w:p>
          <w:p w:rsidR="00C22684" w:rsidRDefault="00C22684" w:rsidP="00EA735E">
            <w:pPr>
              <w:pStyle w:val="TableBodyText"/>
              <w:jc w:val="both"/>
            </w:pPr>
            <w:r>
              <w:t>The NATSIHS and SEW are weighted to account for non-response.</w:t>
            </w:r>
          </w:p>
          <w:p w:rsidR="00C22684" w:rsidRDefault="00C22684" w:rsidP="00EA735E">
            <w:pPr>
              <w:pStyle w:val="TableBodyText"/>
              <w:jc w:val="both"/>
            </w:pPr>
          </w:p>
          <w:p w:rsidR="006315F9" w:rsidRDefault="00C22684" w:rsidP="00EA735E">
            <w:pPr>
              <w:pStyle w:val="TableBodyText"/>
              <w:jc w:val="both"/>
            </w:pPr>
            <w:r>
              <w:t>As they are drawn from a sample survey, data for the indicator are subject to sampling error. Sampling error occurs because only a small proportion of the population is used to produce estimates that represent the whole population. Sampling error can be reliably estimated as it is calculated based on the scientific methods used to design surveys. Rates should be considered with reference to their Relative Standard Error (</w:t>
            </w:r>
            <w:proofErr w:type="spellStart"/>
            <w:r>
              <w:t>RSE</w:t>
            </w:r>
            <w:proofErr w:type="spellEnd"/>
            <w:r>
              <w:t>). Estimates with RSEs between 25 per cent and 50 per cent should be used with caution. Estimates with RSEs greater than 50 per cent are generally considered too unreliable for general use.</w:t>
            </w:r>
          </w:p>
          <w:p w:rsidR="0072647D" w:rsidRPr="00EA6964" w:rsidRDefault="0072647D" w:rsidP="00EA735E">
            <w:pPr>
              <w:pStyle w:val="TableBodyText"/>
              <w:jc w:val="both"/>
            </w:pPr>
          </w:p>
        </w:tc>
      </w:tr>
      <w:tr w:rsidR="006315F9" w:rsidRPr="00EA6964" w:rsidTr="00877AB4">
        <w:trPr>
          <w:trHeight w:val="567"/>
        </w:trPr>
        <w:tc>
          <w:tcPr>
            <w:tcW w:w="1869" w:type="dxa"/>
          </w:tcPr>
          <w:p w:rsidR="006315F9" w:rsidRPr="00EA6964" w:rsidRDefault="006315F9" w:rsidP="00E559C8">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Coherence</w:t>
            </w:r>
          </w:p>
          <w:p w:rsidR="006315F9" w:rsidRPr="00EA6964" w:rsidRDefault="006315F9" w:rsidP="00E559C8">
            <w:pPr>
              <w:keepNext/>
              <w:keepLines/>
              <w:spacing w:after="40" w:line="220" w:lineRule="atLeast"/>
              <w:ind w:left="6" w:right="113"/>
              <w:rPr>
                <w:rFonts w:ascii="Arial" w:eastAsiaTheme="minorHAnsi" w:hAnsi="Arial" w:cstheme="minorBidi"/>
                <w:b/>
                <w:sz w:val="20"/>
                <w:szCs w:val="20"/>
                <w:lang w:eastAsia="en-US"/>
              </w:rPr>
            </w:pPr>
          </w:p>
        </w:tc>
        <w:tc>
          <w:tcPr>
            <w:tcW w:w="6951" w:type="dxa"/>
          </w:tcPr>
          <w:p w:rsidR="00C22684" w:rsidRDefault="00C22684" w:rsidP="00EA735E">
            <w:pPr>
              <w:pStyle w:val="TableBodyText"/>
              <w:jc w:val="both"/>
            </w:pPr>
            <w:r>
              <w:t xml:space="preserve">Both the numerator and denominator for non-Indigenous persons come from the SEW. Measures based on the 2012 SEW are consistent with those supplied for COAG reporting from previous cycles of this survey. </w:t>
            </w:r>
          </w:p>
          <w:p w:rsidR="00C22684" w:rsidRDefault="00C22684" w:rsidP="00EA735E">
            <w:pPr>
              <w:pStyle w:val="TableBodyText"/>
              <w:jc w:val="both"/>
            </w:pPr>
          </w:p>
          <w:p w:rsidR="00C22684" w:rsidRDefault="00C22684" w:rsidP="00EA735E">
            <w:pPr>
              <w:pStyle w:val="TableBodyText"/>
              <w:jc w:val="both"/>
            </w:pPr>
            <w:r>
              <w:t>Prior to 2009 all persons in very remote areas were excluded from the SEW. Very remote areas represent about two per cent of the total Australian and 20 per cent of the Northern Territory population. From 2009 onwards SEW has a slightly wider scope.  It includes persons in very remote areas but continues to exclude persons in Indigenous communities in very remote areas. The current exclusion has only a minor impact on national estimates or estimates by State/Territory except for the Northern Territory where such persons account for about 15 per cent of the population.</w:t>
            </w:r>
          </w:p>
          <w:p w:rsidR="00C22684" w:rsidRDefault="00C22684" w:rsidP="00EA735E">
            <w:pPr>
              <w:pStyle w:val="TableBodyText"/>
              <w:jc w:val="both"/>
            </w:pPr>
          </w:p>
          <w:p w:rsidR="00C22684" w:rsidRDefault="00C22684" w:rsidP="00EA735E">
            <w:pPr>
              <w:pStyle w:val="TableBodyText"/>
              <w:jc w:val="both"/>
            </w:pPr>
            <w:r>
              <w:t>The Australian Standard Classification of Education (</w:t>
            </w:r>
            <w:proofErr w:type="spellStart"/>
            <w:r>
              <w:t>ASCED</w:t>
            </w:r>
            <w:proofErr w:type="spellEnd"/>
            <w:r>
              <w:t>) (cat. no. 1272.0) has been used in all surveys with education items since 2001 and allows the education and training items between different surveys to be compared.</w:t>
            </w:r>
          </w:p>
          <w:p w:rsidR="00C22684" w:rsidRDefault="00C22684" w:rsidP="00EA735E">
            <w:pPr>
              <w:pStyle w:val="TableBodyText"/>
              <w:jc w:val="both"/>
            </w:pPr>
          </w:p>
          <w:p w:rsidR="00C22684" w:rsidRDefault="00C22684" w:rsidP="00EA735E">
            <w:pPr>
              <w:pStyle w:val="TableBodyText"/>
              <w:jc w:val="both"/>
            </w:pPr>
            <w:r>
              <w:t>The Census of Population and Housing and the Survey of Learning and Work (ABS cat. no. 4235.0) also provide information on educational attainment.</w:t>
            </w:r>
          </w:p>
          <w:p w:rsidR="00C22684" w:rsidRDefault="00C22684" w:rsidP="00EA735E">
            <w:pPr>
              <w:pStyle w:val="TableBodyText"/>
              <w:jc w:val="both"/>
            </w:pPr>
          </w:p>
          <w:p w:rsidR="00C22684" w:rsidRDefault="00C22684" w:rsidP="00EA735E">
            <w:pPr>
              <w:pStyle w:val="TableBodyText"/>
              <w:jc w:val="both"/>
            </w:pPr>
            <w:r>
              <w:t xml:space="preserve">Both the numerator and the denominator for Aboriginal and/or Torres Strait Islander persons come from the NATSIHS. Measures based on the 2012-13 NATSIHS are consistent with those supplied for COAG reporting from previous cycles of this survey. </w:t>
            </w:r>
          </w:p>
          <w:p w:rsidR="00C22684" w:rsidRDefault="00C22684" w:rsidP="00EA735E">
            <w:pPr>
              <w:pStyle w:val="TableBodyText"/>
              <w:jc w:val="both"/>
            </w:pPr>
          </w:p>
          <w:p w:rsidR="006315F9" w:rsidRDefault="00C22684" w:rsidP="00EA735E">
            <w:pPr>
              <w:pStyle w:val="TableBodyText"/>
              <w:jc w:val="both"/>
            </w:pPr>
            <w:r>
              <w:t>The data items used to construct the measures in the AATSIHS and SEW are consistent and comparable, and support assessment of change over time. While there are a range of differences between the scope, coverage, timing and collection methodologies of the collections, these issues do not affect their broad consistency for this measure.</w:t>
            </w:r>
          </w:p>
          <w:p w:rsidR="0072647D" w:rsidRPr="00EA6964" w:rsidRDefault="0072647D" w:rsidP="00EA735E">
            <w:pPr>
              <w:pStyle w:val="TableBodyText"/>
              <w:jc w:val="both"/>
            </w:pPr>
          </w:p>
        </w:tc>
      </w:tr>
      <w:tr w:rsidR="006315F9" w:rsidRPr="00EA6964" w:rsidTr="00877AB4">
        <w:trPr>
          <w:trHeight w:val="567"/>
        </w:trPr>
        <w:tc>
          <w:tcPr>
            <w:tcW w:w="1869" w:type="dxa"/>
          </w:tcPr>
          <w:p w:rsidR="006315F9" w:rsidRPr="00EA6964" w:rsidRDefault="006315F9" w:rsidP="00E559C8">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Accessibility</w:t>
            </w:r>
          </w:p>
          <w:p w:rsidR="006315F9" w:rsidRPr="00EA6964" w:rsidRDefault="006315F9" w:rsidP="00E559C8">
            <w:pPr>
              <w:keepNext/>
              <w:keepLines/>
              <w:spacing w:after="40" w:line="220" w:lineRule="atLeast"/>
              <w:ind w:left="6" w:right="113"/>
              <w:rPr>
                <w:rFonts w:ascii="Arial" w:eastAsiaTheme="minorHAnsi" w:hAnsi="Arial" w:cstheme="minorBidi"/>
                <w:b/>
                <w:sz w:val="20"/>
                <w:szCs w:val="20"/>
                <w:lang w:eastAsia="en-US"/>
              </w:rPr>
            </w:pPr>
          </w:p>
        </w:tc>
        <w:tc>
          <w:tcPr>
            <w:tcW w:w="6951" w:type="dxa"/>
          </w:tcPr>
          <w:p w:rsidR="00C22684" w:rsidRPr="00C22684" w:rsidRDefault="00C22684" w:rsidP="00EA735E">
            <w:pPr>
              <w:pStyle w:val="TableBodyText"/>
              <w:jc w:val="both"/>
              <w:rPr>
                <w:bCs/>
                <w:lang w:val="en"/>
              </w:rPr>
            </w:pPr>
            <w:r w:rsidRPr="00C22684">
              <w:rPr>
                <w:bCs/>
                <w:lang w:val="en"/>
              </w:rPr>
              <w:t xml:space="preserve">The data for the SEW are available from the ABS website in the publication Education and Work, Australia (ABS cat. no. 6227.0) This measure is also released as part of a SEW detailed education data cube. </w:t>
            </w:r>
          </w:p>
          <w:p w:rsidR="00C22684" w:rsidRPr="00C22684" w:rsidRDefault="00C22684" w:rsidP="00EA735E">
            <w:pPr>
              <w:pStyle w:val="TableBodyText"/>
              <w:jc w:val="both"/>
              <w:rPr>
                <w:bCs/>
                <w:lang w:val="en"/>
              </w:rPr>
            </w:pPr>
          </w:p>
          <w:p w:rsidR="00C22684" w:rsidRPr="00C22684" w:rsidRDefault="00C22684" w:rsidP="00EA735E">
            <w:pPr>
              <w:pStyle w:val="TableBodyText"/>
              <w:jc w:val="both"/>
              <w:rPr>
                <w:bCs/>
                <w:lang w:val="en"/>
              </w:rPr>
            </w:pPr>
            <w:r w:rsidRPr="00C22684">
              <w:rPr>
                <w:bCs/>
                <w:lang w:val="en"/>
              </w:rPr>
              <w:t>Additional data are available at cost upon request through the National Information Referral Service. A Confidentialised Unit Record File (</w:t>
            </w:r>
            <w:proofErr w:type="spellStart"/>
            <w:r w:rsidRPr="00C22684">
              <w:rPr>
                <w:bCs/>
                <w:lang w:val="en"/>
              </w:rPr>
              <w:t>CURF</w:t>
            </w:r>
            <w:proofErr w:type="spellEnd"/>
            <w:r w:rsidRPr="00C22684">
              <w:rPr>
                <w:bCs/>
                <w:lang w:val="en"/>
              </w:rPr>
              <w:t xml:space="preserve">) was produced for every second cycle of the SEW from 2001 to 2011. The survey </w:t>
            </w:r>
            <w:proofErr w:type="spellStart"/>
            <w:r w:rsidRPr="00C22684">
              <w:rPr>
                <w:bCs/>
                <w:lang w:val="en"/>
              </w:rPr>
              <w:t>microdata</w:t>
            </w:r>
            <w:proofErr w:type="spellEnd"/>
            <w:r w:rsidRPr="00C22684">
              <w:rPr>
                <w:bCs/>
                <w:lang w:val="en"/>
              </w:rPr>
              <w:t xml:space="preserve"> have also been released through the </w:t>
            </w:r>
            <w:proofErr w:type="spellStart"/>
            <w:r w:rsidRPr="00C22684">
              <w:rPr>
                <w:bCs/>
                <w:lang w:val="en"/>
              </w:rPr>
              <w:t>TableBuilder</w:t>
            </w:r>
            <w:proofErr w:type="spellEnd"/>
            <w:r w:rsidRPr="00C22684">
              <w:rPr>
                <w:bCs/>
                <w:lang w:val="en"/>
              </w:rPr>
              <w:t xml:space="preserve"> product, </w:t>
            </w:r>
            <w:proofErr w:type="spellStart"/>
            <w:r w:rsidRPr="00C22684">
              <w:rPr>
                <w:bCs/>
                <w:lang w:val="en"/>
              </w:rPr>
              <w:t>Microdata</w:t>
            </w:r>
            <w:proofErr w:type="spellEnd"/>
            <w:r w:rsidRPr="00C22684">
              <w:rPr>
                <w:bCs/>
                <w:lang w:val="en"/>
              </w:rPr>
              <w:t>: Education and Work, Australia (ABS cat. no. 6227.0.30.001).</w:t>
            </w:r>
          </w:p>
          <w:p w:rsidR="00C22684" w:rsidRPr="00C22684" w:rsidRDefault="00C22684" w:rsidP="00EA735E">
            <w:pPr>
              <w:pStyle w:val="TableBodyText"/>
              <w:jc w:val="both"/>
              <w:rPr>
                <w:bCs/>
                <w:lang w:val="en"/>
              </w:rPr>
            </w:pPr>
          </w:p>
          <w:p w:rsidR="006315F9" w:rsidRDefault="00C22684" w:rsidP="00EA735E">
            <w:pPr>
              <w:pStyle w:val="TableBodyText"/>
              <w:jc w:val="both"/>
              <w:rPr>
                <w:bCs/>
                <w:lang w:val="en"/>
              </w:rPr>
            </w:pPr>
            <w:r w:rsidRPr="00C22684">
              <w:rPr>
                <w:bCs/>
                <w:lang w:val="en"/>
              </w:rPr>
              <w:t>The data for the NATSIHS are available from the ABS website in the publication Australian Aboriginal and Torres Strait Islander Health Survey: First Results, 2012-13 (ABS cat. no. 4727.0.55.001). Other information from the survey is available on request.</w:t>
            </w:r>
          </w:p>
          <w:p w:rsidR="0072647D" w:rsidRPr="00EA6964" w:rsidRDefault="0072647D" w:rsidP="00EA735E">
            <w:pPr>
              <w:pStyle w:val="TableBodyText"/>
              <w:jc w:val="both"/>
              <w:rPr>
                <w:bCs/>
                <w:lang w:val="en"/>
              </w:rPr>
            </w:pPr>
          </w:p>
        </w:tc>
      </w:tr>
      <w:tr w:rsidR="006315F9" w:rsidRPr="00EA6964" w:rsidTr="00877AB4">
        <w:trPr>
          <w:trHeight w:val="567"/>
        </w:trPr>
        <w:tc>
          <w:tcPr>
            <w:tcW w:w="1869" w:type="dxa"/>
          </w:tcPr>
          <w:p w:rsidR="006315F9" w:rsidRPr="00EA6964" w:rsidRDefault="006315F9" w:rsidP="00E559C8">
            <w:pPr>
              <w:keepNext/>
              <w:keepLines/>
              <w:spacing w:after="40" w:line="220" w:lineRule="atLeast"/>
              <w:ind w:left="6" w:right="113"/>
              <w:jc w:val="both"/>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Interpretability</w:t>
            </w:r>
          </w:p>
        </w:tc>
        <w:tc>
          <w:tcPr>
            <w:tcW w:w="6951" w:type="dxa"/>
          </w:tcPr>
          <w:p w:rsidR="006315F9" w:rsidRDefault="00C22684" w:rsidP="00EA735E">
            <w:pPr>
              <w:pStyle w:val="TableBodyText"/>
              <w:jc w:val="both"/>
            </w:pPr>
            <w:r w:rsidRPr="00C22684">
              <w:t>Information on how to interpret and use the data appropriately is available from the Australian Aboriginal and Torres Strait Islander Health Survey: Users’ Guide, 2012-13 (ABS cat. No. 4727.0.55.002) and Explanatory Notes in Education and Work, Australia (ABS cat. no. 6227.0).</w:t>
            </w:r>
          </w:p>
          <w:p w:rsidR="0072647D" w:rsidRPr="00EA6964" w:rsidRDefault="0072647D" w:rsidP="00EA735E">
            <w:pPr>
              <w:pStyle w:val="TableBodyText"/>
              <w:jc w:val="both"/>
            </w:pPr>
          </w:p>
        </w:tc>
      </w:tr>
    </w:tbl>
    <w:p w:rsidR="006315F9" w:rsidRDefault="006315F9" w:rsidP="006315F9"/>
    <w:p w:rsidR="005E03BB" w:rsidRDefault="006315F9">
      <w:r>
        <w:br w:type="page"/>
      </w:r>
    </w:p>
    <w:p w:rsidR="005E03BB" w:rsidRPr="00910491" w:rsidRDefault="005E03BB" w:rsidP="005E03BB">
      <w:pPr>
        <w:pStyle w:val="Heading3"/>
        <w:spacing w:after="360"/>
      </w:pPr>
      <w:bookmarkStart w:id="43" w:name="_Ref382927986"/>
      <w:r w:rsidRPr="00910491">
        <w:t xml:space="preserve">Data quality statement — </w:t>
      </w:r>
      <w:r>
        <w:t>S</w:t>
      </w:r>
      <w:r w:rsidR="00F86082">
        <w:t xml:space="preserve">urvey of </w:t>
      </w:r>
      <w:r>
        <w:t>E</w:t>
      </w:r>
      <w:r w:rsidR="00F86082">
        <w:t xml:space="preserve">ducation and </w:t>
      </w:r>
      <w:r>
        <w:t>W</w:t>
      </w:r>
      <w:bookmarkEnd w:id="43"/>
      <w:r w:rsidR="00F86082">
        <w:t>ork</w:t>
      </w:r>
    </w:p>
    <w:tbl>
      <w:tblPr>
        <w:tblW w:w="8820" w:type="dxa"/>
        <w:tblInd w:w="108" w:type="dxa"/>
        <w:tblLayout w:type="fixed"/>
        <w:tblLook w:val="01E0" w:firstRow="1" w:lastRow="1" w:firstColumn="1" w:lastColumn="1" w:noHBand="0" w:noVBand="0"/>
      </w:tblPr>
      <w:tblGrid>
        <w:gridCol w:w="1869"/>
        <w:gridCol w:w="6951"/>
      </w:tblGrid>
      <w:tr w:rsidR="005E03BB" w:rsidRPr="00EA6964" w:rsidTr="00877AB4">
        <w:trPr>
          <w:trHeight w:val="567"/>
        </w:trPr>
        <w:tc>
          <w:tcPr>
            <w:tcW w:w="1869" w:type="dxa"/>
          </w:tcPr>
          <w:p w:rsidR="005E03BB" w:rsidRPr="00EA6964" w:rsidRDefault="005E03BB" w:rsidP="00117F40">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Indicator</w:t>
            </w:r>
          </w:p>
        </w:tc>
        <w:tc>
          <w:tcPr>
            <w:tcW w:w="6951" w:type="dxa"/>
          </w:tcPr>
          <w:p w:rsidR="005E03BB" w:rsidRPr="00EA6964" w:rsidRDefault="005E03BB" w:rsidP="00EA735E">
            <w:pPr>
              <w:pStyle w:val="TableBodyText"/>
              <w:jc w:val="both"/>
            </w:pPr>
            <w:r>
              <w:t>NASWD indicators 1, 4, 7</w:t>
            </w:r>
          </w:p>
        </w:tc>
      </w:tr>
      <w:tr w:rsidR="005E03BB" w:rsidRPr="00EA6964" w:rsidTr="00877AB4">
        <w:trPr>
          <w:trHeight w:val="567"/>
        </w:trPr>
        <w:tc>
          <w:tcPr>
            <w:tcW w:w="1869" w:type="dxa"/>
          </w:tcPr>
          <w:p w:rsidR="005E03BB" w:rsidRPr="00EA6964" w:rsidRDefault="005E03BB" w:rsidP="00117F40">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Measure (computation)</w:t>
            </w:r>
          </w:p>
        </w:tc>
        <w:tc>
          <w:tcPr>
            <w:tcW w:w="6951" w:type="dxa"/>
          </w:tcPr>
          <w:p w:rsidR="005E03BB" w:rsidRPr="00EA6964" w:rsidRDefault="005E03BB" w:rsidP="00EA735E">
            <w:pPr>
              <w:pStyle w:val="TableBodyText"/>
              <w:jc w:val="both"/>
            </w:pPr>
            <w:r>
              <w:t>SEW</w:t>
            </w:r>
          </w:p>
        </w:tc>
      </w:tr>
      <w:tr w:rsidR="005E03BB" w:rsidRPr="00EA6964" w:rsidTr="00877AB4">
        <w:trPr>
          <w:trHeight w:val="567"/>
        </w:trPr>
        <w:tc>
          <w:tcPr>
            <w:tcW w:w="1869" w:type="dxa"/>
          </w:tcPr>
          <w:p w:rsidR="005E03BB" w:rsidRPr="00EA6964" w:rsidRDefault="005E03BB" w:rsidP="00117F40">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Institutional environment</w:t>
            </w:r>
          </w:p>
        </w:tc>
        <w:tc>
          <w:tcPr>
            <w:tcW w:w="6951" w:type="dxa"/>
          </w:tcPr>
          <w:p w:rsidR="005E03BB" w:rsidRDefault="005E03BB" w:rsidP="00EA735E">
            <w:pPr>
              <w:pStyle w:val="TableBodyText"/>
              <w:jc w:val="both"/>
            </w:pPr>
            <w:r w:rsidRPr="005E03BB">
              <w:t>For information on the institutional environment of the Australian Bureau of Statistics (ABS), including the legislative obligations of the ABS, financing and governance arrangements, and mechanisms for scrutiny of ABS operations, please see ABS Institutional Environment.</w:t>
            </w:r>
          </w:p>
          <w:p w:rsidR="00934192" w:rsidRPr="00EA6964" w:rsidRDefault="00934192" w:rsidP="00EA735E">
            <w:pPr>
              <w:pStyle w:val="TableBodyText"/>
              <w:jc w:val="both"/>
            </w:pPr>
          </w:p>
        </w:tc>
      </w:tr>
      <w:tr w:rsidR="005E03BB" w:rsidRPr="00EA6964" w:rsidTr="00877AB4">
        <w:trPr>
          <w:trHeight w:val="567"/>
        </w:trPr>
        <w:tc>
          <w:tcPr>
            <w:tcW w:w="1869" w:type="dxa"/>
          </w:tcPr>
          <w:p w:rsidR="005E03BB" w:rsidRPr="00EA6964" w:rsidRDefault="005E03BB" w:rsidP="00117F40">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Relevance</w:t>
            </w:r>
          </w:p>
          <w:p w:rsidR="005E03BB" w:rsidRPr="00EA6964" w:rsidRDefault="005E03BB" w:rsidP="00117F40">
            <w:pPr>
              <w:keepNext/>
              <w:keepLines/>
              <w:spacing w:after="40" w:line="220" w:lineRule="atLeast"/>
              <w:ind w:left="6" w:right="113"/>
              <w:rPr>
                <w:rFonts w:ascii="Arial" w:eastAsiaTheme="minorHAnsi" w:hAnsi="Arial" w:cstheme="minorBidi"/>
                <w:b/>
                <w:sz w:val="20"/>
                <w:szCs w:val="20"/>
                <w:lang w:eastAsia="en-US"/>
              </w:rPr>
            </w:pPr>
          </w:p>
        </w:tc>
        <w:tc>
          <w:tcPr>
            <w:tcW w:w="6951" w:type="dxa"/>
          </w:tcPr>
          <w:p w:rsidR="005E03BB" w:rsidRDefault="005E03BB" w:rsidP="00EA735E">
            <w:pPr>
              <w:pStyle w:val="TableBodyText"/>
              <w:jc w:val="both"/>
            </w:pPr>
            <w:r>
              <w:t>The Education and Work survey provides annual information about a range of key indicators relating to educational participation and attainment along with data on people's transition between education and work fo</w:t>
            </w:r>
            <w:r w:rsidR="00FB4624">
              <w:t>r all persons aged 15–74 years.</w:t>
            </w:r>
          </w:p>
          <w:p w:rsidR="00FB4624" w:rsidRDefault="00FB4624" w:rsidP="00EA735E">
            <w:pPr>
              <w:pStyle w:val="TableBodyText"/>
              <w:jc w:val="both"/>
            </w:pPr>
          </w:p>
          <w:p w:rsidR="00EA735E" w:rsidRDefault="005E03BB" w:rsidP="00EA735E">
            <w:pPr>
              <w:pStyle w:val="TableBodyText"/>
              <w:jc w:val="both"/>
            </w:pPr>
            <w:r>
              <w:t>Since this survey is supplementary to the Labour Force Survey (</w:t>
            </w:r>
            <w:proofErr w:type="spellStart"/>
            <w:r>
              <w:t>LFS</w:t>
            </w:r>
            <w:proofErr w:type="spellEnd"/>
            <w:r>
              <w:t xml:space="preserve">), persons excluded from the </w:t>
            </w:r>
            <w:proofErr w:type="spellStart"/>
            <w:r>
              <w:t>LFS</w:t>
            </w:r>
            <w:proofErr w:type="spellEnd"/>
            <w:r>
              <w:t xml:space="preserve"> are also excluded from this survey (see Explanatory Notes of Labour Force, Australia (cat. no. 6202.0) for standard </w:t>
            </w:r>
            <w:proofErr w:type="spellStart"/>
            <w:r>
              <w:t>LFS</w:t>
            </w:r>
            <w:proofErr w:type="spellEnd"/>
            <w:r>
              <w:t xml:space="preserve"> exclusions). Additional exclusions from this survey were persons aged 75 years or older, institutionalised persons and boarding school pupils. Persons permanently unable to work were included for the first time in 2013. Very remote areas were inclu</w:t>
            </w:r>
            <w:r w:rsidR="00EA735E">
              <w:t>ded for the first time in 2009.</w:t>
            </w:r>
          </w:p>
          <w:p w:rsidR="00FB4624" w:rsidRDefault="00FB4624" w:rsidP="00EA735E">
            <w:pPr>
              <w:pStyle w:val="TableBodyText"/>
              <w:jc w:val="both"/>
            </w:pPr>
          </w:p>
          <w:p w:rsidR="005E03BB" w:rsidRDefault="005E03BB" w:rsidP="00EA735E">
            <w:pPr>
              <w:pStyle w:val="TableBodyText"/>
              <w:jc w:val="both"/>
            </w:pPr>
            <w:r>
              <w:t>The type of information collected included: participation in education in the year prior to the survey, and in the survey month; labour force characteristics; type of educational institution; level of education of current and previous study; highest year of school completed; level and main field of highest non-school qualification; transition from education to work; unmet demand for education; and selected characteristics of apprentices.</w:t>
            </w:r>
          </w:p>
          <w:p w:rsidR="005E03BB" w:rsidRDefault="005E03BB" w:rsidP="00EA735E">
            <w:pPr>
              <w:pStyle w:val="TableBodyText"/>
              <w:jc w:val="both"/>
            </w:pPr>
            <w:r>
              <w:t>The Australian Classification of Education (</w:t>
            </w:r>
            <w:proofErr w:type="spellStart"/>
            <w:r>
              <w:t>ASCED</w:t>
            </w:r>
            <w:proofErr w:type="spellEnd"/>
            <w:r>
              <w:t xml:space="preserve">) (cat. no. 1272.0) was used to classify education. The </w:t>
            </w:r>
            <w:proofErr w:type="spellStart"/>
            <w:r>
              <w:t>ASCED</w:t>
            </w:r>
            <w:proofErr w:type="spellEnd"/>
            <w:r>
              <w:t xml:space="preserve"> is a national standard classification which can be applied to all sectors of the Australian education system including schools, vocational education and training and higher education. The </w:t>
            </w:r>
            <w:proofErr w:type="spellStart"/>
            <w:r>
              <w:t>ASCED</w:t>
            </w:r>
            <w:proofErr w:type="spellEnd"/>
            <w:r>
              <w:t xml:space="preserve"> comprises two classifications: Level of Education and Field of Education.</w:t>
            </w:r>
          </w:p>
          <w:p w:rsidR="00FB4624" w:rsidRPr="00EA6964" w:rsidRDefault="00FB4624" w:rsidP="00EA735E">
            <w:pPr>
              <w:pStyle w:val="TableBodyText"/>
              <w:jc w:val="both"/>
            </w:pPr>
          </w:p>
        </w:tc>
      </w:tr>
      <w:tr w:rsidR="005E03BB" w:rsidRPr="00EA6964" w:rsidTr="00877AB4">
        <w:trPr>
          <w:trHeight w:val="567"/>
        </w:trPr>
        <w:tc>
          <w:tcPr>
            <w:tcW w:w="1869" w:type="dxa"/>
          </w:tcPr>
          <w:p w:rsidR="005E03BB" w:rsidRPr="00EA6964" w:rsidRDefault="005E03BB" w:rsidP="00117F40">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Timeliness</w:t>
            </w:r>
          </w:p>
          <w:p w:rsidR="005E03BB" w:rsidRPr="00EA6964" w:rsidRDefault="005E03BB" w:rsidP="00117F40">
            <w:pPr>
              <w:keepNext/>
              <w:keepLines/>
              <w:spacing w:after="40" w:line="220" w:lineRule="atLeast"/>
              <w:ind w:left="6" w:right="113"/>
              <w:rPr>
                <w:rFonts w:ascii="Arial" w:eastAsiaTheme="minorHAnsi" w:hAnsi="Arial" w:cstheme="minorBidi"/>
                <w:b/>
                <w:sz w:val="20"/>
                <w:szCs w:val="20"/>
                <w:lang w:eastAsia="en-US"/>
              </w:rPr>
            </w:pPr>
          </w:p>
        </w:tc>
        <w:tc>
          <w:tcPr>
            <w:tcW w:w="6951" w:type="dxa"/>
          </w:tcPr>
          <w:p w:rsidR="005E03BB" w:rsidRDefault="005E03BB" w:rsidP="00EA735E">
            <w:pPr>
              <w:pStyle w:val="TableBodyText"/>
              <w:jc w:val="both"/>
            </w:pPr>
            <w:r w:rsidRPr="005E03BB">
              <w:t xml:space="preserve">The most recent Education and Work survey was conducted throughout Australia in May 2013 as a supplement to the monthly </w:t>
            </w:r>
            <w:proofErr w:type="spellStart"/>
            <w:r w:rsidRPr="005E03BB">
              <w:t>LFS</w:t>
            </w:r>
            <w:proofErr w:type="spellEnd"/>
            <w:r w:rsidRPr="005E03BB">
              <w:t>. The 2013 s</w:t>
            </w:r>
            <w:r w:rsidR="00BD5D6E">
              <w:t xml:space="preserve">ample size was approximately 10 per cent </w:t>
            </w:r>
            <w:r w:rsidRPr="005E03BB">
              <w:t>larger than the 2012 sample due to the larger in-scope population. The ABS has been conducting similar surveys since 1964. These surveys were conducted annually from February 1964 to February 1974, in May 1975 and 1976, in August 1977 and 1978 and annually in May since 1979. Data from the survey are released approximately six months after they have been collected.</w:t>
            </w:r>
          </w:p>
          <w:p w:rsidR="00FB4624" w:rsidRPr="00EA6964" w:rsidRDefault="00FB4624" w:rsidP="00EA735E">
            <w:pPr>
              <w:pStyle w:val="TableBodyText"/>
              <w:jc w:val="both"/>
            </w:pPr>
          </w:p>
        </w:tc>
      </w:tr>
      <w:tr w:rsidR="005E03BB" w:rsidRPr="00EA6964" w:rsidTr="00877AB4">
        <w:trPr>
          <w:trHeight w:val="100"/>
        </w:trPr>
        <w:tc>
          <w:tcPr>
            <w:tcW w:w="1869" w:type="dxa"/>
          </w:tcPr>
          <w:p w:rsidR="005E03BB" w:rsidRPr="00EA6964" w:rsidRDefault="005E03BB" w:rsidP="00117F40">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Accuracy</w:t>
            </w:r>
          </w:p>
          <w:p w:rsidR="005E03BB" w:rsidRPr="00EA6964" w:rsidRDefault="005E03BB" w:rsidP="00117F40">
            <w:pPr>
              <w:keepNext/>
              <w:keepLines/>
              <w:spacing w:after="40" w:line="220" w:lineRule="atLeast"/>
              <w:ind w:left="6" w:right="113"/>
              <w:rPr>
                <w:rFonts w:ascii="Arial" w:eastAsiaTheme="minorHAnsi" w:hAnsi="Arial" w:cstheme="minorBidi"/>
                <w:b/>
                <w:sz w:val="20"/>
                <w:szCs w:val="20"/>
                <w:lang w:eastAsia="en-US"/>
              </w:rPr>
            </w:pPr>
          </w:p>
        </w:tc>
        <w:tc>
          <w:tcPr>
            <w:tcW w:w="6951" w:type="dxa"/>
          </w:tcPr>
          <w:p w:rsidR="005E03BB" w:rsidRDefault="005E03BB" w:rsidP="00EA735E">
            <w:pPr>
              <w:pStyle w:val="TableBodyText"/>
              <w:jc w:val="both"/>
            </w:pPr>
            <w:r>
              <w:t>The number of completed interviews (after taking into account scope and coverage exclusions) was about 43</w:t>
            </w:r>
            <w:r w:rsidR="0023156D">
              <w:t> </w:t>
            </w:r>
            <w:r>
              <w:t>600. This sample was achieved by obtaining a response rate of 94</w:t>
            </w:r>
            <w:r w:rsidR="00BD5D6E">
              <w:t xml:space="preserve"> per cent</w:t>
            </w:r>
            <w:r>
              <w:t xml:space="preserve"> from the selected households. </w:t>
            </w:r>
          </w:p>
          <w:p w:rsidR="005E03BB" w:rsidRDefault="005E03BB" w:rsidP="00EA735E">
            <w:pPr>
              <w:pStyle w:val="TableBodyText"/>
              <w:jc w:val="both"/>
            </w:pPr>
            <w:r>
              <w:t>The Labour Force Survey is designed to primarily provide estimates for the whole of Australia and, secondly, for each state and territory.</w:t>
            </w:r>
          </w:p>
          <w:p w:rsidR="0021665D" w:rsidRDefault="0021665D" w:rsidP="0021665D">
            <w:pPr>
              <w:pStyle w:val="TableBodyText"/>
              <w:jc w:val="both"/>
            </w:pPr>
          </w:p>
          <w:p w:rsidR="0021665D" w:rsidRPr="001E777B" w:rsidRDefault="0021665D" w:rsidP="0021665D">
            <w:pPr>
              <w:pStyle w:val="TableBodyText"/>
              <w:jc w:val="both"/>
            </w:pPr>
            <w:r w:rsidRPr="002479E3">
              <w:t xml:space="preserve">Prior to the 2013 SEW, people who were permanently unable to work were excluded from the in-scope population. In 2013, the </w:t>
            </w:r>
            <w:r>
              <w:t xml:space="preserve">SEW </w:t>
            </w:r>
            <w:r w:rsidRPr="002479E3">
              <w:t>scope was expanded to include people permanently unable to work. However, to ensure that the indicator measure presented here is comparable over time, the permanently unable to work population has been excluded from these tables.</w:t>
            </w:r>
          </w:p>
          <w:p w:rsidR="0021665D" w:rsidRDefault="0021665D" w:rsidP="00EA735E">
            <w:pPr>
              <w:pStyle w:val="TableBodyText"/>
              <w:jc w:val="both"/>
            </w:pPr>
          </w:p>
          <w:p w:rsidR="005E03BB" w:rsidRDefault="005E03BB" w:rsidP="00EA735E">
            <w:pPr>
              <w:pStyle w:val="TableBodyText"/>
              <w:jc w:val="both"/>
            </w:pPr>
            <w:r>
              <w:t>Two types of error are possible in an estimate based on a sample survey: non-sampling error and sampling error.</w:t>
            </w:r>
          </w:p>
          <w:p w:rsidR="005E03BB" w:rsidRDefault="005E03BB" w:rsidP="00EA735E">
            <w:pPr>
              <w:pStyle w:val="TableBodyText"/>
              <w:jc w:val="both"/>
            </w:pPr>
            <w:r>
              <w:t>Non-sampling error arises from inaccuracies in collecting, recording and processing the data. Every effort is made to minimise reporting error by the careful design of questionnaires, intensive training and supervision of interviewers, and efficient data processing procedures. Non-sampling error arises because information cannot be obtained from all persons selected in the survey.</w:t>
            </w:r>
          </w:p>
          <w:p w:rsidR="00FB4624" w:rsidRDefault="00FB4624" w:rsidP="00EA735E">
            <w:pPr>
              <w:pStyle w:val="TableBodyText"/>
              <w:jc w:val="both"/>
            </w:pPr>
          </w:p>
          <w:p w:rsidR="005E03BB" w:rsidRDefault="005E03BB" w:rsidP="00EA735E">
            <w:pPr>
              <w:pStyle w:val="TableBodyText"/>
              <w:jc w:val="both"/>
            </w:pPr>
            <w:r>
              <w:t>Sampling error occurs because a sample, rather than the entire population is surveyed. One measure of the likely difference resulting from not including all dwellings in the survey is given by the standard error. There are about two chances in three that a sample estimate will differ by less than one standard error from the figure that would have been obtained if all dwellings had been included in the survey and about 19 chances in 20 that the difference will be less than two standard errors.</w:t>
            </w:r>
          </w:p>
          <w:p w:rsidR="00FB4624" w:rsidRDefault="00FB4624" w:rsidP="00EA735E">
            <w:pPr>
              <w:pStyle w:val="TableBodyText"/>
              <w:jc w:val="both"/>
            </w:pPr>
          </w:p>
          <w:p w:rsidR="005E03BB" w:rsidRDefault="005E03BB" w:rsidP="00EA735E">
            <w:pPr>
              <w:pStyle w:val="TableBodyText"/>
              <w:jc w:val="both"/>
            </w:pPr>
            <w:r>
              <w:t xml:space="preserve">Every five years, following the availability of data from the Census of Population and Housing, the ABS reviews the </w:t>
            </w:r>
            <w:proofErr w:type="spellStart"/>
            <w:r>
              <w:t>LFS</w:t>
            </w:r>
            <w:proofErr w:type="spellEnd"/>
            <w:r>
              <w:t xml:space="preserve"> sample design. This sample for the SEW 2013 comprised of two rotation groups based on the new 2011 Census based sample and five rotation groups based on the 2006 Census based sample. Overall, the 2011 sample design generally maintains standard errors at the levels targeted under the 2006 sample design. For more information see Information Paper: Labour Force Survey Sample Design, May 2013 (cat. no. 6269.0).</w:t>
            </w:r>
          </w:p>
          <w:p w:rsidR="00FB4624" w:rsidRPr="00EA6964" w:rsidRDefault="00FB4624" w:rsidP="00EA735E">
            <w:pPr>
              <w:pStyle w:val="TableBodyText"/>
              <w:jc w:val="both"/>
            </w:pPr>
          </w:p>
        </w:tc>
      </w:tr>
      <w:tr w:rsidR="005E03BB" w:rsidRPr="00EA6964" w:rsidTr="00877AB4">
        <w:trPr>
          <w:trHeight w:val="567"/>
        </w:trPr>
        <w:tc>
          <w:tcPr>
            <w:tcW w:w="1869" w:type="dxa"/>
          </w:tcPr>
          <w:p w:rsidR="005E03BB" w:rsidRPr="00EA6964" w:rsidRDefault="005E03BB" w:rsidP="00117F40">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Coherence</w:t>
            </w:r>
          </w:p>
          <w:p w:rsidR="005E03BB" w:rsidRPr="00EA6964" w:rsidRDefault="005E03BB" w:rsidP="00117F40">
            <w:pPr>
              <w:keepNext/>
              <w:keepLines/>
              <w:spacing w:after="40" w:line="220" w:lineRule="atLeast"/>
              <w:ind w:left="6" w:right="113"/>
              <w:rPr>
                <w:rFonts w:ascii="Arial" w:eastAsiaTheme="minorHAnsi" w:hAnsi="Arial" w:cstheme="minorBidi"/>
                <w:b/>
                <w:sz w:val="20"/>
                <w:szCs w:val="20"/>
                <w:lang w:eastAsia="en-US"/>
              </w:rPr>
            </w:pPr>
          </w:p>
        </w:tc>
        <w:tc>
          <w:tcPr>
            <w:tcW w:w="6951" w:type="dxa"/>
          </w:tcPr>
          <w:p w:rsidR="005E03BB" w:rsidRDefault="005E03BB" w:rsidP="00EA735E">
            <w:pPr>
              <w:pStyle w:val="TableBodyText"/>
              <w:jc w:val="both"/>
            </w:pPr>
            <w:r>
              <w:t xml:space="preserve">The indicators for COAG national agreement reporting that are based on the 2013 SEW are consistent with those supplied from previous cycles of this survey. </w:t>
            </w:r>
          </w:p>
          <w:p w:rsidR="00FB4624" w:rsidRDefault="00FB4624" w:rsidP="00EA735E">
            <w:pPr>
              <w:pStyle w:val="TableBodyText"/>
              <w:jc w:val="both"/>
            </w:pPr>
          </w:p>
          <w:p w:rsidR="005E03BB" w:rsidRDefault="005E03BB" w:rsidP="00EA735E">
            <w:pPr>
              <w:pStyle w:val="TableBodyText"/>
              <w:jc w:val="both"/>
            </w:pPr>
            <w:r>
              <w:t xml:space="preserve">The ABS seeks to maximise consistency and comparability over time by minimising changes to the survey; sound survey practice requires ongoing development to maintain the integrity of the data. </w:t>
            </w:r>
          </w:p>
          <w:p w:rsidR="00FB4624" w:rsidRDefault="00FB4624" w:rsidP="00EA735E">
            <w:pPr>
              <w:pStyle w:val="TableBodyText"/>
              <w:jc w:val="both"/>
            </w:pPr>
          </w:p>
          <w:p w:rsidR="005E03BB" w:rsidRDefault="005E03BB" w:rsidP="00EA735E">
            <w:pPr>
              <w:pStyle w:val="TableBodyText"/>
              <w:jc w:val="both"/>
            </w:pPr>
            <w:r>
              <w:t>In 2013 the scope of the survey was extended to include persons aged 65–74 years who are not intending to work (i.e. all persons aged 65-74 years were included for the first time). In addition, persons who are permanently unable to work were also included in the scope of SEW for the first time. There were an estimated 409</w:t>
            </w:r>
            <w:r w:rsidR="0023156D">
              <w:t> </w:t>
            </w:r>
            <w:r>
              <w:t>700 people who reported being permanently unable to work in May 2013.</w:t>
            </w:r>
          </w:p>
          <w:p w:rsidR="00FB4624" w:rsidRDefault="00FB4624" w:rsidP="00EA735E">
            <w:pPr>
              <w:pStyle w:val="TableBodyText"/>
              <w:jc w:val="both"/>
            </w:pPr>
          </w:p>
          <w:p w:rsidR="005E03BB" w:rsidRDefault="005E03BB" w:rsidP="00EA735E">
            <w:pPr>
              <w:pStyle w:val="TableBodyText"/>
              <w:jc w:val="both"/>
            </w:pPr>
            <w:r>
              <w:t xml:space="preserve">In 2009 the scope of the survey was extended to include persons aged 65–74 years who are employed or marginally attached to the labour force. Persons are determined to be marginally attached to the labour force if they were not in the labour force in the reference week, wanted to work and: were actively looking for work but did not meet the availability criteria to be classified as unemployed; or were not actively looking for work but were available to start work within four weeks or could start work within four weeks if child care was available. </w:t>
            </w:r>
          </w:p>
          <w:p w:rsidR="00FB4624" w:rsidRDefault="00FB4624" w:rsidP="00EA735E">
            <w:pPr>
              <w:pStyle w:val="TableBodyText"/>
              <w:jc w:val="both"/>
            </w:pPr>
          </w:p>
          <w:p w:rsidR="005E03BB" w:rsidRDefault="005E03BB" w:rsidP="00EA735E">
            <w:pPr>
              <w:pStyle w:val="TableBodyText"/>
              <w:jc w:val="both"/>
            </w:pPr>
            <w:r>
              <w:t>Prior to 2009, all people in very remote areas were excluded from the SEW. Very remote areas represent about two per cent of the tot</w:t>
            </w:r>
            <w:r w:rsidR="00BD5D6E">
              <w:t>al Australian population and 20 per cent</w:t>
            </w:r>
            <w:r>
              <w:t xml:space="preserve"> of the Northern Territory population. From 2009 onwards, the SEW has a slightly wider scope. It includes people in very remote areas but excludes people in Indigenous communities in very remote areas. The current exclusion has only a minor impact on national estimates or estimates by State/Territory except for the Northern Territory where s</w:t>
            </w:r>
            <w:r w:rsidR="00FB4624">
              <w:t>uch people account for about 15 per cent</w:t>
            </w:r>
            <w:r>
              <w:t xml:space="preserve"> of the population. These differences should have only a minor effect on comparisons over time.</w:t>
            </w:r>
          </w:p>
          <w:p w:rsidR="00FB4624" w:rsidRPr="00EA6964" w:rsidRDefault="00FB4624" w:rsidP="00EA735E">
            <w:pPr>
              <w:pStyle w:val="TableBodyText"/>
              <w:jc w:val="both"/>
            </w:pPr>
          </w:p>
        </w:tc>
      </w:tr>
      <w:tr w:rsidR="005E03BB" w:rsidRPr="00EA6964" w:rsidTr="00877AB4">
        <w:trPr>
          <w:trHeight w:val="567"/>
        </w:trPr>
        <w:tc>
          <w:tcPr>
            <w:tcW w:w="1869" w:type="dxa"/>
          </w:tcPr>
          <w:p w:rsidR="005E03BB" w:rsidRPr="00EA6964" w:rsidRDefault="005E03BB" w:rsidP="00117F40">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Accessibility</w:t>
            </w:r>
          </w:p>
          <w:p w:rsidR="005E03BB" w:rsidRPr="00EA6964" w:rsidRDefault="005E03BB" w:rsidP="00117F40">
            <w:pPr>
              <w:keepNext/>
              <w:keepLines/>
              <w:spacing w:after="40" w:line="220" w:lineRule="atLeast"/>
              <w:ind w:left="6" w:right="113"/>
              <w:rPr>
                <w:rFonts w:ascii="Arial" w:eastAsiaTheme="minorHAnsi" w:hAnsi="Arial" w:cstheme="minorBidi"/>
                <w:b/>
                <w:sz w:val="20"/>
                <w:szCs w:val="20"/>
                <w:lang w:eastAsia="en-US"/>
              </w:rPr>
            </w:pPr>
          </w:p>
        </w:tc>
        <w:tc>
          <w:tcPr>
            <w:tcW w:w="6951" w:type="dxa"/>
          </w:tcPr>
          <w:p w:rsidR="005E03BB" w:rsidRPr="005E03BB" w:rsidRDefault="005E03BB" w:rsidP="00EA735E">
            <w:pPr>
              <w:pStyle w:val="TableBodyText"/>
              <w:jc w:val="both"/>
              <w:rPr>
                <w:bCs/>
                <w:lang w:val="en"/>
              </w:rPr>
            </w:pPr>
            <w:r w:rsidRPr="005E03BB">
              <w:rPr>
                <w:bCs/>
                <w:lang w:val="en"/>
              </w:rPr>
              <w:t>Tabulated data and associated RSEs are available in spreadsheet format on the ABS website (cat. no. 6227.0). Additional tables are also available in a separate release also on the ABS website (cat. no. 6227.0.55.003).</w:t>
            </w:r>
          </w:p>
          <w:p w:rsidR="005E03BB" w:rsidRDefault="005E03BB" w:rsidP="00EA735E">
            <w:pPr>
              <w:pStyle w:val="TableBodyText"/>
              <w:jc w:val="both"/>
              <w:rPr>
                <w:bCs/>
                <w:lang w:val="en"/>
              </w:rPr>
            </w:pPr>
            <w:r w:rsidRPr="005E03BB">
              <w:rPr>
                <w:bCs/>
                <w:lang w:val="en"/>
              </w:rPr>
              <w:t xml:space="preserve">Data from this survey will also be accessible in the </w:t>
            </w:r>
            <w:proofErr w:type="spellStart"/>
            <w:r w:rsidRPr="005E03BB">
              <w:rPr>
                <w:bCs/>
                <w:lang w:val="en"/>
              </w:rPr>
              <w:t>TableBuilder</w:t>
            </w:r>
            <w:proofErr w:type="spellEnd"/>
            <w:r w:rsidRPr="005E03BB">
              <w:rPr>
                <w:bCs/>
                <w:lang w:val="en"/>
              </w:rPr>
              <w:t xml:space="preserve"> and </w:t>
            </w:r>
            <w:proofErr w:type="spellStart"/>
            <w:r w:rsidRPr="005E03BB">
              <w:rPr>
                <w:bCs/>
                <w:lang w:val="en"/>
              </w:rPr>
              <w:t>DataAnalyser</w:t>
            </w:r>
            <w:proofErr w:type="spellEnd"/>
            <w:r w:rsidRPr="005E03BB">
              <w:rPr>
                <w:bCs/>
                <w:lang w:val="en"/>
              </w:rPr>
              <w:t xml:space="preserve"> environments, enabling users to create their own </w:t>
            </w:r>
            <w:proofErr w:type="spellStart"/>
            <w:r w:rsidRPr="005E03BB">
              <w:rPr>
                <w:bCs/>
                <w:lang w:val="en"/>
              </w:rPr>
              <w:t>customised</w:t>
            </w:r>
            <w:proofErr w:type="spellEnd"/>
            <w:r w:rsidRPr="005E03BB">
              <w:rPr>
                <w:bCs/>
                <w:lang w:val="en"/>
              </w:rPr>
              <w:t xml:space="preserve"> output as required. For more details, refer to the </w:t>
            </w:r>
            <w:proofErr w:type="spellStart"/>
            <w:r w:rsidRPr="005E03BB">
              <w:rPr>
                <w:bCs/>
                <w:lang w:val="en"/>
              </w:rPr>
              <w:t>TableBuilder</w:t>
            </w:r>
            <w:proofErr w:type="spellEnd"/>
            <w:r w:rsidRPr="005E03BB">
              <w:rPr>
                <w:bCs/>
                <w:lang w:val="en"/>
              </w:rPr>
              <w:t xml:space="preserve"> information, </w:t>
            </w:r>
            <w:proofErr w:type="spellStart"/>
            <w:r w:rsidRPr="005E03BB">
              <w:rPr>
                <w:bCs/>
                <w:lang w:val="en"/>
              </w:rPr>
              <w:t>Microdata</w:t>
            </w:r>
            <w:proofErr w:type="spellEnd"/>
            <w:r w:rsidRPr="005E03BB">
              <w:rPr>
                <w:bCs/>
                <w:lang w:val="en"/>
              </w:rPr>
              <w:t>: Education and Work, Australia (cat. no. 6227.0.30.001).</w:t>
            </w:r>
          </w:p>
          <w:p w:rsidR="00FB4624" w:rsidRPr="005E03BB" w:rsidRDefault="00FB4624" w:rsidP="00EA735E">
            <w:pPr>
              <w:pStyle w:val="TableBodyText"/>
              <w:jc w:val="both"/>
              <w:rPr>
                <w:bCs/>
                <w:lang w:val="en"/>
              </w:rPr>
            </w:pPr>
          </w:p>
          <w:p w:rsidR="005E03BB" w:rsidRPr="005E03BB" w:rsidRDefault="005E03BB" w:rsidP="00EA735E">
            <w:pPr>
              <w:pStyle w:val="TableBodyText"/>
              <w:jc w:val="both"/>
              <w:rPr>
                <w:bCs/>
                <w:lang w:val="en"/>
              </w:rPr>
            </w:pPr>
            <w:r w:rsidRPr="005E03BB">
              <w:rPr>
                <w:bCs/>
                <w:lang w:val="en"/>
              </w:rPr>
              <w:t>A Confidentialised Unit Record File (</w:t>
            </w:r>
            <w:proofErr w:type="spellStart"/>
            <w:r w:rsidRPr="005E03BB">
              <w:rPr>
                <w:bCs/>
                <w:lang w:val="en"/>
              </w:rPr>
              <w:t>CURF</w:t>
            </w:r>
            <w:proofErr w:type="spellEnd"/>
            <w:r w:rsidRPr="005E03BB">
              <w:rPr>
                <w:bCs/>
                <w:lang w:val="en"/>
              </w:rPr>
              <w:t xml:space="preserve">) containing </w:t>
            </w:r>
            <w:proofErr w:type="spellStart"/>
            <w:r w:rsidRPr="005E03BB">
              <w:rPr>
                <w:bCs/>
                <w:lang w:val="en"/>
              </w:rPr>
              <w:t>confidentialised</w:t>
            </w:r>
            <w:proofErr w:type="spellEnd"/>
            <w:r w:rsidRPr="005E03BB">
              <w:rPr>
                <w:bCs/>
                <w:lang w:val="en"/>
              </w:rPr>
              <w:t xml:space="preserve"> </w:t>
            </w:r>
            <w:proofErr w:type="spellStart"/>
            <w:r w:rsidRPr="005E03BB">
              <w:rPr>
                <w:bCs/>
                <w:lang w:val="en"/>
              </w:rPr>
              <w:t>microdata</w:t>
            </w:r>
            <w:proofErr w:type="spellEnd"/>
            <w:r w:rsidRPr="005E03BB">
              <w:rPr>
                <w:bCs/>
                <w:lang w:val="en"/>
              </w:rPr>
              <w:t xml:space="preserve"> from the SEW has been released biennially from 2001 to 2011.</w:t>
            </w:r>
          </w:p>
          <w:p w:rsidR="005E03BB" w:rsidRPr="005E03BB" w:rsidRDefault="005E03BB" w:rsidP="00EA735E">
            <w:pPr>
              <w:pStyle w:val="TableBodyText"/>
              <w:jc w:val="both"/>
              <w:rPr>
                <w:bCs/>
                <w:lang w:val="en"/>
              </w:rPr>
            </w:pPr>
            <w:r w:rsidRPr="005E03BB">
              <w:rPr>
                <w:bCs/>
                <w:lang w:val="en"/>
              </w:rPr>
              <w:t>Additional data are available at cost upon request through the National Information Referral Service (</w:t>
            </w:r>
            <w:proofErr w:type="spellStart"/>
            <w:r w:rsidRPr="005E03BB">
              <w:rPr>
                <w:bCs/>
                <w:lang w:val="en"/>
              </w:rPr>
              <w:t>NIRS</w:t>
            </w:r>
            <w:proofErr w:type="spellEnd"/>
            <w:r w:rsidRPr="005E03BB">
              <w:rPr>
                <w:bCs/>
                <w:lang w:val="en"/>
              </w:rPr>
              <w:t>). Data are also available on request. Note that detailed data can be subject to high relative standard errors which in some cases may result in data being confidentialised.</w:t>
            </w:r>
          </w:p>
          <w:p w:rsidR="00FB4624" w:rsidRDefault="00FB4624" w:rsidP="00EA735E">
            <w:pPr>
              <w:pStyle w:val="TableBodyText"/>
              <w:jc w:val="both"/>
              <w:rPr>
                <w:bCs/>
                <w:lang w:val="en"/>
              </w:rPr>
            </w:pPr>
          </w:p>
          <w:p w:rsidR="005E03BB" w:rsidRDefault="005E03BB" w:rsidP="00EA735E">
            <w:pPr>
              <w:pStyle w:val="TableBodyText"/>
              <w:jc w:val="both"/>
              <w:rPr>
                <w:bCs/>
                <w:lang w:val="en"/>
              </w:rPr>
            </w:pPr>
            <w:r w:rsidRPr="005E03BB">
              <w:rPr>
                <w:bCs/>
                <w:lang w:val="en"/>
              </w:rPr>
              <w:t>For further information about these or related statistics, contact the National Information and Referral Service on 1300 135 070.</w:t>
            </w:r>
          </w:p>
          <w:p w:rsidR="00FB4624" w:rsidRPr="00EA6964" w:rsidRDefault="00FB4624" w:rsidP="00EA735E">
            <w:pPr>
              <w:pStyle w:val="TableBodyText"/>
              <w:jc w:val="both"/>
              <w:rPr>
                <w:bCs/>
                <w:lang w:val="en"/>
              </w:rPr>
            </w:pPr>
          </w:p>
        </w:tc>
      </w:tr>
      <w:tr w:rsidR="005E03BB" w:rsidRPr="00EA6964" w:rsidTr="00877AB4">
        <w:trPr>
          <w:trHeight w:val="567"/>
        </w:trPr>
        <w:tc>
          <w:tcPr>
            <w:tcW w:w="1869" w:type="dxa"/>
          </w:tcPr>
          <w:p w:rsidR="005E03BB" w:rsidRPr="00EA6964" w:rsidRDefault="005E03BB" w:rsidP="00117F40">
            <w:pPr>
              <w:keepNext/>
              <w:keepLines/>
              <w:spacing w:after="40" w:line="220" w:lineRule="atLeast"/>
              <w:ind w:left="6" w:right="113"/>
              <w:jc w:val="both"/>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Interpretability</w:t>
            </w:r>
          </w:p>
        </w:tc>
        <w:tc>
          <w:tcPr>
            <w:tcW w:w="6951" w:type="dxa"/>
          </w:tcPr>
          <w:p w:rsidR="005E03BB" w:rsidRDefault="005E03BB" w:rsidP="00EA735E">
            <w:pPr>
              <w:pStyle w:val="TableBodyText"/>
              <w:jc w:val="both"/>
            </w:pPr>
            <w:r w:rsidRPr="005E03BB">
              <w:t>Detailed information on the terminology, classifications and other technical aspects associated with the Survey of Education and Work can be found in the relevant web pages included with this release.</w:t>
            </w:r>
          </w:p>
          <w:p w:rsidR="00FB4624" w:rsidRPr="00EA6964" w:rsidRDefault="00FB4624" w:rsidP="00EA735E">
            <w:pPr>
              <w:pStyle w:val="TableBodyText"/>
              <w:jc w:val="both"/>
            </w:pPr>
          </w:p>
        </w:tc>
      </w:tr>
    </w:tbl>
    <w:p w:rsidR="00EA735E" w:rsidRDefault="00EA735E" w:rsidP="005E03BB"/>
    <w:p w:rsidR="00EA735E" w:rsidRDefault="00EA735E" w:rsidP="00EA735E">
      <w:pPr>
        <w:pStyle w:val="BodyText"/>
      </w:pPr>
      <w:r>
        <w:br w:type="page"/>
      </w:r>
    </w:p>
    <w:p w:rsidR="00EA735E" w:rsidRPr="00910491" w:rsidRDefault="00EA735E" w:rsidP="00EA735E">
      <w:pPr>
        <w:pStyle w:val="Heading3"/>
        <w:spacing w:after="360"/>
      </w:pPr>
      <w:bookmarkStart w:id="44" w:name="_Ref382928099"/>
      <w:r w:rsidRPr="00910491">
        <w:t xml:space="preserve">Data quality statement — </w:t>
      </w:r>
      <w:r>
        <w:t>Student Outcomes Survey</w:t>
      </w:r>
      <w:bookmarkEnd w:id="44"/>
      <w:r>
        <w:t xml:space="preserve"> </w:t>
      </w:r>
    </w:p>
    <w:tbl>
      <w:tblPr>
        <w:tblW w:w="8820" w:type="dxa"/>
        <w:tblInd w:w="108" w:type="dxa"/>
        <w:tblLayout w:type="fixed"/>
        <w:tblLook w:val="01E0" w:firstRow="1" w:lastRow="1" w:firstColumn="1" w:lastColumn="1" w:noHBand="0" w:noVBand="0"/>
      </w:tblPr>
      <w:tblGrid>
        <w:gridCol w:w="1869"/>
        <w:gridCol w:w="6951"/>
      </w:tblGrid>
      <w:tr w:rsidR="00EA735E" w:rsidRPr="00EA6964" w:rsidTr="00877AB4">
        <w:trPr>
          <w:trHeight w:val="567"/>
        </w:trPr>
        <w:tc>
          <w:tcPr>
            <w:tcW w:w="1869" w:type="dxa"/>
          </w:tcPr>
          <w:p w:rsidR="00EA735E" w:rsidRPr="00EA6964" w:rsidRDefault="00EA735E" w:rsidP="00117F40">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Indicator</w:t>
            </w:r>
          </w:p>
        </w:tc>
        <w:tc>
          <w:tcPr>
            <w:tcW w:w="6951" w:type="dxa"/>
          </w:tcPr>
          <w:p w:rsidR="00EA735E" w:rsidRPr="00EA6964" w:rsidRDefault="00F86082" w:rsidP="00345E73">
            <w:pPr>
              <w:pStyle w:val="TableBodyText"/>
              <w:jc w:val="both"/>
            </w:pPr>
            <w:r>
              <w:t>NASWD indicator 5</w:t>
            </w:r>
          </w:p>
        </w:tc>
      </w:tr>
      <w:tr w:rsidR="00EA735E" w:rsidRPr="00EA6964" w:rsidTr="00877AB4">
        <w:trPr>
          <w:trHeight w:val="567"/>
        </w:trPr>
        <w:tc>
          <w:tcPr>
            <w:tcW w:w="1869" w:type="dxa"/>
          </w:tcPr>
          <w:p w:rsidR="00EA735E" w:rsidRPr="00EA6964" w:rsidRDefault="00EA735E" w:rsidP="00117F40">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Measure (computation)</w:t>
            </w:r>
          </w:p>
        </w:tc>
        <w:tc>
          <w:tcPr>
            <w:tcW w:w="6951" w:type="dxa"/>
          </w:tcPr>
          <w:p w:rsidR="00EA735E" w:rsidRPr="00EA6964" w:rsidRDefault="00F86082" w:rsidP="00345E73">
            <w:pPr>
              <w:pStyle w:val="TableBodyText"/>
              <w:jc w:val="both"/>
            </w:pPr>
            <w:r>
              <w:t>Student Outcomes Survey</w:t>
            </w:r>
          </w:p>
        </w:tc>
      </w:tr>
      <w:tr w:rsidR="00EA735E" w:rsidRPr="00EA6964" w:rsidTr="00877AB4">
        <w:trPr>
          <w:trHeight w:val="567"/>
        </w:trPr>
        <w:tc>
          <w:tcPr>
            <w:tcW w:w="1869" w:type="dxa"/>
          </w:tcPr>
          <w:p w:rsidR="00EA735E" w:rsidRPr="00EA6964" w:rsidRDefault="00EA735E" w:rsidP="00117F40">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Institutional environment</w:t>
            </w:r>
          </w:p>
        </w:tc>
        <w:tc>
          <w:tcPr>
            <w:tcW w:w="6951" w:type="dxa"/>
          </w:tcPr>
          <w:p w:rsidR="000B20D8" w:rsidRDefault="000B20D8" w:rsidP="00345E73">
            <w:pPr>
              <w:pStyle w:val="TableBodyText"/>
              <w:jc w:val="both"/>
            </w:pPr>
            <w:r>
              <w:t>The National Centre for Vocational Education Research (NCVER) is a not-for-profit company owned by the federal, state and territory ministers responsible for training.</w:t>
            </w:r>
          </w:p>
          <w:p w:rsidR="000B20D8" w:rsidRDefault="000B20D8" w:rsidP="00345E73">
            <w:pPr>
              <w:pStyle w:val="TableBodyText"/>
              <w:jc w:val="both"/>
            </w:pPr>
          </w:p>
          <w:p w:rsidR="000B20D8" w:rsidRDefault="000B20D8" w:rsidP="00345E73">
            <w:pPr>
              <w:pStyle w:val="TableBodyText"/>
              <w:jc w:val="both"/>
            </w:pPr>
            <w:r>
              <w:t>NCVER is a professional and independent body responsible for collecting, managing, analysing, evaluating and communicating research and statistics about vocational education and training (VET) nationally. It is Australia's principal provider of VET research and statistics.</w:t>
            </w:r>
          </w:p>
          <w:p w:rsidR="000B20D8" w:rsidRDefault="000B20D8" w:rsidP="00345E73">
            <w:pPr>
              <w:pStyle w:val="TableBodyText"/>
              <w:jc w:val="both"/>
            </w:pPr>
          </w:p>
          <w:p w:rsidR="00EA735E" w:rsidRDefault="000B20D8" w:rsidP="00345E73">
            <w:pPr>
              <w:pStyle w:val="TableBodyText"/>
              <w:jc w:val="both"/>
            </w:pPr>
            <w:r>
              <w:t xml:space="preserve">For further information on the </w:t>
            </w:r>
            <w:proofErr w:type="spellStart"/>
            <w:r>
              <w:t>NCVER</w:t>
            </w:r>
            <w:proofErr w:type="spellEnd"/>
            <w:r>
              <w:t xml:space="preserve">, see </w:t>
            </w:r>
            <w:hyperlink r:id="rId27" w:history="1">
              <w:r w:rsidR="00F86082" w:rsidRPr="00F75702">
                <w:rPr>
                  <w:rStyle w:val="Hyperlink"/>
                </w:rPr>
                <w:t>http://</w:t>
              </w:r>
              <w:proofErr w:type="spellStart"/>
              <w:r w:rsidR="00F86082" w:rsidRPr="00F75702">
                <w:rPr>
                  <w:rStyle w:val="Hyperlink"/>
                </w:rPr>
                <w:t>www.ncver.edu.au</w:t>
              </w:r>
              <w:proofErr w:type="spellEnd"/>
              <w:r w:rsidR="00F86082" w:rsidRPr="00F75702">
                <w:rPr>
                  <w:rStyle w:val="Hyperlink"/>
                </w:rPr>
                <w:t>/</w:t>
              </w:r>
              <w:proofErr w:type="spellStart"/>
              <w:r w:rsidR="00F86082" w:rsidRPr="00F75702">
                <w:rPr>
                  <w:rStyle w:val="Hyperlink"/>
                </w:rPr>
                <w:t>aboutncver</w:t>
              </w:r>
              <w:proofErr w:type="spellEnd"/>
              <w:r w:rsidR="00F86082" w:rsidRPr="00F75702">
                <w:rPr>
                  <w:rStyle w:val="Hyperlink"/>
                </w:rPr>
                <w:t>/</w:t>
              </w:r>
              <w:proofErr w:type="spellStart"/>
              <w:r w:rsidR="00F86082" w:rsidRPr="00F75702">
                <w:rPr>
                  <w:rStyle w:val="Hyperlink"/>
                </w:rPr>
                <w:t>who.html</w:t>
              </w:r>
              <w:proofErr w:type="spellEnd"/>
            </w:hyperlink>
          </w:p>
          <w:p w:rsidR="00F86082" w:rsidRPr="00EA6964" w:rsidRDefault="00F86082" w:rsidP="00345E73">
            <w:pPr>
              <w:pStyle w:val="TableBodyText"/>
              <w:jc w:val="both"/>
            </w:pPr>
          </w:p>
        </w:tc>
      </w:tr>
      <w:tr w:rsidR="00EA735E" w:rsidRPr="00EA6964" w:rsidTr="00877AB4">
        <w:trPr>
          <w:trHeight w:val="567"/>
        </w:trPr>
        <w:tc>
          <w:tcPr>
            <w:tcW w:w="1869" w:type="dxa"/>
          </w:tcPr>
          <w:p w:rsidR="00EA735E" w:rsidRPr="00EA6964" w:rsidRDefault="00EA735E" w:rsidP="00117F40">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Relevance</w:t>
            </w:r>
          </w:p>
          <w:p w:rsidR="00EA735E" w:rsidRPr="00EA6964" w:rsidRDefault="00EA735E" w:rsidP="00117F40">
            <w:pPr>
              <w:keepNext/>
              <w:keepLines/>
              <w:spacing w:after="40" w:line="220" w:lineRule="atLeast"/>
              <w:ind w:left="6" w:right="113"/>
              <w:rPr>
                <w:rFonts w:ascii="Arial" w:eastAsiaTheme="minorHAnsi" w:hAnsi="Arial" w:cstheme="minorBidi"/>
                <w:b/>
                <w:sz w:val="20"/>
                <w:szCs w:val="20"/>
                <w:lang w:eastAsia="en-US"/>
              </w:rPr>
            </w:pPr>
          </w:p>
        </w:tc>
        <w:tc>
          <w:tcPr>
            <w:tcW w:w="6951" w:type="dxa"/>
          </w:tcPr>
          <w:p w:rsidR="000B20D8" w:rsidRDefault="000B20D8" w:rsidP="00345E73">
            <w:pPr>
              <w:pStyle w:val="TableBodyText"/>
              <w:jc w:val="both"/>
            </w:pPr>
            <w:r>
              <w:t xml:space="preserve">The Student Outcomes Survey provides annual information about students’ employment outcomes and satisfaction with vocational education and training (VET) in Australia. Data are collected by mail-out survey with an option to complete the survey </w:t>
            </w:r>
            <w:proofErr w:type="spellStart"/>
            <w:r>
              <w:t>on-line</w:t>
            </w:r>
            <w:proofErr w:type="spellEnd"/>
            <w:r>
              <w:t>.</w:t>
            </w:r>
          </w:p>
          <w:p w:rsidR="000B20D8" w:rsidRDefault="000B20D8" w:rsidP="00345E73">
            <w:pPr>
              <w:pStyle w:val="TableBodyText"/>
              <w:jc w:val="both"/>
            </w:pPr>
            <w:r>
              <w:t>The sample for the survey is drawn from the National VET Provider Collection, an administrative collection. For further information, see the National VET Provider Collection Quality Statement.</w:t>
            </w:r>
          </w:p>
          <w:p w:rsidR="000B20D8" w:rsidRDefault="000B20D8" w:rsidP="00345E73">
            <w:pPr>
              <w:pStyle w:val="TableBodyText"/>
              <w:jc w:val="both"/>
            </w:pPr>
          </w:p>
          <w:p w:rsidR="000B20D8" w:rsidRDefault="000B20D8" w:rsidP="00345E73">
            <w:pPr>
              <w:pStyle w:val="TableBodyText"/>
              <w:jc w:val="both"/>
            </w:pPr>
            <w:r>
              <w:t>The survey collects information on students’:</w:t>
            </w:r>
          </w:p>
          <w:p w:rsidR="000B20D8" w:rsidRDefault="000B20D8" w:rsidP="00345E73">
            <w:pPr>
              <w:pStyle w:val="TableBullet"/>
              <w:jc w:val="both"/>
            </w:pPr>
            <w:r>
              <w:t>Personal characteristics</w:t>
            </w:r>
          </w:p>
          <w:p w:rsidR="000B20D8" w:rsidRDefault="000B20D8" w:rsidP="00345E73">
            <w:pPr>
              <w:pStyle w:val="TableBullet"/>
              <w:jc w:val="both"/>
            </w:pPr>
            <w:r>
              <w:t>Training characteristics</w:t>
            </w:r>
          </w:p>
          <w:p w:rsidR="000B20D8" w:rsidRDefault="000B20D8" w:rsidP="00345E73">
            <w:pPr>
              <w:pStyle w:val="TableBullet"/>
              <w:jc w:val="both"/>
            </w:pPr>
            <w:r>
              <w:t>Reasons for undertaking the training</w:t>
            </w:r>
          </w:p>
          <w:p w:rsidR="000B20D8" w:rsidRDefault="000B20D8" w:rsidP="00345E73">
            <w:pPr>
              <w:pStyle w:val="TableBullet"/>
              <w:jc w:val="both"/>
            </w:pPr>
            <w:r>
              <w:t>Satisfaction with the training</w:t>
            </w:r>
          </w:p>
          <w:p w:rsidR="000B20D8" w:rsidRDefault="000B20D8" w:rsidP="00345E73">
            <w:pPr>
              <w:pStyle w:val="TableBullet"/>
              <w:jc w:val="both"/>
            </w:pPr>
            <w:r>
              <w:t>Labour force characteristics before and after training</w:t>
            </w:r>
          </w:p>
          <w:p w:rsidR="000B20D8" w:rsidRDefault="000B20D8" w:rsidP="00345E73">
            <w:pPr>
              <w:pStyle w:val="TableBullet"/>
              <w:jc w:val="both"/>
            </w:pPr>
            <w:r>
              <w:t>Further study activity</w:t>
            </w:r>
          </w:p>
          <w:p w:rsidR="000B20D8" w:rsidRDefault="000B20D8" w:rsidP="00345E73">
            <w:pPr>
              <w:pStyle w:val="TableBullet"/>
              <w:jc w:val="both"/>
            </w:pPr>
            <w:r>
              <w:t xml:space="preserve">Reasons for not continuing with the training (where applicable). </w:t>
            </w:r>
          </w:p>
          <w:p w:rsidR="000B20D8" w:rsidRDefault="000B20D8" w:rsidP="00345E73">
            <w:pPr>
              <w:pStyle w:val="TableBodyText"/>
              <w:jc w:val="both"/>
            </w:pPr>
          </w:p>
          <w:p w:rsidR="000B20D8" w:rsidRDefault="000B20D8" w:rsidP="00345E73">
            <w:pPr>
              <w:pStyle w:val="TableBodyText"/>
              <w:jc w:val="both"/>
            </w:pPr>
            <w:r>
              <w:t>Information from the National VET Provider Collection supplements survey data. This includes information on students’:</w:t>
            </w:r>
          </w:p>
          <w:p w:rsidR="000B20D8" w:rsidRDefault="000B20D8" w:rsidP="00345E73">
            <w:pPr>
              <w:pStyle w:val="TableBullet"/>
              <w:jc w:val="both"/>
            </w:pPr>
            <w:r>
              <w:t>Age</w:t>
            </w:r>
          </w:p>
          <w:p w:rsidR="000B20D8" w:rsidRDefault="000B20D8" w:rsidP="00345E73">
            <w:pPr>
              <w:pStyle w:val="TableBullet"/>
              <w:jc w:val="both"/>
            </w:pPr>
            <w:r>
              <w:t>Sex</w:t>
            </w:r>
          </w:p>
          <w:p w:rsidR="000B20D8" w:rsidRDefault="000B20D8" w:rsidP="00345E73">
            <w:pPr>
              <w:pStyle w:val="TableBullet"/>
              <w:jc w:val="both"/>
            </w:pPr>
            <w:r>
              <w:t>Indigenous status</w:t>
            </w:r>
          </w:p>
          <w:p w:rsidR="000B20D8" w:rsidRDefault="000B20D8" w:rsidP="00345E73">
            <w:pPr>
              <w:pStyle w:val="TableBullet"/>
              <w:jc w:val="both"/>
            </w:pPr>
            <w:r>
              <w:t>Disability status</w:t>
            </w:r>
          </w:p>
          <w:p w:rsidR="000B20D8" w:rsidRDefault="000B20D8" w:rsidP="00345E73">
            <w:pPr>
              <w:pStyle w:val="TableBullet"/>
              <w:jc w:val="both"/>
            </w:pPr>
            <w:r>
              <w:t>State</w:t>
            </w:r>
          </w:p>
          <w:p w:rsidR="000B20D8" w:rsidRDefault="000B20D8" w:rsidP="00345E73">
            <w:pPr>
              <w:pStyle w:val="TableBullet"/>
              <w:jc w:val="both"/>
            </w:pPr>
            <w:r>
              <w:t>Postcode/location</w:t>
            </w:r>
          </w:p>
          <w:p w:rsidR="000B20D8" w:rsidRDefault="000B20D8" w:rsidP="00345E73">
            <w:pPr>
              <w:pStyle w:val="TableBullet"/>
              <w:jc w:val="both"/>
            </w:pPr>
            <w:r>
              <w:t>Course</w:t>
            </w:r>
            <w:r>
              <w:tab/>
              <w:t>Qualification</w:t>
            </w:r>
          </w:p>
          <w:p w:rsidR="000B20D8" w:rsidRDefault="000B20D8" w:rsidP="00345E73">
            <w:pPr>
              <w:pStyle w:val="TableBullet"/>
              <w:jc w:val="both"/>
            </w:pPr>
            <w:r>
              <w:t>Field of education</w:t>
            </w:r>
          </w:p>
          <w:p w:rsidR="000B20D8" w:rsidRDefault="000B20D8" w:rsidP="00345E73">
            <w:pPr>
              <w:pStyle w:val="TableBullet"/>
              <w:jc w:val="both"/>
            </w:pPr>
            <w:r>
              <w:t>English (main language spoken at home)</w:t>
            </w:r>
          </w:p>
          <w:p w:rsidR="000B20D8" w:rsidRDefault="000B20D8" w:rsidP="00345E73">
            <w:pPr>
              <w:pStyle w:val="TableBullet"/>
              <w:jc w:val="both"/>
            </w:pPr>
            <w:r>
              <w:t>Training institute</w:t>
            </w:r>
          </w:p>
          <w:p w:rsidR="000B20D8" w:rsidRDefault="000B20D8" w:rsidP="00345E73">
            <w:pPr>
              <w:pStyle w:val="TableBullet"/>
              <w:jc w:val="both"/>
            </w:pPr>
            <w:r>
              <w:t>Type of provider</w:t>
            </w:r>
          </w:p>
          <w:p w:rsidR="000B20D8" w:rsidRDefault="000B20D8" w:rsidP="00345E73">
            <w:pPr>
              <w:pStyle w:val="TableBullet"/>
              <w:jc w:val="both"/>
            </w:pPr>
            <w:r>
              <w:t>Major funding source.</w:t>
            </w:r>
          </w:p>
          <w:p w:rsidR="000B20D8" w:rsidRDefault="000B20D8" w:rsidP="00345E73">
            <w:pPr>
              <w:pStyle w:val="TableBodyText"/>
              <w:jc w:val="both"/>
            </w:pPr>
          </w:p>
          <w:p w:rsidR="000B20D8" w:rsidRDefault="000B20D8" w:rsidP="00345E73">
            <w:pPr>
              <w:pStyle w:val="TableBodyText"/>
              <w:jc w:val="both"/>
            </w:pPr>
            <w:r>
              <w:t>The survey provides benchmarking data and disaggregations by state/territory, age, sex, Indigenous status, disability status, main language spoken at home, remoteness region, apprenticeship/traineeship status, and employment status before and after training.</w:t>
            </w:r>
          </w:p>
          <w:p w:rsidR="000B20D8" w:rsidRDefault="000B20D8" w:rsidP="00345E73">
            <w:pPr>
              <w:pStyle w:val="TableBodyText"/>
              <w:jc w:val="both"/>
            </w:pPr>
          </w:p>
          <w:p w:rsidR="00EA735E" w:rsidRDefault="000B20D8" w:rsidP="00345E73">
            <w:pPr>
              <w:pStyle w:val="TableBodyText"/>
              <w:jc w:val="both"/>
            </w:pPr>
            <w:r>
              <w:t>The scope of the survey is nationally recognised VET (</w:t>
            </w:r>
            <w:r w:rsidR="0023156D">
              <w:t>table</w:t>
            </w:r>
            <w:r>
              <w:t xml:space="preserve"> 1). Students who undertake recreational, leisure or personal enrichment (short) courses are excluded, as are VET in Schools students and full-fee paying overseas students. This scope has been in place since 2005. Prior to 2005, information was only collected from students undertaking Commonwealth/State funded programs through TAFE.</w:t>
            </w:r>
          </w:p>
          <w:p w:rsidR="000B20D8" w:rsidRPr="002D7DAF" w:rsidRDefault="000B20D8" w:rsidP="00345E73">
            <w:pPr>
              <w:pStyle w:val="TableBodyText"/>
              <w:jc w:val="both"/>
            </w:pPr>
            <w:r>
              <w:t>Table 1: Scope of the 2013 Student Outcomes Survey</w:t>
            </w:r>
            <w:r w:rsidRPr="00057E79">
              <w:rPr>
                <w:rStyle w:val="NoteLabel"/>
              </w:rPr>
              <w:t>a</w:t>
            </w:r>
          </w:p>
          <w:tbl>
            <w:tblPr>
              <w:tblStyle w:val="TableGrid"/>
              <w:tblW w:w="6720" w:type="dxa"/>
              <w:tblInd w:w="6" w:type="dxa"/>
              <w:tblLayout w:type="fixed"/>
              <w:tblLook w:val="04A0" w:firstRow="1" w:lastRow="0" w:firstColumn="1" w:lastColumn="0" w:noHBand="0" w:noVBand="1"/>
            </w:tblPr>
            <w:tblGrid>
              <w:gridCol w:w="1840"/>
              <w:gridCol w:w="1520"/>
              <w:gridCol w:w="1680"/>
              <w:gridCol w:w="1680"/>
            </w:tblGrid>
            <w:tr w:rsidR="000B20D8" w:rsidTr="0023156D">
              <w:tc>
                <w:tcPr>
                  <w:tcW w:w="1840" w:type="dxa"/>
                </w:tcPr>
                <w:p w:rsidR="000B20D8" w:rsidRDefault="000B20D8" w:rsidP="00345E73">
                  <w:pPr>
                    <w:pStyle w:val="TableBodyText"/>
                    <w:jc w:val="both"/>
                  </w:pPr>
                </w:p>
              </w:tc>
              <w:tc>
                <w:tcPr>
                  <w:tcW w:w="4880" w:type="dxa"/>
                  <w:gridSpan w:val="3"/>
                </w:tcPr>
                <w:p w:rsidR="000B20D8" w:rsidRDefault="000B20D8" w:rsidP="00345E73">
                  <w:pPr>
                    <w:pStyle w:val="TableBodyText"/>
                    <w:jc w:val="both"/>
                  </w:pPr>
                  <w:r>
                    <w:t>Provider Type</w:t>
                  </w:r>
                </w:p>
              </w:tc>
            </w:tr>
            <w:tr w:rsidR="000B20D8" w:rsidTr="0023156D">
              <w:tc>
                <w:tcPr>
                  <w:tcW w:w="1840" w:type="dxa"/>
                </w:tcPr>
                <w:p w:rsidR="000B20D8" w:rsidRDefault="000B20D8" w:rsidP="0023156D">
                  <w:pPr>
                    <w:pStyle w:val="TableBodyText"/>
                    <w:jc w:val="left"/>
                  </w:pPr>
                  <w:r>
                    <w:t>Funding type</w:t>
                  </w:r>
                </w:p>
              </w:tc>
              <w:tc>
                <w:tcPr>
                  <w:tcW w:w="1520" w:type="dxa"/>
                </w:tcPr>
                <w:p w:rsidR="000B20D8" w:rsidRDefault="000B20D8" w:rsidP="0023156D">
                  <w:pPr>
                    <w:pStyle w:val="TableBodyText"/>
                    <w:jc w:val="left"/>
                  </w:pPr>
                  <w:r>
                    <w:t>TAFE and other Government providers</w:t>
                  </w:r>
                </w:p>
              </w:tc>
              <w:tc>
                <w:tcPr>
                  <w:tcW w:w="1680" w:type="dxa"/>
                </w:tcPr>
                <w:p w:rsidR="000B20D8" w:rsidRDefault="000B20D8" w:rsidP="0023156D">
                  <w:pPr>
                    <w:pStyle w:val="TableBodyText"/>
                    <w:jc w:val="left"/>
                  </w:pPr>
                  <w:r>
                    <w:t>Private providers</w:t>
                  </w:r>
                </w:p>
              </w:tc>
              <w:tc>
                <w:tcPr>
                  <w:tcW w:w="1680" w:type="dxa"/>
                </w:tcPr>
                <w:p w:rsidR="000B20D8" w:rsidRDefault="000B20D8" w:rsidP="0023156D">
                  <w:pPr>
                    <w:pStyle w:val="TableBodyText"/>
                    <w:jc w:val="left"/>
                  </w:pPr>
                  <w:r>
                    <w:t>Community Education Providers</w:t>
                  </w:r>
                </w:p>
              </w:tc>
            </w:tr>
            <w:tr w:rsidR="000B20D8" w:rsidTr="0023156D">
              <w:tc>
                <w:tcPr>
                  <w:tcW w:w="1840" w:type="dxa"/>
                </w:tcPr>
                <w:p w:rsidR="000B20D8" w:rsidRDefault="000B20D8" w:rsidP="00345E73">
                  <w:pPr>
                    <w:pStyle w:val="TableBodyText"/>
                    <w:jc w:val="both"/>
                  </w:pPr>
                  <w:r>
                    <w:t>Commonwealth and state funded</w:t>
                  </w:r>
                </w:p>
              </w:tc>
              <w:tc>
                <w:tcPr>
                  <w:tcW w:w="1520" w:type="dxa"/>
                </w:tcPr>
                <w:p w:rsidR="000B20D8" w:rsidRPr="004231C2" w:rsidRDefault="000B20D8" w:rsidP="00345E73">
                  <w:pPr>
                    <w:pStyle w:val="TableBodyText"/>
                    <w:jc w:val="both"/>
                  </w:pPr>
                  <w:r>
                    <w:sym w:font="Wingdings" w:char="F0FC"/>
                  </w:r>
                </w:p>
              </w:tc>
              <w:tc>
                <w:tcPr>
                  <w:tcW w:w="1680" w:type="dxa"/>
                </w:tcPr>
                <w:p w:rsidR="000B20D8" w:rsidRPr="004231C2" w:rsidRDefault="000B20D8" w:rsidP="00345E73">
                  <w:pPr>
                    <w:pStyle w:val="TableBodyText"/>
                    <w:jc w:val="both"/>
                  </w:pPr>
                  <w:r>
                    <w:sym w:font="Wingdings" w:char="F0FC"/>
                  </w:r>
                </w:p>
              </w:tc>
              <w:tc>
                <w:tcPr>
                  <w:tcW w:w="1680" w:type="dxa"/>
                </w:tcPr>
                <w:p w:rsidR="000B20D8" w:rsidRPr="004231C2" w:rsidRDefault="000B20D8" w:rsidP="00345E73">
                  <w:pPr>
                    <w:pStyle w:val="TableBodyText"/>
                    <w:jc w:val="both"/>
                  </w:pPr>
                  <w:r>
                    <w:sym w:font="Wingdings" w:char="F0FC"/>
                  </w:r>
                </w:p>
              </w:tc>
            </w:tr>
            <w:tr w:rsidR="000B20D8" w:rsidTr="0023156D">
              <w:tc>
                <w:tcPr>
                  <w:tcW w:w="1840" w:type="dxa"/>
                </w:tcPr>
                <w:p w:rsidR="000B20D8" w:rsidRDefault="000B20D8" w:rsidP="00345E73">
                  <w:pPr>
                    <w:pStyle w:val="TableBodyText"/>
                    <w:jc w:val="both"/>
                  </w:pPr>
                  <w:r>
                    <w:t>Fee-for-service</w:t>
                  </w:r>
                </w:p>
              </w:tc>
              <w:tc>
                <w:tcPr>
                  <w:tcW w:w="1520" w:type="dxa"/>
                </w:tcPr>
                <w:p w:rsidR="000B20D8" w:rsidRPr="004231C2" w:rsidRDefault="000B20D8" w:rsidP="00345E73">
                  <w:pPr>
                    <w:pStyle w:val="TableBodyText"/>
                    <w:jc w:val="both"/>
                  </w:pPr>
                  <w:r>
                    <w:sym w:font="Wingdings" w:char="F0FC"/>
                  </w:r>
                </w:p>
              </w:tc>
              <w:tc>
                <w:tcPr>
                  <w:tcW w:w="1680" w:type="dxa"/>
                </w:tcPr>
                <w:p w:rsidR="000B20D8" w:rsidRPr="004231C2" w:rsidRDefault="000B20D8" w:rsidP="00345E73">
                  <w:pPr>
                    <w:pStyle w:val="TableBodyText"/>
                    <w:jc w:val="both"/>
                  </w:pPr>
                </w:p>
              </w:tc>
              <w:tc>
                <w:tcPr>
                  <w:tcW w:w="1680" w:type="dxa"/>
                </w:tcPr>
                <w:p w:rsidR="000B20D8" w:rsidRPr="004231C2" w:rsidRDefault="000B20D8" w:rsidP="00345E73">
                  <w:pPr>
                    <w:pStyle w:val="TableBodyText"/>
                    <w:jc w:val="both"/>
                  </w:pPr>
                  <w:r>
                    <w:sym w:font="Wingdings" w:char="F0FC"/>
                  </w:r>
                </w:p>
              </w:tc>
            </w:tr>
          </w:tbl>
          <w:p w:rsidR="000B20D8" w:rsidRDefault="000B20D8" w:rsidP="00345E73">
            <w:pPr>
              <w:pStyle w:val="TableBodyText"/>
              <w:jc w:val="both"/>
            </w:pPr>
            <w:proofErr w:type="spellStart"/>
            <w:r w:rsidRPr="00057E79">
              <w:rPr>
                <w:rStyle w:val="NoteLabel"/>
              </w:rPr>
              <w:t>a</w:t>
            </w:r>
            <w:proofErr w:type="spellEnd"/>
            <w:r>
              <w:t xml:space="preserve"> This information is only collected in New South Wales and Victoria</w:t>
            </w:r>
          </w:p>
          <w:p w:rsidR="000B20D8" w:rsidRPr="00EA6964" w:rsidRDefault="000B20D8" w:rsidP="00345E73">
            <w:pPr>
              <w:pStyle w:val="TableBodyText"/>
              <w:jc w:val="both"/>
            </w:pPr>
          </w:p>
        </w:tc>
      </w:tr>
      <w:tr w:rsidR="00EA735E" w:rsidRPr="00EA6964" w:rsidTr="00877AB4">
        <w:trPr>
          <w:trHeight w:val="567"/>
        </w:trPr>
        <w:tc>
          <w:tcPr>
            <w:tcW w:w="1869" w:type="dxa"/>
          </w:tcPr>
          <w:p w:rsidR="00EA735E" w:rsidRPr="00EA6964" w:rsidRDefault="00EA735E" w:rsidP="00117F40">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Timeliness</w:t>
            </w:r>
          </w:p>
          <w:p w:rsidR="00EA735E" w:rsidRPr="00EA6964" w:rsidRDefault="00EA735E" w:rsidP="00117F40">
            <w:pPr>
              <w:keepNext/>
              <w:keepLines/>
              <w:spacing w:after="40" w:line="220" w:lineRule="atLeast"/>
              <w:ind w:left="6" w:right="113"/>
              <w:rPr>
                <w:rFonts w:ascii="Arial" w:eastAsiaTheme="minorHAnsi" w:hAnsi="Arial" w:cstheme="minorBidi"/>
                <w:b/>
                <w:sz w:val="20"/>
                <w:szCs w:val="20"/>
                <w:lang w:eastAsia="en-US"/>
              </w:rPr>
            </w:pPr>
          </w:p>
        </w:tc>
        <w:tc>
          <w:tcPr>
            <w:tcW w:w="6951" w:type="dxa"/>
          </w:tcPr>
          <w:p w:rsidR="00EA735E" w:rsidRDefault="000B20D8" w:rsidP="00345E73">
            <w:pPr>
              <w:pStyle w:val="TableBodyText"/>
              <w:jc w:val="both"/>
            </w:pPr>
            <w:r w:rsidRPr="000B20D8">
              <w:t>NCVER has conducted the Student Outcomes Survey every year since 1997. The reference date is the last Friday in May of the year after the training was completed. Results from the 2013 survey were released on 5 December 2013, approximately four months after the data were collected.</w:t>
            </w:r>
          </w:p>
          <w:p w:rsidR="00F86082" w:rsidRPr="00EA6964" w:rsidRDefault="00F86082" w:rsidP="00345E73">
            <w:pPr>
              <w:pStyle w:val="TableBodyText"/>
              <w:jc w:val="both"/>
            </w:pPr>
          </w:p>
        </w:tc>
      </w:tr>
      <w:tr w:rsidR="00EA735E" w:rsidRPr="00EA6964" w:rsidTr="00877AB4">
        <w:trPr>
          <w:trHeight w:val="100"/>
        </w:trPr>
        <w:tc>
          <w:tcPr>
            <w:tcW w:w="1869" w:type="dxa"/>
          </w:tcPr>
          <w:p w:rsidR="00EA735E" w:rsidRPr="00EA6964" w:rsidRDefault="00EA735E" w:rsidP="00117F40">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Accuracy</w:t>
            </w:r>
          </w:p>
          <w:p w:rsidR="00EA735E" w:rsidRPr="00EA6964" w:rsidRDefault="00EA735E" w:rsidP="00117F40">
            <w:pPr>
              <w:keepNext/>
              <w:keepLines/>
              <w:spacing w:after="40" w:line="220" w:lineRule="atLeast"/>
              <w:ind w:left="6" w:right="113"/>
              <w:rPr>
                <w:rFonts w:ascii="Arial" w:eastAsiaTheme="minorHAnsi" w:hAnsi="Arial" w:cstheme="minorBidi"/>
                <w:b/>
                <w:sz w:val="20"/>
                <w:szCs w:val="20"/>
                <w:lang w:eastAsia="en-US"/>
              </w:rPr>
            </w:pPr>
          </w:p>
        </w:tc>
        <w:tc>
          <w:tcPr>
            <w:tcW w:w="6951" w:type="dxa"/>
          </w:tcPr>
          <w:p w:rsidR="000B20D8" w:rsidRDefault="000B20D8" w:rsidP="00345E73">
            <w:pPr>
              <w:pStyle w:val="TableBodyText"/>
              <w:jc w:val="both"/>
            </w:pPr>
            <w:r>
              <w:t xml:space="preserve">The survey is undertaken as a stratified, randomly selected sample, with survey responses weighted to population benchmarks from the National VET Provider Collection. Table </w:t>
            </w:r>
            <w:r w:rsidR="0023156D">
              <w:t>2</w:t>
            </w:r>
            <w:r>
              <w:t xml:space="preserve"> outlines the initial accuracy constraints (RSEs) on estimates of the following proportions for graduates:</w:t>
            </w:r>
          </w:p>
          <w:p w:rsidR="000B20D8" w:rsidRDefault="000B20D8" w:rsidP="00345E73">
            <w:pPr>
              <w:pStyle w:val="TableBullet"/>
              <w:jc w:val="both"/>
            </w:pPr>
            <w:r>
              <w:t>Employed after training</w:t>
            </w:r>
          </w:p>
          <w:p w:rsidR="000B20D8" w:rsidRDefault="000B20D8" w:rsidP="00345E73">
            <w:pPr>
              <w:pStyle w:val="TableBullet"/>
              <w:jc w:val="both"/>
            </w:pPr>
            <w:r>
              <w:t>Employed or in further study after training</w:t>
            </w:r>
          </w:p>
          <w:p w:rsidR="000B20D8" w:rsidRDefault="000B20D8" w:rsidP="00345E73">
            <w:pPr>
              <w:pStyle w:val="TableBullet"/>
              <w:jc w:val="both"/>
            </w:pPr>
            <w:r>
              <w:t>Fully or partly achieved main reason for doing the training</w:t>
            </w:r>
          </w:p>
          <w:p w:rsidR="000B20D8" w:rsidRDefault="000B20D8" w:rsidP="00345E73">
            <w:pPr>
              <w:pStyle w:val="TableBullet"/>
              <w:jc w:val="both"/>
            </w:pPr>
            <w:r>
              <w:t>Satisfied with the overall quality of training</w:t>
            </w:r>
            <w:r w:rsidR="0023156D">
              <w:t>.</w:t>
            </w:r>
          </w:p>
          <w:p w:rsidR="00EA735E" w:rsidRDefault="00EA735E" w:rsidP="00345E73">
            <w:pPr>
              <w:pStyle w:val="TableBodyText"/>
              <w:jc w:val="both"/>
            </w:pPr>
          </w:p>
          <w:p w:rsidR="000B20D8" w:rsidRDefault="000B20D8" w:rsidP="00345E73">
            <w:pPr>
              <w:pStyle w:val="TableBodyText"/>
              <w:jc w:val="both"/>
            </w:pPr>
            <w:r>
              <w:t>Tabl</w:t>
            </w:r>
            <w:r w:rsidR="00C03EA2">
              <w:t xml:space="preserve">e </w:t>
            </w:r>
            <w:r w:rsidR="009A5868">
              <w:t>2: Desired</w:t>
            </w:r>
            <w:r>
              <w:t xml:space="preserve"> accuracy levels of key survey measures for graduates</w:t>
            </w:r>
          </w:p>
          <w:tbl>
            <w:tblPr>
              <w:tblStyle w:val="TableGrid"/>
              <w:tblW w:w="6720" w:type="dxa"/>
              <w:tblInd w:w="6" w:type="dxa"/>
              <w:tblLayout w:type="fixed"/>
              <w:tblLook w:val="04A0" w:firstRow="1" w:lastRow="0" w:firstColumn="1" w:lastColumn="0" w:noHBand="0" w:noVBand="1"/>
            </w:tblPr>
            <w:tblGrid>
              <w:gridCol w:w="1680"/>
              <w:gridCol w:w="1680"/>
              <w:gridCol w:w="3360"/>
            </w:tblGrid>
            <w:tr w:rsidR="00C03EA2" w:rsidTr="00117F40">
              <w:tc>
                <w:tcPr>
                  <w:tcW w:w="1680" w:type="dxa"/>
                </w:tcPr>
                <w:p w:rsidR="00C03EA2" w:rsidRDefault="00C03EA2" w:rsidP="00345E73">
                  <w:pPr>
                    <w:pStyle w:val="TableBodyText"/>
                    <w:jc w:val="both"/>
                  </w:pPr>
                  <w:r>
                    <w:t>Level</w:t>
                  </w:r>
                </w:p>
              </w:tc>
              <w:tc>
                <w:tcPr>
                  <w:tcW w:w="1680" w:type="dxa"/>
                </w:tcPr>
                <w:p w:rsidR="00C03EA2" w:rsidRDefault="00C03EA2" w:rsidP="00345E73">
                  <w:pPr>
                    <w:pStyle w:val="TableBodyText"/>
                    <w:jc w:val="both"/>
                  </w:pPr>
                  <w:r>
                    <w:t>Desired RSEs on estimates of proportion %</w:t>
                  </w:r>
                </w:p>
              </w:tc>
              <w:tc>
                <w:tcPr>
                  <w:tcW w:w="3360" w:type="dxa"/>
                </w:tcPr>
                <w:p w:rsidR="00C03EA2" w:rsidRDefault="00C03EA2" w:rsidP="00345E73">
                  <w:pPr>
                    <w:pStyle w:val="TableBodyText"/>
                    <w:jc w:val="both"/>
                  </w:pPr>
                  <w:r>
                    <w:t>Achieved RSEs on estimates of proportion %</w:t>
                  </w:r>
                </w:p>
              </w:tc>
            </w:tr>
            <w:tr w:rsidR="00C03EA2" w:rsidTr="00117F40">
              <w:tc>
                <w:tcPr>
                  <w:tcW w:w="1680" w:type="dxa"/>
                </w:tcPr>
                <w:p w:rsidR="00C03EA2" w:rsidRDefault="00C03EA2" w:rsidP="00345E73">
                  <w:pPr>
                    <w:pStyle w:val="TableBodyText"/>
                    <w:jc w:val="both"/>
                  </w:pPr>
                  <w:r>
                    <w:t>Australia</w:t>
                  </w:r>
                </w:p>
              </w:tc>
              <w:tc>
                <w:tcPr>
                  <w:tcW w:w="1680" w:type="dxa"/>
                </w:tcPr>
                <w:p w:rsidR="00C03EA2" w:rsidRPr="004231C2" w:rsidRDefault="00C03EA2" w:rsidP="00345E73">
                  <w:pPr>
                    <w:pStyle w:val="TableBodyText"/>
                    <w:jc w:val="both"/>
                  </w:pPr>
                  <w:r>
                    <w:t>3</w:t>
                  </w:r>
                </w:p>
              </w:tc>
              <w:tc>
                <w:tcPr>
                  <w:tcW w:w="3360" w:type="dxa"/>
                </w:tcPr>
                <w:p w:rsidR="00C03EA2" w:rsidRPr="004231C2" w:rsidRDefault="00C03EA2" w:rsidP="00345E73">
                  <w:pPr>
                    <w:pStyle w:val="TableBodyText"/>
                    <w:jc w:val="both"/>
                  </w:pPr>
                  <w:r>
                    <w:t>&lt;3</w:t>
                  </w:r>
                </w:p>
              </w:tc>
            </w:tr>
            <w:tr w:rsidR="00C03EA2" w:rsidTr="00117F40">
              <w:tc>
                <w:tcPr>
                  <w:tcW w:w="1680" w:type="dxa"/>
                </w:tcPr>
                <w:p w:rsidR="00C03EA2" w:rsidRDefault="00C03EA2" w:rsidP="00345E73">
                  <w:pPr>
                    <w:pStyle w:val="TableBodyText"/>
                    <w:jc w:val="both"/>
                  </w:pPr>
                  <w:r>
                    <w:t>State/Territory</w:t>
                  </w:r>
                </w:p>
              </w:tc>
              <w:tc>
                <w:tcPr>
                  <w:tcW w:w="1680" w:type="dxa"/>
                </w:tcPr>
                <w:p w:rsidR="00C03EA2" w:rsidRPr="004231C2" w:rsidRDefault="00C03EA2" w:rsidP="00345E73">
                  <w:pPr>
                    <w:pStyle w:val="TableBodyText"/>
                    <w:jc w:val="both"/>
                  </w:pPr>
                  <w:r>
                    <w:t>5</w:t>
                  </w:r>
                </w:p>
              </w:tc>
              <w:tc>
                <w:tcPr>
                  <w:tcW w:w="3360" w:type="dxa"/>
                </w:tcPr>
                <w:p w:rsidR="00C03EA2" w:rsidRPr="004231C2" w:rsidRDefault="00C03EA2" w:rsidP="00345E73">
                  <w:pPr>
                    <w:pStyle w:val="TableBodyText"/>
                    <w:jc w:val="both"/>
                  </w:pPr>
                  <w:r>
                    <w:t>&lt;3</w:t>
                  </w:r>
                </w:p>
              </w:tc>
            </w:tr>
          </w:tbl>
          <w:p w:rsidR="00C03EA2" w:rsidRDefault="00C03EA2" w:rsidP="00345E73">
            <w:pPr>
              <w:pStyle w:val="TableBodyText"/>
              <w:jc w:val="both"/>
            </w:pPr>
          </w:p>
          <w:p w:rsidR="000B20D8" w:rsidRDefault="000B20D8" w:rsidP="00345E73">
            <w:pPr>
              <w:pStyle w:val="TableBodyText"/>
              <w:jc w:val="both"/>
            </w:pPr>
            <w:r>
              <w:t>The survey was not designed to provide estimates for small equity groups such as Indigenous and disability.</w:t>
            </w:r>
          </w:p>
          <w:p w:rsidR="000B20D8" w:rsidRDefault="000B20D8" w:rsidP="00345E73">
            <w:pPr>
              <w:pStyle w:val="TableBodyText"/>
              <w:jc w:val="both"/>
            </w:pPr>
          </w:p>
          <w:p w:rsidR="000B20D8" w:rsidRDefault="000B20D8" w:rsidP="00345E73">
            <w:pPr>
              <w:pStyle w:val="TableBodyText"/>
              <w:jc w:val="both"/>
            </w:pPr>
            <w:r>
              <w:t>In odd years, the sample is designed for reporting at the national, state/territory and institute level.  In even years, a smaller sample is used for reporting at the national and state/territory level only. In 2013, 102 622 students responded to the survey (after taking into account scope exclusions), 49 931 of whom were graduates. Response rates to the 2013 survey are shown in table 2.</w:t>
            </w:r>
          </w:p>
          <w:p w:rsidR="000B20D8" w:rsidRDefault="000B20D8" w:rsidP="00345E73">
            <w:pPr>
              <w:pStyle w:val="TableBodyText"/>
              <w:jc w:val="both"/>
            </w:pPr>
          </w:p>
          <w:p w:rsidR="000B20D8" w:rsidRDefault="000B20D8" w:rsidP="00345E73">
            <w:pPr>
              <w:pStyle w:val="TableBodyText"/>
              <w:jc w:val="both"/>
            </w:pPr>
            <w:r>
              <w:t xml:space="preserve">Table 2: Response rates for graduates to </w:t>
            </w:r>
          </w:p>
          <w:p w:rsidR="000B20D8" w:rsidRPr="00BC6137" w:rsidRDefault="000B20D8" w:rsidP="00345E73">
            <w:pPr>
              <w:pStyle w:val="TableBodyText"/>
              <w:jc w:val="both"/>
            </w:pPr>
            <w:r>
              <w:t>the 2013 Student Outcomes Survey</w:t>
            </w:r>
          </w:p>
          <w:tbl>
            <w:tblPr>
              <w:tblStyle w:val="TableGrid"/>
              <w:tblW w:w="4255" w:type="dxa"/>
              <w:tblLayout w:type="fixed"/>
              <w:tblLook w:val="04A0" w:firstRow="1" w:lastRow="0" w:firstColumn="1" w:lastColumn="0" w:noHBand="0" w:noVBand="1"/>
            </w:tblPr>
            <w:tblGrid>
              <w:gridCol w:w="2271"/>
              <w:gridCol w:w="1984"/>
            </w:tblGrid>
            <w:tr w:rsidR="000B20D8" w:rsidRPr="00057E79" w:rsidTr="00117F40">
              <w:tc>
                <w:tcPr>
                  <w:tcW w:w="2271" w:type="dxa"/>
                  <w:tcBorders>
                    <w:top w:val="single" w:sz="4" w:space="0" w:color="auto"/>
                    <w:left w:val="nil"/>
                    <w:bottom w:val="single" w:sz="4" w:space="0" w:color="auto"/>
                    <w:right w:val="nil"/>
                  </w:tcBorders>
                </w:tcPr>
                <w:p w:rsidR="000B20D8" w:rsidRPr="00057E79" w:rsidRDefault="000B20D8" w:rsidP="00345E73">
                  <w:pPr>
                    <w:pStyle w:val="TableBodyText"/>
                    <w:jc w:val="both"/>
                    <w:rPr>
                      <w:b/>
                    </w:rPr>
                  </w:pPr>
                  <w:r w:rsidRPr="00057E79">
                    <w:rPr>
                      <w:b/>
                    </w:rPr>
                    <w:t>State/Territory</w:t>
                  </w:r>
                </w:p>
              </w:tc>
              <w:tc>
                <w:tcPr>
                  <w:tcW w:w="1984" w:type="dxa"/>
                  <w:tcBorders>
                    <w:top w:val="single" w:sz="4" w:space="0" w:color="auto"/>
                    <w:left w:val="nil"/>
                    <w:bottom w:val="single" w:sz="4" w:space="0" w:color="auto"/>
                    <w:right w:val="nil"/>
                  </w:tcBorders>
                </w:tcPr>
                <w:p w:rsidR="000B20D8" w:rsidRPr="00057E79" w:rsidRDefault="000B20D8" w:rsidP="0023156D">
                  <w:pPr>
                    <w:pStyle w:val="TableBodyText"/>
                    <w:jc w:val="left"/>
                    <w:rPr>
                      <w:b/>
                    </w:rPr>
                  </w:pPr>
                  <w:r w:rsidRPr="00057E79">
                    <w:rPr>
                      <w:b/>
                    </w:rPr>
                    <w:t>Response rate (per cent)</w:t>
                  </w:r>
                </w:p>
              </w:tc>
            </w:tr>
            <w:tr w:rsidR="000B20D8" w:rsidTr="00117F40">
              <w:tc>
                <w:tcPr>
                  <w:tcW w:w="2271" w:type="dxa"/>
                  <w:tcBorders>
                    <w:top w:val="single" w:sz="4" w:space="0" w:color="auto"/>
                    <w:left w:val="nil"/>
                    <w:bottom w:val="nil"/>
                    <w:right w:val="nil"/>
                  </w:tcBorders>
                </w:tcPr>
                <w:p w:rsidR="000B20D8" w:rsidRDefault="000B20D8" w:rsidP="00345E73">
                  <w:pPr>
                    <w:pStyle w:val="TableBodyText"/>
                    <w:jc w:val="both"/>
                  </w:pPr>
                  <w:r>
                    <w:t>NSW</w:t>
                  </w:r>
                </w:p>
              </w:tc>
              <w:tc>
                <w:tcPr>
                  <w:tcW w:w="1984" w:type="dxa"/>
                  <w:tcBorders>
                    <w:top w:val="single" w:sz="4" w:space="0" w:color="auto"/>
                    <w:left w:val="nil"/>
                    <w:bottom w:val="nil"/>
                    <w:right w:val="nil"/>
                  </w:tcBorders>
                </w:tcPr>
                <w:p w:rsidR="000B20D8" w:rsidRPr="00605B28" w:rsidRDefault="000B20D8" w:rsidP="0023156D">
                  <w:pPr>
                    <w:pStyle w:val="TableBodyText"/>
                    <w:jc w:val="center"/>
                  </w:pPr>
                  <w:r w:rsidRPr="00605B28">
                    <w:t>43.4</w:t>
                  </w:r>
                </w:p>
              </w:tc>
            </w:tr>
            <w:tr w:rsidR="000B20D8" w:rsidTr="00117F40">
              <w:tc>
                <w:tcPr>
                  <w:tcW w:w="2271" w:type="dxa"/>
                  <w:tcBorders>
                    <w:top w:val="nil"/>
                    <w:left w:val="nil"/>
                    <w:bottom w:val="nil"/>
                    <w:right w:val="nil"/>
                  </w:tcBorders>
                </w:tcPr>
                <w:p w:rsidR="000B20D8" w:rsidRDefault="000B20D8" w:rsidP="00345E73">
                  <w:pPr>
                    <w:pStyle w:val="TableBodyText"/>
                    <w:jc w:val="both"/>
                  </w:pPr>
                  <w:r>
                    <w:t>VIC</w:t>
                  </w:r>
                </w:p>
              </w:tc>
              <w:tc>
                <w:tcPr>
                  <w:tcW w:w="1984" w:type="dxa"/>
                  <w:tcBorders>
                    <w:top w:val="nil"/>
                    <w:left w:val="nil"/>
                    <w:bottom w:val="nil"/>
                    <w:right w:val="nil"/>
                  </w:tcBorders>
                </w:tcPr>
                <w:p w:rsidR="000B20D8" w:rsidRPr="00605B28" w:rsidRDefault="000B20D8" w:rsidP="0023156D">
                  <w:pPr>
                    <w:pStyle w:val="TableBodyText"/>
                    <w:jc w:val="center"/>
                  </w:pPr>
                  <w:r w:rsidRPr="00605B28">
                    <w:t>40.9</w:t>
                  </w:r>
                </w:p>
              </w:tc>
            </w:tr>
            <w:tr w:rsidR="000B20D8" w:rsidTr="00117F40">
              <w:tc>
                <w:tcPr>
                  <w:tcW w:w="2271" w:type="dxa"/>
                  <w:tcBorders>
                    <w:top w:val="nil"/>
                    <w:left w:val="nil"/>
                    <w:bottom w:val="nil"/>
                    <w:right w:val="nil"/>
                  </w:tcBorders>
                </w:tcPr>
                <w:p w:rsidR="000B20D8" w:rsidRDefault="000B20D8" w:rsidP="00345E73">
                  <w:pPr>
                    <w:pStyle w:val="TableBodyText"/>
                    <w:jc w:val="both"/>
                  </w:pPr>
                  <w:r>
                    <w:t>QLD</w:t>
                  </w:r>
                </w:p>
              </w:tc>
              <w:tc>
                <w:tcPr>
                  <w:tcW w:w="1984" w:type="dxa"/>
                  <w:tcBorders>
                    <w:top w:val="nil"/>
                    <w:left w:val="nil"/>
                    <w:bottom w:val="nil"/>
                    <w:right w:val="nil"/>
                  </w:tcBorders>
                </w:tcPr>
                <w:p w:rsidR="000B20D8" w:rsidRPr="00605B28" w:rsidRDefault="000B20D8" w:rsidP="0023156D">
                  <w:pPr>
                    <w:pStyle w:val="TableBodyText"/>
                    <w:jc w:val="center"/>
                  </w:pPr>
                  <w:r w:rsidRPr="00605B28">
                    <w:t>41.3</w:t>
                  </w:r>
                </w:p>
              </w:tc>
            </w:tr>
            <w:tr w:rsidR="000B20D8" w:rsidTr="00117F40">
              <w:tc>
                <w:tcPr>
                  <w:tcW w:w="2271" w:type="dxa"/>
                  <w:tcBorders>
                    <w:top w:val="nil"/>
                    <w:left w:val="nil"/>
                    <w:bottom w:val="nil"/>
                    <w:right w:val="nil"/>
                  </w:tcBorders>
                </w:tcPr>
                <w:p w:rsidR="000B20D8" w:rsidRDefault="000B20D8" w:rsidP="00345E73">
                  <w:pPr>
                    <w:pStyle w:val="TableBodyText"/>
                    <w:jc w:val="both"/>
                  </w:pPr>
                  <w:r>
                    <w:t>SA</w:t>
                  </w:r>
                </w:p>
              </w:tc>
              <w:tc>
                <w:tcPr>
                  <w:tcW w:w="1984" w:type="dxa"/>
                  <w:tcBorders>
                    <w:top w:val="nil"/>
                    <w:left w:val="nil"/>
                    <w:bottom w:val="nil"/>
                    <w:right w:val="nil"/>
                  </w:tcBorders>
                </w:tcPr>
                <w:p w:rsidR="000B20D8" w:rsidRPr="00605B28" w:rsidRDefault="000B20D8" w:rsidP="0023156D">
                  <w:pPr>
                    <w:pStyle w:val="TableBodyText"/>
                    <w:jc w:val="center"/>
                  </w:pPr>
                  <w:r w:rsidRPr="00605B28">
                    <w:t>46.1</w:t>
                  </w:r>
                </w:p>
              </w:tc>
            </w:tr>
            <w:tr w:rsidR="000B20D8" w:rsidTr="00117F40">
              <w:tc>
                <w:tcPr>
                  <w:tcW w:w="2271" w:type="dxa"/>
                  <w:tcBorders>
                    <w:top w:val="nil"/>
                    <w:left w:val="nil"/>
                    <w:bottom w:val="nil"/>
                    <w:right w:val="nil"/>
                  </w:tcBorders>
                </w:tcPr>
                <w:p w:rsidR="000B20D8" w:rsidRDefault="000B20D8" w:rsidP="00345E73">
                  <w:pPr>
                    <w:pStyle w:val="TableBodyText"/>
                    <w:jc w:val="both"/>
                  </w:pPr>
                  <w:r>
                    <w:t>WA</w:t>
                  </w:r>
                </w:p>
              </w:tc>
              <w:tc>
                <w:tcPr>
                  <w:tcW w:w="1984" w:type="dxa"/>
                  <w:tcBorders>
                    <w:top w:val="nil"/>
                    <w:left w:val="nil"/>
                    <w:bottom w:val="nil"/>
                    <w:right w:val="nil"/>
                  </w:tcBorders>
                </w:tcPr>
                <w:p w:rsidR="000B20D8" w:rsidRPr="00605B28" w:rsidRDefault="000B20D8" w:rsidP="0023156D">
                  <w:pPr>
                    <w:pStyle w:val="TableBodyText"/>
                    <w:jc w:val="center"/>
                  </w:pPr>
                  <w:r w:rsidRPr="00605B28">
                    <w:t>40.4</w:t>
                  </w:r>
                </w:p>
              </w:tc>
            </w:tr>
            <w:tr w:rsidR="000B20D8" w:rsidTr="00117F40">
              <w:tc>
                <w:tcPr>
                  <w:tcW w:w="2271" w:type="dxa"/>
                  <w:tcBorders>
                    <w:top w:val="nil"/>
                    <w:left w:val="nil"/>
                    <w:bottom w:val="nil"/>
                    <w:right w:val="nil"/>
                  </w:tcBorders>
                </w:tcPr>
                <w:p w:rsidR="000B20D8" w:rsidRDefault="000B20D8" w:rsidP="00345E73">
                  <w:pPr>
                    <w:pStyle w:val="TableBodyText"/>
                    <w:jc w:val="both"/>
                  </w:pPr>
                  <w:r>
                    <w:t>Tas</w:t>
                  </w:r>
                </w:p>
              </w:tc>
              <w:tc>
                <w:tcPr>
                  <w:tcW w:w="1984" w:type="dxa"/>
                  <w:tcBorders>
                    <w:top w:val="nil"/>
                    <w:left w:val="nil"/>
                    <w:bottom w:val="nil"/>
                    <w:right w:val="nil"/>
                  </w:tcBorders>
                </w:tcPr>
                <w:p w:rsidR="000B20D8" w:rsidRPr="00605B28" w:rsidRDefault="000B20D8" w:rsidP="0023156D">
                  <w:pPr>
                    <w:pStyle w:val="TableBodyText"/>
                    <w:jc w:val="center"/>
                  </w:pPr>
                  <w:r w:rsidRPr="00605B28">
                    <w:t>44.7</w:t>
                  </w:r>
                </w:p>
              </w:tc>
            </w:tr>
            <w:tr w:rsidR="000B20D8" w:rsidTr="00117F40">
              <w:tc>
                <w:tcPr>
                  <w:tcW w:w="2271" w:type="dxa"/>
                  <w:tcBorders>
                    <w:top w:val="nil"/>
                    <w:left w:val="nil"/>
                    <w:bottom w:val="nil"/>
                    <w:right w:val="nil"/>
                  </w:tcBorders>
                </w:tcPr>
                <w:p w:rsidR="000B20D8" w:rsidRDefault="000B20D8" w:rsidP="00345E73">
                  <w:pPr>
                    <w:pStyle w:val="TableBodyText"/>
                    <w:jc w:val="both"/>
                  </w:pPr>
                  <w:r>
                    <w:t>NT</w:t>
                  </w:r>
                </w:p>
              </w:tc>
              <w:tc>
                <w:tcPr>
                  <w:tcW w:w="1984" w:type="dxa"/>
                  <w:tcBorders>
                    <w:top w:val="nil"/>
                    <w:left w:val="nil"/>
                    <w:bottom w:val="nil"/>
                    <w:right w:val="nil"/>
                  </w:tcBorders>
                </w:tcPr>
                <w:p w:rsidR="000B20D8" w:rsidRPr="00605B28" w:rsidRDefault="000B20D8" w:rsidP="0023156D">
                  <w:pPr>
                    <w:pStyle w:val="TableBodyText"/>
                    <w:jc w:val="center"/>
                  </w:pPr>
                  <w:r w:rsidRPr="00605B28">
                    <w:t>38.8</w:t>
                  </w:r>
                </w:p>
              </w:tc>
            </w:tr>
            <w:tr w:rsidR="000B20D8" w:rsidTr="00117F40">
              <w:tc>
                <w:tcPr>
                  <w:tcW w:w="2271" w:type="dxa"/>
                  <w:tcBorders>
                    <w:top w:val="nil"/>
                    <w:left w:val="nil"/>
                    <w:bottom w:val="nil"/>
                    <w:right w:val="nil"/>
                  </w:tcBorders>
                </w:tcPr>
                <w:p w:rsidR="000B20D8" w:rsidRDefault="000B20D8" w:rsidP="00345E73">
                  <w:pPr>
                    <w:pStyle w:val="TableBodyText"/>
                    <w:jc w:val="both"/>
                  </w:pPr>
                  <w:r>
                    <w:t>ACT</w:t>
                  </w:r>
                </w:p>
              </w:tc>
              <w:tc>
                <w:tcPr>
                  <w:tcW w:w="1984" w:type="dxa"/>
                  <w:tcBorders>
                    <w:top w:val="nil"/>
                    <w:left w:val="nil"/>
                    <w:bottom w:val="nil"/>
                    <w:right w:val="nil"/>
                  </w:tcBorders>
                </w:tcPr>
                <w:p w:rsidR="000B20D8" w:rsidRPr="00605B28" w:rsidRDefault="000B20D8" w:rsidP="0023156D">
                  <w:pPr>
                    <w:pStyle w:val="TableBodyText"/>
                    <w:jc w:val="center"/>
                  </w:pPr>
                  <w:r w:rsidRPr="00605B28">
                    <w:t>41.0</w:t>
                  </w:r>
                </w:p>
              </w:tc>
            </w:tr>
            <w:tr w:rsidR="000B20D8" w:rsidTr="00117F40">
              <w:tc>
                <w:tcPr>
                  <w:tcW w:w="2271" w:type="dxa"/>
                  <w:tcBorders>
                    <w:top w:val="nil"/>
                    <w:left w:val="nil"/>
                    <w:bottom w:val="single" w:sz="4" w:space="0" w:color="auto"/>
                    <w:right w:val="nil"/>
                  </w:tcBorders>
                </w:tcPr>
                <w:p w:rsidR="000B20D8" w:rsidRDefault="000B20D8" w:rsidP="00345E73">
                  <w:pPr>
                    <w:pStyle w:val="TableBodyText"/>
                    <w:jc w:val="both"/>
                  </w:pPr>
                  <w:r>
                    <w:t xml:space="preserve">Australia </w:t>
                  </w:r>
                </w:p>
              </w:tc>
              <w:tc>
                <w:tcPr>
                  <w:tcW w:w="1984" w:type="dxa"/>
                  <w:tcBorders>
                    <w:top w:val="nil"/>
                    <w:left w:val="nil"/>
                    <w:bottom w:val="single" w:sz="4" w:space="0" w:color="auto"/>
                    <w:right w:val="nil"/>
                  </w:tcBorders>
                </w:tcPr>
                <w:p w:rsidR="000B20D8" w:rsidRDefault="000B20D8" w:rsidP="0023156D">
                  <w:pPr>
                    <w:pStyle w:val="TableBodyText"/>
                    <w:jc w:val="center"/>
                  </w:pPr>
                  <w:r w:rsidRPr="00605B28">
                    <w:t>41.9</w:t>
                  </w:r>
                </w:p>
              </w:tc>
            </w:tr>
          </w:tbl>
          <w:p w:rsidR="000B20D8" w:rsidRDefault="000B20D8" w:rsidP="00345E73">
            <w:pPr>
              <w:pStyle w:val="TableBodyText"/>
              <w:jc w:val="both"/>
            </w:pPr>
          </w:p>
          <w:p w:rsidR="000B20D8" w:rsidRDefault="000B20D8" w:rsidP="00345E73">
            <w:pPr>
              <w:pStyle w:val="TableBodyText"/>
              <w:jc w:val="both"/>
            </w:pPr>
            <w:r>
              <w:t>Potential sources of error in survey data include failure to complete the survey or failure to answer every applicable question. Neither of these sources of error is considered, by NCVER, to have affected the quality of data. Three analyses are conducted to determine the impact of non-response and mode bias. They are performed on weighted and unweighted data and include:</w:t>
            </w:r>
          </w:p>
          <w:p w:rsidR="000B20D8" w:rsidRDefault="000B20D8" w:rsidP="00345E73">
            <w:pPr>
              <w:pStyle w:val="TableBullet"/>
              <w:jc w:val="both"/>
            </w:pPr>
            <w:r>
              <w:t>a comparison of the responding sample with the mailing list sample</w:t>
            </w:r>
          </w:p>
          <w:p w:rsidR="000B20D8" w:rsidRDefault="000B20D8" w:rsidP="00345E73">
            <w:pPr>
              <w:pStyle w:val="TableBullet"/>
              <w:jc w:val="both"/>
            </w:pPr>
            <w:r>
              <w:t>a comparison of the characteristics of the responding sample with non-respondents. Information on a sample of non-respondents is collected via telephone interview.</w:t>
            </w:r>
          </w:p>
          <w:p w:rsidR="000B20D8" w:rsidRDefault="000B20D8" w:rsidP="00345E73">
            <w:pPr>
              <w:pStyle w:val="TableBullet"/>
              <w:jc w:val="both"/>
            </w:pPr>
            <w:r>
              <w:t>a comparison of the results obtained from mail and online completion.</w:t>
            </w:r>
          </w:p>
          <w:p w:rsidR="000B20D8" w:rsidRPr="00EA6964" w:rsidRDefault="000B20D8" w:rsidP="00345E73">
            <w:pPr>
              <w:pStyle w:val="TableBodyText"/>
              <w:jc w:val="both"/>
            </w:pPr>
          </w:p>
        </w:tc>
      </w:tr>
      <w:tr w:rsidR="00EA735E" w:rsidRPr="00EA6964" w:rsidTr="00877AB4">
        <w:trPr>
          <w:trHeight w:val="567"/>
        </w:trPr>
        <w:tc>
          <w:tcPr>
            <w:tcW w:w="1869" w:type="dxa"/>
          </w:tcPr>
          <w:p w:rsidR="00EA735E" w:rsidRPr="00EA6964" w:rsidRDefault="00EA735E" w:rsidP="00117F40">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Coherence</w:t>
            </w:r>
          </w:p>
          <w:p w:rsidR="00EA735E" w:rsidRPr="00EA6964" w:rsidRDefault="00EA735E" w:rsidP="00117F40">
            <w:pPr>
              <w:keepNext/>
              <w:keepLines/>
              <w:spacing w:after="40" w:line="220" w:lineRule="atLeast"/>
              <w:ind w:left="6" w:right="113"/>
              <w:rPr>
                <w:rFonts w:ascii="Arial" w:eastAsiaTheme="minorHAnsi" w:hAnsi="Arial" w:cstheme="minorBidi"/>
                <w:b/>
                <w:sz w:val="20"/>
                <w:szCs w:val="20"/>
                <w:lang w:eastAsia="en-US"/>
              </w:rPr>
            </w:pPr>
          </w:p>
        </w:tc>
        <w:tc>
          <w:tcPr>
            <w:tcW w:w="6951" w:type="dxa"/>
          </w:tcPr>
          <w:p w:rsidR="000B20D8" w:rsidRDefault="000B20D8" w:rsidP="00345E73">
            <w:pPr>
              <w:pStyle w:val="TableBodyText"/>
              <w:jc w:val="both"/>
            </w:pPr>
            <w:r>
              <w:t xml:space="preserve">The majority of data items have not changed since the survey was first conducted in 1997. The scope of the survey has increased over time. Until 2000, the survey was restricted to TAFE students. From 2000, it was expanded to include students from Adult and Community Education, private and other government providers. </w:t>
            </w:r>
          </w:p>
          <w:p w:rsidR="00C03EA2" w:rsidRDefault="00C03EA2" w:rsidP="00345E73">
            <w:pPr>
              <w:pStyle w:val="TableBodyText"/>
              <w:jc w:val="both"/>
            </w:pPr>
          </w:p>
          <w:p w:rsidR="00EA735E" w:rsidRDefault="000B20D8" w:rsidP="00345E73">
            <w:pPr>
              <w:pStyle w:val="TableBodyText"/>
              <w:jc w:val="both"/>
            </w:pPr>
            <w:r>
              <w:t>Two questionnaires are used to collect the data. The main questionnaire is sent to students from TAFE, other Government and private providers. A separate shorter questionnaire is sent to students from Adult and Community Education (ACE) providers.</w:t>
            </w:r>
          </w:p>
          <w:p w:rsidR="00C03EA2" w:rsidRPr="00EA6964" w:rsidRDefault="00C03EA2" w:rsidP="00345E73">
            <w:pPr>
              <w:pStyle w:val="TableBodyText"/>
              <w:jc w:val="both"/>
            </w:pPr>
          </w:p>
        </w:tc>
      </w:tr>
      <w:tr w:rsidR="00EA735E" w:rsidRPr="00EA6964" w:rsidTr="00877AB4">
        <w:trPr>
          <w:trHeight w:val="567"/>
        </w:trPr>
        <w:tc>
          <w:tcPr>
            <w:tcW w:w="1869" w:type="dxa"/>
          </w:tcPr>
          <w:p w:rsidR="00EA735E" w:rsidRPr="00EA6964" w:rsidRDefault="00EA735E" w:rsidP="00117F40">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Accessibility</w:t>
            </w:r>
          </w:p>
          <w:p w:rsidR="00EA735E" w:rsidRPr="00EA6964" w:rsidRDefault="00EA735E" w:rsidP="00117F40">
            <w:pPr>
              <w:keepNext/>
              <w:keepLines/>
              <w:spacing w:after="40" w:line="220" w:lineRule="atLeast"/>
              <w:ind w:left="6" w:right="113"/>
              <w:rPr>
                <w:rFonts w:ascii="Arial" w:eastAsiaTheme="minorHAnsi" w:hAnsi="Arial" w:cstheme="minorBidi"/>
                <w:b/>
                <w:sz w:val="20"/>
                <w:szCs w:val="20"/>
                <w:lang w:eastAsia="en-US"/>
              </w:rPr>
            </w:pPr>
          </w:p>
        </w:tc>
        <w:tc>
          <w:tcPr>
            <w:tcW w:w="6951" w:type="dxa"/>
          </w:tcPr>
          <w:p w:rsidR="000B20D8" w:rsidRPr="000B20D8" w:rsidRDefault="000B20D8" w:rsidP="00345E73">
            <w:pPr>
              <w:pStyle w:val="TableBodyText"/>
              <w:jc w:val="both"/>
              <w:rPr>
                <w:bCs/>
                <w:lang w:val="en"/>
              </w:rPr>
            </w:pPr>
            <w:r w:rsidRPr="000B20D8">
              <w:rPr>
                <w:bCs/>
                <w:lang w:val="en"/>
              </w:rPr>
              <w:t xml:space="preserve">Results of the survey are available free of charge on </w:t>
            </w:r>
            <w:proofErr w:type="spellStart"/>
            <w:r w:rsidRPr="000B20D8">
              <w:rPr>
                <w:bCs/>
                <w:lang w:val="en"/>
              </w:rPr>
              <w:t>NCVER’s</w:t>
            </w:r>
            <w:proofErr w:type="spellEnd"/>
            <w:r w:rsidRPr="000B20D8">
              <w:rPr>
                <w:bCs/>
                <w:lang w:val="en"/>
              </w:rPr>
              <w:t xml:space="preserve"> website at: http://</w:t>
            </w:r>
            <w:proofErr w:type="spellStart"/>
            <w:r w:rsidRPr="000B20D8">
              <w:rPr>
                <w:bCs/>
                <w:lang w:val="en"/>
              </w:rPr>
              <w:t>www.ncver.edu.au</w:t>
            </w:r>
            <w:proofErr w:type="spellEnd"/>
            <w:r w:rsidRPr="000B20D8">
              <w:rPr>
                <w:bCs/>
                <w:lang w:val="en"/>
              </w:rPr>
              <w:t>/statistic/</w:t>
            </w:r>
            <w:proofErr w:type="spellStart"/>
            <w:r w:rsidRPr="000B20D8">
              <w:rPr>
                <w:bCs/>
                <w:lang w:val="en"/>
              </w:rPr>
              <w:t>21065.html</w:t>
            </w:r>
            <w:proofErr w:type="spellEnd"/>
            <w:r w:rsidRPr="000B20D8">
              <w:rPr>
                <w:bCs/>
                <w:lang w:val="en"/>
              </w:rPr>
              <w:t xml:space="preserve">. Requests for more detailed statistical information or further information about the Student Outcomes Survey can be made to NCVER on (08) 8230 8400 or </w:t>
            </w:r>
            <w:proofErr w:type="spellStart"/>
            <w:r w:rsidRPr="000B20D8">
              <w:rPr>
                <w:bCs/>
                <w:lang w:val="en"/>
              </w:rPr>
              <w:t>surveys_req@ncver.edu.au</w:t>
            </w:r>
            <w:proofErr w:type="spellEnd"/>
            <w:r w:rsidRPr="000B20D8">
              <w:rPr>
                <w:bCs/>
                <w:lang w:val="en"/>
              </w:rPr>
              <w:t>.</w:t>
            </w:r>
          </w:p>
          <w:p w:rsidR="000B20D8" w:rsidRPr="000B20D8" w:rsidRDefault="000B20D8" w:rsidP="00345E73">
            <w:pPr>
              <w:pStyle w:val="TableBodyText"/>
              <w:jc w:val="both"/>
              <w:rPr>
                <w:bCs/>
                <w:lang w:val="en"/>
              </w:rPr>
            </w:pPr>
          </w:p>
          <w:p w:rsidR="00EA735E" w:rsidRDefault="000B20D8" w:rsidP="00345E73">
            <w:pPr>
              <w:pStyle w:val="TableBodyText"/>
              <w:jc w:val="both"/>
              <w:rPr>
                <w:bCs/>
                <w:lang w:val="en"/>
              </w:rPr>
            </w:pPr>
            <w:r w:rsidRPr="000B20D8">
              <w:rPr>
                <w:bCs/>
                <w:lang w:val="en"/>
              </w:rPr>
              <w:t xml:space="preserve">A charge will be generally made by the NCVER for more complex requests for information. See </w:t>
            </w:r>
            <w:proofErr w:type="spellStart"/>
            <w:r w:rsidRPr="000B20D8">
              <w:rPr>
                <w:bCs/>
                <w:lang w:val="en"/>
              </w:rPr>
              <w:t>NCVER’s</w:t>
            </w:r>
            <w:proofErr w:type="spellEnd"/>
            <w:r w:rsidRPr="000B20D8">
              <w:rPr>
                <w:bCs/>
                <w:lang w:val="en"/>
              </w:rPr>
              <w:t xml:space="preserve"> fees and charges policy at </w:t>
            </w:r>
            <w:hyperlink r:id="rId28" w:history="1">
              <w:r w:rsidR="00F86082" w:rsidRPr="00F75702">
                <w:rPr>
                  <w:rStyle w:val="Hyperlink"/>
                  <w:bCs/>
                  <w:lang w:val="en"/>
                </w:rPr>
                <w:t>http://</w:t>
              </w:r>
              <w:proofErr w:type="spellStart"/>
              <w:r w:rsidR="00F86082" w:rsidRPr="00F75702">
                <w:rPr>
                  <w:rStyle w:val="Hyperlink"/>
                  <w:bCs/>
                  <w:lang w:val="en"/>
                </w:rPr>
                <w:t>www.ncver.edu.au</w:t>
              </w:r>
              <w:proofErr w:type="spellEnd"/>
              <w:r w:rsidR="00F86082" w:rsidRPr="00F75702">
                <w:rPr>
                  <w:rStyle w:val="Hyperlink"/>
                  <w:bCs/>
                  <w:lang w:val="en"/>
                </w:rPr>
                <w:t>/statistic/</w:t>
              </w:r>
              <w:proofErr w:type="spellStart"/>
              <w:r w:rsidR="00F86082" w:rsidRPr="00F75702">
                <w:rPr>
                  <w:rStyle w:val="Hyperlink"/>
                  <w:bCs/>
                  <w:lang w:val="en"/>
                </w:rPr>
                <w:t>21075.html</w:t>
              </w:r>
              <w:proofErr w:type="spellEnd"/>
            </w:hyperlink>
          </w:p>
          <w:p w:rsidR="00F86082" w:rsidRPr="00EA6964" w:rsidRDefault="00F86082" w:rsidP="00345E73">
            <w:pPr>
              <w:pStyle w:val="TableBodyText"/>
              <w:jc w:val="both"/>
              <w:rPr>
                <w:bCs/>
                <w:lang w:val="en"/>
              </w:rPr>
            </w:pPr>
          </w:p>
        </w:tc>
      </w:tr>
      <w:tr w:rsidR="00EA735E" w:rsidRPr="00EA6964" w:rsidTr="00877AB4">
        <w:trPr>
          <w:trHeight w:val="567"/>
        </w:trPr>
        <w:tc>
          <w:tcPr>
            <w:tcW w:w="1869" w:type="dxa"/>
          </w:tcPr>
          <w:p w:rsidR="00EA735E" w:rsidRPr="00EA6964" w:rsidRDefault="00EA735E" w:rsidP="00117F40">
            <w:pPr>
              <w:keepNext/>
              <w:keepLines/>
              <w:spacing w:after="40" w:line="220" w:lineRule="atLeast"/>
              <w:ind w:left="6" w:right="113"/>
              <w:jc w:val="both"/>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Interpretability</w:t>
            </w:r>
          </w:p>
        </w:tc>
        <w:tc>
          <w:tcPr>
            <w:tcW w:w="6951" w:type="dxa"/>
          </w:tcPr>
          <w:p w:rsidR="000B20D8" w:rsidRDefault="000B20D8" w:rsidP="00345E73">
            <w:pPr>
              <w:pStyle w:val="TableBodyText"/>
              <w:jc w:val="both"/>
            </w:pPr>
            <w:r>
              <w:t>To aid interpretation of the data, information on the Student Outcomes Survey is available on the NCVER website.</w:t>
            </w:r>
          </w:p>
          <w:p w:rsidR="000B20D8" w:rsidRDefault="000B20D8" w:rsidP="00345E73">
            <w:pPr>
              <w:pStyle w:val="TableBodyText"/>
              <w:jc w:val="both"/>
            </w:pPr>
            <w:r>
              <w:t>The survey uses the:</w:t>
            </w:r>
          </w:p>
          <w:p w:rsidR="000B20D8" w:rsidRDefault="000B20D8" w:rsidP="00345E73">
            <w:pPr>
              <w:pStyle w:val="TableBullet"/>
              <w:jc w:val="both"/>
            </w:pPr>
            <w:r>
              <w:t>Australian Classification of Education (</w:t>
            </w:r>
            <w:proofErr w:type="spellStart"/>
            <w:r>
              <w:t>ASCED</w:t>
            </w:r>
            <w:proofErr w:type="spellEnd"/>
            <w:r>
              <w:t>) (ABS cat. no. 1272.0) to classify the level and field of education</w:t>
            </w:r>
          </w:p>
          <w:p w:rsidR="000B20D8" w:rsidRDefault="000B20D8" w:rsidP="00345E73">
            <w:pPr>
              <w:pStyle w:val="TableBullet"/>
              <w:jc w:val="both"/>
            </w:pPr>
            <w:r>
              <w:t>Australian and New Zealand Standard Industry Classification (</w:t>
            </w:r>
            <w:proofErr w:type="spellStart"/>
            <w:r>
              <w:t>ANZSIC</w:t>
            </w:r>
            <w:proofErr w:type="spellEnd"/>
            <w:r>
              <w:t>) (ABS cat. no. 1292.0) to classify industry</w:t>
            </w:r>
          </w:p>
          <w:p w:rsidR="000B20D8" w:rsidRDefault="000B20D8" w:rsidP="00345E73">
            <w:pPr>
              <w:pStyle w:val="TableBullet"/>
              <w:jc w:val="both"/>
            </w:pPr>
            <w:r>
              <w:t>Australian and New Zealand Standard Classification of Occupations (</w:t>
            </w:r>
            <w:proofErr w:type="spellStart"/>
            <w:r>
              <w:t>ANZSCO</w:t>
            </w:r>
            <w:proofErr w:type="spellEnd"/>
            <w:r>
              <w:t xml:space="preserve">, previously </w:t>
            </w:r>
            <w:proofErr w:type="spellStart"/>
            <w:r>
              <w:t>ASCO</w:t>
            </w:r>
            <w:proofErr w:type="spellEnd"/>
            <w:r>
              <w:t>) (ABS cat. no. 1220.0) to classify occupation</w:t>
            </w:r>
          </w:p>
          <w:p w:rsidR="000B20D8" w:rsidRDefault="000B20D8" w:rsidP="00345E73">
            <w:pPr>
              <w:pStyle w:val="TableBullet"/>
              <w:jc w:val="both"/>
            </w:pPr>
            <w:r>
              <w:t xml:space="preserve">Australian Statistical Geography Standard (ASGS): Volume 5 - Remoteness Structure (ABS cat. </w:t>
            </w:r>
            <w:proofErr w:type="spellStart"/>
            <w:r>
              <w:t>no.1270.0.55.005</w:t>
            </w:r>
            <w:proofErr w:type="spellEnd"/>
            <w:r>
              <w:t>) together with the Accessibility/Remoteness Index of Australia (ARIA) to classify remoteness.</w:t>
            </w:r>
          </w:p>
          <w:p w:rsidR="000B20D8" w:rsidRDefault="000B20D8" w:rsidP="00345E73">
            <w:pPr>
              <w:pStyle w:val="TableBullet"/>
              <w:jc w:val="both"/>
            </w:pPr>
            <w:r>
              <w:t>Census of Population and Housing: Socio-economic Index for Area - Index of Relative Socio-economic Disadvantage (SEIFA IRSD) (ABS cat. no. 2033.0.55.001) to summarise information about the economic and social conditions of people and households within an area. The index is based on information from the five-yearly Census. The ABS has assigned a SEIFA IRSD score to each Statistical Area 2 (</w:t>
            </w:r>
            <w:proofErr w:type="spellStart"/>
            <w:r>
              <w:t>SA2</w:t>
            </w:r>
            <w:proofErr w:type="spellEnd"/>
            <w:r>
              <w:t>) and the distribution of scores is divided into ten equal groups (</w:t>
            </w:r>
            <w:proofErr w:type="spellStart"/>
            <w:r>
              <w:t>deciles</w:t>
            </w:r>
            <w:proofErr w:type="spellEnd"/>
            <w:r>
              <w:t xml:space="preserve">). Then, a simple matching exercise is undertaken for each student where their postcode and location in the VET Provider Collection are mapped to a </w:t>
            </w:r>
            <w:proofErr w:type="spellStart"/>
            <w:r>
              <w:t>SA2</w:t>
            </w:r>
            <w:proofErr w:type="spellEnd"/>
            <w:r>
              <w:t xml:space="preserve">. The </w:t>
            </w:r>
            <w:proofErr w:type="spellStart"/>
            <w:r>
              <w:t>deciles</w:t>
            </w:r>
            <w:proofErr w:type="spellEnd"/>
            <w:r>
              <w:t xml:space="preserve"> are converted to quintiles for reporting.</w:t>
            </w:r>
          </w:p>
          <w:p w:rsidR="000B20D8" w:rsidRDefault="000B20D8" w:rsidP="00345E73">
            <w:pPr>
              <w:pStyle w:val="TableBodyText"/>
              <w:jc w:val="both"/>
            </w:pPr>
          </w:p>
          <w:p w:rsidR="000B20D8" w:rsidRDefault="000B20D8" w:rsidP="00345E73">
            <w:pPr>
              <w:pStyle w:val="TableBodyText"/>
              <w:jc w:val="both"/>
            </w:pPr>
            <w:r>
              <w:t>Other standards used include the ABS standard question on:</w:t>
            </w:r>
          </w:p>
          <w:p w:rsidR="000B20D8" w:rsidRDefault="000B20D8" w:rsidP="00345E73">
            <w:pPr>
              <w:pStyle w:val="TableBullet"/>
              <w:jc w:val="both"/>
            </w:pPr>
            <w:r>
              <w:t>Indigenous status</w:t>
            </w:r>
          </w:p>
          <w:p w:rsidR="000B20D8" w:rsidRDefault="000B20D8" w:rsidP="00345E73">
            <w:pPr>
              <w:pStyle w:val="TableBullet"/>
              <w:jc w:val="both"/>
            </w:pPr>
            <w:r>
              <w:t>Country of birth</w:t>
            </w:r>
          </w:p>
          <w:p w:rsidR="000B20D8" w:rsidRDefault="000B20D8" w:rsidP="00345E73">
            <w:pPr>
              <w:pStyle w:val="TableBullet"/>
              <w:jc w:val="both"/>
            </w:pPr>
            <w:r>
              <w:t>Main Language Other than English Spoken at Home</w:t>
            </w:r>
          </w:p>
          <w:p w:rsidR="00EA735E" w:rsidRPr="00EA6964" w:rsidRDefault="000B20D8" w:rsidP="00345E73">
            <w:pPr>
              <w:pStyle w:val="TableBullet"/>
              <w:jc w:val="both"/>
            </w:pPr>
            <w:r>
              <w:t>Labour force status</w:t>
            </w:r>
            <w:r w:rsidR="009A5868">
              <w:t>.</w:t>
            </w:r>
          </w:p>
        </w:tc>
      </w:tr>
    </w:tbl>
    <w:p w:rsidR="00EA735E" w:rsidRDefault="00EA735E" w:rsidP="005E03BB"/>
    <w:p w:rsidR="00EA735E" w:rsidRDefault="00EA735E" w:rsidP="00EA735E">
      <w:pPr>
        <w:pStyle w:val="BodyText"/>
      </w:pPr>
      <w:r>
        <w:br w:type="page"/>
      </w:r>
    </w:p>
    <w:p w:rsidR="00EA735E" w:rsidRPr="00910491" w:rsidRDefault="00EA735E" w:rsidP="00EA735E">
      <w:pPr>
        <w:pStyle w:val="Heading3"/>
        <w:spacing w:after="360"/>
      </w:pPr>
      <w:bookmarkStart w:id="45" w:name="_Ref382928036"/>
      <w:r w:rsidRPr="00910491">
        <w:t>Data quality statement —</w:t>
      </w:r>
      <w:r w:rsidR="009A5868">
        <w:t xml:space="preserve"> </w:t>
      </w:r>
      <w:r>
        <w:t>Survey of Employer Use and Views</w:t>
      </w:r>
      <w:bookmarkEnd w:id="45"/>
    </w:p>
    <w:tbl>
      <w:tblPr>
        <w:tblW w:w="8820" w:type="dxa"/>
        <w:tblInd w:w="108" w:type="dxa"/>
        <w:tblLayout w:type="fixed"/>
        <w:tblLook w:val="01E0" w:firstRow="1" w:lastRow="1" w:firstColumn="1" w:lastColumn="1" w:noHBand="0" w:noVBand="0"/>
      </w:tblPr>
      <w:tblGrid>
        <w:gridCol w:w="1869"/>
        <w:gridCol w:w="6951"/>
      </w:tblGrid>
      <w:tr w:rsidR="00EA735E" w:rsidRPr="00EA6964" w:rsidTr="00877AB4">
        <w:trPr>
          <w:trHeight w:val="567"/>
        </w:trPr>
        <w:tc>
          <w:tcPr>
            <w:tcW w:w="1869" w:type="dxa"/>
          </w:tcPr>
          <w:p w:rsidR="00EA735E" w:rsidRPr="00EA6964" w:rsidRDefault="00EA735E" w:rsidP="00117F40">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Indicator</w:t>
            </w:r>
          </w:p>
        </w:tc>
        <w:tc>
          <w:tcPr>
            <w:tcW w:w="6951" w:type="dxa"/>
          </w:tcPr>
          <w:p w:rsidR="00EA735E" w:rsidRPr="00EA6964" w:rsidRDefault="00F86082" w:rsidP="00EA735E">
            <w:pPr>
              <w:pStyle w:val="TableBodyText"/>
              <w:jc w:val="both"/>
            </w:pPr>
            <w:r>
              <w:t>NASWD indicator 2</w:t>
            </w:r>
          </w:p>
        </w:tc>
      </w:tr>
      <w:tr w:rsidR="00EA735E" w:rsidRPr="00EA6964" w:rsidTr="00877AB4">
        <w:trPr>
          <w:trHeight w:val="567"/>
        </w:trPr>
        <w:tc>
          <w:tcPr>
            <w:tcW w:w="1869" w:type="dxa"/>
          </w:tcPr>
          <w:p w:rsidR="00EA735E" w:rsidRPr="00EA6964" w:rsidRDefault="00EA735E" w:rsidP="00117F40">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Measure (computation)</w:t>
            </w:r>
          </w:p>
        </w:tc>
        <w:tc>
          <w:tcPr>
            <w:tcW w:w="6951" w:type="dxa"/>
          </w:tcPr>
          <w:p w:rsidR="00EA735E" w:rsidRPr="00EA6964" w:rsidRDefault="00F86082" w:rsidP="00EA735E">
            <w:pPr>
              <w:pStyle w:val="TableBodyText"/>
              <w:jc w:val="both"/>
            </w:pPr>
            <w:r>
              <w:t>Survey of Employer Use and Views</w:t>
            </w:r>
          </w:p>
        </w:tc>
      </w:tr>
      <w:tr w:rsidR="00EA735E" w:rsidRPr="00EA6964" w:rsidTr="00877AB4">
        <w:trPr>
          <w:trHeight w:val="567"/>
        </w:trPr>
        <w:tc>
          <w:tcPr>
            <w:tcW w:w="1869" w:type="dxa"/>
          </w:tcPr>
          <w:p w:rsidR="00EA735E" w:rsidRPr="00EA6964" w:rsidRDefault="00EA735E" w:rsidP="00117F40">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Institutional environment</w:t>
            </w:r>
          </w:p>
        </w:tc>
        <w:tc>
          <w:tcPr>
            <w:tcW w:w="6951" w:type="dxa"/>
          </w:tcPr>
          <w:p w:rsidR="00EA735E" w:rsidRDefault="00EA735E" w:rsidP="00EA735E">
            <w:pPr>
              <w:pStyle w:val="TableBodyText"/>
              <w:jc w:val="both"/>
            </w:pPr>
            <w:r>
              <w:t>The National Centre for Vocational Education Research (NCVER) is a not-for-profit company owned by the federal, state and territory ministers responsible for training.</w:t>
            </w:r>
          </w:p>
          <w:p w:rsidR="00EA735E" w:rsidRDefault="00EA735E" w:rsidP="00EA735E">
            <w:pPr>
              <w:pStyle w:val="TableBodyText"/>
              <w:jc w:val="both"/>
            </w:pPr>
            <w:r>
              <w:t>NCVER is a professional and independent body responsible for collecting, managing, analysing, evaluating and communicating research and statistics about vocational education and training (VET) nationally. It is Australia's principal provider of VET research and statistics.</w:t>
            </w:r>
          </w:p>
          <w:p w:rsidR="00EA735E" w:rsidRDefault="00EA735E" w:rsidP="00EA735E">
            <w:pPr>
              <w:pStyle w:val="TableBodyText"/>
              <w:jc w:val="both"/>
            </w:pPr>
            <w:r>
              <w:t xml:space="preserve">For further information on the </w:t>
            </w:r>
            <w:proofErr w:type="spellStart"/>
            <w:r>
              <w:t>NCVER</w:t>
            </w:r>
            <w:proofErr w:type="spellEnd"/>
            <w:r>
              <w:t xml:space="preserve">, see </w:t>
            </w:r>
            <w:hyperlink r:id="rId29" w:history="1">
              <w:r w:rsidRPr="00A11BF0">
                <w:rPr>
                  <w:rStyle w:val="Hyperlink"/>
                </w:rPr>
                <w:t>http://</w:t>
              </w:r>
              <w:proofErr w:type="spellStart"/>
              <w:r w:rsidRPr="00A11BF0">
                <w:rPr>
                  <w:rStyle w:val="Hyperlink"/>
                </w:rPr>
                <w:t>www.ncver.edu.au</w:t>
              </w:r>
              <w:proofErr w:type="spellEnd"/>
              <w:r w:rsidRPr="00A11BF0">
                <w:rPr>
                  <w:rStyle w:val="Hyperlink"/>
                </w:rPr>
                <w:t>/</w:t>
              </w:r>
              <w:proofErr w:type="spellStart"/>
              <w:r w:rsidRPr="00A11BF0">
                <w:rPr>
                  <w:rStyle w:val="Hyperlink"/>
                </w:rPr>
                <w:t>aboutncver</w:t>
              </w:r>
              <w:proofErr w:type="spellEnd"/>
              <w:r w:rsidRPr="00A11BF0">
                <w:rPr>
                  <w:rStyle w:val="Hyperlink"/>
                </w:rPr>
                <w:t>/</w:t>
              </w:r>
              <w:proofErr w:type="spellStart"/>
              <w:r w:rsidRPr="00A11BF0">
                <w:rPr>
                  <w:rStyle w:val="Hyperlink"/>
                </w:rPr>
                <w:t>who.html</w:t>
              </w:r>
              <w:proofErr w:type="spellEnd"/>
            </w:hyperlink>
          </w:p>
          <w:p w:rsidR="00EA735E" w:rsidRPr="00EA6964" w:rsidRDefault="00EA735E" w:rsidP="00EA735E">
            <w:pPr>
              <w:pStyle w:val="TableBodyText"/>
              <w:jc w:val="both"/>
            </w:pPr>
          </w:p>
        </w:tc>
      </w:tr>
      <w:tr w:rsidR="00EA735E" w:rsidRPr="00EA6964" w:rsidTr="00877AB4">
        <w:trPr>
          <w:trHeight w:val="567"/>
        </w:trPr>
        <w:tc>
          <w:tcPr>
            <w:tcW w:w="1869" w:type="dxa"/>
          </w:tcPr>
          <w:p w:rsidR="00EA735E" w:rsidRPr="00EA6964" w:rsidRDefault="00EA735E" w:rsidP="00117F40">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Relevance</w:t>
            </w:r>
          </w:p>
          <w:p w:rsidR="00EA735E" w:rsidRPr="00EA6964" w:rsidRDefault="00EA735E" w:rsidP="00117F40">
            <w:pPr>
              <w:keepNext/>
              <w:keepLines/>
              <w:spacing w:after="40" w:line="220" w:lineRule="atLeast"/>
              <w:ind w:left="6" w:right="113"/>
              <w:rPr>
                <w:rFonts w:ascii="Arial" w:eastAsiaTheme="minorHAnsi" w:hAnsi="Arial" w:cstheme="minorBidi"/>
                <w:b/>
                <w:sz w:val="20"/>
                <w:szCs w:val="20"/>
                <w:lang w:eastAsia="en-US"/>
              </w:rPr>
            </w:pPr>
          </w:p>
        </w:tc>
        <w:tc>
          <w:tcPr>
            <w:tcW w:w="6951" w:type="dxa"/>
          </w:tcPr>
          <w:p w:rsidR="00EA735E" w:rsidRDefault="00EA735E" w:rsidP="00EA735E">
            <w:pPr>
              <w:pStyle w:val="TableBodyText"/>
              <w:jc w:val="both"/>
            </w:pPr>
            <w:r>
              <w:t>The Survey of Employers’ Use and Views of the VET System provides biennial information about employers’ use and views of VET. Data are collected by computer assisted telephone interview (</w:t>
            </w:r>
            <w:proofErr w:type="spellStart"/>
            <w:r>
              <w:t>CATI</w:t>
            </w:r>
            <w:proofErr w:type="spellEnd"/>
            <w:r>
              <w:t>).</w:t>
            </w:r>
          </w:p>
          <w:p w:rsidR="00EA735E" w:rsidRDefault="00EA735E" w:rsidP="00EA735E">
            <w:pPr>
              <w:pStyle w:val="TableBodyText"/>
              <w:jc w:val="both"/>
            </w:pPr>
            <w:r>
              <w:t>The sample for the survey is drawn from the Australian Bureau of Statistics (ABS) Business Register.</w:t>
            </w:r>
          </w:p>
          <w:p w:rsidR="00EA735E" w:rsidRDefault="00EA735E" w:rsidP="00EA735E">
            <w:pPr>
              <w:pStyle w:val="TableBodyText"/>
              <w:jc w:val="both"/>
            </w:pPr>
            <w:r>
              <w:t>The survey collects information from employers about:</w:t>
            </w:r>
          </w:p>
          <w:p w:rsidR="00EA735E" w:rsidRDefault="00EA735E" w:rsidP="00EA735E">
            <w:pPr>
              <w:pStyle w:val="TableBullet"/>
              <w:jc w:val="both"/>
            </w:pPr>
            <w:r>
              <w:t>Organisational characteristics</w:t>
            </w:r>
          </w:p>
          <w:p w:rsidR="00EA735E" w:rsidRDefault="00EA735E" w:rsidP="00EA735E">
            <w:pPr>
              <w:pStyle w:val="TableBullet"/>
              <w:jc w:val="both"/>
            </w:pPr>
            <w:r>
              <w:t>How the organisation meets its skill needs</w:t>
            </w:r>
          </w:p>
          <w:p w:rsidR="00EA735E" w:rsidRDefault="00EA735E" w:rsidP="00EA735E">
            <w:pPr>
              <w:pStyle w:val="TableBullet"/>
              <w:jc w:val="both"/>
            </w:pPr>
            <w:r>
              <w:t>Vocational qualifications</w:t>
            </w:r>
          </w:p>
          <w:p w:rsidR="00EA735E" w:rsidRDefault="00EA735E" w:rsidP="00EA735E">
            <w:pPr>
              <w:pStyle w:val="TableBullet"/>
              <w:jc w:val="both"/>
            </w:pPr>
            <w:r>
              <w:t>Apprenticeships and traineeships</w:t>
            </w:r>
          </w:p>
          <w:p w:rsidR="00EA735E" w:rsidRDefault="00EA735E" w:rsidP="00EA735E">
            <w:pPr>
              <w:pStyle w:val="TableBullet"/>
              <w:jc w:val="both"/>
            </w:pPr>
            <w:r>
              <w:t>Nationally Recognised Training</w:t>
            </w:r>
          </w:p>
          <w:p w:rsidR="00EA735E" w:rsidRDefault="00EA735E" w:rsidP="00EA735E">
            <w:pPr>
              <w:pStyle w:val="TableBullet"/>
              <w:jc w:val="both"/>
            </w:pPr>
            <w:r>
              <w:t>Unaccredited training</w:t>
            </w:r>
            <w:r w:rsidR="009A5868">
              <w:t>.</w:t>
            </w:r>
          </w:p>
          <w:p w:rsidR="00EA735E" w:rsidRDefault="00EA735E" w:rsidP="00EA735E">
            <w:pPr>
              <w:pStyle w:val="TableBodyText"/>
              <w:jc w:val="both"/>
            </w:pPr>
            <w:r>
              <w:t>The survey provides benchmarking data and disaggregations by state/territory, employer size, industry and type of training used.</w:t>
            </w:r>
          </w:p>
          <w:p w:rsidR="00EA735E" w:rsidRDefault="00EA735E" w:rsidP="00EA735E">
            <w:pPr>
              <w:pStyle w:val="TableBodyText"/>
              <w:jc w:val="both"/>
            </w:pPr>
            <w:r>
              <w:t>The scope of the survey is all organisations in Australia with at least one employee. For this survey, an employee is defined as a person working in, or operating from, this organisation including full time, part time and casual employees. An owner/operator is not classed as an employee, regardless of whether they pay themselves a wage.</w:t>
            </w:r>
          </w:p>
          <w:p w:rsidR="00EA735E" w:rsidRDefault="00EA735E" w:rsidP="00EA735E">
            <w:pPr>
              <w:pStyle w:val="TableBodyText"/>
              <w:jc w:val="both"/>
            </w:pPr>
            <w:r>
              <w:t>The following organisations are out of scope of the survey:</w:t>
            </w:r>
          </w:p>
          <w:p w:rsidR="00EA735E" w:rsidRDefault="009A5868" w:rsidP="00EA735E">
            <w:pPr>
              <w:pStyle w:val="TableBullet"/>
              <w:jc w:val="both"/>
            </w:pPr>
            <w:r>
              <w:t>self-</w:t>
            </w:r>
            <w:r w:rsidR="00EA735E">
              <w:t>employed and not employing staff</w:t>
            </w:r>
          </w:p>
          <w:p w:rsidR="00EA735E" w:rsidRDefault="00EA735E" w:rsidP="00EA735E">
            <w:pPr>
              <w:pStyle w:val="TableBullet"/>
              <w:jc w:val="both"/>
            </w:pPr>
            <w:r>
              <w:t>private households employing staff</w:t>
            </w:r>
          </w:p>
          <w:p w:rsidR="00EA735E" w:rsidRDefault="00EA735E" w:rsidP="00EA735E">
            <w:pPr>
              <w:pStyle w:val="TableBullet"/>
              <w:jc w:val="both"/>
            </w:pPr>
            <w:r>
              <w:t>foreign diplomatic missions</w:t>
            </w:r>
          </w:p>
          <w:p w:rsidR="00EA735E" w:rsidRDefault="00EA735E" w:rsidP="00EA735E">
            <w:pPr>
              <w:pStyle w:val="TableBullet"/>
              <w:jc w:val="both"/>
            </w:pPr>
            <w:r>
              <w:t>consulates in Australia</w:t>
            </w:r>
          </w:p>
          <w:p w:rsidR="00EA735E" w:rsidRDefault="00EA735E" w:rsidP="00EA735E">
            <w:pPr>
              <w:pStyle w:val="TableBullet"/>
              <w:jc w:val="both"/>
            </w:pPr>
            <w:r>
              <w:t>defence force establishments</w:t>
            </w:r>
          </w:p>
          <w:p w:rsidR="00EA735E" w:rsidRDefault="00EA735E" w:rsidP="00EA735E">
            <w:pPr>
              <w:pStyle w:val="TableBullet"/>
              <w:jc w:val="both"/>
            </w:pPr>
            <w:r>
              <w:t>superannuation funds.</w:t>
            </w:r>
          </w:p>
          <w:p w:rsidR="00EA735E" w:rsidRPr="00EA6964" w:rsidRDefault="00EA735E" w:rsidP="00EA735E">
            <w:pPr>
              <w:pStyle w:val="TableBullet"/>
              <w:numPr>
                <w:ilvl w:val="0"/>
                <w:numId w:val="0"/>
              </w:numPr>
              <w:ind w:left="170"/>
              <w:jc w:val="both"/>
            </w:pPr>
          </w:p>
        </w:tc>
      </w:tr>
      <w:tr w:rsidR="00EA735E" w:rsidRPr="00EA6964" w:rsidTr="00877AB4">
        <w:trPr>
          <w:trHeight w:val="567"/>
        </w:trPr>
        <w:tc>
          <w:tcPr>
            <w:tcW w:w="1869" w:type="dxa"/>
          </w:tcPr>
          <w:p w:rsidR="00EA735E" w:rsidRPr="00EA6964" w:rsidRDefault="00EA735E" w:rsidP="00117F40">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Timeliness</w:t>
            </w:r>
          </w:p>
          <w:p w:rsidR="00EA735E" w:rsidRPr="00EA6964" w:rsidRDefault="00EA735E" w:rsidP="00117F40">
            <w:pPr>
              <w:keepNext/>
              <w:keepLines/>
              <w:spacing w:after="40" w:line="220" w:lineRule="atLeast"/>
              <w:ind w:left="6" w:right="113"/>
              <w:rPr>
                <w:rFonts w:ascii="Arial" w:eastAsiaTheme="minorHAnsi" w:hAnsi="Arial" w:cstheme="minorBidi"/>
                <w:b/>
                <w:sz w:val="20"/>
                <w:szCs w:val="20"/>
                <w:lang w:eastAsia="en-US"/>
              </w:rPr>
            </w:pPr>
          </w:p>
        </w:tc>
        <w:tc>
          <w:tcPr>
            <w:tcW w:w="6951" w:type="dxa"/>
          </w:tcPr>
          <w:p w:rsidR="00EA735E" w:rsidRDefault="00EA735E" w:rsidP="00EA735E">
            <w:pPr>
              <w:pStyle w:val="TableBodyText"/>
              <w:jc w:val="both"/>
            </w:pPr>
            <w:r w:rsidRPr="00EA735E">
              <w:t>The Survey of Employers’ Use and Views of the VET System is conducted every second year. The survey is conducted by telephone interview between March and May and the results relate to employers’ training experiences in the 12 months preceding their interview. Results from the 2013 survey were released on the NCVER website in October 2013.</w:t>
            </w:r>
          </w:p>
          <w:p w:rsidR="00F86082" w:rsidRPr="00EA6964" w:rsidRDefault="00F86082" w:rsidP="00EA735E">
            <w:pPr>
              <w:pStyle w:val="TableBodyText"/>
              <w:jc w:val="both"/>
            </w:pPr>
          </w:p>
        </w:tc>
      </w:tr>
      <w:tr w:rsidR="00EA735E" w:rsidRPr="00EA6964" w:rsidTr="00877AB4">
        <w:trPr>
          <w:trHeight w:val="100"/>
        </w:trPr>
        <w:tc>
          <w:tcPr>
            <w:tcW w:w="1869" w:type="dxa"/>
          </w:tcPr>
          <w:p w:rsidR="00EA735E" w:rsidRPr="00EA6964" w:rsidRDefault="00EA735E" w:rsidP="00117F40">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Accuracy</w:t>
            </w:r>
          </w:p>
          <w:p w:rsidR="00EA735E" w:rsidRPr="00EA6964" w:rsidRDefault="00EA735E" w:rsidP="00117F40">
            <w:pPr>
              <w:keepNext/>
              <w:keepLines/>
              <w:spacing w:after="40" w:line="220" w:lineRule="atLeast"/>
              <w:ind w:left="6" w:right="113"/>
              <w:rPr>
                <w:rFonts w:ascii="Arial" w:eastAsiaTheme="minorHAnsi" w:hAnsi="Arial" w:cstheme="minorBidi"/>
                <w:b/>
                <w:sz w:val="20"/>
                <w:szCs w:val="20"/>
                <w:lang w:eastAsia="en-US"/>
              </w:rPr>
            </w:pPr>
          </w:p>
        </w:tc>
        <w:tc>
          <w:tcPr>
            <w:tcW w:w="6951" w:type="dxa"/>
          </w:tcPr>
          <w:p w:rsidR="00EA735E" w:rsidRDefault="00EA735E" w:rsidP="00EA735E">
            <w:pPr>
              <w:pStyle w:val="TableBodyText"/>
              <w:jc w:val="both"/>
            </w:pPr>
            <w:r>
              <w:t>The survey is designed to produce estimates at the state, industry and employer size levels, with the approximate relative standard errors:</w:t>
            </w:r>
          </w:p>
          <w:p w:rsidR="00EA735E" w:rsidRDefault="00EA735E" w:rsidP="00EA735E">
            <w:pPr>
              <w:pStyle w:val="TableBullet"/>
              <w:jc w:val="both"/>
            </w:pPr>
            <w:r>
              <w:t>Less than 8 per cent for state-level estimates</w:t>
            </w:r>
          </w:p>
          <w:p w:rsidR="00EA735E" w:rsidRDefault="00EA735E" w:rsidP="00EA735E">
            <w:pPr>
              <w:pStyle w:val="TableBullet"/>
              <w:jc w:val="both"/>
            </w:pPr>
            <w:r>
              <w:t>Less than 16 per cent for industry-level estimates</w:t>
            </w:r>
          </w:p>
          <w:p w:rsidR="00EA735E" w:rsidRDefault="00EA735E" w:rsidP="00EA735E">
            <w:pPr>
              <w:pStyle w:val="TableBullet"/>
              <w:jc w:val="both"/>
            </w:pPr>
            <w:r>
              <w:t>Less than 6 per cent for employer-size level estimates</w:t>
            </w:r>
          </w:p>
          <w:p w:rsidR="00EA735E" w:rsidRDefault="00EA735E" w:rsidP="00EA735E">
            <w:pPr>
              <w:pStyle w:val="TableBullet"/>
              <w:jc w:val="both"/>
            </w:pPr>
            <w:r>
              <w:t>Less than 3 per cent for Australia level estimates.</w:t>
            </w:r>
          </w:p>
          <w:p w:rsidR="00EA735E" w:rsidRDefault="00EA735E" w:rsidP="00EA735E">
            <w:pPr>
              <w:pStyle w:val="TableBodyText"/>
              <w:jc w:val="both"/>
            </w:pPr>
            <w:r>
              <w:t>Employers in scope of the survey were randomly selected and stratified by:</w:t>
            </w:r>
          </w:p>
          <w:p w:rsidR="00EA735E" w:rsidRDefault="00EA735E" w:rsidP="00EA735E">
            <w:pPr>
              <w:pStyle w:val="TableBullet"/>
              <w:jc w:val="both"/>
            </w:pPr>
            <w:r>
              <w:t>State (each of the 8 states and territories)</w:t>
            </w:r>
          </w:p>
          <w:p w:rsidR="00EA735E" w:rsidRDefault="00EA735E" w:rsidP="00EA735E">
            <w:pPr>
              <w:pStyle w:val="TableBullet"/>
              <w:jc w:val="both"/>
            </w:pPr>
            <w:r>
              <w:t xml:space="preserve">Industry (19 </w:t>
            </w:r>
            <w:proofErr w:type="spellStart"/>
            <w:r>
              <w:t>ANZSIC</w:t>
            </w:r>
            <w:proofErr w:type="spellEnd"/>
            <w:r>
              <w:t xml:space="preserve"> divisions)</w:t>
            </w:r>
          </w:p>
          <w:p w:rsidR="00EA735E" w:rsidRDefault="00EA735E" w:rsidP="00EA735E">
            <w:pPr>
              <w:pStyle w:val="TableBullet"/>
              <w:jc w:val="both"/>
            </w:pPr>
            <w:r>
              <w:t>Employer size (small = 1-9 employees, medium = 10-99 employees, large = 100 or more employees).</w:t>
            </w:r>
          </w:p>
          <w:p w:rsidR="00EA735E" w:rsidRDefault="00EA735E" w:rsidP="00EA735E">
            <w:pPr>
              <w:pStyle w:val="TableBodyText"/>
              <w:jc w:val="both"/>
            </w:pPr>
            <w:r>
              <w:t xml:space="preserve">Potential sources of error in survey data include failure to complete the survey or failure to answer every applicable question. Neither of these sources of error is considered, by NCVER, to have affected the quality of data. </w:t>
            </w:r>
          </w:p>
          <w:p w:rsidR="00EA735E" w:rsidRDefault="00EA735E" w:rsidP="00EA735E">
            <w:pPr>
              <w:pStyle w:val="TableBodyText"/>
              <w:jc w:val="both"/>
            </w:pPr>
            <w:r>
              <w:t>In 2013, a total of 9 052 interviews were conducted. Response rates to the 2013 survey are shown in table 1.</w:t>
            </w:r>
          </w:p>
          <w:p w:rsidR="00EA735E" w:rsidRPr="0043422E" w:rsidRDefault="00EA735E" w:rsidP="00EA735E">
            <w:pPr>
              <w:pStyle w:val="TableBodyText"/>
              <w:spacing w:after="120"/>
              <w:jc w:val="both"/>
              <w:rPr>
                <w:rFonts w:cs="Arial"/>
                <w:b/>
                <w:sz w:val="17"/>
                <w:szCs w:val="17"/>
              </w:rPr>
            </w:pPr>
            <w:r w:rsidRPr="0043422E">
              <w:rPr>
                <w:rFonts w:cs="Arial"/>
                <w:b/>
                <w:sz w:val="17"/>
                <w:szCs w:val="17"/>
              </w:rPr>
              <w:t>Table 1: Response rates to the 20</w:t>
            </w:r>
            <w:r>
              <w:rPr>
                <w:rFonts w:cs="Arial"/>
                <w:b/>
                <w:sz w:val="17"/>
                <w:szCs w:val="17"/>
              </w:rPr>
              <w:t>13</w:t>
            </w:r>
            <w:r w:rsidRPr="0043422E">
              <w:rPr>
                <w:rFonts w:cs="Arial"/>
                <w:b/>
                <w:sz w:val="17"/>
                <w:szCs w:val="17"/>
              </w:rPr>
              <w:t xml:space="preserve"> Survey of Employers’ Use and Views by state</w:t>
            </w:r>
          </w:p>
          <w:tbl>
            <w:tblPr>
              <w:tblW w:w="3058" w:type="pct"/>
              <w:tblBorders>
                <w:top w:val="single" w:sz="4" w:space="0" w:color="auto"/>
                <w:bottom w:val="single" w:sz="4" w:space="0" w:color="auto"/>
              </w:tblBorders>
              <w:tblLayout w:type="fixed"/>
              <w:tblLook w:val="01E0" w:firstRow="1" w:lastRow="1" w:firstColumn="1" w:lastColumn="1" w:noHBand="0" w:noVBand="0"/>
            </w:tblPr>
            <w:tblGrid>
              <w:gridCol w:w="2276"/>
              <w:gridCol w:w="1843"/>
            </w:tblGrid>
            <w:tr w:rsidR="00EA735E" w:rsidRPr="0043422E" w:rsidTr="00117F40">
              <w:trPr>
                <w:trHeight w:val="170"/>
              </w:trPr>
              <w:tc>
                <w:tcPr>
                  <w:tcW w:w="2763" w:type="pct"/>
                  <w:tcBorders>
                    <w:top w:val="single" w:sz="4" w:space="0" w:color="auto"/>
                    <w:left w:val="nil"/>
                    <w:bottom w:val="single" w:sz="4" w:space="0" w:color="auto"/>
                  </w:tcBorders>
                </w:tcPr>
                <w:p w:rsidR="00EA735E" w:rsidRPr="0043422E" w:rsidRDefault="00EA735E" w:rsidP="00EA735E">
                  <w:pPr>
                    <w:pStyle w:val="TableBodyText"/>
                    <w:spacing w:after="120"/>
                    <w:jc w:val="both"/>
                    <w:rPr>
                      <w:rFonts w:cs="Arial"/>
                      <w:b/>
                      <w:sz w:val="16"/>
                      <w:szCs w:val="16"/>
                    </w:rPr>
                  </w:pPr>
                  <w:r w:rsidRPr="0043422E">
                    <w:rPr>
                      <w:rFonts w:cs="Arial"/>
                      <w:b/>
                      <w:sz w:val="16"/>
                      <w:szCs w:val="16"/>
                    </w:rPr>
                    <w:t>State/Territory</w:t>
                  </w:r>
                </w:p>
              </w:tc>
              <w:tc>
                <w:tcPr>
                  <w:tcW w:w="2237" w:type="pct"/>
                  <w:tcBorders>
                    <w:top w:val="single" w:sz="4" w:space="0" w:color="auto"/>
                    <w:bottom w:val="single" w:sz="4" w:space="0" w:color="auto"/>
                  </w:tcBorders>
                </w:tcPr>
                <w:p w:rsidR="00EA735E" w:rsidRPr="0043422E" w:rsidRDefault="00EA735E" w:rsidP="00EA735E">
                  <w:pPr>
                    <w:pStyle w:val="TableBodyText"/>
                    <w:spacing w:after="120"/>
                    <w:jc w:val="both"/>
                    <w:rPr>
                      <w:rFonts w:cs="Arial"/>
                      <w:b/>
                      <w:sz w:val="16"/>
                      <w:szCs w:val="16"/>
                    </w:rPr>
                  </w:pPr>
                  <w:r w:rsidRPr="0043422E">
                    <w:rPr>
                      <w:rFonts w:cs="Arial"/>
                      <w:b/>
                      <w:sz w:val="16"/>
                      <w:szCs w:val="16"/>
                    </w:rPr>
                    <w:t>Response rate (%)</w:t>
                  </w:r>
                </w:p>
              </w:tc>
            </w:tr>
            <w:tr w:rsidR="00EA735E" w:rsidRPr="0043422E" w:rsidTr="00117F40">
              <w:trPr>
                <w:trHeight w:val="170"/>
              </w:trPr>
              <w:tc>
                <w:tcPr>
                  <w:tcW w:w="2763" w:type="pct"/>
                  <w:tcBorders>
                    <w:top w:val="single" w:sz="4" w:space="0" w:color="auto"/>
                    <w:left w:val="nil"/>
                  </w:tcBorders>
                </w:tcPr>
                <w:p w:rsidR="00EA735E" w:rsidRPr="0023156D" w:rsidRDefault="009A5868" w:rsidP="009A5868">
                  <w:pPr>
                    <w:pStyle w:val="TableBodyText"/>
                    <w:jc w:val="center"/>
                  </w:pPr>
                  <w:r>
                    <w:t>NSW</w:t>
                  </w:r>
                </w:p>
              </w:tc>
              <w:tc>
                <w:tcPr>
                  <w:tcW w:w="2237" w:type="pct"/>
                  <w:tcBorders>
                    <w:top w:val="single" w:sz="4" w:space="0" w:color="auto"/>
                  </w:tcBorders>
                </w:tcPr>
                <w:p w:rsidR="00EA735E" w:rsidRPr="00363CF1" w:rsidRDefault="00EA735E" w:rsidP="009A5868">
                  <w:pPr>
                    <w:pStyle w:val="TableBodyText"/>
                    <w:jc w:val="center"/>
                  </w:pPr>
                  <w:r>
                    <w:t>73.3</w:t>
                  </w:r>
                </w:p>
              </w:tc>
            </w:tr>
            <w:tr w:rsidR="00EA735E" w:rsidRPr="0043422E" w:rsidTr="00117F40">
              <w:trPr>
                <w:trHeight w:val="170"/>
              </w:trPr>
              <w:tc>
                <w:tcPr>
                  <w:tcW w:w="2763" w:type="pct"/>
                  <w:tcBorders>
                    <w:left w:val="nil"/>
                  </w:tcBorders>
                </w:tcPr>
                <w:p w:rsidR="00EA735E" w:rsidRPr="0023156D" w:rsidRDefault="009A5868" w:rsidP="009A5868">
                  <w:pPr>
                    <w:pStyle w:val="TableBodyText"/>
                    <w:jc w:val="center"/>
                  </w:pPr>
                  <w:r>
                    <w:t>Vic</w:t>
                  </w:r>
                </w:p>
              </w:tc>
              <w:tc>
                <w:tcPr>
                  <w:tcW w:w="2237" w:type="pct"/>
                </w:tcPr>
                <w:p w:rsidR="00EA735E" w:rsidRPr="00363CF1" w:rsidRDefault="00EA735E" w:rsidP="009A5868">
                  <w:pPr>
                    <w:pStyle w:val="TableBodyText"/>
                    <w:jc w:val="center"/>
                  </w:pPr>
                  <w:r>
                    <w:t>71.0</w:t>
                  </w:r>
                </w:p>
              </w:tc>
            </w:tr>
            <w:tr w:rsidR="00EA735E" w:rsidRPr="0043422E" w:rsidTr="00117F40">
              <w:trPr>
                <w:trHeight w:val="170"/>
              </w:trPr>
              <w:tc>
                <w:tcPr>
                  <w:tcW w:w="2763" w:type="pct"/>
                  <w:tcBorders>
                    <w:left w:val="nil"/>
                  </w:tcBorders>
                </w:tcPr>
                <w:p w:rsidR="00EA735E" w:rsidRPr="0023156D" w:rsidRDefault="009A5868" w:rsidP="009A5868">
                  <w:pPr>
                    <w:pStyle w:val="TableBodyText"/>
                    <w:jc w:val="center"/>
                  </w:pPr>
                  <w:r>
                    <w:t>Qld</w:t>
                  </w:r>
                </w:p>
              </w:tc>
              <w:tc>
                <w:tcPr>
                  <w:tcW w:w="2237" w:type="pct"/>
                </w:tcPr>
                <w:p w:rsidR="00EA735E" w:rsidRPr="00363CF1" w:rsidRDefault="00EA735E" w:rsidP="009A5868">
                  <w:pPr>
                    <w:pStyle w:val="TableBodyText"/>
                    <w:jc w:val="center"/>
                  </w:pPr>
                  <w:r>
                    <w:t>74.7</w:t>
                  </w:r>
                </w:p>
              </w:tc>
            </w:tr>
            <w:tr w:rsidR="00EA735E" w:rsidRPr="0043422E" w:rsidTr="00117F40">
              <w:trPr>
                <w:trHeight w:val="170"/>
              </w:trPr>
              <w:tc>
                <w:tcPr>
                  <w:tcW w:w="2763" w:type="pct"/>
                  <w:tcBorders>
                    <w:left w:val="nil"/>
                  </w:tcBorders>
                </w:tcPr>
                <w:p w:rsidR="00EA735E" w:rsidRPr="0023156D" w:rsidRDefault="009A5868" w:rsidP="009A5868">
                  <w:pPr>
                    <w:pStyle w:val="TableBodyText"/>
                    <w:jc w:val="center"/>
                  </w:pPr>
                  <w:r>
                    <w:t>SA</w:t>
                  </w:r>
                </w:p>
              </w:tc>
              <w:tc>
                <w:tcPr>
                  <w:tcW w:w="2237" w:type="pct"/>
                </w:tcPr>
                <w:p w:rsidR="00EA735E" w:rsidRPr="00363CF1" w:rsidRDefault="00EA735E" w:rsidP="009A5868">
                  <w:pPr>
                    <w:pStyle w:val="TableBodyText"/>
                    <w:jc w:val="center"/>
                  </w:pPr>
                  <w:r>
                    <w:t>75.7</w:t>
                  </w:r>
                </w:p>
              </w:tc>
            </w:tr>
            <w:tr w:rsidR="00EA735E" w:rsidRPr="0043422E" w:rsidTr="00117F40">
              <w:trPr>
                <w:trHeight w:val="170"/>
              </w:trPr>
              <w:tc>
                <w:tcPr>
                  <w:tcW w:w="2763" w:type="pct"/>
                  <w:tcBorders>
                    <w:left w:val="nil"/>
                  </w:tcBorders>
                </w:tcPr>
                <w:p w:rsidR="00EA735E" w:rsidRPr="0023156D" w:rsidRDefault="009A5868" w:rsidP="009A5868">
                  <w:pPr>
                    <w:pStyle w:val="TableBodyText"/>
                    <w:jc w:val="center"/>
                  </w:pPr>
                  <w:r>
                    <w:t>WA</w:t>
                  </w:r>
                </w:p>
              </w:tc>
              <w:tc>
                <w:tcPr>
                  <w:tcW w:w="2237" w:type="pct"/>
                </w:tcPr>
                <w:p w:rsidR="00EA735E" w:rsidRPr="00363CF1" w:rsidRDefault="00EA735E" w:rsidP="009A5868">
                  <w:pPr>
                    <w:pStyle w:val="TableBodyText"/>
                    <w:jc w:val="center"/>
                  </w:pPr>
                  <w:r>
                    <w:t>75.8</w:t>
                  </w:r>
                </w:p>
              </w:tc>
            </w:tr>
            <w:tr w:rsidR="00EA735E" w:rsidRPr="0043422E" w:rsidTr="00117F40">
              <w:trPr>
                <w:trHeight w:val="170"/>
              </w:trPr>
              <w:tc>
                <w:tcPr>
                  <w:tcW w:w="2763" w:type="pct"/>
                  <w:tcBorders>
                    <w:left w:val="nil"/>
                  </w:tcBorders>
                </w:tcPr>
                <w:p w:rsidR="00EA735E" w:rsidRPr="0023156D" w:rsidRDefault="009A5868" w:rsidP="009A5868">
                  <w:pPr>
                    <w:pStyle w:val="TableBodyText"/>
                    <w:jc w:val="center"/>
                  </w:pPr>
                  <w:r>
                    <w:t>Tas</w:t>
                  </w:r>
                </w:p>
              </w:tc>
              <w:tc>
                <w:tcPr>
                  <w:tcW w:w="2237" w:type="pct"/>
                </w:tcPr>
                <w:p w:rsidR="00EA735E" w:rsidRPr="00363CF1" w:rsidRDefault="00EA735E" w:rsidP="009A5868">
                  <w:pPr>
                    <w:pStyle w:val="TableBodyText"/>
                    <w:jc w:val="center"/>
                  </w:pPr>
                  <w:r>
                    <w:t>82.0</w:t>
                  </w:r>
                </w:p>
              </w:tc>
            </w:tr>
            <w:tr w:rsidR="00EA735E" w:rsidRPr="0043422E" w:rsidTr="00117F40">
              <w:trPr>
                <w:trHeight w:val="170"/>
              </w:trPr>
              <w:tc>
                <w:tcPr>
                  <w:tcW w:w="2763" w:type="pct"/>
                  <w:tcBorders>
                    <w:left w:val="nil"/>
                  </w:tcBorders>
                </w:tcPr>
                <w:p w:rsidR="00EA735E" w:rsidRPr="0023156D" w:rsidRDefault="009A5868" w:rsidP="009A5868">
                  <w:pPr>
                    <w:pStyle w:val="TableBodyText"/>
                    <w:jc w:val="center"/>
                  </w:pPr>
                  <w:r>
                    <w:t>NT</w:t>
                  </w:r>
                </w:p>
              </w:tc>
              <w:tc>
                <w:tcPr>
                  <w:tcW w:w="2237" w:type="pct"/>
                </w:tcPr>
                <w:p w:rsidR="00EA735E" w:rsidRPr="00363CF1" w:rsidRDefault="00EA735E" w:rsidP="009A5868">
                  <w:pPr>
                    <w:pStyle w:val="TableBodyText"/>
                    <w:jc w:val="center"/>
                  </w:pPr>
                  <w:r>
                    <w:t>82.4</w:t>
                  </w:r>
                </w:p>
              </w:tc>
            </w:tr>
            <w:tr w:rsidR="00EA735E" w:rsidRPr="0043422E" w:rsidTr="00117F40">
              <w:trPr>
                <w:trHeight w:val="170"/>
              </w:trPr>
              <w:tc>
                <w:tcPr>
                  <w:tcW w:w="2763" w:type="pct"/>
                  <w:tcBorders>
                    <w:left w:val="nil"/>
                  </w:tcBorders>
                </w:tcPr>
                <w:p w:rsidR="00EA735E" w:rsidRPr="0023156D" w:rsidRDefault="009A5868" w:rsidP="009A5868">
                  <w:pPr>
                    <w:pStyle w:val="TableBodyText"/>
                    <w:jc w:val="center"/>
                  </w:pPr>
                  <w:r>
                    <w:t>ACT</w:t>
                  </w:r>
                </w:p>
              </w:tc>
              <w:tc>
                <w:tcPr>
                  <w:tcW w:w="2237" w:type="pct"/>
                </w:tcPr>
                <w:p w:rsidR="00EA735E" w:rsidRPr="00363CF1" w:rsidRDefault="00EA735E" w:rsidP="009A5868">
                  <w:pPr>
                    <w:pStyle w:val="TableBodyText"/>
                    <w:jc w:val="center"/>
                  </w:pPr>
                  <w:r>
                    <w:t>79.7</w:t>
                  </w:r>
                </w:p>
              </w:tc>
            </w:tr>
            <w:tr w:rsidR="00EA735E" w:rsidRPr="0043422E" w:rsidTr="00117F40">
              <w:trPr>
                <w:trHeight w:val="170"/>
              </w:trPr>
              <w:tc>
                <w:tcPr>
                  <w:tcW w:w="2763" w:type="pct"/>
                  <w:tcBorders>
                    <w:left w:val="nil"/>
                    <w:bottom w:val="single" w:sz="4" w:space="0" w:color="auto"/>
                  </w:tcBorders>
                </w:tcPr>
                <w:p w:rsidR="00EA735E" w:rsidRPr="0023156D" w:rsidRDefault="009A5868" w:rsidP="009A5868">
                  <w:pPr>
                    <w:pStyle w:val="TableBodyText"/>
                    <w:jc w:val="center"/>
                  </w:pPr>
                  <w:proofErr w:type="spellStart"/>
                  <w:r>
                    <w:t>Aust</w:t>
                  </w:r>
                  <w:proofErr w:type="spellEnd"/>
                </w:p>
              </w:tc>
              <w:tc>
                <w:tcPr>
                  <w:tcW w:w="2237" w:type="pct"/>
                  <w:tcBorders>
                    <w:bottom w:val="single" w:sz="4" w:space="0" w:color="auto"/>
                  </w:tcBorders>
                </w:tcPr>
                <w:p w:rsidR="00EA735E" w:rsidRPr="0023156D" w:rsidRDefault="00EA735E" w:rsidP="009A5868">
                  <w:pPr>
                    <w:pStyle w:val="TableBodyText"/>
                    <w:jc w:val="center"/>
                  </w:pPr>
                  <w:r w:rsidRPr="0023156D">
                    <w:t>75.2</w:t>
                  </w:r>
                </w:p>
              </w:tc>
            </w:tr>
          </w:tbl>
          <w:p w:rsidR="00EA735E" w:rsidRDefault="00EA735E" w:rsidP="00EA735E">
            <w:pPr>
              <w:pStyle w:val="TableBodyText"/>
              <w:jc w:val="both"/>
            </w:pPr>
            <w:r w:rsidRPr="0043422E">
              <w:t>The indicat</w:t>
            </w:r>
            <w:r>
              <w:t>or has acceptable (less than 25 per cent</w:t>
            </w:r>
            <w:r w:rsidRPr="0043422E">
              <w:t>) relative standard errors (RSEs).</w:t>
            </w:r>
          </w:p>
          <w:p w:rsidR="00EA735E" w:rsidRPr="00EA6964" w:rsidRDefault="00EA735E" w:rsidP="00EA735E">
            <w:pPr>
              <w:pStyle w:val="TableBodyText"/>
              <w:jc w:val="both"/>
            </w:pPr>
          </w:p>
        </w:tc>
      </w:tr>
      <w:tr w:rsidR="00EA735E" w:rsidRPr="00EA6964" w:rsidTr="00877AB4">
        <w:trPr>
          <w:trHeight w:val="567"/>
        </w:trPr>
        <w:tc>
          <w:tcPr>
            <w:tcW w:w="1869" w:type="dxa"/>
          </w:tcPr>
          <w:p w:rsidR="00EA735E" w:rsidRPr="00EA6964" w:rsidRDefault="00EA735E" w:rsidP="00117F40">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Coherence</w:t>
            </w:r>
          </w:p>
          <w:p w:rsidR="00EA735E" w:rsidRPr="00EA6964" w:rsidRDefault="00EA735E" w:rsidP="00117F40">
            <w:pPr>
              <w:keepNext/>
              <w:keepLines/>
              <w:spacing w:after="40" w:line="220" w:lineRule="atLeast"/>
              <w:ind w:left="6" w:right="113"/>
              <w:rPr>
                <w:rFonts w:ascii="Arial" w:eastAsiaTheme="minorHAnsi" w:hAnsi="Arial" w:cstheme="minorBidi"/>
                <w:b/>
                <w:sz w:val="20"/>
                <w:szCs w:val="20"/>
                <w:lang w:eastAsia="en-US"/>
              </w:rPr>
            </w:pPr>
          </w:p>
        </w:tc>
        <w:tc>
          <w:tcPr>
            <w:tcW w:w="6951" w:type="dxa"/>
          </w:tcPr>
          <w:p w:rsidR="00EA735E" w:rsidRDefault="00EA735E" w:rsidP="00EA735E">
            <w:pPr>
              <w:pStyle w:val="TableBodyText"/>
              <w:jc w:val="both"/>
            </w:pPr>
            <w:r w:rsidRPr="00EA735E">
              <w:t>This is the fifth time the survey has been conducted in this form.  Previous surveys were conducted in 2005, 2007, 2009 and 2011. The majority of data items in the 2013 survey are directly comparable with those of the previous four surveys.</w:t>
            </w:r>
          </w:p>
          <w:p w:rsidR="00EA735E" w:rsidRPr="00EA6964" w:rsidRDefault="00EA735E" w:rsidP="00EA735E">
            <w:pPr>
              <w:pStyle w:val="TableBodyText"/>
              <w:jc w:val="both"/>
            </w:pPr>
          </w:p>
        </w:tc>
      </w:tr>
      <w:tr w:rsidR="00EA735E" w:rsidRPr="00EA6964" w:rsidTr="00877AB4">
        <w:trPr>
          <w:trHeight w:val="567"/>
        </w:trPr>
        <w:tc>
          <w:tcPr>
            <w:tcW w:w="1869" w:type="dxa"/>
          </w:tcPr>
          <w:p w:rsidR="00EA735E" w:rsidRPr="00EA6964" w:rsidRDefault="00EA735E" w:rsidP="00117F40">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Accessibility</w:t>
            </w:r>
          </w:p>
          <w:p w:rsidR="00EA735E" w:rsidRPr="00EA6964" w:rsidRDefault="00EA735E" w:rsidP="00117F40">
            <w:pPr>
              <w:keepNext/>
              <w:keepLines/>
              <w:spacing w:after="40" w:line="220" w:lineRule="atLeast"/>
              <w:ind w:left="6" w:right="113"/>
              <w:rPr>
                <w:rFonts w:ascii="Arial" w:eastAsiaTheme="minorHAnsi" w:hAnsi="Arial" w:cstheme="minorBidi"/>
                <w:b/>
                <w:sz w:val="20"/>
                <w:szCs w:val="20"/>
                <w:lang w:eastAsia="en-US"/>
              </w:rPr>
            </w:pPr>
          </w:p>
        </w:tc>
        <w:tc>
          <w:tcPr>
            <w:tcW w:w="6951" w:type="dxa"/>
          </w:tcPr>
          <w:p w:rsidR="00EA735E" w:rsidRPr="00EA735E" w:rsidRDefault="00EA735E" w:rsidP="00EA735E">
            <w:pPr>
              <w:pStyle w:val="TableBodyText"/>
              <w:jc w:val="both"/>
              <w:rPr>
                <w:bCs/>
                <w:lang w:val="en"/>
              </w:rPr>
            </w:pPr>
            <w:r w:rsidRPr="00EA735E">
              <w:rPr>
                <w:bCs/>
                <w:lang w:val="en"/>
              </w:rPr>
              <w:t>To aid interpretation of the data, information on the Survey of Employers’ Use and Views of the VET System is available on the NCVER website.</w:t>
            </w:r>
          </w:p>
          <w:p w:rsidR="00EA735E" w:rsidRDefault="00EA735E" w:rsidP="00EA735E">
            <w:pPr>
              <w:pStyle w:val="TableBodyText"/>
              <w:jc w:val="both"/>
              <w:rPr>
                <w:bCs/>
                <w:lang w:val="en"/>
              </w:rPr>
            </w:pPr>
            <w:r w:rsidRPr="00EA735E">
              <w:rPr>
                <w:bCs/>
                <w:lang w:val="en"/>
              </w:rPr>
              <w:t>The survey uses the Australian and New Zealand Standard Industry Classification (</w:t>
            </w:r>
            <w:proofErr w:type="spellStart"/>
            <w:r w:rsidRPr="00EA735E">
              <w:rPr>
                <w:bCs/>
                <w:lang w:val="en"/>
              </w:rPr>
              <w:t>ANZSIC</w:t>
            </w:r>
            <w:proofErr w:type="spellEnd"/>
            <w:r w:rsidRPr="00EA735E">
              <w:rPr>
                <w:bCs/>
                <w:lang w:val="en"/>
              </w:rPr>
              <w:t>).</w:t>
            </w:r>
          </w:p>
          <w:p w:rsidR="00EA735E" w:rsidRPr="00EA6964" w:rsidRDefault="00EA735E" w:rsidP="00EA735E">
            <w:pPr>
              <w:pStyle w:val="TableBodyText"/>
              <w:jc w:val="both"/>
              <w:rPr>
                <w:bCs/>
                <w:lang w:val="en"/>
              </w:rPr>
            </w:pPr>
          </w:p>
        </w:tc>
      </w:tr>
      <w:tr w:rsidR="00EA735E" w:rsidRPr="00EA6964" w:rsidTr="00FE680A">
        <w:trPr>
          <w:trHeight w:val="342"/>
        </w:trPr>
        <w:tc>
          <w:tcPr>
            <w:tcW w:w="1869" w:type="dxa"/>
          </w:tcPr>
          <w:p w:rsidR="00EA735E" w:rsidRPr="00EA6964" w:rsidRDefault="00EA735E" w:rsidP="00117F40">
            <w:pPr>
              <w:keepNext/>
              <w:keepLines/>
              <w:spacing w:after="40" w:line="220" w:lineRule="atLeast"/>
              <w:ind w:left="6" w:right="113"/>
              <w:jc w:val="both"/>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Interpretability</w:t>
            </w:r>
          </w:p>
        </w:tc>
        <w:tc>
          <w:tcPr>
            <w:tcW w:w="6951" w:type="dxa"/>
          </w:tcPr>
          <w:p w:rsidR="00EA735E" w:rsidRDefault="00EA735E" w:rsidP="00EA735E">
            <w:pPr>
              <w:pStyle w:val="TableBodyText"/>
              <w:jc w:val="both"/>
              <w:rPr>
                <w:bCs/>
                <w:lang w:val="en"/>
              </w:rPr>
            </w:pPr>
            <w:r w:rsidRPr="00EA735E">
              <w:rPr>
                <w:bCs/>
                <w:lang w:val="en"/>
              </w:rPr>
              <w:t xml:space="preserve">Results of the survey are available free of charge on </w:t>
            </w:r>
            <w:proofErr w:type="spellStart"/>
            <w:r w:rsidRPr="00EA735E">
              <w:rPr>
                <w:bCs/>
                <w:lang w:val="en"/>
              </w:rPr>
              <w:t>NCVER’s</w:t>
            </w:r>
            <w:proofErr w:type="spellEnd"/>
            <w:r w:rsidRPr="00EA735E">
              <w:rPr>
                <w:bCs/>
                <w:lang w:val="en"/>
              </w:rPr>
              <w:t xml:space="preserve"> website at: http://</w:t>
            </w:r>
            <w:proofErr w:type="spellStart"/>
            <w:r w:rsidRPr="00EA735E">
              <w:rPr>
                <w:bCs/>
                <w:lang w:val="en"/>
              </w:rPr>
              <w:t>www.ncver.edu.au</w:t>
            </w:r>
            <w:proofErr w:type="spellEnd"/>
            <w:r w:rsidRPr="00EA735E">
              <w:rPr>
                <w:bCs/>
                <w:lang w:val="en"/>
              </w:rPr>
              <w:t>/statistic/</w:t>
            </w:r>
            <w:proofErr w:type="spellStart"/>
            <w:r w:rsidRPr="00EA735E">
              <w:rPr>
                <w:bCs/>
                <w:lang w:val="en"/>
              </w:rPr>
              <w:t>21066.html</w:t>
            </w:r>
            <w:proofErr w:type="spellEnd"/>
            <w:r w:rsidRPr="00EA735E">
              <w:rPr>
                <w:bCs/>
                <w:lang w:val="en"/>
              </w:rPr>
              <w:t xml:space="preserve">. Requests for more detailed statistical information or further information about the Survey of Employers’ </w:t>
            </w:r>
          </w:p>
          <w:p w:rsidR="00EA735E" w:rsidRDefault="00EA735E" w:rsidP="00EA735E">
            <w:pPr>
              <w:pStyle w:val="TableBodyText"/>
              <w:jc w:val="both"/>
              <w:rPr>
                <w:bCs/>
                <w:lang w:val="en"/>
              </w:rPr>
            </w:pPr>
          </w:p>
          <w:p w:rsidR="00EA735E" w:rsidRPr="00EA735E" w:rsidRDefault="00EA735E" w:rsidP="00EA735E">
            <w:pPr>
              <w:pStyle w:val="TableBodyText"/>
              <w:jc w:val="both"/>
              <w:rPr>
                <w:bCs/>
                <w:lang w:val="en"/>
              </w:rPr>
            </w:pPr>
            <w:r w:rsidRPr="00EA735E">
              <w:rPr>
                <w:bCs/>
                <w:lang w:val="en"/>
              </w:rPr>
              <w:t xml:space="preserve">Use and Views of the VET System can be made to: </w:t>
            </w:r>
          </w:p>
          <w:p w:rsidR="00EA735E" w:rsidRPr="00EA735E" w:rsidRDefault="00EA735E" w:rsidP="00EA735E">
            <w:pPr>
              <w:pStyle w:val="TableBodyText"/>
              <w:jc w:val="both"/>
              <w:rPr>
                <w:bCs/>
                <w:lang w:val="en"/>
              </w:rPr>
            </w:pPr>
            <w:r w:rsidRPr="00EA735E">
              <w:rPr>
                <w:bCs/>
                <w:lang w:val="en"/>
              </w:rPr>
              <w:t xml:space="preserve">NCVER on (08) 8230 8400 or </w:t>
            </w:r>
            <w:proofErr w:type="spellStart"/>
            <w:r w:rsidRPr="00EA735E">
              <w:rPr>
                <w:bCs/>
                <w:lang w:val="en"/>
              </w:rPr>
              <w:t>surveys_req@ncver.edu.au</w:t>
            </w:r>
            <w:proofErr w:type="spellEnd"/>
          </w:p>
          <w:p w:rsidR="00EA735E" w:rsidRPr="00EA6964" w:rsidRDefault="00EA735E" w:rsidP="00EA735E">
            <w:pPr>
              <w:pStyle w:val="TableBodyText"/>
              <w:jc w:val="both"/>
              <w:rPr>
                <w:bCs/>
                <w:lang w:val="en"/>
              </w:rPr>
            </w:pPr>
            <w:r w:rsidRPr="00EA735E">
              <w:rPr>
                <w:bCs/>
                <w:lang w:val="en"/>
              </w:rPr>
              <w:t xml:space="preserve">A charge will be generally made by the NCVER for more complex requests for information. See </w:t>
            </w:r>
            <w:proofErr w:type="spellStart"/>
            <w:r w:rsidRPr="00EA735E">
              <w:rPr>
                <w:bCs/>
                <w:lang w:val="en"/>
              </w:rPr>
              <w:t>NCVER’s</w:t>
            </w:r>
            <w:proofErr w:type="spellEnd"/>
            <w:r w:rsidRPr="00EA735E">
              <w:rPr>
                <w:bCs/>
                <w:lang w:val="en"/>
              </w:rPr>
              <w:t xml:space="preserve"> fees and charges policy at http://</w:t>
            </w:r>
            <w:proofErr w:type="spellStart"/>
            <w:r w:rsidRPr="00EA735E">
              <w:rPr>
                <w:bCs/>
                <w:lang w:val="en"/>
              </w:rPr>
              <w:t>www.ncver.edu.au</w:t>
            </w:r>
            <w:proofErr w:type="spellEnd"/>
            <w:r w:rsidRPr="00EA735E">
              <w:rPr>
                <w:bCs/>
                <w:lang w:val="en"/>
              </w:rPr>
              <w:t>/statistic/</w:t>
            </w:r>
            <w:proofErr w:type="spellStart"/>
            <w:r w:rsidRPr="00EA735E">
              <w:rPr>
                <w:bCs/>
                <w:lang w:val="en"/>
              </w:rPr>
              <w:t>21075.html</w:t>
            </w:r>
            <w:proofErr w:type="spellEnd"/>
          </w:p>
        </w:tc>
      </w:tr>
    </w:tbl>
    <w:p w:rsidR="00EA735E" w:rsidRDefault="00EA735E" w:rsidP="00EA735E"/>
    <w:p w:rsidR="0099500B" w:rsidRPr="00910491" w:rsidRDefault="0099500B" w:rsidP="0099500B">
      <w:pPr>
        <w:pStyle w:val="Heading3"/>
        <w:spacing w:after="360"/>
      </w:pPr>
      <w:bookmarkStart w:id="46" w:name="_Ref382928132"/>
      <w:r w:rsidRPr="00910491">
        <w:t>Data quality statement —</w:t>
      </w:r>
      <w:r>
        <w:t xml:space="preserve"> National VET provider collection</w:t>
      </w:r>
      <w:bookmarkEnd w:id="46"/>
    </w:p>
    <w:tbl>
      <w:tblPr>
        <w:tblW w:w="8820" w:type="dxa"/>
        <w:tblInd w:w="108" w:type="dxa"/>
        <w:tblLayout w:type="fixed"/>
        <w:tblLook w:val="01E0" w:firstRow="1" w:lastRow="1" w:firstColumn="1" w:lastColumn="1" w:noHBand="0" w:noVBand="0"/>
      </w:tblPr>
      <w:tblGrid>
        <w:gridCol w:w="1869"/>
        <w:gridCol w:w="6951"/>
      </w:tblGrid>
      <w:tr w:rsidR="0099500B" w:rsidRPr="00EA6964" w:rsidTr="00877AB4">
        <w:trPr>
          <w:trHeight w:val="567"/>
        </w:trPr>
        <w:tc>
          <w:tcPr>
            <w:tcW w:w="1869" w:type="dxa"/>
          </w:tcPr>
          <w:p w:rsidR="0099500B" w:rsidRPr="00EA6964" w:rsidRDefault="0099500B" w:rsidP="00117F40">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Indicator</w:t>
            </w:r>
          </w:p>
        </w:tc>
        <w:tc>
          <w:tcPr>
            <w:tcW w:w="6951" w:type="dxa"/>
          </w:tcPr>
          <w:p w:rsidR="0099500B" w:rsidRPr="00EA6964" w:rsidRDefault="00F86082" w:rsidP="000C033E">
            <w:pPr>
              <w:pStyle w:val="TableBodyText"/>
              <w:jc w:val="both"/>
            </w:pPr>
            <w:r>
              <w:t>NASWD target (b), indicator 6</w:t>
            </w:r>
          </w:p>
        </w:tc>
      </w:tr>
      <w:tr w:rsidR="0099500B" w:rsidRPr="00EA6964" w:rsidTr="00877AB4">
        <w:trPr>
          <w:trHeight w:val="567"/>
        </w:trPr>
        <w:tc>
          <w:tcPr>
            <w:tcW w:w="1869" w:type="dxa"/>
          </w:tcPr>
          <w:p w:rsidR="0099500B" w:rsidRPr="00EA6964" w:rsidRDefault="0099500B" w:rsidP="00117F40">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Measure (computation)</w:t>
            </w:r>
          </w:p>
        </w:tc>
        <w:tc>
          <w:tcPr>
            <w:tcW w:w="6951" w:type="dxa"/>
          </w:tcPr>
          <w:p w:rsidR="0099500B" w:rsidRPr="00EA6964" w:rsidRDefault="00F86082" w:rsidP="000C033E">
            <w:pPr>
              <w:pStyle w:val="TableBodyText"/>
              <w:jc w:val="both"/>
            </w:pPr>
            <w:r>
              <w:t>National VET Provider collection</w:t>
            </w:r>
          </w:p>
        </w:tc>
      </w:tr>
      <w:tr w:rsidR="0099500B" w:rsidRPr="00EA6964" w:rsidTr="00877AB4">
        <w:trPr>
          <w:trHeight w:val="567"/>
        </w:trPr>
        <w:tc>
          <w:tcPr>
            <w:tcW w:w="1869" w:type="dxa"/>
          </w:tcPr>
          <w:p w:rsidR="0099500B" w:rsidRPr="00EA6964" w:rsidRDefault="0099500B" w:rsidP="00117F40">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Institutional environment</w:t>
            </w:r>
          </w:p>
        </w:tc>
        <w:tc>
          <w:tcPr>
            <w:tcW w:w="6951" w:type="dxa"/>
          </w:tcPr>
          <w:p w:rsidR="0099500B" w:rsidRDefault="0099500B" w:rsidP="000C033E">
            <w:pPr>
              <w:pStyle w:val="TableBodyText"/>
              <w:jc w:val="both"/>
            </w:pPr>
            <w:r>
              <w:t>The National Centre for Vocational Education Research (NCVER) is a not-for-profit company owned by the federal, state and territory ministers responsible for training.</w:t>
            </w:r>
          </w:p>
          <w:p w:rsidR="0099500B" w:rsidRDefault="0099500B" w:rsidP="000C033E">
            <w:pPr>
              <w:pStyle w:val="TableBodyText"/>
              <w:jc w:val="both"/>
            </w:pPr>
          </w:p>
          <w:p w:rsidR="0099500B" w:rsidRDefault="0099500B" w:rsidP="000C033E">
            <w:pPr>
              <w:pStyle w:val="TableBodyText"/>
              <w:jc w:val="both"/>
            </w:pPr>
            <w:r>
              <w:t>NCVER is a professional and independent body responsible for collecting, managing, analysing, evaluating and communicating research and statistics about vocational education and training (VET) nationally. It is Australia's principal provider of VET research and statistics.</w:t>
            </w:r>
          </w:p>
          <w:p w:rsidR="0099500B" w:rsidRDefault="0099500B" w:rsidP="000C033E">
            <w:pPr>
              <w:pStyle w:val="TableBodyText"/>
              <w:jc w:val="both"/>
            </w:pPr>
          </w:p>
          <w:p w:rsidR="0099500B" w:rsidRDefault="0099500B" w:rsidP="000C033E">
            <w:pPr>
              <w:pStyle w:val="TableBodyText"/>
              <w:jc w:val="both"/>
            </w:pPr>
            <w:r>
              <w:t xml:space="preserve">For further information on the </w:t>
            </w:r>
            <w:proofErr w:type="spellStart"/>
            <w:r>
              <w:t>NCVER</w:t>
            </w:r>
            <w:proofErr w:type="spellEnd"/>
            <w:r>
              <w:t xml:space="preserve">, see </w:t>
            </w:r>
            <w:hyperlink r:id="rId30" w:history="1">
              <w:r w:rsidR="000C033E" w:rsidRPr="00A11BF0">
                <w:rPr>
                  <w:rStyle w:val="Hyperlink"/>
                </w:rPr>
                <w:t>http://</w:t>
              </w:r>
              <w:proofErr w:type="spellStart"/>
              <w:r w:rsidR="000C033E" w:rsidRPr="00A11BF0">
                <w:rPr>
                  <w:rStyle w:val="Hyperlink"/>
                </w:rPr>
                <w:t>www.ncver.edu.au</w:t>
              </w:r>
              <w:proofErr w:type="spellEnd"/>
              <w:r w:rsidR="000C033E" w:rsidRPr="00A11BF0">
                <w:rPr>
                  <w:rStyle w:val="Hyperlink"/>
                </w:rPr>
                <w:t>/</w:t>
              </w:r>
              <w:proofErr w:type="spellStart"/>
              <w:r w:rsidR="000C033E" w:rsidRPr="00A11BF0">
                <w:rPr>
                  <w:rStyle w:val="Hyperlink"/>
                </w:rPr>
                <w:t>aboutncver</w:t>
              </w:r>
              <w:proofErr w:type="spellEnd"/>
              <w:r w:rsidR="000C033E" w:rsidRPr="00A11BF0">
                <w:rPr>
                  <w:rStyle w:val="Hyperlink"/>
                </w:rPr>
                <w:t>/</w:t>
              </w:r>
              <w:proofErr w:type="spellStart"/>
              <w:r w:rsidR="000C033E" w:rsidRPr="00A11BF0">
                <w:rPr>
                  <w:rStyle w:val="Hyperlink"/>
                </w:rPr>
                <w:t>who.html</w:t>
              </w:r>
              <w:proofErr w:type="spellEnd"/>
            </w:hyperlink>
          </w:p>
          <w:p w:rsidR="000C033E" w:rsidRPr="00EA6964" w:rsidRDefault="000C033E" w:rsidP="000C033E">
            <w:pPr>
              <w:pStyle w:val="TableBodyText"/>
              <w:jc w:val="both"/>
            </w:pPr>
          </w:p>
        </w:tc>
      </w:tr>
      <w:tr w:rsidR="0099500B" w:rsidRPr="00EA6964" w:rsidTr="00877AB4">
        <w:trPr>
          <w:trHeight w:val="567"/>
        </w:trPr>
        <w:tc>
          <w:tcPr>
            <w:tcW w:w="1869" w:type="dxa"/>
          </w:tcPr>
          <w:p w:rsidR="0099500B" w:rsidRPr="00EA6964" w:rsidRDefault="0099500B" w:rsidP="00117F40">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Relevance</w:t>
            </w:r>
          </w:p>
          <w:p w:rsidR="0099500B" w:rsidRPr="00EA6964" w:rsidRDefault="0099500B" w:rsidP="00117F40">
            <w:pPr>
              <w:keepNext/>
              <w:keepLines/>
              <w:spacing w:after="40" w:line="220" w:lineRule="atLeast"/>
              <w:ind w:left="6" w:right="113"/>
              <w:rPr>
                <w:rFonts w:ascii="Arial" w:eastAsiaTheme="minorHAnsi" w:hAnsi="Arial" w:cstheme="minorBidi"/>
                <w:b/>
                <w:sz w:val="20"/>
                <w:szCs w:val="20"/>
                <w:lang w:eastAsia="en-US"/>
              </w:rPr>
            </w:pPr>
          </w:p>
        </w:tc>
        <w:tc>
          <w:tcPr>
            <w:tcW w:w="6951" w:type="dxa"/>
          </w:tcPr>
          <w:p w:rsidR="0099500B" w:rsidRDefault="0099500B" w:rsidP="000C033E">
            <w:pPr>
              <w:pStyle w:val="TableBodyText"/>
              <w:jc w:val="both"/>
            </w:pPr>
            <w:r>
              <w:t>The National VET Provider Collection collects information relating to students, courses, qualifications, training providers and funding in Australia’s publicly funded vocational education and training (VET) system.</w:t>
            </w:r>
          </w:p>
          <w:p w:rsidR="0099500B" w:rsidRDefault="0099500B" w:rsidP="000C033E">
            <w:pPr>
              <w:pStyle w:val="TableBodyText"/>
              <w:jc w:val="both"/>
            </w:pPr>
          </w:p>
          <w:p w:rsidR="0099500B" w:rsidRDefault="0099500B" w:rsidP="000C033E">
            <w:pPr>
              <w:pStyle w:val="TableBodyText"/>
              <w:jc w:val="both"/>
            </w:pPr>
            <w:r>
              <w:t>The system provides training for students of all ages and backgrounds. Students have many options for training and may study individual subjects or full courses that lead to formal qualifications. Training takes place in classrooms, in the workplace, online and through other flexible delivery methods.</w:t>
            </w:r>
          </w:p>
          <w:p w:rsidR="0099500B" w:rsidRDefault="0099500B" w:rsidP="000C033E">
            <w:pPr>
              <w:pStyle w:val="TableBodyText"/>
              <w:jc w:val="both"/>
            </w:pPr>
            <w:r>
              <w:t>Providers of vocational education and training in Australia include not only technical and further education (TAFE) institutes, but also universities, secondary schools, industry organisations, private enterprises, agricultural colleges, community education providers and other government providers.</w:t>
            </w:r>
          </w:p>
          <w:p w:rsidR="0099500B" w:rsidRDefault="0099500B" w:rsidP="000C033E">
            <w:pPr>
              <w:pStyle w:val="TableBodyText"/>
              <w:jc w:val="both"/>
            </w:pPr>
          </w:p>
          <w:p w:rsidR="0099500B" w:rsidRDefault="0099500B" w:rsidP="000C033E">
            <w:pPr>
              <w:pStyle w:val="TableBodyText"/>
              <w:jc w:val="both"/>
            </w:pPr>
            <w:r>
              <w:t>This collection does not report on the following types of training activity:</w:t>
            </w:r>
          </w:p>
          <w:p w:rsidR="0099500B" w:rsidRDefault="0099500B" w:rsidP="000C033E">
            <w:pPr>
              <w:pStyle w:val="TableBullet"/>
            </w:pPr>
            <w:r>
              <w:t xml:space="preserve">recreation, leisure and personal enrichment </w:t>
            </w:r>
          </w:p>
          <w:p w:rsidR="0099500B" w:rsidRDefault="0099500B" w:rsidP="000C033E">
            <w:pPr>
              <w:pStyle w:val="TableBullet"/>
            </w:pPr>
            <w:r>
              <w:t xml:space="preserve">fee-for-service VET by private providers </w:t>
            </w:r>
          </w:p>
          <w:p w:rsidR="0099500B" w:rsidRDefault="0099500B" w:rsidP="000C033E">
            <w:pPr>
              <w:pStyle w:val="TableBullet"/>
            </w:pPr>
            <w:r>
              <w:t xml:space="preserve">delivery undertaken at overseas campuses of Australian VET institutions </w:t>
            </w:r>
          </w:p>
          <w:p w:rsidR="0099500B" w:rsidRDefault="0099500B" w:rsidP="000C033E">
            <w:pPr>
              <w:pStyle w:val="TableBullet"/>
            </w:pPr>
            <w:r>
              <w:t xml:space="preserve">credit transfer </w:t>
            </w:r>
          </w:p>
          <w:p w:rsidR="0099500B" w:rsidRDefault="0099500B" w:rsidP="000C033E">
            <w:pPr>
              <w:pStyle w:val="TableBullet"/>
            </w:pPr>
            <w:r>
              <w:t>VET delivered in schools, where the delivery has been undertaken by schools.</w:t>
            </w:r>
          </w:p>
          <w:p w:rsidR="000C033E" w:rsidRPr="00EA6964" w:rsidRDefault="000C033E" w:rsidP="000C033E">
            <w:pPr>
              <w:pStyle w:val="TableBullet"/>
              <w:numPr>
                <w:ilvl w:val="0"/>
                <w:numId w:val="0"/>
              </w:numPr>
              <w:ind w:left="170"/>
            </w:pPr>
          </w:p>
        </w:tc>
      </w:tr>
      <w:tr w:rsidR="0099500B" w:rsidRPr="00EA6964" w:rsidTr="00877AB4">
        <w:trPr>
          <w:trHeight w:val="567"/>
        </w:trPr>
        <w:tc>
          <w:tcPr>
            <w:tcW w:w="1869" w:type="dxa"/>
          </w:tcPr>
          <w:p w:rsidR="0099500B" w:rsidRPr="00EA6964" w:rsidRDefault="0099500B" w:rsidP="00117F40">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Timeliness</w:t>
            </w:r>
          </w:p>
          <w:p w:rsidR="0099500B" w:rsidRPr="00EA6964" w:rsidRDefault="0099500B" w:rsidP="00117F40">
            <w:pPr>
              <w:keepNext/>
              <w:keepLines/>
              <w:spacing w:after="40" w:line="220" w:lineRule="atLeast"/>
              <w:ind w:left="6" w:right="113"/>
              <w:rPr>
                <w:rFonts w:ascii="Arial" w:eastAsiaTheme="minorHAnsi" w:hAnsi="Arial" w:cstheme="minorBidi"/>
                <w:b/>
                <w:sz w:val="20"/>
                <w:szCs w:val="20"/>
                <w:lang w:eastAsia="en-US"/>
              </w:rPr>
            </w:pPr>
          </w:p>
        </w:tc>
        <w:tc>
          <w:tcPr>
            <w:tcW w:w="6951" w:type="dxa"/>
          </w:tcPr>
          <w:p w:rsidR="0099500B" w:rsidRDefault="0099500B" w:rsidP="000C033E">
            <w:pPr>
              <w:pStyle w:val="TableBodyText"/>
              <w:jc w:val="both"/>
            </w:pPr>
            <w:r w:rsidRPr="0099500B">
              <w:t>The National VET Provider Collection is an annual collection of data. Data are submitted to NCVER (via state training authorities) by 31 March in the year following activity. A summary of 2012 data was released on 12 July 2013.</w:t>
            </w:r>
          </w:p>
          <w:p w:rsidR="000C033E" w:rsidRPr="00EA6964" w:rsidRDefault="000C033E" w:rsidP="000C033E">
            <w:pPr>
              <w:pStyle w:val="TableBodyText"/>
              <w:jc w:val="both"/>
            </w:pPr>
          </w:p>
        </w:tc>
      </w:tr>
      <w:tr w:rsidR="0099500B" w:rsidRPr="00EA6964" w:rsidTr="00FE680A">
        <w:trPr>
          <w:trHeight w:val="12249"/>
        </w:trPr>
        <w:tc>
          <w:tcPr>
            <w:tcW w:w="1869" w:type="dxa"/>
          </w:tcPr>
          <w:p w:rsidR="0099500B" w:rsidRPr="00EA6964" w:rsidRDefault="0099500B" w:rsidP="00117F40">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Accuracy</w:t>
            </w:r>
          </w:p>
          <w:p w:rsidR="0099500B" w:rsidRPr="00EA6964" w:rsidRDefault="0099500B" w:rsidP="00117F40">
            <w:pPr>
              <w:keepNext/>
              <w:keepLines/>
              <w:spacing w:after="40" w:line="220" w:lineRule="atLeast"/>
              <w:ind w:left="6" w:right="113"/>
              <w:rPr>
                <w:rFonts w:ascii="Arial" w:eastAsiaTheme="minorHAnsi" w:hAnsi="Arial" w:cstheme="minorBidi"/>
                <w:b/>
                <w:sz w:val="20"/>
                <w:szCs w:val="20"/>
                <w:lang w:eastAsia="en-US"/>
              </w:rPr>
            </w:pPr>
          </w:p>
        </w:tc>
        <w:tc>
          <w:tcPr>
            <w:tcW w:w="6951" w:type="dxa"/>
          </w:tcPr>
          <w:p w:rsidR="0099500B" w:rsidRDefault="0099500B" w:rsidP="000C033E">
            <w:pPr>
              <w:pStyle w:val="TableBodyText"/>
              <w:jc w:val="both"/>
            </w:pPr>
            <w:r>
              <w:t>The National VET Provider Collection is a collection of all publicly funded training activity in Australia in a particular year. It is an administrative collection.</w:t>
            </w:r>
          </w:p>
          <w:p w:rsidR="0099500B" w:rsidRDefault="0099500B" w:rsidP="000C033E">
            <w:pPr>
              <w:pStyle w:val="TableBodyText"/>
              <w:jc w:val="both"/>
            </w:pPr>
          </w:p>
          <w:p w:rsidR="0099500B" w:rsidRDefault="0099500B" w:rsidP="000C033E">
            <w:pPr>
              <w:pStyle w:val="TableBodyText"/>
              <w:jc w:val="both"/>
            </w:pPr>
            <w:r>
              <w:t>Publicly funded registered training organisations submit unit record data directly to state/territory training authorities, who in turn submit the data to NCVER. Prior to submissions to NCVER, data must first pass a validation process to ensure that data conforms to the Australian vocational education and training management information statistical standard (</w:t>
            </w:r>
            <w:proofErr w:type="spellStart"/>
            <w:r>
              <w:t>AVETMISS</w:t>
            </w:r>
            <w:proofErr w:type="spellEnd"/>
            <w:r>
              <w:t>) (Refer to http://</w:t>
            </w:r>
            <w:proofErr w:type="spellStart"/>
            <w:r>
              <w:t>www.ncver.edu.au</w:t>
            </w:r>
            <w:proofErr w:type="spellEnd"/>
            <w:r>
              <w:t>/</w:t>
            </w:r>
            <w:proofErr w:type="spellStart"/>
            <w:r>
              <w:t>avetmiss</w:t>
            </w:r>
            <w:proofErr w:type="spellEnd"/>
            <w:r>
              <w:t>/</w:t>
            </w:r>
            <w:proofErr w:type="spellStart"/>
            <w:r>
              <w:t>21055.html</w:t>
            </w:r>
            <w:proofErr w:type="spellEnd"/>
            <w:r>
              <w:t xml:space="preserve">). </w:t>
            </w:r>
          </w:p>
          <w:p w:rsidR="0099500B" w:rsidRDefault="0099500B" w:rsidP="000C033E">
            <w:pPr>
              <w:pStyle w:val="TableBodyText"/>
              <w:jc w:val="both"/>
            </w:pPr>
          </w:p>
          <w:p w:rsidR="0099500B" w:rsidRDefault="0099500B" w:rsidP="000C033E">
            <w:pPr>
              <w:pStyle w:val="TableBodyText"/>
              <w:jc w:val="both"/>
            </w:pPr>
            <w:r>
              <w:t>Once data submissions are received by NCVER they are subjected to a comprehensive data quality checking program to ensure accurate reporting against agreed Key Performance Measures (</w:t>
            </w:r>
            <w:proofErr w:type="spellStart"/>
            <w:r>
              <w:t>KPMs</w:t>
            </w:r>
            <w:proofErr w:type="spellEnd"/>
            <w:r>
              <w:t xml:space="preserve">). Some of the </w:t>
            </w:r>
            <w:proofErr w:type="spellStart"/>
            <w:r>
              <w:t>KPMs</w:t>
            </w:r>
            <w:proofErr w:type="spellEnd"/>
            <w:r>
              <w:t xml:space="preserve"> include:</w:t>
            </w:r>
          </w:p>
          <w:p w:rsidR="0099500B" w:rsidRDefault="0099500B" w:rsidP="000C033E">
            <w:pPr>
              <w:pStyle w:val="TableBullet"/>
            </w:pPr>
            <w:r>
              <w:t>Percentage of unknown data</w:t>
            </w:r>
          </w:p>
          <w:p w:rsidR="0099500B" w:rsidRDefault="0099500B" w:rsidP="000C033E">
            <w:pPr>
              <w:pStyle w:val="TableBullet"/>
            </w:pPr>
            <w:r>
              <w:t xml:space="preserve">The number of training organisation identifiers that do not match the </w:t>
            </w:r>
            <w:proofErr w:type="spellStart"/>
            <w:r>
              <w:t>training.gov.au</w:t>
            </w:r>
            <w:proofErr w:type="spellEnd"/>
            <w:r>
              <w:t xml:space="preserve"> listing</w:t>
            </w:r>
          </w:p>
          <w:p w:rsidR="0099500B" w:rsidRDefault="0099500B" w:rsidP="000C033E">
            <w:pPr>
              <w:pStyle w:val="TableBullet"/>
            </w:pPr>
            <w:r>
              <w:t>Inappropriate training organisation delivery locations</w:t>
            </w:r>
          </w:p>
          <w:p w:rsidR="0099500B" w:rsidRDefault="0099500B" w:rsidP="000C033E">
            <w:pPr>
              <w:pStyle w:val="TableBullet"/>
            </w:pPr>
            <w:r>
              <w:t xml:space="preserve">The number of qualifications/courses that do not match the </w:t>
            </w:r>
            <w:proofErr w:type="spellStart"/>
            <w:r>
              <w:t>training.gov.au</w:t>
            </w:r>
            <w:proofErr w:type="spellEnd"/>
            <w:r>
              <w:t xml:space="preserve"> listing</w:t>
            </w:r>
          </w:p>
          <w:p w:rsidR="0099500B" w:rsidRDefault="0099500B" w:rsidP="000C033E">
            <w:pPr>
              <w:pStyle w:val="TableBullet"/>
            </w:pPr>
            <w:r>
              <w:t xml:space="preserve">The number of modules/units of competency that do not match the </w:t>
            </w:r>
            <w:proofErr w:type="spellStart"/>
            <w:r>
              <w:t>training.gov.au</w:t>
            </w:r>
            <w:proofErr w:type="spellEnd"/>
            <w:r>
              <w:t xml:space="preserve"> listing </w:t>
            </w:r>
          </w:p>
          <w:p w:rsidR="0099500B" w:rsidRDefault="0099500B" w:rsidP="000C033E">
            <w:pPr>
              <w:pStyle w:val="TableBullet"/>
            </w:pPr>
            <w:r>
              <w:t>Duplicate client identification</w:t>
            </w:r>
          </w:p>
          <w:p w:rsidR="0099500B" w:rsidRDefault="0099500B" w:rsidP="000C033E">
            <w:pPr>
              <w:pStyle w:val="TableBullet"/>
            </w:pPr>
            <w:r>
              <w:t>Duplicate qualifications completed</w:t>
            </w:r>
          </w:p>
          <w:p w:rsidR="0099500B" w:rsidRDefault="0099500B" w:rsidP="000C033E">
            <w:pPr>
              <w:pStyle w:val="TableBullet"/>
            </w:pPr>
            <w:r>
              <w:t>Reporting scopes</w:t>
            </w:r>
          </w:p>
          <w:p w:rsidR="0099500B" w:rsidRDefault="0099500B" w:rsidP="000C033E">
            <w:pPr>
              <w:pStyle w:val="TableBullet"/>
            </w:pPr>
            <w:r>
              <w:t>Funding sources</w:t>
            </w:r>
          </w:p>
          <w:p w:rsidR="0099500B" w:rsidRDefault="0099500B" w:rsidP="000C033E">
            <w:pPr>
              <w:pStyle w:val="TableBullet"/>
            </w:pPr>
            <w:r>
              <w:t>Outcome identifiers</w:t>
            </w:r>
          </w:p>
          <w:p w:rsidR="008B392A" w:rsidRDefault="008B392A" w:rsidP="000C033E">
            <w:pPr>
              <w:pStyle w:val="TableBodyText"/>
              <w:jc w:val="both"/>
            </w:pPr>
          </w:p>
          <w:p w:rsidR="0099500B" w:rsidRDefault="0099500B" w:rsidP="000C033E">
            <w:pPr>
              <w:pStyle w:val="TableBodyText"/>
              <w:jc w:val="both"/>
            </w:pPr>
            <w:r>
              <w:t>Data reported in the National VET Provider Collection as ‘not known’ are reported for the following reasons:</w:t>
            </w:r>
          </w:p>
          <w:p w:rsidR="0099500B" w:rsidRDefault="0099500B" w:rsidP="000C033E">
            <w:pPr>
              <w:pStyle w:val="TableBullet"/>
            </w:pPr>
            <w:r>
              <w:t>Information was not collected.</w:t>
            </w:r>
          </w:p>
          <w:p w:rsidR="0099500B" w:rsidRDefault="0099500B" w:rsidP="000C033E">
            <w:pPr>
              <w:pStyle w:val="TableBullet"/>
            </w:pPr>
            <w:r>
              <w:t>A student has not responded to a question on the enrolment form.</w:t>
            </w:r>
          </w:p>
          <w:p w:rsidR="0099500B" w:rsidRDefault="0099500B" w:rsidP="000C033E">
            <w:pPr>
              <w:pStyle w:val="TableBullet"/>
            </w:pPr>
            <w:r>
              <w:t>Invalid information was supplied.</w:t>
            </w:r>
          </w:p>
          <w:p w:rsidR="0099500B" w:rsidRDefault="0099500B" w:rsidP="000C033E">
            <w:pPr>
              <w:pStyle w:val="TableBodyText"/>
              <w:jc w:val="both"/>
            </w:pPr>
          </w:p>
          <w:p w:rsidR="0099500B" w:rsidRDefault="0099500B" w:rsidP="000C033E">
            <w:pPr>
              <w:pStyle w:val="TableBodyText"/>
              <w:jc w:val="both"/>
            </w:pPr>
            <w:r>
              <w:t>Caution should be taken when using data with a large number of ‘not known’ responses, as illustrated in the table</w:t>
            </w:r>
            <w:r w:rsidR="009A5868">
              <w:t xml:space="preserve"> 1</w:t>
            </w:r>
            <w:r>
              <w:t xml:space="preserve"> below.</w:t>
            </w:r>
          </w:p>
          <w:p w:rsidR="0099500B" w:rsidRDefault="0099500B" w:rsidP="000C033E">
            <w:pPr>
              <w:pStyle w:val="TableBodyText"/>
              <w:jc w:val="both"/>
            </w:pPr>
          </w:p>
          <w:p w:rsidR="0099500B" w:rsidRDefault="0099500B" w:rsidP="000C033E">
            <w:pPr>
              <w:pStyle w:val="TableBodyText"/>
              <w:jc w:val="both"/>
            </w:pPr>
            <w:r>
              <w:t>Table 1: Proportion of students with ‘not known’ data (%)</w:t>
            </w:r>
          </w:p>
          <w:tbl>
            <w:tblPr>
              <w:tblpPr w:leftFromText="180" w:rightFromText="180" w:vertAnchor="text" w:horzAnchor="margin" w:tblpY="88"/>
              <w:tblOverlap w:val="never"/>
              <w:tblW w:w="6635" w:type="dxa"/>
              <w:tblBorders>
                <w:top w:val="single" w:sz="4" w:space="0" w:color="auto"/>
                <w:bottom w:val="single" w:sz="4" w:space="0" w:color="auto"/>
              </w:tblBorders>
              <w:tblLayout w:type="fixed"/>
              <w:tblLook w:val="01E0" w:firstRow="1" w:lastRow="1" w:firstColumn="1" w:lastColumn="1" w:noHBand="0" w:noVBand="0"/>
            </w:tblPr>
            <w:tblGrid>
              <w:gridCol w:w="1276"/>
              <w:gridCol w:w="709"/>
              <w:gridCol w:w="850"/>
              <w:gridCol w:w="709"/>
              <w:gridCol w:w="709"/>
              <w:gridCol w:w="850"/>
              <w:gridCol w:w="709"/>
              <w:gridCol w:w="823"/>
            </w:tblGrid>
            <w:tr w:rsidR="002F00B6" w:rsidRPr="0043422E" w:rsidTr="002F00B6">
              <w:trPr>
                <w:trHeight w:val="170"/>
              </w:trPr>
              <w:tc>
                <w:tcPr>
                  <w:tcW w:w="1276" w:type="dxa"/>
                  <w:tcBorders>
                    <w:top w:val="single" w:sz="4" w:space="0" w:color="auto"/>
                    <w:left w:val="nil"/>
                    <w:bottom w:val="single" w:sz="4" w:space="0" w:color="auto"/>
                  </w:tcBorders>
                </w:tcPr>
                <w:p w:rsidR="002F00B6" w:rsidRPr="0043422E" w:rsidRDefault="002F00B6" w:rsidP="000C033E">
                  <w:pPr>
                    <w:pStyle w:val="TableBodyText"/>
                    <w:jc w:val="both"/>
                    <w:rPr>
                      <w:rFonts w:cs="Arial"/>
                      <w:b/>
                      <w:sz w:val="16"/>
                      <w:szCs w:val="16"/>
                    </w:rPr>
                  </w:pPr>
                </w:p>
              </w:tc>
              <w:tc>
                <w:tcPr>
                  <w:tcW w:w="709" w:type="dxa"/>
                  <w:tcBorders>
                    <w:top w:val="single" w:sz="4" w:space="0" w:color="auto"/>
                    <w:bottom w:val="single" w:sz="4" w:space="0" w:color="auto"/>
                  </w:tcBorders>
                </w:tcPr>
                <w:p w:rsidR="002F00B6" w:rsidRDefault="002F00B6" w:rsidP="009A5868">
                  <w:pPr>
                    <w:pStyle w:val="TableBodyText"/>
                    <w:rPr>
                      <w:rFonts w:cs="Arial"/>
                      <w:b/>
                      <w:sz w:val="16"/>
                      <w:szCs w:val="16"/>
                    </w:rPr>
                  </w:pPr>
                  <w:r>
                    <w:rPr>
                      <w:rFonts w:cs="Arial"/>
                      <w:b/>
                      <w:sz w:val="16"/>
                      <w:szCs w:val="16"/>
                    </w:rPr>
                    <w:t>2006</w:t>
                  </w:r>
                </w:p>
              </w:tc>
              <w:tc>
                <w:tcPr>
                  <w:tcW w:w="850" w:type="dxa"/>
                  <w:tcBorders>
                    <w:top w:val="single" w:sz="4" w:space="0" w:color="auto"/>
                    <w:bottom w:val="single" w:sz="4" w:space="0" w:color="auto"/>
                  </w:tcBorders>
                </w:tcPr>
                <w:p w:rsidR="002F00B6" w:rsidRDefault="002F00B6" w:rsidP="009A5868">
                  <w:pPr>
                    <w:pStyle w:val="TableBodyText"/>
                    <w:rPr>
                      <w:rFonts w:cs="Arial"/>
                      <w:b/>
                      <w:sz w:val="16"/>
                      <w:szCs w:val="16"/>
                    </w:rPr>
                  </w:pPr>
                  <w:r>
                    <w:rPr>
                      <w:rFonts w:cs="Arial"/>
                      <w:b/>
                      <w:sz w:val="16"/>
                      <w:szCs w:val="16"/>
                    </w:rPr>
                    <w:t>2007</w:t>
                  </w:r>
                </w:p>
              </w:tc>
              <w:tc>
                <w:tcPr>
                  <w:tcW w:w="709" w:type="dxa"/>
                  <w:tcBorders>
                    <w:top w:val="single" w:sz="4" w:space="0" w:color="auto"/>
                    <w:bottom w:val="single" w:sz="4" w:space="0" w:color="auto"/>
                  </w:tcBorders>
                </w:tcPr>
                <w:p w:rsidR="002F00B6" w:rsidRPr="0043422E" w:rsidRDefault="002F00B6" w:rsidP="009A5868">
                  <w:pPr>
                    <w:pStyle w:val="TableBodyText"/>
                    <w:rPr>
                      <w:rFonts w:cs="Arial"/>
                      <w:b/>
                      <w:sz w:val="16"/>
                      <w:szCs w:val="16"/>
                    </w:rPr>
                  </w:pPr>
                  <w:r>
                    <w:rPr>
                      <w:rFonts w:cs="Arial"/>
                      <w:b/>
                      <w:sz w:val="16"/>
                      <w:szCs w:val="16"/>
                    </w:rPr>
                    <w:t>2008</w:t>
                  </w:r>
                </w:p>
              </w:tc>
              <w:tc>
                <w:tcPr>
                  <w:tcW w:w="709" w:type="dxa"/>
                  <w:tcBorders>
                    <w:top w:val="single" w:sz="4" w:space="0" w:color="auto"/>
                    <w:bottom w:val="single" w:sz="4" w:space="0" w:color="auto"/>
                  </w:tcBorders>
                </w:tcPr>
                <w:p w:rsidR="002F00B6" w:rsidRPr="0043422E" w:rsidRDefault="002F00B6" w:rsidP="009A5868">
                  <w:pPr>
                    <w:pStyle w:val="TableBodyText"/>
                    <w:rPr>
                      <w:rFonts w:cs="Arial"/>
                      <w:b/>
                      <w:sz w:val="16"/>
                      <w:szCs w:val="16"/>
                    </w:rPr>
                  </w:pPr>
                  <w:r>
                    <w:rPr>
                      <w:rFonts w:cs="Arial"/>
                      <w:b/>
                      <w:sz w:val="16"/>
                      <w:szCs w:val="16"/>
                    </w:rPr>
                    <w:t>2009</w:t>
                  </w:r>
                </w:p>
              </w:tc>
              <w:tc>
                <w:tcPr>
                  <w:tcW w:w="850" w:type="dxa"/>
                  <w:tcBorders>
                    <w:top w:val="single" w:sz="4" w:space="0" w:color="auto"/>
                    <w:bottom w:val="single" w:sz="4" w:space="0" w:color="auto"/>
                  </w:tcBorders>
                </w:tcPr>
                <w:p w:rsidR="002F00B6" w:rsidRPr="0043422E" w:rsidRDefault="002F00B6" w:rsidP="009A5868">
                  <w:pPr>
                    <w:pStyle w:val="TableBodyText"/>
                    <w:rPr>
                      <w:rFonts w:cs="Arial"/>
                      <w:b/>
                      <w:sz w:val="16"/>
                      <w:szCs w:val="16"/>
                    </w:rPr>
                  </w:pPr>
                  <w:r>
                    <w:rPr>
                      <w:rFonts w:cs="Arial"/>
                      <w:b/>
                      <w:sz w:val="16"/>
                      <w:szCs w:val="16"/>
                    </w:rPr>
                    <w:t>2010</w:t>
                  </w:r>
                </w:p>
              </w:tc>
              <w:tc>
                <w:tcPr>
                  <w:tcW w:w="709" w:type="dxa"/>
                  <w:tcBorders>
                    <w:top w:val="single" w:sz="4" w:space="0" w:color="auto"/>
                    <w:bottom w:val="single" w:sz="4" w:space="0" w:color="auto"/>
                  </w:tcBorders>
                </w:tcPr>
                <w:p w:rsidR="002F00B6" w:rsidRPr="0043422E" w:rsidRDefault="002F00B6" w:rsidP="009A5868">
                  <w:pPr>
                    <w:pStyle w:val="TableBodyText"/>
                    <w:rPr>
                      <w:rFonts w:cs="Arial"/>
                      <w:b/>
                      <w:sz w:val="16"/>
                      <w:szCs w:val="16"/>
                    </w:rPr>
                  </w:pPr>
                  <w:r>
                    <w:rPr>
                      <w:rFonts w:cs="Arial"/>
                      <w:b/>
                      <w:sz w:val="16"/>
                      <w:szCs w:val="16"/>
                    </w:rPr>
                    <w:t>2011</w:t>
                  </w:r>
                </w:p>
              </w:tc>
              <w:tc>
                <w:tcPr>
                  <w:tcW w:w="823" w:type="dxa"/>
                  <w:tcBorders>
                    <w:top w:val="single" w:sz="4" w:space="0" w:color="auto"/>
                    <w:bottom w:val="single" w:sz="4" w:space="0" w:color="auto"/>
                  </w:tcBorders>
                </w:tcPr>
                <w:p w:rsidR="002F00B6" w:rsidRDefault="002F00B6" w:rsidP="009A5868">
                  <w:pPr>
                    <w:pStyle w:val="TableBodyText"/>
                    <w:rPr>
                      <w:rFonts w:cs="Arial"/>
                      <w:b/>
                      <w:sz w:val="16"/>
                      <w:szCs w:val="16"/>
                    </w:rPr>
                  </w:pPr>
                  <w:r>
                    <w:rPr>
                      <w:rFonts w:cs="Arial"/>
                      <w:b/>
                      <w:sz w:val="16"/>
                      <w:szCs w:val="16"/>
                    </w:rPr>
                    <w:t>2012</w:t>
                  </w:r>
                </w:p>
              </w:tc>
            </w:tr>
            <w:tr w:rsidR="002F00B6" w:rsidRPr="0043422E" w:rsidTr="002F00B6">
              <w:trPr>
                <w:trHeight w:val="170"/>
              </w:trPr>
              <w:tc>
                <w:tcPr>
                  <w:tcW w:w="1276" w:type="dxa"/>
                  <w:tcBorders>
                    <w:top w:val="single" w:sz="4" w:space="0" w:color="auto"/>
                    <w:left w:val="nil"/>
                  </w:tcBorders>
                </w:tcPr>
                <w:p w:rsidR="002F00B6" w:rsidRPr="0043422E" w:rsidRDefault="002F00B6" w:rsidP="000C033E">
                  <w:pPr>
                    <w:pStyle w:val="TableBodyText"/>
                    <w:jc w:val="both"/>
                    <w:rPr>
                      <w:rFonts w:cs="Arial"/>
                      <w:sz w:val="16"/>
                      <w:szCs w:val="16"/>
                    </w:rPr>
                  </w:pPr>
                  <w:r>
                    <w:rPr>
                      <w:rFonts w:cs="Arial"/>
                      <w:sz w:val="16"/>
                      <w:szCs w:val="16"/>
                    </w:rPr>
                    <w:t>Indigenous status</w:t>
                  </w:r>
                </w:p>
              </w:tc>
              <w:tc>
                <w:tcPr>
                  <w:tcW w:w="709" w:type="dxa"/>
                  <w:tcBorders>
                    <w:top w:val="single" w:sz="4" w:space="0" w:color="auto"/>
                  </w:tcBorders>
                </w:tcPr>
                <w:p w:rsidR="002F00B6" w:rsidRPr="002F00B6" w:rsidRDefault="002F00B6" w:rsidP="009A5868">
                  <w:pPr>
                    <w:pStyle w:val="TableBodyText"/>
                    <w:rPr>
                      <w:sz w:val="16"/>
                      <w:szCs w:val="16"/>
                    </w:rPr>
                  </w:pPr>
                  <w:r w:rsidRPr="002F00B6">
                    <w:rPr>
                      <w:sz w:val="16"/>
                      <w:szCs w:val="16"/>
                    </w:rPr>
                    <w:t>15.4</w:t>
                  </w:r>
                </w:p>
              </w:tc>
              <w:tc>
                <w:tcPr>
                  <w:tcW w:w="850" w:type="dxa"/>
                  <w:tcBorders>
                    <w:top w:val="single" w:sz="4" w:space="0" w:color="auto"/>
                  </w:tcBorders>
                </w:tcPr>
                <w:p w:rsidR="002F00B6" w:rsidRPr="002F00B6" w:rsidRDefault="002F00B6" w:rsidP="009A5868">
                  <w:pPr>
                    <w:pStyle w:val="TableBodyText"/>
                    <w:rPr>
                      <w:sz w:val="16"/>
                      <w:szCs w:val="16"/>
                    </w:rPr>
                  </w:pPr>
                  <w:r>
                    <w:rPr>
                      <w:sz w:val="16"/>
                      <w:szCs w:val="16"/>
                    </w:rPr>
                    <w:t>10.7</w:t>
                  </w:r>
                </w:p>
              </w:tc>
              <w:tc>
                <w:tcPr>
                  <w:tcW w:w="709" w:type="dxa"/>
                  <w:tcBorders>
                    <w:top w:val="single" w:sz="4" w:space="0" w:color="auto"/>
                  </w:tcBorders>
                </w:tcPr>
                <w:p w:rsidR="002F00B6" w:rsidRPr="002F00B6" w:rsidRDefault="002F00B6" w:rsidP="009A5868">
                  <w:pPr>
                    <w:pStyle w:val="TableBodyText"/>
                    <w:rPr>
                      <w:sz w:val="16"/>
                      <w:szCs w:val="16"/>
                    </w:rPr>
                  </w:pPr>
                  <w:r>
                    <w:rPr>
                      <w:sz w:val="16"/>
                      <w:szCs w:val="16"/>
                    </w:rPr>
                    <w:t>10.0</w:t>
                  </w:r>
                </w:p>
              </w:tc>
              <w:tc>
                <w:tcPr>
                  <w:tcW w:w="709" w:type="dxa"/>
                  <w:tcBorders>
                    <w:top w:val="single" w:sz="4" w:space="0" w:color="auto"/>
                  </w:tcBorders>
                </w:tcPr>
                <w:p w:rsidR="002F00B6" w:rsidRPr="002F00B6" w:rsidRDefault="002F00B6" w:rsidP="009A5868">
                  <w:pPr>
                    <w:pStyle w:val="TableBodyText"/>
                    <w:rPr>
                      <w:sz w:val="16"/>
                      <w:szCs w:val="16"/>
                    </w:rPr>
                  </w:pPr>
                  <w:r>
                    <w:rPr>
                      <w:sz w:val="16"/>
                      <w:szCs w:val="16"/>
                    </w:rPr>
                    <w:t>9.8</w:t>
                  </w:r>
                </w:p>
              </w:tc>
              <w:tc>
                <w:tcPr>
                  <w:tcW w:w="850" w:type="dxa"/>
                  <w:tcBorders>
                    <w:top w:val="single" w:sz="4" w:space="0" w:color="auto"/>
                  </w:tcBorders>
                </w:tcPr>
                <w:p w:rsidR="002F00B6" w:rsidRPr="002F00B6" w:rsidRDefault="002F00B6" w:rsidP="009A5868">
                  <w:pPr>
                    <w:pStyle w:val="TableBodyText"/>
                    <w:rPr>
                      <w:sz w:val="16"/>
                      <w:szCs w:val="16"/>
                    </w:rPr>
                  </w:pPr>
                  <w:r>
                    <w:rPr>
                      <w:sz w:val="16"/>
                      <w:szCs w:val="16"/>
                    </w:rPr>
                    <w:t>8.4</w:t>
                  </w:r>
                </w:p>
              </w:tc>
              <w:tc>
                <w:tcPr>
                  <w:tcW w:w="709" w:type="dxa"/>
                  <w:tcBorders>
                    <w:top w:val="single" w:sz="4" w:space="0" w:color="auto"/>
                  </w:tcBorders>
                </w:tcPr>
                <w:p w:rsidR="002F00B6" w:rsidRPr="002F00B6" w:rsidRDefault="002F00B6" w:rsidP="009A5868">
                  <w:pPr>
                    <w:pStyle w:val="TableBodyText"/>
                    <w:rPr>
                      <w:sz w:val="16"/>
                      <w:szCs w:val="16"/>
                    </w:rPr>
                  </w:pPr>
                  <w:r>
                    <w:rPr>
                      <w:sz w:val="16"/>
                      <w:szCs w:val="16"/>
                    </w:rPr>
                    <w:t>7.2</w:t>
                  </w:r>
                </w:p>
              </w:tc>
              <w:tc>
                <w:tcPr>
                  <w:tcW w:w="823" w:type="dxa"/>
                  <w:tcBorders>
                    <w:top w:val="single" w:sz="4" w:space="0" w:color="auto"/>
                  </w:tcBorders>
                </w:tcPr>
                <w:p w:rsidR="002F00B6" w:rsidRPr="002F00B6" w:rsidRDefault="002F00B6" w:rsidP="009A5868">
                  <w:pPr>
                    <w:pStyle w:val="TableBodyText"/>
                    <w:rPr>
                      <w:sz w:val="16"/>
                      <w:szCs w:val="16"/>
                    </w:rPr>
                  </w:pPr>
                  <w:r>
                    <w:rPr>
                      <w:sz w:val="16"/>
                      <w:szCs w:val="16"/>
                    </w:rPr>
                    <w:t>5.1</w:t>
                  </w:r>
                </w:p>
              </w:tc>
            </w:tr>
            <w:tr w:rsidR="002F00B6" w:rsidRPr="0043422E" w:rsidTr="002F00B6">
              <w:trPr>
                <w:trHeight w:val="170"/>
              </w:trPr>
              <w:tc>
                <w:tcPr>
                  <w:tcW w:w="1276" w:type="dxa"/>
                  <w:tcBorders>
                    <w:left w:val="nil"/>
                  </w:tcBorders>
                </w:tcPr>
                <w:p w:rsidR="002F00B6" w:rsidRPr="0043422E" w:rsidRDefault="002F00B6" w:rsidP="000C033E">
                  <w:pPr>
                    <w:pStyle w:val="TableBodyText"/>
                    <w:jc w:val="both"/>
                    <w:rPr>
                      <w:rFonts w:cs="Arial"/>
                      <w:sz w:val="16"/>
                      <w:szCs w:val="16"/>
                    </w:rPr>
                  </w:pPr>
                  <w:r>
                    <w:rPr>
                      <w:rFonts w:cs="Arial"/>
                      <w:sz w:val="16"/>
                      <w:szCs w:val="16"/>
                    </w:rPr>
                    <w:t>Disability status</w:t>
                  </w:r>
                </w:p>
              </w:tc>
              <w:tc>
                <w:tcPr>
                  <w:tcW w:w="709" w:type="dxa"/>
                </w:tcPr>
                <w:p w:rsidR="002F00B6" w:rsidRPr="002F00B6" w:rsidRDefault="002F00B6" w:rsidP="009A5868">
                  <w:pPr>
                    <w:pStyle w:val="TableBodyText"/>
                    <w:rPr>
                      <w:sz w:val="16"/>
                      <w:szCs w:val="16"/>
                    </w:rPr>
                  </w:pPr>
                  <w:r w:rsidRPr="002F00B6">
                    <w:rPr>
                      <w:sz w:val="16"/>
                      <w:szCs w:val="16"/>
                    </w:rPr>
                    <w:t>18.7</w:t>
                  </w:r>
                </w:p>
              </w:tc>
              <w:tc>
                <w:tcPr>
                  <w:tcW w:w="850" w:type="dxa"/>
                </w:tcPr>
                <w:p w:rsidR="002F00B6" w:rsidRPr="002F00B6" w:rsidRDefault="002F00B6" w:rsidP="009A5868">
                  <w:pPr>
                    <w:pStyle w:val="TableBodyText"/>
                    <w:rPr>
                      <w:sz w:val="16"/>
                      <w:szCs w:val="16"/>
                    </w:rPr>
                  </w:pPr>
                  <w:r>
                    <w:rPr>
                      <w:sz w:val="16"/>
                      <w:szCs w:val="16"/>
                    </w:rPr>
                    <w:t>15.1</w:t>
                  </w:r>
                </w:p>
              </w:tc>
              <w:tc>
                <w:tcPr>
                  <w:tcW w:w="709" w:type="dxa"/>
                </w:tcPr>
                <w:p w:rsidR="002F00B6" w:rsidRPr="002F00B6" w:rsidRDefault="002F00B6" w:rsidP="009A5868">
                  <w:pPr>
                    <w:pStyle w:val="TableBodyText"/>
                    <w:rPr>
                      <w:sz w:val="16"/>
                      <w:szCs w:val="16"/>
                    </w:rPr>
                  </w:pPr>
                  <w:r>
                    <w:rPr>
                      <w:sz w:val="16"/>
                      <w:szCs w:val="16"/>
                    </w:rPr>
                    <w:t>13.4</w:t>
                  </w:r>
                </w:p>
              </w:tc>
              <w:tc>
                <w:tcPr>
                  <w:tcW w:w="709" w:type="dxa"/>
                </w:tcPr>
                <w:p w:rsidR="002F00B6" w:rsidRPr="002F00B6" w:rsidRDefault="002F00B6" w:rsidP="009A5868">
                  <w:pPr>
                    <w:pStyle w:val="TableBodyText"/>
                    <w:rPr>
                      <w:sz w:val="16"/>
                      <w:szCs w:val="16"/>
                    </w:rPr>
                  </w:pPr>
                  <w:r>
                    <w:rPr>
                      <w:sz w:val="16"/>
                      <w:szCs w:val="16"/>
                    </w:rPr>
                    <w:t>13.2</w:t>
                  </w:r>
                </w:p>
              </w:tc>
              <w:tc>
                <w:tcPr>
                  <w:tcW w:w="850" w:type="dxa"/>
                </w:tcPr>
                <w:p w:rsidR="002F00B6" w:rsidRPr="002F00B6" w:rsidRDefault="002F00B6" w:rsidP="009A5868">
                  <w:pPr>
                    <w:pStyle w:val="TableBodyText"/>
                    <w:rPr>
                      <w:sz w:val="16"/>
                      <w:szCs w:val="16"/>
                    </w:rPr>
                  </w:pPr>
                  <w:r>
                    <w:rPr>
                      <w:sz w:val="16"/>
                      <w:szCs w:val="16"/>
                    </w:rPr>
                    <w:t>13.6</w:t>
                  </w:r>
                </w:p>
              </w:tc>
              <w:tc>
                <w:tcPr>
                  <w:tcW w:w="709" w:type="dxa"/>
                </w:tcPr>
                <w:p w:rsidR="002F00B6" w:rsidRPr="002F00B6" w:rsidRDefault="002F00B6" w:rsidP="009A5868">
                  <w:pPr>
                    <w:pStyle w:val="TableBodyText"/>
                    <w:rPr>
                      <w:sz w:val="16"/>
                      <w:szCs w:val="16"/>
                    </w:rPr>
                  </w:pPr>
                  <w:r>
                    <w:rPr>
                      <w:sz w:val="16"/>
                      <w:szCs w:val="16"/>
                    </w:rPr>
                    <w:t>12.8</w:t>
                  </w:r>
                </w:p>
              </w:tc>
              <w:tc>
                <w:tcPr>
                  <w:tcW w:w="823" w:type="dxa"/>
                </w:tcPr>
                <w:p w:rsidR="002F00B6" w:rsidRPr="002F00B6" w:rsidRDefault="002F00B6" w:rsidP="009A5868">
                  <w:pPr>
                    <w:pStyle w:val="TableBodyText"/>
                    <w:rPr>
                      <w:sz w:val="16"/>
                      <w:szCs w:val="16"/>
                    </w:rPr>
                  </w:pPr>
                  <w:r>
                    <w:rPr>
                      <w:sz w:val="16"/>
                      <w:szCs w:val="16"/>
                    </w:rPr>
                    <w:t>10.7</w:t>
                  </w:r>
                </w:p>
              </w:tc>
            </w:tr>
            <w:tr w:rsidR="002F00B6" w:rsidRPr="0043422E" w:rsidTr="002F00B6">
              <w:trPr>
                <w:trHeight w:val="170"/>
              </w:trPr>
              <w:tc>
                <w:tcPr>
                  <w:tcW w:w="1276" w:type="dxa"/>
                  <w:tcBorders>
                    <w:left w:val="nil"/>
                  </w:tcBorders>
                </w:tcPr>
                <w:p w:rsidR="002F00B6" w:rsidRPr="0043422E" w:rsidRDefault="002F00B6" w:rsidP="000C033E">
                  <w:pPr>
                    <w:pStyle w:val="TableBodyText"/>
                    <w:jc w:val="both"/>
                    <w:rPr>
                      <w:rFonts w:cs="Arial"/>
                      <w:sz w:val="16"/>
                      <w:szCs w:val="16"/>
                    </w:rPr>
                  </w:pPr>
                  <w:r>
                    <w:rPr>
                      <w:rFonts w:cs="Arial"/>
                      <w:sz w:val="16"/>
                      <w:szCs w:val="16"/>
                    </w:rPr>
                    <w:t>Non-English speaking background</w:t>
                  </w:r>
                </w:p>
              </w:tc>
              <w:tc>
                <w:tcPr>
                  <w:tcW w:w="709" w:type="dxa"/>
                </w:tcPr>
                <w:p w:rsidR="002F00B6" w:rsidRPr="002F00B6" w:rsidRDefault="002F00B6" w:rsidP="009A5868">
                  <w:pPr>
                    <w:pStyle w:val="TableBodyText"/>
                    <w:rPr>
                      <w:sz w:val="16"/>
                      <w:szCs w:val="16"/>
                    </w:rPr>
                  </w:pPr>
                  <w:r w:rsidRPr="002F00B6">
                    <w:rPr>
                      <w:sz w:val="16"/>
                      <w:szCs w:val="16"/>
                    </w:rPr>
                    <w:t>16.4</w:t>
                  </w:r>
                </w:p>
              </w:tc>
              <w:tc>
                <w:tcPr>
                  <w:tcW w:w="850" w:type="dxa"/>
                </w:tcPr>
                <w:p w:rsidR="002F00B6" w:rsidRPr="002F00B6" w:rsidRDefault="002F00B6" w:rsidP="009A5868">
                  <w:pPr>
                    <w:pStyle w:val="TableBodyText"/>
                    <w:rPr>
                      <w:sz w:val="16"/>
                      <w:szCs w:val="16"/>
                    </w:rPr>
                  </w:pPr>
                  <w:r>
                    <w:rPr>
                      <w:sz w:val="16"/>
                      <w:szCs w:val="16"/>
                    </w:rPr>
                    <w:t>11.6</w:t>
                  </w:r>
                </w:p>
              </w:tc>
              <w:tc>
                <w:tcPr>
                  <w:tcW w:w="709" w:type="dxa"/>
                </w:tcPr>
                <w:p w:rsidR="002F00B6" w:rsidRPr="002F00B6" w:rsidRDefault="002F00B6" w:rsidP="009A5868">
                  <w:pPr>
                    <w:pStyle w:val="TableBodyText"/>
                    <w:rPr>
                      <w:sz w:val="16"/>
                      <w:szCs w:val="16"/>
                    </w:rPr>
                  </w:pPr>
                  <w:r>
                    <w:rPr>
                      <w:sz w:val="16"/>
                      <w:szCs w:val="16"/>
                    </w:rPr>
                    <w:t>10.7</w:t>
                  </w:r>
                </w:p>
              </w:tc>
              <w:tc>
                <w:tcPr>
                  <w:tcW w:w="709" w:type="dxa"/>
                </w:tcPr>
                <w:p w:rsidR="002F00B6" w:rsidRPr="002F00B6" w:rsidRDefault="002F00B6" w:rsidP="009A5868">
                  <w:pPr>
                    <w:pStyle w:val="TableBodyText"/>
                    <w:rPr>
                      <w:sz w:val="16"/>
                      <w:szCs w:val="16"/>
                    </w:rPr>
                  </w:pPr>
                  <w:r>
                    <w:rPr>
                      <w:sz w:val="16"/>
                      <w:szCs w:val="16"/>
                    </w:rPr>
                    <w:t>10.5</w:t>
                  </w:r>
                </w:p>
              </w:tc>
              <w:tc>
                <w:tcPr>
                  <w:tcW w:w="850" w:type="dxa"/>
                </w:tcPr>
                <w:p w:rsidR="002F00B6" w:rsidRPr="002F00B6" w:rsidRDefault="002F00B6" w:rsidP="009A5868">
                  <w:pPr>
                    <w:pStyle w:val="TableBodyText"/>
                    <w:rPr>
                      <w:sz w:val="16"/>
                      <w:szCs w:val="16"/>
                    </w:rPr>
                  </w:pPr>
                  <w:r>
                    <w:rPr>
                      <w:sz w:val="16"/>
                      <w:szCs w:val="16"/>
                    </w:rPr>
                    <w:t>8.2</w:t>
                  </w:r>
                </w:p>
              </w:tc>
              <w:tc>
                <w:tcPr>
                  <w:tcW w:w="709" w:type="dxa"/>
                </w:tcPr>
                <w:p w:rsidR="002F00B6" w:rsidRPr="002F00B6" w:rsidRDefault="002F00B6" w:rsidP="009A5868">
                  <w:pPr>
                    <w:pStyle w:val="TableBodyText"/>
                    <w:rPr>
                      <w:sz w:val="16"/>
                      <w:szCs w:val="16"/>
                    </w:rPr>
                  </w:pPr>
                  <w:r>
                    <w:rPr>
                      <w:sz w:val="16"/>
                      <w:szCs w:val="16"/>
                    </w:rPr>
                    <w:t>7.4</w:t>
                  </w:r>
                </w:p>
              </w:tc>
              <w:tc>
                <w:tcPr>
                  <w:tcW w:w="823" w:type="dxa"/>
                </w:tcPr>
                <w:p w:rsidR="002F00B6" w:rsidRPr="002F00B6" w:rsidRDefault="002F00B6" w:rsidP="009A5868">
                  <w:pPr>
                    <w:pStyle w:val="TableBodyText"/>
                    <w:rPr>
                      <w:sz w:val="16"/>
                      <w:szCs w:val="16"/>
                    </w:rPr>
                  </w:pPr>
                  <w:r>
                    <w:rPr>
                      <w:sz w:val="16"/>
                      <w:szCs w:val="16"/>
                    </w:rPr>
                    <w:t>7.2</w:t>
                  </w:r>
                </w:p>
              </w:tc>
            </w:tr>
          </w:tbl>
          <w:p w:rsidR="0099500B" w:rsidRPr="00EA6964" w:rsidRDefault="0099500B" w:rsidP="000C033E">
            <w:pPr>
              <w:pStyle w:val="TableBodyText"/>
              <w:jc w:val="both"/>
            </w:pPr>
          </w:p>
        </w:tc>
      </w:tr>
      <w:tr w:rsidR="0099500B" w:rsidRPr="00EA6964" w:rsidTr="00877AB4">
        <w:trPr>
          <w:trHeight w:val="567"/>
        </w:trPr>
        <w:tc>
          <w:tcPr>
            <w:tcW w:w="1869" w:type="dxa"/>
          </w:tcPr>
          <w:p w:rsidR="0099500B" w:rsidRPr="00EA6964" w:rsidRDefault="0099500B" w:rsidP="00117F40">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Coherence</w:t>
            </w:r>
          </w:p>
          <w:p w:rsidR="0099500B" w:rsidRPr="00EA6964" w:rsidRDefault="0099500B" w:rsidP="00117F40">
            <w:pPr>
              <w:keepNext/>
              <w:keepLines/>
              <w:spacing w:after="40" w:line="220" w:lineRule="atLeast"/>
              <w:ind w:left="6" w:right="113"/>
              <w:rPr>
                <w:rFonts w:ascii="Arial" w:eastAsiaTheme="minorHAnsi" w:hAnsi="Arial" w:cstheme="minorBidi"/>
                <w:b/>
                <w:sz w:val="20"/>
                <w:szCs w:val="20"/>
                <w:lang w:eastAsia="en-US"/>
              </w:rPr>
            </w:pPr>
          </w:p>
        </w:tc>
        <w:tc>
          <w:tcPr>
            <w:tcW w:w="6951" w:type="dxa"/>
          </w:tcPr>
          <w:p w:rsidR="0099500B" w:rsidRDefault="0099500B" w:rsidP="000C033E">
            <w:pPr>
              <w:pStyle w:val="TableBodyText"/>
              <w:jc w:val="both"/>
            </w:pPr>
            <w:r w:rsidRPr="0099500B">
              <w:t xml:space="preserve">AVETMISS provides the foundation for nationally comparable data and includes a range of data items relevant to the VET system. For 2012, data comply with release 6.1 of AVETMISS, whereas previous collections complied with earlier releases. For details, see </w:t>
            </w:r>
            <w:hyperlink r:id="rId31" w:history="1">
              <w:r w:rsidR="000C033E" w:rsidRPr="00A11BF0">
                <w:rPr>
                  <w:rStyle w:val="Hyperlink"/>
                </w:rPr>
                <w:t>http://</w:t>
              </w:r>
              <w:proofErr w:type="spellStart"/>
              <w:r w:rsidR="000C033E" w:rsidRPr="00A11BF0">
                <w:rPr>
                  <w:rStyle w:val="Hyperlink"/>
                </w:rPr>
                <w:t>www.ncver.edu.au</w:t>
              </w:r>
              <w:proofErr w:type="spellEnd"/>
              <w:r w:rsidR="000C033E" w:rsidRPr="00A11BF0">
                <w:rPr>
                  <w:rStyle w:val="Hyperlink"/>
                </w:rPr>
                <w:t>/</w:t>
              </w:r>
              <w:proofErr w:type="spellStart"/>
              <w:r w:rsidR="000C033E" w:rsidRPr="00A11BF0">
                <w:rPr>
                  <w:rStyle w:val="Hyperlink"/>
                </w:rPr>
                <w:t>avetmiss</w:t>
              </w:r>
              <w:proofErr w:type="spellEnd"/>
              <w:r w:rsidR="000C033E" w:rsidRPr="00A11BF0">
                <w:rPr>
                  <w:rStyle w:val="Hyperlink"/>
                </w:rPr>
                <w:t>/</w:t>
              </w:r>
              <w:proofErr w:type="spellStart"/>
              <w:r w:rsidR="000C033E" w:rsidRPr="00A11BF0">
                <w:rPr>
                  <w:rStyle w:val="Hyperlink"/>
                </w:rPr>
                <w:t>21055.html</w:t>
              </w:r>
              <w:proofErr w:type="spellEnd"/>
            </w:hyperlink>
            <w:r w:rsidRPr="0099500B">
              <w:t>.</w:t>
            </w:r>
          </w:p>
          <w:p w:rsidR="000C033E" w:rsidRPr="00EA6964" w:rsidRDefault="000C033E" w:rsidP="000C033E">
            <w:pPr>
              <w:pStyle w:val="TableBodyText"/>
              <w:jc w:val="both"/>
            </w:pPr>
          </w:p>
        </w:tc>
      </w:tr>
      <w:tr w:rsidR="0099500B" w:rsidRPr="00EA6964" w:rsidTr="00877AB4">
        <w:trPr>
          <w:trHeight w:val="567"/>
        </w:trPr>
        <w:tc>
          <w:tcPr>
            <w:tcW w:w="1869" w:type="dxa"/>
          </w:tcPr>
          <w:p w:rsidR="0099500B" w:rsidRPr="00EA6964" w:rsidRDefault="0099500B" w:rsidP="00117F40">
            <w:pPr>
              <w:keepNext/>
              <w:keepLines/>
              <w:spacing w:after="40" w:line="220" w:lineRule="atLeast"/>
              <w:ind w:left="6" w:right="113"/>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Accessibility</w:t>
            </w:r>
          </w:p>
          <w:p w:rsidR="0099500B" w:rsidRPr="00EA6964" w:rsidRDefault="0099500B" w:rsidP="00117F40">
            <w:pPr>
              <w:keepNext/>
              <w:keepLines/>
              <w:spacing w:after="40" w:line="220" w:lineRule="atLeast"/>
              <w:ind w:left="6" w:right="113"/>
              <w:rPr>
                <w:rFonts w:ascii="Arial" w:eastAsiaTheme="minorHAnsi" w:hAnsi="Arial" w:cstheme="minorBidi"/>
                <w:b/>
                <w:sz w:val="20"/>
                <w:szCs w:val="20"/>
                <w:lang w:eastAsia="en-US"/>
              </w:rPr>
            </w:pPr>
          </w:p>
        </w:tc>
        <w:tc>
          <w:tcPr>
            <w:tcW w:w="6951" w:type="dxa"/>
          </w:tcPr>
          <w:p w:rsidR="0099500B" w:rsidRPr="0099500B" w:rsidRDefault="0099500B" w:rsidP="000C033E">
            <w:pPr>
              <w:pStyle w:val="TableBodyText"/>
              <w:jc w:val="both"/>
              <w:rPr>
                <w:bCs/>
                <w:lang w:val="en"/>
              </w:rPr>
            </w:pPr>
            <w:r w:rsidRPr="0099500B">
              <w:rPr>
                <w:bCs/>
                <w:lang w:val="en"/>
              </w:rPr>
              <w:t xml:space="preserve">Summary information is available free of charge in Students and Courses on </w:t>
            </w:r>
            <w:proofErr w:type="spellStart"/>
            <w:r w:rsidRPr="0099500B">
              <w:rPr>
                <w:bCs/>
                <w:lang w:val="en"/>
              </w:rPr>
              <w:t>NCVER’s</w:t>
            </w:r>
            <w:proofErr w:type="spellEnd"/>
            <w:r w:rsidRPr="0099500B">
              <w:rPr>
                <w:bCs/>
                <w:lang w:val="en"/>
              </w:rPr>
              <w:t xml:space="preserve"> website at: http://</w:t>
            </w:r>
            <w:proofErr w:type="spellStart"/>
            <w:r w:rsidRPr="0099500B">
              <w:rPr>
                <w:bCs/>
                <w:lang w:val="en"/>
              </w:rPr>
              <w:t>www.ncver.edu.au</w:t>
            </w:r>
            <w:proofErr w:type="spellEnd"/>
            <w:r w:rsidRPr="0099500B">
              <w:rPr>
                <w:bCs/>
                <w:lang w:val="en"/>
              </w:rPr>
              <w:t>/statistic/</w:t>
            </w:r>
            <w:proofErr w:type="spellStart"/>
            <w:r w:rsidRPr="0099500B">
              <w:rPr>
                <w:bCs/>
                <w:lang w:val="en"/>
              </w:rPr>
              <w:t>21053.html</w:t>
            </w:r>
            <w:proofErr w:type="spellEnd"/>
            <w:r w:rsidRPr="0099500B">
              <w:rPr>
                <w:bCs/>
                <w:lang w:val="en"/>
              </w:rPr>
              <w:t xml:space="preserve">. Requests for more detailed statistical information can be made to NCVER on (08) 8230 8400 or </w:t>
            </w:r>
            <w:proofErr w:type="spellStart"/>
            <w:r w:rsidRPr="0099500B">
              <w:rPr>
                <w:bCs/>
                <w:lang w:val="en"/>
              </w:rPr>
              <w:t>vet_req@ncver.edu.au</w:t>
            </w:r>
            <w:proofErr w:type="spellEnd"/>
            <w:r w:rsidRPr="0099500B">
              <w:rPr>
                <w:bCs/>
                <w:lang w:val="en"/>
              </w:rPr>
              <w:t>.</w:t>
            </w:r>
            <w:r w:rsidRPr="0099500B">
              <w:rPr>
                <w:bCs/>
                <w:lang w:val="en"/>
              </w:rPr>
              <w:cr/>
            </w:r>
          </w:p>
          <w:p w:rsidR="0099500B" w:rsidRDefault="0099500B" w:rsidP="000C033E">
            <w:pPr>
              <w:pStyle w:val="TableBodyText"/>
              <w:jc w:val="both"/>
              <w:rPr>
                <w:bCs/>
                <w:lang w:val="en"/>
              </w:rPr>
            </w:pPr>
            <w:r w:rsidRPr="0099500B">
              <w:rPr>
                <w:bCs/>
                <w:lang w:val="en"/>
              </w:rPr>
              <w:t xml:space="preserve">A charge will be generally made by the NCVER for more complex requests for information. See </w:t>
            </w:r>
            <w:proofErr w:type="spellStart"/>
            <w:r w:rsidRPr="0099500B">
              <w:rPr>
                <w:bCs/>
                <w:lang w:val="en"/>
              </w:rPr>
              <w:t>NCVER’s</w:t>
            </w:r>
            <w:proofErr w:type="spellEnd"/>
            <w:r w:rsidRPr="0099500B">
              <w:rPr>
                <w:bCs/>
                <w:lang w:val="en"/>
              </w:rPr>
              <w:t xml:space="preserve"> fees and charges policy at </w:t>
            </w:r>
            <w:hyperlink r:id="rId32" w:history="1">
              <w:r w:rsidR="000C033E" w:rsidRPr="00A11BF0">
                <w:rPr>
                  <w:rStyle w:val="Hyperlink"/>
                  <w:bCs/>
                  <w:lang w:val="en"/>
                </w:rPr>
                <w:t>http://</w:t>
              </w:r>
              <w:proofErr w:type="spellStart"/>
              <w:r w:rsidR="000C033E" w:rsidRPr="00A11BF0">
                <w:rPr>
                  <w:rStyle w:val="Hyperlink"/>
                  <w:bCs/>
                  <w:lang w:val="en"/>
                </w:rPr>
                <w:t>www.ncver.edu.au</w:t>
              </w:r>
              <w:proofErr w:type="spellEnd"/>
              <w:r w:rsidR="000C033E" w:rsidRPr="00A11BF0">
                <w:rPr>
                  <w:rStyle w:val="Hyperlink"/>
                  <w:bCs/>
                  <w:lang w:val="en"/>
                </w:rPr>
                <w:t>/statistic/</w:t>
              </w:r>
              <w:proofErr w:type="spellStart"/>
              <w:r w:rsidR="000C033E" w:rsidRPr="00A11BF0">
                <w:rPr>
                  <w:rStyle w:val="Hyperlink"/>
                  <w:bCs/>
                  <w:lang w:val="en"/>
                </w:rPr>
                <w:t>21075.html</w:t>
              </w:r>
              <w:proofErr w:type="spellEnd"/>
            </w:hyperlink>
          </w:p>
          <w:p w:rsidR="000C033E" w:rsidRPr="00EA6964" w:rsidRDefault="000C033E" w:rsidP="000C033E">
            <w:pPr>
              <w:pStyle w:val="TableBodyText"/>
              <w:jc w:val="both"/>
              <w:rPr>
                <w:bCs/>
                <w:lang w:val="en"/>
              </w:rPr>
            </w:pPr>
          </w:p>
        </w:tc>
      </w:tr>
      <w:tr w:rsidR="0099500B" w:rsidRPr="00EA6964" w:rsidTr="00877AB4">
        <w:trPr>
          <w:trHeight w:val="567"/>
        </w:trPr>
        <w:tc>
          <w:tcPr>
            <w:tcW w:w="1869" w:type="dxa"/>
          </w:tcPr>
          <w:p w:rsidR="0099500B" w:rsidRPr="00EA6964" w:rsidRDefault="0099500B" w:rsidP="00117F40">
            <w:pPr>
              <w:keepNext/>
              <w:keepLines/>
              <w:spacing w:after="40" w:line="220" w:lineRule="atLeast"/>
              <w:ind w:left="6" w:right="113"/>
              <w:jc w:val="both"/>
              <w:rPr>
                <w:rFonts w:ascii="Arial" w:eastAsiaTheme="minorHAnsi" w:hAnsi="Arial" w:cstheme="minorBidi"/>
                <w:b/>
                <w:sz w:val="20"/>
                <w:szCs w:val="20"/>
                <w:lang w:eastAsia="en-US"/>
              </w:rPr>
            </w:pPr>
            <w:r w:rsidRPr="00EA6964">
              <w:rPr>
                <w:rFonts w:ascii="Arial" w:eastAsiaTheme="minorHAnsi" w:hAnsi="Arial" w:cstheme="minorBidi"/>
                <w:b/>
                <w:sz w:val="20"/>
                <w:szCs w:val="20"/>
                <w:lang w:eastAsia="en-US"/>
              </w:rPr>
              <w:t>Interpretability</w:t>
            </w:r>
          </w:p>
        </w:tc>
        <w:tc>
          <w:tcPr>
            <w:tcW w:w="6951" w:type="dxa"/>
          </w:tcPr>
          <w:p w:rsidR="0099500B" w:rsidRPr="0099500B" w:rsidRDefault="0099500B" w:rsidP="0034640E">
            <w:pPr>
              <w:pStyle w:val="TableBodyText"/>
              <w:jc w:val="both"/>
              <w:rPr>
                <w:bCs/>
                <w:lang w:val="en"/>
              </w:rPr>
            </w:pPr>
            <w:r w:rsidRPr="0099500B">
              <w:rPr>
                <w:bCs/>
                <w:lang w:val="en"/>
              </w:rPr>
              <w:t>To aid interpretation, information on the National VET Provider Collection, AVETMISS, and Students and Courses is available on the NCVER website.</w:t>
            </w:r>
          </w:p>
          <w:p w:rsidR="0099500B" w:rsidRPr="0099500B" w:rsidRDefault="0099500B" w:rsidP="0034640E">
            <w:pPr>
              <w:pStyle w:val="TableBodyText"/>
              <w:jc w:val="both"/>
              <w:rPr>
                <w:bCs/>
                <w:lang w:val="en"/>
              </w:rPr>
            </w:pPr>
          </w:p>
          <w:p w:rsidR="0099500B" w:rsidRPr="0099500B" w:rsidRDefault="0099500B" w:rsidP="0034640E">
            <w:pPr>
              <w:pStyle w:val="TableBodyText"/>
              <w:jc w:val="both"/>
              <w:rPr>
                <w:bCs/>
                <w:lang w:val="en"/>
              </w:rPr>
            </w:pPr>
            <w:r w:rsidRPr="0099500B">
              <w:rPr>
                <w:bCs/>
                <w:lang w:val="en"/>
              </w:rPr>
              <w:t>Among other standards detailed in AVETMISS, the collection uses the:</w:t>
            </w:r>
          </w:p>
          <w:p w:rsidR="000C033E" w:rsidRPr="008B392A" w:rsidRDefault="0099500B" w:rsidP="0034640E">
            <w:pPr>
              <w:pStyle w:val="TableBullet"/>
              <w:jc w:val="both"/>
              <w:rPr>
                <w:lang w:val="en"/>
              </w:rPr>
            </w:pPr>
            <w:r w:rsidRPr="0099500B">
              <w:rPr>
                <w:lang w:val="en"/>
              </w:rPr>
              <w:t>Australian Classification of Education (</w:t>
            </w:r>
            <w:proofErr w:type="spellStart"/>
            <w:r w:rsidRPr="0099500B">
              <w:rPr>
                <w:lang w:val="en"/>
              </w:rPr>
              <w:t>ASCED</w:t>
            </w:r>
            <w:proofErr w:type="spellEnd"/>
            <w:r w:rsidRPr="0099500B">
              <w:rPr>
                <w:lang w:val="en"/>
              </w:rPr>
              <w:t>) (ABS cat. no. 1272.0) to classify the level and field of education.</w:t>
            </w:r>
          </w:p>
          <w:p w:rsidR="000C033E" w:rsidRPr="008B392A" w:rsidRDefault="0099500B" w:rsidP="0034640E">
            <w:pPr>
              <w:pStyle w:val="TableBullet"/>
              <w:jc w:val="both"/>
              <w:rPr>
                <w:lang w:val="en"/>
              </w:rPr>
            </w:pPr>
            <w:r w:rsidRPr="0099500B">
              <w:rPr>
                <w:lang w:val="en"/>
              </w:rPr>
              <w:t>Australian and New Zealand Standard Classification of Occupations (</w:t>
            </w:r>
            <w:proofErr w:type="spellStart"/>
            <w:r w:rsidRPr="0099500B">
              <w:rPr>
                <w:lang w:val="en"/>
              </w:rPr>
              <w:t>ANZSCO</w:t>
            </w:r>
            <w:proofErr w:type="spellEnd"/>
            <w:r w:rsidRPr="0099500B">
              <w:rPr>
                <w:lang w:val="en"/>
              </w:rPr>
              <w:t xml:space="preserve">, previously </w:t>
            </w:r>
            <w:proofErr w:type="spellStart"/>
            <w:r w:rsidRPr="0099500B">
              <w:rPr>
                <w:lang w:val="en"/>
              </w:rPr>
              <w:t>ASCO</w:t>
            </w:r>
            <w:proofErr w:type="spellEnd"/>
            <w:r w:rsidRPr="0099500B">
              <w:rPr>
                <w:lang w:val="en"/>
              </w:rPr>
              <w:t>) (ABS cat. no. 1220.0) to classify occupation.</w:t>
            </w:r>
          </w:p>
          <w:p w:rsidR="000C033E" w:rsidRPr="008B392A" w:rsidRDefault="0099500B" w:rsidP="0034640E">
            <w:pPr>
              <w:pStyle w:val="TableBullet"/>
              <w:jc w:val="both"/>
              <w:rPr>
                <w:lang w:val="en"/>
              </w:rPr>
            </w:pPr>
            <w:r w:rsidRPr="0099500B">
              <w:rPr>
                <w:lang w:val="en"/>
              </w:rPr>
              <w:t xml:space="preserve">Australian Statistical Geography Standard (ASGS): Volume 5 - Remoteness Structure (ABS cat. </w:t>
            </w:r>
            <w:proofErr w:type="spellStart"/>
            <w:r w:rsidRPr="0099500B">
              <w:rPr>
                <w:lang w:val="en"/>
              </w:rPr>
              <w:t>no.1270.0.55.005</w:t>
            </w:r>
            <w:proofErr w:type="spellEnd"/>
            <w:r w:rsidRPr="0099500B">
              <w:rPr>
                <w:lang w:val="en"/>
              </w:rPr>
              <w:t>) together with the Accessibility/Remoteness Index of Australia (ARIA) to classify remoteness.</w:t>
            </w:r>
          </w:p>
          <w:p w:rsidR="0099500B" w:rsidRDefault="0099500B" w:rsidP="0034640E">
            <w:pPr>
              <w:pStyle w:val="TableBullet"/>
              <w:jc w:val="both"/>
              <w:rPr>
                <w:lang w:val="en"/>
              </w:rPr>
            </w:pPr>
            <w:r w:rsidRPr="0099500B">
              <w:rPr>
                <w:lang w:val="en"/>
              </w:rPr>
              <w:t xml:space="preserve">Census of Population and Housing: Socio-economic Index for Area - Index of Relative Socio-economic Disadvantage (SEIFA IRSD) (ABS cat. no. 2033.0.55.001) to </w:t>
            </w:r>
            <w:proofErr w:type="spellStart"/>
            <w:r w:rsidRPr="0099500B">
              <w:rPr>
                <w:lang w:val="en"/>
              </w:rPr>
              <w:t>summarise</w:t>
            </w:r>
            <w:proofErr w:type="spellEnd"/>
            <w:r w:rsidRPr="0099500B">
              <w:rPr>
                <w:lang w:val="en"/>
              </w:rPr>
              <w:t xml:space="preserve"> information about the economic and social conditions of people and households within an area. The index is based on information from the five-yearly Census. The ABS has assigned a SEIFA IRSD score to each Statistical Area 2 (</w:t>
            </w:r>
            <w:proofErr w:type="spellStart"/>
            <w:r w:rsidRPr="0099500B">
              <w:rPr>
                <w:lang w:val="en"/>
              </w:rPr>
              <w:t>SA2</w:t>
            </w:r>
            <w:proofErr w:type="spellEnd"/>
            <w:r w:rsidRPr="0099500B">
              <w:rPr>
                <w:lang w:val="en"/>
              </w:rPr>
              <w:t>) and the distribution of scores is divided into ten equal groups (</w:t>
            </w:r>
            <w:proofErr w:type="spellStart"/>
            <w:r w:rsidRPr="0099500B">
              <w:rPr>
                <w:lang w:val="en"/>
              </w:rPr>
              <w:t>deciles</w:t>
            </w:r>
            <w:proofErr w:type="spellEnd"/>
            <w:r w:rsidRPr="0099500B">
              <w:rPr>
                <w:lang w:val="en"/>
              </w:rPr>
              <w:t xml:space="preserve">). Then, a simple matching exercise is undertaken for each student where their postcode and location in the VET Provider Collection are mapped to a </w:t>
            </w:r>
            <w:proofErr w:type="spellStart"/>
            <w:r w:rsidRPr="0099500B">
              <w:rPr>
                <w:lang w:val="en"/>
              </w:rPr>
              <w:t>SA2</w:t>
            </w:r>
            <w:proofErr w:type="spellEnd"/>
            <w:r w:rsidRPr="0099500B">
              <w:rPr>
                <w:lang w:val="en"/>
              </w:rPr>
              <w:t xml:space="preserve">. The </w:t>
            </w:r>
            <w:proofErr w:type="spellStart"/>
            <w:r w:rsidRPr="0099500B">
              <w:rPr>
                <w:lang w:val="en"/>
              </w:rPr>
              <w:t>deciles</w:t>
            </w:r>
            <w:proofErr w:type="spellEnd"/>
            <w:r w:rsidRPr="0099500B">
              <w:rPr>
                <w:lang w:val="en"/>
              </w:rPr>
              <w:t xml:space="preserve"> are converted to quintiles for reporting.</w:t>
            </w:r>
          </w:p>
          <w:p w:rsidR="000C033E" w:rsidRDefault="000C033E" w:rsidP="0034640E">
            <w:pPr>
              <w:pStyle w:val="TableBodyText"/>
              <w:jc w:val="both"/>
              <w:rPr>
                <w:lang w:val="en"/>
              </w:rPr>
            </w:pPr>
          </w:p>
          <w:p w:rsidR="008B392A" w:rsidRPr="008B392A" w:rsidRDefault="008B392A" w:rsidP="0034640E">
            <w:pPr>
              <w:pStyle w:val="TableBodyText"/>
              <w:jc w:val="both"/>
            </w:pPr>
            <w:proofErr w:type="spellStart"/>
            <w:r w:rsidRPr="008B392A">
              <w:t>NCVER’s</w:t>
            </w:r>
            <w:proofErr w:type="spellEnd"/>
            <w:r w:rsidRPr="008B392A">
              <w:t xml:space="preserve"> VET Provider Collection is comprised of data collected through separate submissions from state/territory training authorities every year. Therefore, despite the best efforts of NCVER and the state/territory training authorities involved, from time to time inconsistencies arise in the collection and submission of the data that affects its comparability across different years. The issues relevant to this submission are listed below and must be included with any subsequent dissemination of the data.</w:t>
            </w:r>
          </w:p>
          <w:p w:rsidR="008B392A" w:rsidRPr="008B392A" w:rsidRDefault="008B392A" w:rsidP="0034640E">
            <w:pPr>
              <w:pStyle w:val="TableBodyText"/>
              <w:jc w:val="both"/>
            </w:pPr>
          </w:p>
          <w:p w:rsidR="008B392A" w:rsidRPr="008B392A" w:rsidRDefault="008B392A" w:rsidP="0034640E">
            <w:pPr>
              <w:pStyle w:val="TableBodyText"/>
              <w:jc w:val="both"/>
            </w:pPr>
            <w:r w:rsidRPr="008B392A">
              <w:t>Notes on tables</w:t>
            </w:r>
          </w:p>
          <w:p w:rsidR="008B392A" w:rsidRDefault="008B392A" w:rsidP="0034640E">
            <w:pPr>
              <w:pStyle w:val="TableBullet"/>
              <w:numPr>
                <w:ilvl w:val="0"/>
                <w:numId w:val="22"/>
              </w:numPr>
              <w:jc w:val="both"/>
            </w:pPr>
            <w:r w:rsidRPr="008B392A">
              <w:t>From 2011, the National Art School in New South Wales moved to reporting nationally as part of the Commonwealth Higher Education Statistics collection. In 2010, the National Art School reported 360 students, 2375 subject enrolments, 345 399 nationally agreed nominal hours and 480 full-year training equivalents.</w:t>
            </w:r>
          </w:p>
          <w:p w:rsidR="008B392A" w:rsidRDefault="008B392A" w:rsidP="0034640E">
            <w:pPr>
              <w:pStyle w:val="TableBullet"/>
              <w:numPr>
                <w:ilvl w:val="0"/>
                <w:numId w:val="22"/>
              </w:numPr>
              <w:jc w:val="both"/>
            </w:pPr>
            <w:r w:rsidRPr="008B392A">
              <w:t>From 2011, the Northern Territory training provider no longer provides accredited training associated with adult and community education (ACE). In 2010, NT ACE reported 11 students, 76 subject enrolments, 1013 nationally agreed hours and 1 full-year training equivalent.</w:t>
            </w:r>
          </w:p>
          <w:p w:rsidR="008B392A" w:rsidRDefault="008B392A" w:rsidP="0034640E">
            <w:pPr>
              <w:pStyle w:val="TableBullet"/>
              <w:numPr>
                <w:ilvl w:val="0"/>
                <w:numId w:val="22"/>
              </w:numPr>
              <w:jc w:val="both"/>
            </w:pPr>
            <w:r w:rsidRPr="008B392A">
              <w:t>From 2009, Victoria has submitted one consolidated submission, in place of the three previous submissions (TAFE, ACE and private providers). As a consequence of the way some adult and community education and private registered training organisations are scoped, there may be some slight reporting differences from 2009 onward compared with previous years.</w:t>
            </w:r>
          </w:p>
          <w:p w:rsidR="008B392A" w:rsidRDefault="008B392A" w:rsidP="0034640E">
            <w:pPr>
              <w:pStyle w:val="TableBullet"/>
              <w:numPr>
                <w:ilvl w:val="0"/>
                <w:numId w:val="22"/>
              </w:numPr>
              <w:jc w:val="both"/>
            </w:pPr>
            <w:r w:rsidRPr="008B392A">
              <w:t>From 2009, the South Australian submission does not include data from the Workers Education Association (WEA). In 2008, WEA reported 6397 students, 7993 subject enrolments and 135 312 nationally agreed nominal hours and 188 full-year training equivalents.</w:t>
            </w:r>
          </w:p>
          <w:p w:rsidR="008B392A" w:rsidRDefault="008B392A" w:rsidP="0034640E">
            <w:pPr>
              <w:pStyle w:val="TableBullet"/>
              <w:numPr>
                <w:ilvl w:val="0"/>
                <w:numId w:val="22"/>
              </w:numPr>
              <w:jc w:val="both"/>
            </w:pPr>
            <w:r w:rsidRPr="008B392A">
              <w:t xml:space="preserve">From 2009, data from Tasmania are not necessarily comparable with previous years due to changes in training arrangements implemented in the Tasmania Tomorrow initiatives. These initiatives included some senior secondary colleges and </w:t>
            </w:r>
            <w:proofErr w:type="spellStart"/>
            <w:r w:rsidRPr="008B392A">
              <w:t>TAFEs</w:t>
            </w:r>
            <w:proofErr w:type="spellEnd"/>
            <w:r w:rsidRPr="008B392A">
              <w:t xml:space="preserve"> being replaced by the Tasmanian Academy, the Tasmanian Polytechnic and the Tasmanian Skills Institute.</w:t>
            </w:r>
          </w:p>
          <w:p w:rsidR="008B392A" w:rsidRDefault="008B392A" w:rsidP="0034640E">
            <w:pPr>
              <w:pStyle w:val="TableBullet"/>
              <w:numPr>
                <w:ilvl w:val="0"/>
                <w:numId w:val="22"/>
              </w:numPr>
              <w:jc w:val="both"/>
            </w:pPr>
            <w:r w:rsidRPr="008B392A">
              <w:t>Student remoteness is based on the Access/Remoteness Index of Australia (ARIA+), which was developed by the National Centre for Social Applications of Geographic Information Systems (</w:t>
            </w:r>
            <w:proofErr w:type="spellStart"/>
            <w:r w:rsidRPr="008B392A">
              <w:t>GISCA</w:t>
            </w:r>
            <w:proofErr w:type="spellEnd"/>
            <w:r w:rsidRPr="008B392A">
              <w:t xml:space="preserve">). ARIA+ is now the standard ABS-endorsed measure of remoteness. From 2011, student remoteness (ARIA+) is determined from ARIA+ remoteness regions and ABS </w:t>
            </w:r>
            <w:proofErr w:type="spellStart"/>
            <w:r w:rsidRPr="008B392A">
              <w:t>SA2</w:t>
            </w:r>
            <w:proofErr w:type="spellEnd"/>
            <w:r w:rsidRPr="008B392A">
              <w:t xml:space="preserve"> regions. Data between 2006 and 2010 is based on ABS postal areas and ARIA+. Student remoteness (ARIA+) regions use the same ARIA+ ranges as the ABS remoteness areas and are therefore an approximation of the ABS remoteness areas. For more details of ARIA+ refer to &lt;www.adelaide.edu.au/apmrc/research/projects/category/about_aria.html&gt;.</w:t>
            </w:r>
          </w:p>
          <w:p w:rsidR="008B392A" w:rsidRDefault="008B392A" w:rsidP="0034640E">
            <w:pPr>
              <w:pStyle w:val="TableBullet"/>
              <w:numPr>
                <w:ilvl w:val="0"/>
                <w:numId w:val="22"/>
              </w:numPr>
              <w:jc w:val="both"/>
            </w:pPr>
            <w:r w:rsidRPr="008B392A">
              <w:t>The ABS released a new version of the Socio-economic Indexes for Areas (SEIFA 2011) in March 2013. These indexes have been applied for 2011 and 2012 training data. The previous version of SEIFA (2006), based on postal areas and location mapped to ABS Statistical Local Area (SLA), is applied for training data prior to 2011. Training data for 2011-2012 is based on postal areas and location mapped with ABS Statistical Area 2 (</w:t>
            </w:r>
            <w:proofErr w:type="spellStart"/>
            <w:r w:rsidRPr="008B392A">
              <w:t>SA2</w:t>
            </w:r>
            <w:proofErr w:type="spellEnd"/>
            <w:r w:rsidRPr="008B392A">
              <w:t xml:space="preserve">) to </w:t>
            </w:r>
            <w:proofErr w:type="spellStart"/>
            <w:r w:rsidRPr="008B392A">
              <w:t>SEIFA</w:t>
            </w:r>
            <w:proofErr w:type="spellEnd"/>
            <w:r w:rsidRPr="008B392A">
              <w:t xml:space="preserve"> 2011. Due to the underlying changes in populations, based on SLA to </w:t>
            </w:r>
            <w:proofErr w:type="spellStart"/>
            <w:r w:rsidRPr="008B392A">
              <w:t>SEIFA</w:t>
            </w:r>
            <w:proofErr w:type="spellEnd"/>
            <w:r w:rsidRPr="008B392A">
              <w:t xml:space="preserve"> 2006 and </w:t>
            </w:r>
            <w:proofErr w:type="spellStart"/>
            <w:r w:rsidRPr="008B392A">
              <w:t>SA2</w:t>
            </w:r>
            <w:proofErr w:type="spellEnd"/>
            <w:r w:rsidRPr="008B392A">
              <w:t xml:space="preserve"> to </w:t>
            </w:r>
            <w:proofErr w:type="spellStart"/>
            <w:r w:rsidRPr="008B392A">
              <w:t>SEIFA</w:t>
            </w:r>
            <w:proofErr w:type="spellEnd"/>
            <w:r w:rsidRPr="008B392A">
              <w:t xml:space="preserve"> 2011, there has been a break in time series. </w:t>
            </w:r>
          </w:p>
          <w:p w:rsidR="008B392A" w:rsidRDefault="008B392A" w:rsidP="0034640E">
            <w:pPr>
              <w:pStyle w:val="TableBullet"/>
              <w:numPr>
                <w:ilvl w:val="0"/>
                <w:numId w:val="22"/>
              </w:numPr>
              <w:jc w:val="both"/>
            </w:pPr>
            <w:r>
              <w:t>D</w:t>
            </w:r>
            <w:r w:rsidRPr="008B392A">
              <w:t xml:space="preserve">ata for qualifications completed in 2012 are based on preliminary data submissions and will be revised upward in the 2013 VET Provider Collection. Therefore, 2012 qualification completions are not presented. </w:t>
            </w:r>
          </w:p>
          <w:p w:rsidR="008B392A" w:rsidRPr="008B392A" w:rsidRDefault="008B392A" w:rsidP="0034640E">
            <w:pPr>
              <w:pStyle w:val="TableBullet"/>
              <w:numPr>
                <w:ilvl w:val="0"/>
                <w:numId w:val="22"/>
              </w:numPr>
              <w:jc w:val="both"/>
            </w:pPr>
            <w:r w:rsidRPr="008B392A">
              <w:t>In 2012, NCVER revised its derivation of course and student highest funding source to ensure consistency of reporting. The change involved the removal of subject outcome ‘53 – Recognition of current competency – granted’ from the derivation process. The new derivations have been back cast historically.</w:t>
            </w:r>
          </w:p>
        </w:tc>
      </w:tr>
    </w:tbl>
    <w:p w:rsidR="005E03BB" w:rsidRDefault="005E03BB"/>
    <w:p w:rsidR="005E03BB" w:rsidRDefault="005E03BB">
      <w:r>
        <w:br w:type="page"/>
      </w:r>
    </w:p>
    <w:p w:rsidR="00017EB5" w:rsidRDefault="00017EB5" w:rsidP="001C6387">
      <w:pPr>
        <w:pStyle w:val="Heading2"/>
      </w:pPr>
      <w:r>
        <w:t>References</w:t>
      </w:r>
      <w:r w:rsidR="007C51FE">
        <w:t xml:space="preserve"> </w:t>
      </w:r>
    </w:p>
    <w:p w:rsidR="00985566" w:rsidRDefault="00985566" w:rsidP="00985566">
      <w:pPr>
        <w:pStyle w:val="Reference"/>
      </w:pPr>
      <w:r>
        <w:t xml:space="preserve">Access Economics 2009, </w:t>
      </w:r>
      <w:r w:rsidR="00241EE2">
        <w:rPr>
          <w:i/>
        </w:rPr>
        <w:t>Economic Modelling of Skills D</w:t>
      </w:r>
      <w:r w:rsidRPr="00C25B1D">
        <w:rPr>
          <w:i/>
        </w:rPr>
        <w:t>emand, Report for Skills Australia</w:t>
      </w:r>
      <w:r>
        <w:t xml:space="preserve">, </w:t>
      </w:r>
      <w:proofErr w:type="spellStart"/>
      <w:r w:rsidRPr="00C25B1D">
        <w:t>www.skillsaustralia.gov</w:t>
      </w:r>
      <w:proofErr w:type="spellEnd"/>
      <w:r>
        <w:t xml:space="preserve"> </w:t>
      </w:r>
      <w:r w:rsidRPr="00C25B1D">
        <w:t>.au/national-workforce-development-strategy/Australian-Workforce-Futures/documents/AE_Skills_Demand.pdf</w:t>
      </w:r>
      <w:r w:rsidR="00943A41">
        <w:t xml:space="preserve"> (accessed 4 April 2012).</w:t>
      </w:r>
    </w:p>
    <w:p w:rsidR="00BE7E23" w:rsidRDefault="006C2559" w:rsidP="00985566">
      <w:pPr>
        <w:pStyle w:val="Reference"/>
      </w:pPr>
      <w:r>
        <w:t>Australian Workforce and Productivity Agency</w:t>
      </w:r>
      <w:r w:rsidR="0023156D">
        <w:t xml:space="preserve"> (</w:t>
      </w:r>
      <w:proofErr w:type="spellStart"/>
      <w:r w:rsidR="0023156D">
        <w:t>AWPA</w:t>
      </w:r>
      <w:proofErr w:type="spellEnd"/>
      <w:r>
        <w:t xml:space="preserve">) </w:t>
      </w:r>
      <w:r w:rsidR="00BE7E23">
        <w:t xml:space="preserve">2013, </w:t>
      </w:r>
      <w:r w:rsidR="00BE7E23" w:rsidRPr="001B5488">
        <w:rPr>
          <w:i/>
        </w:rPr>
        <w:t>Future focus: 2013 National Workforce Development Strategy</w:t>
      </w:r>
      <w:r w:rsidR="009E7F68">
        <w:t xml:space="preserve">, </w:t>
      </w:r>
      <w:r w:rsidR="009E7F68" w:rsidRPr="009E7F68">
        <w:t>http://www.awpa.gov.au/our-work/national-workforce-development-strategy/2013-workforce-development-strategy/Documents/FutureFocus2013NWDS.pdf</w:t>
      </w:r>
      <w:r w:rsidR="009E7F68">
        <w:t xml:space="preserve"> (accessed 24 April 2013).</w:t>
      </w:r>
    </w:p>
    <w:p w:rsidR="006C2559" w:rsidRPr="00E2432C" w:rsidRDefault="0023156D" w:rsidP="006C2559">
      <w:pPr>
        <w:pStyle w:val="Reference"/>
      </w:pPr>
      <w:r>
        <w:t xml:space="preserve">—— </w:t>
      </w:r>
      <w:r w:rsidR="006C2559">
        <w:t>2012,</w:t>
      </w:r>
      <w:r w:rsidR="006C2559">
        <w:rPr>
          <w:i/>
        </w:rPr>
        <w:t xml:space="preserve"> Australia’s skills and workforce development needs, discussion paper, </w:t>
      </w:r>
      <w:r w:rsidR="006C2559" w:rsidRPr="00E2432C">
        <w:rPr>
          <w:i/>
        </w:rPr>
        <w:t>www.awpa.gov.au/publications/documents/Future-Focus-Australias-skills-and-workforce-development-needs-Discussion-Paper.pdf</w:t>
      </w:r>
      <w:r w:rsidR="006C2559">
        <w:t xml:space="preserve"> (accessed 22 April 2013)</w:t>
      </w:r>
    </w:p>
    <w:p w:rsidR="00985566" w:rsidRDefault="00985566" w:rsidP="00985566">
      <w:pPr>
        <w:pStyle w:val="Reference"/>
      </w:pPr>
      <w:r>
        <w:t>Australian Qualifications Framework Council 201</w:t>
      </w:r>
      <w:r w:rsidR="005154B4">
        <w:t>3</w:t>
      </w:r>
      <w:r>
        <w:t xml:space="preserve">, Australian Qualifications Framework, </w:t>
      </w:r>
      <w:proofErr w:type="spellStart"/>
      <w:r>
        <w:t>www.aqf.edu.au</w:t>
      </w:r>
      <w:proofErr w:type="spellEnd"/>
      <w:r>
        <w:t xml:space="preserve"> (accessed </w:t>
      </w:r>
      <w:r w:rsidR="005154B4">
        <w:t>8</w:t>
      </w:r>
      <w:r>
        <w:t xml:space="preserve"> </w:t>
      </w:r>
      <w:r w:rsidR="005154B4">
        <w:t>April</w:t>
      </w:r>
      <w:r>
        <w:t xml:space="preserve"> 201</w:t>
      </w:r>
      <w:r w:rsidR="005154B4">
        <w:t>3</w:t>
      </w:r>
      <w:r>
        <w:t>).</w:t>
      </w:r>
    </w:p>
    <w:p w:rsidR="0045619B" w:rsidRDefault="00985566" w:rsidP="00985566">
      <w:pPr>
        <w:pStyle w:val="Reference"/>
      </w:pPr>
      <w:r>
        <w:t>Brad</w:t>
      </w:r>
      <w:r w:rsidR="00241EE2">
        <w:t>ley, D., Noonan, P., Nugent, H. and</w:t>
      </w:r>
      <w:r>
        <w:t xml:space="preserve"> Scales, B. 2008, </w:t>
      </w:r>
      <w:r w:rsidR="00241EE2">
        <w:rPr>
          <w:i/>
        </w:rPr>
        <w:t xml:space="preserve">Review of Australian Higher Education: Final </w:t>
      </w:r>
      <w:r w:rsidRPr="00404BBA">
        <w:rPr>
          <w:i/>
        </w:rPr>
        <w:t>Report</w:t>
      </w:r>
      <w:r>
        <w:t>,</w:t>
      </w:r>
      <w:r w:rsidR="00241EE2">
        <w:t xml:space="preserve"> </w:t>
      </w:r>
      <w:proofErr w:type="spellStart"/>
      <w:r w:rsidR="00CC1F06" w:rsidRPr="00CC1F06">
        <w:t>www.voced.edu.au</w:t>
      </w:r>
      <w:proofErr w:type="spellEnd"/>
      <w:r w:rsidR="00CC1F06" w:rsidRPr="00CC1F06">
        <w:t>/content/</w:t>
      </w:r>
      <w:proofErr w:type="spellStart"/>
      <w:r w:rsidR="00CC1F06" w:rsidRPr="00CC1F06">
        <w:t>ngv32134</w:t>
      </w:r>
      <w:proofErr w:type="spellEnd"/>
      <w:r w:rsidR="00CC1F06">
        <w:t xml:space="preserve"> (accessed 22</w:t>
      </w:r>
      <w:r>
        <w:t xml:space="preserve"> April 201</w:t>
      </w:r>
      <w:r w:rsidR="00CC1F06">
        <w:t>3</w:t>
      </w:r>
      <w:r>
        <w:t>).</w:t>
      </w:r>
    </w:p>
    <w:p w:rsidR="0045619B" w:rsidRPr="0045619B" w:rsidRDefault="0045619B" w:rsidP="00985566">
      <w:pPr>
        <w:pStyle w:val="Reference"/>
      </w:pPr>
      <w:r>
        <w:t>Buchanan, J. 2008, ‘</w:t>
      </w:r>
      <w:r>
        <w:rPr>
          <w:i/>
        </w:rPr>
        <w:t xml:space="preserve">Workforce development and the use of skills’, </w:t>
      </w:r>
      <w:r>
        <w:t xml:space="preserve">Seminar paper presented at The Labour Market, Skills Demand and Skills Formation Seminar, Skills Australia and the Academy of the Social Sciences in Australia, </w:t>
      </w:r>
      <w:hyperlink r:id="rId33" w:history="1">
        <w:r w:rsidR="00934192" w:rsidRPr="00854D7E">
          <w:rPr>
            <w:rStyle w:val="Hyperlink"/>
          </w:rPr>
          <w:t>www.skillsaustralia.gov.au/PDF_RTFs/Skills_demand_skills_formation_paper.pdf</w:t>
        </w:r>
      </w:hyperlink>
      <w:r w:rsidR="00934192">
        <w:t xml:space="preserve"> (accessed 14 April 2014).</w:t>
      </w:r>
    </w:p>
    <w:p w:rsidR="0006101E" w:rsidRPr="0006101E" w:rsidRDefault="0006101E" w:rsidP="006121EC">
      <w:pPr>
        <w:pStyle w:val="Reference"/>
      </w:pPr>
      <w:proofErr w:type="spellStart"/>
      <w:r>
        <w:t>Chesters</w:t>
      </w:r>
      <w:proofErr w:type="spellEnd"/>
      <w:r>
        <w:t xml:space="preserve">, J, Ryan, C and Shining, M 2013, </w:t>
      </w:r>
      <w:r>
        <w:rPr>
          <w:i/>
        </w:rPr>
        <w:t xml:space="preserve">The returns to literacy skills in Australia, </w:t>
      </w:r>
      <w:r>
        <w:t>NCVER, Adelaide.</w:t>
      </w:r>
    </w:p>
    <w:p w:rsidR="002A3A47" w:rsidRDefault="002A3A47" w:rsidP="006121EC">
      <w:pPr>
        <w:pStyle w:val="Reference"/>
      </w:pPr>
      <w:r w:rsidRPr="007C614B">
        <w:t xml:space="preserve">COAG (Council of Australian Governments) </w:t>
      </w:r>
      <w:proofErr w:type="spellStart"/>
      <w:r w:rsidRPr="007C614B">
        <w:t>2009a</w:t>
      </w:r>
      <w:proofErr w:type="spellEnd"/>
      <w:r w:rsidRPr="007C614B">
        <w:t xml:space="preserve">, </w:t>
      </w:r>
      <w:r w:rsidRPr="00221377">
        <w:rPr>
          <w:i/>
        </w:rPr>
        <w:t>COAG Communiqué 30 April 2009</w:t>
      </w:r>
      <w:r w:rsidRPr="007C614B">
        <w:t xml:space="preserve">, </w:t>
      </w:r>
      <w:proofErr w:type="spellStart"/>
      <w:r w:rsidRPr="00F30657">
        <w:t>www.coag.gov.au</w:t>
      </w:r>
      <w:proofErr w:type="spellEnd"/>
      <w:r w:rsidRPr="00F30657">
        <w:t>/node/288</w:t>
      </w:r>
      <w:r>
        <w:t xml:space="preserve"> </w:t>
      </w:r>
      <w:r w:rsidRPr="00CC1F06">
        <w:t xml:space="preserve">(accessed </w:t>
      </w:r>
      <w:r w:rsidR="00CC1F06" w:rsidRPr="00CC1F06">
        <w:t>22</w:t>
      </w:r>
      <w:r w:rsidRPr="00CC1F06">
        <w:t xml:space="preserve"> </w:t>
      </w:r>
      <w:r w:rsidR="00CC1F06" w:rsidRPr="00CC1F06">
        <w:t xml:space="preserve">April </w:t>
      </w:r>
      <w:r w:rsidRPr="00CC1F06">
        <w:t>201</w:t>
      </w:r>
      <w:r w:rsidR="00CC1F06" w:rsidRPr="00CC1F06">
        <w:t>3</w:t>
      </w:r>
      <w:r w:rsidRPr="00CC1F06">
        <w:t>)</w:t>
      </w:r>
    </w:p>
    <w:p w:rsidR="006121EC" w:rsidRDefault="006121EC" w:rsidP="006121EC">
      <w:pPr>
        <w:pStyle w:val="Reference"/>
      </w:pPr>
      <w:r>
        <w:t xml:space="preserve">—— </w:t>
      </w:r>
      <w:proofErr w:type="spellStart"/>
      <w:r>
        <w:t>2009b</w:t>
      </w:r>
      <w:proofErr w:type="spellEnd"/>
      <w:r>
        <w:t xml:space="preserve">, </w:t>
      </w:r>
      <w:r w:rsidRPr="00AA18C2">
        <w:rPr>
          <w:i/>
        </w:rPr>
        <w:t>National Agreement for Skills and Workforce Development</w:t>
      </w:r>
      <w:r>
        <w:t xml:space="preserve">, </w:t>
      </w:r>
      <w:r w:rsidR="009B78C2" w:rsidRPr="009B78C2">
        <w:t xml:space="preserve">www.federalfinancialrelations.gov.au/content/npa/skills/skills-reform/national_agreement_superseded.pdf </w:t>
      </w:r>
      <w:r w:rsidR="00241EE2" w:rsidRPr="00380DAE">
        <w:t>(</w:t>
      </w:r>
      <w:r w:rsidR="00241EE2" w:rsidRPr="009B78C2">
        <w:t xml:space="preserve">accessed </w:t>
      </w:r>
      <w:r w:rsidR="009B78C2" w:rsidRPr="009B78C2">
        <w:t>22</w:t>
      </w:r>
      <w:r w:rsidR="00241EE2" w:rsidRPr="009B78C2">
        <w:t> </w:t>
      </w:r>
      <w:r w:rsidR="009B78C2" w:rsidRPr="009B78C2">
        <w:t>April 2013</w:t>
      </w:r>
      <w:r w:rsidR="00241EE2" w:rsidRPr="009B78C2">
        <w:t>).</w:t>
      </w:r>
    </w:p>
    <w:p w:rsidR="00F87724" w:rsidRPr="007C51FE" w:rsidRDefault="00F87724" w:rsidP="00F87724">
      <w:pPr>
        <w:pStyle w:val="Reference"/>
      </w:pPr>
      <w:r>
        <w:t xml:space="preserve">—— </w:t>
      </w:r>
      <w:proofErr w:type="spellStart"/>
      <w:r>
        <w:t>2011a</w:t>
      </w:r>
      <w:proofErr w:type="spellEnd"/>
      <w:r>
        <w:t xml:space="preserve">, </w:t>
      </w:r>
      <w:r w:rsidRPr="00AA18C2">
        <w:rPr>
          <w:i/>
        </w:rPr>
        <w:t>COAG Communiqué 1</w:t>
      </w:r>
      <w:r>
        <w:rPr>
          <w:i/>
        </w:rPr>
        <w:t>9 August</w:t>
      </w:r>
      <w:r w:rsidRPr="00AA18C2">
        <w:rPr>
          <w:i/>
        </w:rPr>
        <w:t xml:space="preserve"> 2011</w:t>
      </w:r>
      <w:r>
        <w:t xml:space="preserve">, </w:t>
      </w:r>
      <w:proofErr w:type="spellStart"/>
      <w:r w:rsidR="007C51FE" w:rsidRPr="007C51FE">
        <w:t>www.coag.gov.au</w:t>
      </w:r>
      <w:proofErr w:type="spellEnd"/>
      <w:r w:rsidR="007C51FE" w:rsidRPr="007C51FE">
        <w:t>/node/76</w:t>
      </w:r>
      <w:r w:rsidRPr="00F87724">
        <w:t xml:space="preserve"> </w:t>
      </w:r>
      <w:r w:rsidRPr="007C51FE">
        <w:t xml:space="preserve">(accessed </w:t>
      </w:r>
      <w:r w:rsidR="007C51FE" w:rsidRPr="007C51FE">
        <w:t>22</w:t>
      </w:r>
      <w:r w:rsidRPr="007C51FE">
        <w:t xml:space="preserve"> </w:t>
      </w:r>
      <w:r w:rsidR="007C51FE" w:rsidRPr="007C51FE">
        <w:t>April</w:t>
      </w:r>
      <w:r w:rsidRPr="007C51FE">
        <w:t xml:space="preserve"> 201</w:t>
      </w:r>
      <w:r w:rsidR="007C51FE" w:rsidRPr="007C51FE">
        <w:t>3</w:t>
      </w:r>
      <w:r w:rsidRPr="007C51FE">
        <w:t>).</w:t>
      </w:r>
    </w:p>
    <w:p w:rsidR="002A3A47" w:rsidRPr="007C51FE" w:rsidRDefault="002A3A47" w:rsidP="002A3A47">
      <w:pPr>
        <w:pStyle w:val="Reference"/>
      </w:pPr>
      <w:r w:rsidRPr="007C51FE">
        <w:t>—— </w:t>
      </w:r>
      <w:proofErr w:type="spellStart"/>
      <w:r w:rsidRPr="007C51FE">
        <w:t>2011b</w:t>
      </w:r>
      <w:proofErr w:type="spellEnd"/>
      <w:r w:rsidRPr="007C51FE">
        <w:t>, </w:t>
      </w:r>
      <w:r w:rsidRPr="007C51FE">
        <w:rPr>
          <w:i/>
        </w:rPr>
        <w:t>COAG Communiqué 13 February 2011</w:t>
      </w:r>
      <w:r w:rsidRPr="007C51FE">
        <w:t xml:space="preserve">, </w:t>
      </w:r>
      <w:hyperlink r:id="rId34" w:history="1">
        <w:proofErr w:type="spellStart"/>
        <w:r w:rsidR="00F30657" w:rsidRPr="00F30657">
          <w:rPr>
            <w:rStyle w:val="Hyperlink"/>
            <w:color w:val="auto"/>
          </w:rPr>
          <w:t>www.coag.gov.au</w:t>
        </w:r>
        <w:proofErr w:type="spellEnd"/>
        <w:r w:rsidR="00F30657" w:rsidRPr="00F30657">
          <w:rPr>
            <w:rStyle w:val="Hyperlink"/>
            <w:color w:val="auto"/>
          </w:rPr>
          <w:t>/node/77</w:t>
        </w:r>
      </w:hyperlink>
      <w:r w:rsidRPr="00F30657">
        <w:t xml:space="preserve"> </w:t>
      </w:r>
      <w:r w:rsidRPr="007C51FE">
        <w:t xml:space="preserve">(accessed </w:t>
      </w:r>
      <w:r w:rsidR="007C51FE" w:rsidRPr="007C51FE">
        <w:t>22</w:t>
      </w:r>
      <w:r w:rsidRPr="007C51FE">
        <w:t xml:space="preserve"> </w:t>
      </w:r>
      <w:r w:rsidR="007C51FE" w:rsidRPr="007C51FE">
        <w:t>April 2013</w:t>
      </w:r>
      <w:r w:rsidRPr="007C51FE">
        <w:t>).</w:t>
      </w:r>
    </w:p>
    <w:p w:rsidR="00985566" w:rsidRDefault="00985566" w:rsidP="00985566">
      <w:pPr>
        <w:pStyle w:val="Reference"/>
      </w:pPr>
      <w:r w:rsidRPr="007C51FE">
        <w:t xml:space="preserve">—— </w:t>
      </w:r>
      <w:proofErr w:type="spellStart"/>
      <w:r w:rsidRPr="007C51FE">
        <w:t>2012</w:t>
      </w:r>
      <w:r w:rsidR="006121EC" w:rsidRPr="007C51FE">
        <w:t>a</w:t>
      </w:r>
      <w:proofErr w:type="spellEnd"/>
      <w:r w:rsidRPr="007C51FE">
        <w:t xml:space="preserve">, </w:t>
      </w:r>
      <w:r w:rsidRPr="007C51FE">
        <w:rPr>
          <w:i/>
        </w:rPr>
        <w:t>COAG Communique 13 April 2012</w:t>
      </w:r>
      <w:r w:rsidRPr="007C51FE">
        <w:t xml:space="preserve">, </w:t>
      </w:r>
      <w:proofErr w:type="spellStart"/>
      <w:r w:rsidR="007C51FE" w:rsidRPr="007C51FE">
        <w:t>www.coag.gov.au</w:t>
      </w:r>
      <w:proofErr w:type="spellEnd"/>
      <w:r w:rsidR="007C51FE" w:rsidRPr="007C51FE">
        <w:t>/node/313</w:t>
      </w:r>
      <w:r w:rsidRPr="007C51FE">
        <w:t xml:space="preserve"> (</w:t>
      </w:r>
      <w:r w:rsidR="007C51FE" w:rsidRPr="007C51FE">
        <w:t>accessed 22 April 2013</w:t>
      </w:r>
      <w:r w:rsidRPr="007C51FE">
        <w:t>).</w:t>
      </w:r>
    </w:p>
    <w:p w:rsidR="006121EC" w:rsidRDefault="006121EC" w:rsidP="006121EC">
      <w:pPr>
        <w:pStyle w:val="Reference"/>
      </w:pPr>
      <w:r>
        <w:t>——</w:t>
      </w:r>
      <w:r w:rsidR="00A4403E">
        <w:t xml:space="preserve"> </w:t>
      </w:r>
      <w:proofErr w:type="spellStart"/>
      <w:r>
        <w:t>2012b</w:t>
      </w:r>
      <w:proofErr w:type="spellEnd"/>
      <w:r>
        <w:t xml:space="preserve">, </w:t>
      </w:r>
      <w:r w:rsidR="007C51FE" w:rsidRPr="001E5500">
        <w:t>www.federalfinancialrelations.gov.au/content/npa/skills/skills-reform/national_agreement.pdf</w:t>
      </w:r>
      <w:r>
        <w:t xml:space="preserve"> </w:t>
      </w:r>
      <w:r w:rsidRPr="003A1F37">
        <w:t>(</w:t>
      </w:r>
      <w:r w:rsidRPr="001E5500">
        <w:t xml:space="preserve">accessed </w:t>
      </w:r>
      <w:r w:rsidR="003A1F37" w:rsidRPr="001E5500">
        <w:t>29</w:t>
      </w:r>
      <w:r w:rsidRPr="001E5500">
        <w:t xml:space="preserve"> April 201</w:t>
      </w:r>
      <w:r w:rsidR="003A1F37" w:rsidRPr="001E5500">
        <w:t>3</w:t>
      </w:r>
      <w:r w:rsidRPr="003A1F37">
        <w:t>).</w:t>
      </w:r>
    </w:p>
    <w:p w:rsidR="006121EC" w:rsidRPr="001E5500" w:rsidRDefault="006121EC" w:rsidP="00985566">
      <w:pPr>
        <w:pStyle w:val="Reference"/>
      </w:pPr>
      <w:r>
        <w:t xml:space="preserve">—— </w:t>
      </w:r>
      <w:proofErr w:type="spellStart"/>
      <w:r>
        <w:t>2012c</w:t>
      </w:r>
      <w:proofErr w:type="spellEnd"/>
      <w:r>
        <w:t xml:space="preserve">, </w:t>
      </w:r>
      <w:r w:rsidRPr="00AA18C2">
        <w:rPr>
          <w:i/>
        </w:rPr>
        <w:t>COAG Communique 13 April 2012</w:t>
      </w:r>
      <w:r>
        <w:t xml:space="preserve">, </w:t>
      </w:r>
      <w:r w:rsidR="00DD3974" w:rsidRPr="00DD3974">
        <w:t>http://</w:t>
      </w:r>
      <w:proofErr w:type="spellStart"/>
      <w:r w:rsidR="00DD3974" w:rsidRPr="00DD3974">
        <w:t>www.coag.gov.au</w:t>
      </w:r>
      <w:proofErr w:type="spellEnd"/>
      <w:r w:rsidR="00DD3974" w:rsidRPr="00DD3974">
        <w:t>/sites/default/files/2012</w:t>
      </w:r>
      <w:r w:rsidR="00B9120C">
        <w:noBreakHyphen/>
      </w:r>
      <w:r w:rsidR="00DD3974" w:rsidRPr="00DD3974">
        <w:t>13-</w:t>
      </w:r>
      <w:proofErr w:type="spellStart"/>
      <w:r w:rsidR="00DD3974" w:rsidRPr="00DD3974">
        <w:t>04.pdf</w:t>
      </w:r>
      <w:proofErr w:type="spellEnd"/>
      <w:r>
        <w:t xml:space="preserve"> </w:t>
      </w:r>
      <w:r w:rsidRPr="001E5500">
        <w:t xml:space="preserve">(accessed </w:t>
      </w:r>
      <w:r w:rsidR="00DD3974" w:rsidRPr="001E5500">
        <w:t>29</w:t>
      </w:r>
      <w:r w:rsidRPr="001E5500">
        <w:t> April 201</w:t>
      </w:r>
      <w:r w:rsidR="00DD3974" w:rsidRPr="001E5500">
        <w:t>3</w:t>
      </w:r>
      <w:r w:rsidRPr="001E5500">
        <w:t>).</w:t>
      </w:r>
    </w:p>
    <w:p w:rsidR="00375068" w:rsidRPr="00375068" w:rsidRDefault="00375068" w:rsidP="00375068">
      <w:pPr>
        <w:spacing w:before="240" w:line="320" w:lineRule="atLeast"/>
        <w:jc w:val="both"/>
        <w:rPr>
          <w:szCs w:val="20"/>
        </w:rPr>
      </w:pPr>
      <w:r w:rsidRPr="00375068">
        <w:rPr>
          <w:szCs w:val="20"/>
        </w:rPr>
        <w:t>CRC (COAG Reform Council) 201</w:t>
      </w:r>
      <w:r>
        <w:rPr>
          <w:szCs w:val="20"/>
        </w:rPr>
        <w:t>3</w:t>
      </w:r>
      <w:r w:rsidRPr="00375068">
        <w:rPr>
          <w:szCs w:val="20"/>
        </w:rPr>
        <w:t xml:space="preserve">, </w:t>
      </w:r>
      <w:r>
        <w:rPr>
          <w:i/>
          <w:szCs w:val="20"/>
        </w:rPr>
        <w:t>Skills in Australia 2012: Five years of p</w:t>
      </w:r>
      <w:r w:rsidRPr="00375068">
        <w:rPr>
          <w:i/>
          <w:szCs w:val="20"/>
        </w:rPr>
        <w:t>erformance</w:t>
      </w:r>
      <w:r w:rsidRPr="00375068">
        <w:rPr>
          <w:szCs w:val="20"/>
        </w:rPr>
        <w:t>, COAG Reform Council, Sydney.</w:t>
      </w:r>
    </w:p>
    <w:p w:rsidR="00985566" w:rsidRPr="001E5500" w:rsidRDefault="00985566" w:rsidP="00985566">
      <w:pPr>
        <w:pStyle w:val="Reference"/>
      </w:pPr>
      <w:proofErr w:type="spellStart"/>
      <w:r w:rsidRPr="001E5500">
        <w:t>Considine</w:t>
      </w:r>
      <w:proofErr w:type="spellEnd"/>
      <w:r w:rsidRPr="001E5500">
        <w:t xml:space="preserve">, G., Watson, I. and Hall, R. 2005, </w:t>
      </w:r>
      <w:r w:rsidRPr="001E5500">
        <w:rPr>
          <w:i/>
        </w:rPr>
        <w:t>Who’s missing out? Access and Equity in Vocational Education and Training</w:t>
      </w:r>
      <w:r w:rsidRPr="001E5500">
        <w:t>, NCVER, Adelaide.</w:t>
      </w:r>
    </w:p>
    <w:p w:rsidR="00985566" w:rsidRDefault="00985566" w:rsidP="00985566">
      <w:pPr>
        <w:pStyle w:val="Reference"/>
      </w:pPr>
      <w:r>
        <w:t xml:space="preserve">Hillman, K., Marks, G. and McKenzie, P. 2002, </w:t>
      </w:r>
      <w:r w:rsidRPr="00AA18C2">
        <w:rPr>
          <w:i/>
        </w:rPr>
        <w:t>Rural and Urban Differences in Australian Education</w:t>
      </w:r>
      <w:r>
        <w:t>, Australian Council for Educational Research (ACER), Melbourne.</w:t>
      </w:r>
    </w:p>
    <w:p w:rsidR="00985566" w:rsidRDefault="00985566" w:rsidP="00985566">
      <w:pPr>
        <w:pStyle w:val="Reference"/>
      </w:pPr>
      <w:r>
        <w:t xml:space="preserve">Hunter, B. 2010, </w:t>
      </w:r>
      <w:r w:rsidRPr="00AA18C2">
        <w:rPr>
          <w:i/>
        </w:rPr>
        <w:t>Pathways for Indigenous School Leavers to Undertake Training or Gain Employment</w:t>
      </w:r>
      <w:r>
        <w:t>, Resource sheet No. 2, Closing the Gap Clearinghouse, AIHW, Canberra.</w:t>
      </w:r>
    </w:p>
    <w:p w:rsidR="00985566" w:rsidRDefault="00985566" w:rsidP="00985566">
      <w:pPr>
        <w:pStyle w:val="Reference"/>
      </w:pPr>
      <w:r>
        <w:t xml:space="preserve">Industry Skills Council, 2011, </w:t>
      </w:r>
      <w:r w:rsidRPr="00AA18C2">
        <w:rPr>
          <w:i/>
        </w:rPr>
        <w:t>No More Excuses: an Industry Response to The Language, Literacy and Numeracy Challenge</w:t>
      </w:r>
      <w:r>
        <w:t xml:space="preserve">, </w:t>
      </w:r>
      <w:proofErr w:type="spellStart"/>
      <w:r w:rsidR="00AA18C2" w:rsidRPr="00AA18C2">
        <w:t>www.isc.org.au</w:t>
      </w:r>
      <w:proofErr w:type="spellEnd"/>
      <w:r w:rsidR="00AA18C2" w:rsidRPr="00AA18C2">
        <w:t>/pdf/</w:t>
      </w:r>
      <w:r w:rsidR="00AA18C2">
        <w:t xml:space="preserve"> </w:t>
      </w:r>
      <w:proofErr w:type="spellStart"/>
      <w:r>
        <w:t>NoMoreExcuses_FINAL%20single%20page.pdf</w:t>
      </w:r>
      <w:proofErr w:type="spellEnd"/>
      <w:r>
        <w:t xml:space="preserve"> (accessed 10 June 2011)</w:t>
      </w:r>
    </w:p>
    <w:p w:rsidR="00985566" w:rsidRDefault="005239AE" w:rsidP="00985566">
      <w:pPr>
        <w:pStyle w:val="Reference"/>
      </w:pPr>
      <w:r>
        <w:t>Lowry, D., Molloy, S. and</w:t>
      </w:r>
      <w:r w:rsidR="00985566">
        <w:t xml:space="preserve"> </w:t>
      </w:r>
      <w:proofErr w:type="spellStart"/>
      <w:r w:rsidR="00985566">
        <w:t>McGlennon</w:t>
      </w:r>
      <w:proofErr w:type="spellEnd"/>
      <w:r w:rsidR="00985566">
        <w:t xml:space="preserve">, S. 2008, </w:t>
      </w:r>
      <w:r w:rsidR="00985566" w:rsidRPr="00AA18C2">
        <w:rPr>
          <w:i/>
        </w:rPr>
        <w:t>Future Skill Needs: Projections and Employers’ Views</w:t>
      </w:r>
      <w:r w:rsidR="00985566">
        <w:t>, National Institute of Labour Studies, Flinders University, NCVER.</w:t>
      </w:r>
    </w:p>
    <w:p w:rsidR="00985566" w:rsidRDefault="00985566" w:rsidP="00985566">
      <w:pPr>
        <w:pStyle w:val="Reference"/>
      </w:pPr>
      <w:proofErr w:type="spellStart"/>
      <w:r>
        <w:t>Mavromaras</w:t>
      </w:r>
      <w:proofErr w:type="spellEnd"/>
      <w:r>
        <w:t>, K., McGuinn</w:t>
      </w:r>
      <w:r w:rsidR="005239AE">
        <w:t>ess, S. and</w:t>
      </w:r>
      <w:r>
        <w:t xml:space="preserve"> </w:t>
      </w:r>
      <w:proofErr w:type="spellStart"/>
      <w:r>
        <w:t>Fok</w:t>
      </w:r>
      <w:proofErr w:type="spellEnd"/>
      <w:r>
        <w:t xml:space="preserve">, </w:t>
      </w:r>
      <w:proofErr w:type="spellStart"/>
      <w:r>
        <w:t>Y.K</w:t>
      </w:r>
      <w:proofErr w:type="spellEnd"/>
      <w:r>
        <w:t xml:space="preserve">. 2010, </w:t>
      </w:r>
      <w:r w:rsidRPr="00AA18C2">
        <w:rPr>
          <w:i/>
        </w:rPr>
        <w:t xml:space="preserve">The Incidence and Wage Effects of </w:t>
      </w:r>
      <w:proofErr w:type="spellStart"/>
      <w:r w:rsidRPr="00AA18C2">
        <w:rPr>
          <w:i/>
        </w:rPr>
        <w:t>Overskilling</w:t>
      </w:r>
      <w:proofErr w:type="spellEnd"/>
      <w:r w:rsidRPr="00AA18C2">
        <w:rPr>
          <w:i/>
        </w:rPr>
        <w:t xml:space="preserve"> Among Employed VET Graduates</w:t>
      </w:r>
      <w:r>
        <w:t>, NCVER Monograph Series 03/2009.</w:t>
      </w:r>
    </w:p>
    <w:p w:rsidR="00985566" w:rsidRDefault="00985566" w:rsidP="00985566">
      <w:pPr>
        <w:pStyle w:val="Reference"/>
      </w:pPr>
      <w:proofErr w:type="spellStart"/>
      <w:r>
        <w:t>Mavromaras</w:t>
      </w:r>
      <w:proofErr w:type="spellEnd"/>
      <w:r>
        <w:t xml:space="preserve">, K. and </w:t>
      </w:r>
      <w:proofErr w:type="spellStart"/>
      <w:r>
        <w:t>Polidano</w:t>
      </w:r>
      <w:proofErr w:type="spellEnd"/>
      <w:r>
        <w:t xml:space="preserve">, C. 2011, </w:t>
      </w:r>
      <w:r w:rsidRPr="00AA18C2">
        <w:rPr>
          <w:i/>
        </w:rPr>
        <w:t>Improving the Employment Rates of People with Disabilities Through Vocational Education</w:t>
      </w:r>
      <w:r>
        <w:t>, Working Paper No. 3/11, Melbourne Institute of Applied Economic and Social Research, The University of Melbourne.</w:t>
      </w:r>
    </w:p>
    <w:p w:rsidR="00985566" w:rsidRDefault="00985566" w:rsidP="00985566">
      <w:pPr>
        <w:pStyle w:val="Reference"/>
      </w:pPr>
      <w:r>
        <w:t xml:space="preserve">NCVER (National Centre for Vocational Education Research) </w:t>
      </w:r>
      <w:r w:rsidR="007E2DC9">
        <w:t xml:space="preserve">2010, </w:t>
      </w:r>
      <w:r w:rsidR="007E2DC9" w:rsidRPr="00A71C95">
        <w:rPr>
          <w:i/>
        </w:rPr>
        <w:t>Indigenous VET students 2010</w:t>
      </w:r>
      <w:r w:rsidR="007E2DC9">
        <w:t xml:space="preserve">, </w:t>
      </w:r>
      <w:proofErr w:type="spellStart"/>
      <w:r w:rsidR="007E2DC9" w:rsidRPr="00A71C95">
        <w:t>www.ncver.edu.au</w:t>
      </w:r>
      <w:proofErr w:type="spellEnd"/>
      <w:r w:rsidR="007E2DC9">
        <w:t xml:space="preserve"> </w:t>
      </w:r>
      <w:r w:rsidR="007E2DC9" w:rsidRPr="00A71C95">
        <w:t>/publications/</w:t>
      </w:r>
      <w:proofErr w:type="spellStart"/>
      <w:r w:rsidR="007E2DC9" w:rsidRPr="00A71C95">
        <w:t>2393.html</w:t>
      </w:r>
      <w:proofErr w:type="spellEnd"/>
      <w:r w:rsidR="007E2DC9">
        <w:t xml:space="preserve"> (accessed </w:t>
      </w:r>
      <w:r w:rsidR="00DD3974">
        <w:t>26</w:t>
      </w:r>
      <w:r w:rsidR="007E2DC9">
        <w:t xml:space="preserve"> </w:t>
      </w:r>
      <w:r w:rsidR="00DD3974">
        <w:t xml:space="preserve">April </w:t>
      </w:r>
      <w:r w:rsidR="007E2DC9">
        <w:t>201</w:t>
      </w:r>
      <w:r w:rsidR="00DD3974">
        <w:t>3</w:t>
      </w:r>
      <w:r w:rsidR="007E2DC9">
        <w:t>).</w:t>
      </w:r>
    </w:p>
    <w:p w:rsidR="00B40B6B" w:rsidRPr="00B40B6B" w:rsidRDefault="00B40B6B" w:rsidP="00B40B6B">
      <w:pPr>
        <w:pStyle w:val="Reference"/>
      </w:pPr>
      <w:r>
        <w:t xml:space="preserve">—— </w:t>
      </w:r>
      <w:proofErr w:type="spellStart"/>
      <w:r>
        <w:t>2012a</w:t>
      </w:r>
      <w:proofErr w:type="spellEnd"/>
      <w:r>
        <w:t xml:space="preserve">, </w:t>
      </w:r>
      <w:r w:rsidRPr="00B40B6B">
        <w:t xml:space="preserve">Research messages 2011, </w:t>
      </w:r>
      <w:hyperlink r:id="rId35" w:history="1">
        <w:proofErr w:type="spellStart"/>
        <w:r w:rsidRPr="00B40B6B">
          <w:t>www.ncver.edu.au</w:t>
        </w:r>
        <w:proofErr w:type="spellEnd"/>
        <w:r w:rsidRPr="00B40B6B">
          <w:t>/publications/</w:t>
        </w:r>
        <w:proofErr w:type="spellStart"/>
        <w:r w:rsidRPr="00B40B6B">
          <w:t>2453.html</w:t>
        </w:r>
        <w:proofErr w:type="spellEnd"/>
      </w:hyperlink>
      <w:r w:rsidRPr="00B40B6B">
        <w:t xml:space="preserve"> </w:t>
      </w:r>
      <w:r>
        <w:t>(accessed 22 April 2013)</w:t>
      </w:r>
    </w:p>
    <w:p w:rsidR="00A71C95" w:rsidRDefault="00A71C95" w:rsidP="00A71C95">
      <w:pPr>
        <w:pStyle w:val="Reference"/>
      </w:pPr>
      <w:r>
        <w:t xml:space="preserve">—— </w:t>
      </w:r>
      <w:proofErr w:type="spellStart"/>
      <w:r w:rsidR="007E2DC9">
        <w:t>2012</w:t>
      </w:r>
      <w:r w:rsidR="00B40B6B">
        <w:t>b</w:t>
      </w:r>
      <w:proofErr w:type="spellEnd"/>
      <w:r w:rsidR="007E2DC9">
        <w:t xml:space="preserve">, </w:t>
      </w:r>
      <w:r w:rsidR="007E2DC9" w:rsidRPr="00B40B6B">
        <w:t>Indigenous participation in VET</w:t>
      </w:r>
      <w:r w:rsidR="007E2DC9">
        <w:t xml:space="preserve">, </w:t>
      </w:r>
      <w:proofErr w:type="spellStart"/>
      <w:r w:rsidR="007E2DC9" w:rsidRPr="007E2DC9">
        <w:t>www.indigenousvet.edu.au</w:t>
      </w:r>
      <w:proofErr w:type="spellEnd"/>
      <w:r w:rsidR="007E2DC9">
        <w:t xml:space="preserve"> </w:t>
      </w:r>
      <w:r w:rsidR="007E2DC9" w:rsidRPr="003C65CC">
        <w:t>/</w:t>
      </w:r>
      <w:proofErr w:type="spellStart"/>
      <w:r w:rsidR="007E2DC9" w:rsidRPr="003C65CC">
        <w:t>IndigenousParticipation</w:t>
      </w:r>
      <w:r w:rsidR="007E2DC9">
        <w:t>InVET</w:t>
      </w:r>
      <w:proofErr w:type="spellEnd"/>
      <w:r w:rsidR="007E2DC9">
        <w:t xml:space="preserve"> (accessed </w:t>
      </w:r>
      <w:r w:rsidR="001E5500">
        <w:t>22</w:t>
      </w:r>
      <w:r w:rsidR="007E2DC9">
        <w:t xml:space="preserve"> April 201</w:t>
      </w:r>
      <w:r w:rsidR="001E5500">
        <w:t>3</w:t>
      </w:r>
      <w:r w:rsidR="007E2DC9">
        <w:t>).</w:t>
      </w:r>
    </w:p>
    <w:p w:rsidR="005239AE" w:rsidRDefault="00985566" w:rsidP="005239AE">
      <w:pPr>
        <w:pStyle w:val="Reference"/>
      </w:pPr>
      <w:r>
        <w:t xml:space="preserve">OECD (Organisation for Economic Co-Operation and Development) 2010, </w:t>
      </w:r>
      <w:r w:rsidR="005239AE" w:rsidRPr="000C7490">
        <w:rPr>
          <w:i/>
        </w:rPr>
        <w:t xml:space="preserve">OECD Reviews of Vocational Education and Training — </w:t>
      </w:r>
      <w:r w:rsidR="005239AE" w:rsidRPr="00F54533">
        <w:rPr>
          <w:i/>
        </w:rPr>
        <w:t>Learning for Jobs</w:t>
      </w:r>
      <w:r w:rsidR="005239AE">
        <w:t xml:space="preserve">, </w:t>
      </w:r>
      <w:proofErr w:type="spellStart"/>
      <w:r w:rsidR="005239AE" w:rsidRPr="000C7490">
        <w:t>www.oecd.org</w:t>
      </w:r>
      <w:proofErr w:type="spellEnd"/>
      <w:r w:rsidR="005239AE" w:rsidRPr="000C7490">
        <w:t>/</w:t>
      </w:r>
      <w:proofErr w:type="spellStart"/>
      <w:r w:rsidR="005239AE" w:rsidRPr="000C7490">
        <w:t>edu</w:t>
      </w:r>
      <w:proofErr w:type="spellEnd"/>
      <w:r w:rsidR="005239AE" w:rsidRPr="000C7490">
        <w:t>/</w:t>
      </w:r>
      <w:proofErr w:type="spellStart"/>
      <w:r w:rsidR="005239AE" w:rsidRPr="000C7490">
        <w:t>learningforjobs</w:t>
      </w:r>
      <w:proofErr w:type="spellEnd"/>
      <w:r w:rsidR="005239AE">
        <w:t xml:space="preserve"> (accessed </w:t>
      </w:r>
      <w:r w:rsidR="001E5500">
        <w:t>29</w:t>
      </w:r>
      <w:r w:rsidR="005239AE">
        <w:t> </w:t>
      </w:r>
      <w:r w:rsidR="001E5500">
        <w:t>April</w:t>
      </w:r>
      <w:r w:rsidR="005239AE">
        <w:t> 201</w:t>
      </w:r>
      <w:r w:rsidR="001E5500">
        <w:t>3</w:t>
      </w:r>
      <w:r w:rsidR="005239AE">
        <w:t>)</w:t>
      </w:r>
      <w:r w:rsidR="005239AE" w:rsidRPr="000C7490">
        <w:t>.</w:t>
      </w:r>
    </w:p>
    <w:p w:rsidR="003C3F3C" w:rsidRPr="003C3F3C" w:rsidRDefault="003C3F3C" w:rsidP="005239AE">
      <w:pPr>
        <w:pStyle w:val="Reference"/>
      </w:pPr>
      <w:r>
        <w:t xml:space="preserve">—— 2013, </w:t>
      </w:r>
      <w:r>
        <w:rPr>
          <w:i/>
        </w:rPr>
        <w:t xml:space="preserve">OECD Skills Outlook: First results from the survey of adult skills, </w:t>
      </w:r>
      <w:r>
        <w:t xml:space="preserve"> OECD Publishing, </w:t>
      </w:r>
      <w:r w:rsidRPr="003C3F3C">
        <w:t>http://</w:t>
      </w:r>
      <w:proofErr w:type="spellStart"/>
      <w:r w:rsidRPr="003C3F3C">
        <w:t>dx.doi.org</w:t>
      </w:r>
      <w:proofErr w:type="spellEnd"/>
      <w:r w:rsidRPr="003C3F3C">
        <w:t>/10.1787/9789264204256-en</w:t>
      </w:r>
    </w:p>
    <w:p w:rsidR="00985566" w:rsidRDefault="00985566" w:rsidP="00985566">
      <w:pPr>
        <w:pStyle w:val="Reference"/>
      </w:pPr>
      <w:r>
        <w:t xml:space="preserve">Payne, J. 2010, </w:t>
      </w:r>
      <w:r w:rsidRPr="00AA18C2">
        <w:rPr>
          <w:i/>
        </w:rPr>
        <w:t>Skill Utilisation: Towards a Measurement and Evaluation Framework</w:t>
      </w:r>
      <w:r>
        <w:t xml:space="preserve">, </w:t>
      </w:r>
      <w:proofErr w:type="spellStart"/>
      <w:r>
        <w:t>SKOP</w:t>
      </w:r>
      <w:r w:rsidR="005239AE">
        <w:t>E</w:t>
      </w:r>
      <w:proofErr w:type="spellEnd"/>
      <w:r w:rsidR="005239AE">
        <w:t xml:space="preserve"> Research Paper No. 93. </w:t>
      </w:r>
      <w:proofErr w:type="spellStart"/>
      <w:r w:rsidR="001E5500" w:rsidRPr="001E5500">
        <w:t>www.skope.ox.ac.uk</w:t>
      </w:r>
      <w:proofErr w:type="spellEnd"/>
      <w:r w:rsidR="001E5500" w:rsidRPr="001E5500">
        <w:t>/sites/default/files/</w:t>
      </w:r>
      <w:proofErr w:type="spellStart"/>
      <w:r w:rsidR="001E5500" w:rsidRPr="001E5500">
        <w:t>RP93.pdf</w:t>
      </w:r>
      <w:proofErr w:type="spellEnd"/>
      <w:r w:rsidR="001E5500" w:rsidRPr="001E5500" w:rsidDel="001E5500">
        <w:t xml:space="preserve"> </w:t>
      </w:r>
      <w:r>
        <w:t>(accessed 2</w:t>
      </w:r>
      <w:r w:rsidR="001E5500">
        <w:t>9</w:t>
      </w:r>
      <w:r>
        <w:t xml:space="preserve"> </w:t>
      </w:r>
      <w:proofErr w:type="spellStart"/>
      <w:r w:rsidR="001E5500">
        <w:t>April</w:t>
      </w:r>
      <w:r>
        <w:t>201</w:t>
      </w:r>
      <w:r w:rsidR="001E5500">
        <w:t>3</w:t>
      </w:r>
      <w:proofErr w:type="spellEnd"/>
      <w:r>
        <w:t>).</w:t>
      </w:r>
    </w:p>
    <w:p w:rsidR="00F15107" w:rsidRPr="008C1FA9" w:rsidRDefault="00F15107" w:rsidP="00985566">
      <w:pPr>
        <w:pStyle w:val="Reference"/>
      </w:pPr>
      <w:r w:rsidRPr="008C1FA9">
        <w:t xml:space="preserve">Rothman, S., Shah, C., Underwood, C., </w:t>
      </w:r>
      <w:proofErr w:type="spellStart"/>
      <w:r w:rsidRPr="008C1FA9">
        <w:t>McMilan</w:t>
      </w:r>
      <w:proofErr w:type="spellEnd"/>
      <w:r w:rsidRPr="008C1FA9">
        <w:t xml:space="preserve">, J., Brown, J and McKenzie, P 2013, </w:t>
      </w:r>
      <w:r w:rsidRPr="008C1FA9">
        <w:rPr>
          <w:i/>
        </w:rPr>
        <w:t>National Repor</w:t>
      </w:r>
      <w:r w:rsidR="00841067" w:rsidRPr="008C1FA9">
        <w:rPr>
          <w:i/>
        </w:rPr>
        <w:t>t on Social Equity in VET 2013</w:t>
      </w:r>
      <w:r w:rsidR="008C1FA9">
        <w:rPr>
          <w:i/>
        </w:rPr>
        <w:t xml:space="preserve">, </w:t>
      </w:r>
      <w:r w:rsidR="008C1FA9">
        <w:t xml:space="preserve">Melbourne: </w:t>
      </w:r>
      <w:proofErr w:type="spellStart"/>
      <w:r w:rsidR="008C1FA9">
        <w:t>NVEAC</w:t>
      </w:r>
      <w:proofErr w:type="spellEnd"/>
      <w:r w:rsidR="008C1FA9">
        <w:t>.</w:t>
      </w:r>
    </w:p>
    <w:p w:rsidR="009F2D0A" w:rsidRDefault="00985566" w:rsidP="009F2D0A">
      <w:pPr>
        <w:pStyle w:val="Reference"/>
      </w:pPr>
      <w:r>
        <w:t xml:space="preserve">PC (Productivity Commission) 2011, </w:t>
      </w:r>
      <w:r w:rsidRPr="00AA18C2">
        <w:rPr>
          <w:i/>
        </w:rPr>
        <w:t>Vocational Education and Training Workforce</w:t>
      </w:r>
      <w:r>
        <w:t>, Research Report, Canberra.</w:t>
      </w:r>
    </w:p>
    <w:p w:rsidR="007E2DC9" w:rsidRDefault="009F2D0A" w:rsidP="009F2D0A">
      <w:pPr>
        <w:pStyle w:val="Reference"/>
      </w:pPr>
      <w:r>
        <w:t xml:space="preserve">—— </w:t>
      </w:r>
      <w:r w:rsidR="007E2DC9">
        <w:t xml:space="preserve">2012, </w:t>
      </w:r>
      <w:r w:rsidR="007E2DC9" w:rsidRPr="007E2DC9">
        <w:rPr>
          <w:i/>
        </w:rPr>
        <w:t>Impact of COAG Reforms: Business Regional and VET</w:t>
      </w:r>
      <w:r w:rsidR="007E2DC9">
        <w:t>, Research Report, Canberra.</w:t>
      </w:r>
    </w:p>
    <w:p w:rsidR="00985566" w:rsidRDefault="00985566" w:rsidP="00985566">
      <w:pPr>
        <w:pStyle w:val="Reference"/>
      </w:pPr>
      <w:r>
        <w:t xml:space="preserve">Saunders, J., Jones, M., Bowman, K., </w:t>
      </w:r>
      <w:proofErr w:type="spellStart"/>
      <w:r>
        <w:t>Loveder</w:t>
      </w:r>
      <w:proofErr w:type="spellEnd"/>
      <w:r>
        <w:t xml:space="preserve">, P. </w:t>
      </w:r>
      <w:r w:rsidR="005239AE">
        <w:t>and Brooks, L.</w:t>
      </w:r>
      <w:r>
        <w:t xml:space="preserve"> 2003, </w:t>
      </w:r>
      <w:r w:rsidRPr="00AA18C2">
        <w:rPr>
          <w:i/>
        </w:rPr>
        <w:t>Indigenous People in Vocational Education and Training: A Statistical Review of Progress</w:t>
      </w:r>
      <w:r>
        <w:t>, NCVER.</w:t>
      </w:r>
    </w:p>
    <w:p w:rsidR="00985566" w:rsidRDefault="00985566" w:rsidP="00985566">
      <w:pPr>
        <w:pStyle w:val="Reference"/>
      </w:pPr>
      <w:r>
        <w:t xml:space="preserve">Scottish Government Social Research 2008, </w:t>
      </w:r>
      <w:r w:rsidRPr="00AA18C2">
        <w:rPr>
          <w:i/>
        </w:rPr>
        <w:t>Skills Utilisation Literature Review</w:t>
      </w:r>
      <w:r>
        <w:t>, Education Analytical Services, Lifelong Learning Research, Scottish Government.</w:t>
      </w:r>
    </w:p>
    <w:p w:rsidR="00F867E5" w:rsidRDefault="00985566" w:rsidP="00F867E5">
      <w:pPr>
        <w:pStyle w:val="Reference"/>
      </w:pPr>
      <w:r w:rsidRPr="009D6019">
        <w:t>SCRGSP (Steering Committee for the Review of Government Service Provision)</w:t>
      </w:r>
      <w:r w:rsidR="009F2D0A" w:rsidRPr="009D6019">
        <w:t xml:space="preserve"> </w:t>
      </w:r>
      <w:r w:rsidR="005239AE" w:rsidRPr="009D6019">
        <w:t>201</w:t>
      </w:r>
      <w:r w:rsidR="00523BE4" w:rsidRPr="009D6019">
        <w:t>4</w:t>
      </w:r>
      <w:r w:rsidR="005239AE" w:rsidRPr="009D6019">
        <w:t xml:space="preserve">, </w:t>
      </w:r>
      <w:r w:rsidR="005239AE" w:rsidRPr="009D6019">
        <w:rPr>
          <w:i/>
        </w:rPr>
        <w:t>Report on Government Services 201</w:t>
      </w:r>
      <w:r w:rsidR="00523BE4" w:rsidRPr="009D6019">
        <w:rPr>
          <w:i/>
        </w:rPr>
        <w:t>4</w:t>
      </w:r>
      <w:r w:rsidR="005239AE" w:rsidRPr="009D6019">
        <w:t>, Productivity Commission, Canberra.</w:t>
      </w:r>
    </w:p>
    <w:p w:rsidR="00985566" w:rsidRDefault="00985566" w:rsidP="00985566">
      <w:pPr>
        <w:pStyle w:val="Reference"/>
      </w:pPr>
      <w:r>
        <w:t xml:space="preserve">Universities Australia 2008, </w:t>
      </w:r>
      <w:r w:rsidRPr="00AA18C2">
        <w:rPr>
          <w:i/>
        </w:rPr>
        <w:t>Advancing Equity and Participation in Australian Higher Education</w:t>
      </w:r>
      <w:r w:rsidR="005239AE">
        <w:t xml:space="preserve">, </w:t>
      </w:r>
      <w:r>
        <w:t xml:space="preserve">www.universitiesaustralia.edu.au/page/media-centre/2008-media-releases/equity-and-participation-in-higher-education/ (accessed </w:t>
      </w:r>
      <w:r w:rsidR="001E5500">
        <w:t>29</w:t>
      </w:r>
      <w:r>
        <w:t xml:space="preserve"> </w:t>
      </w:r>
      <w:r w:rsidR="001E5500">
        <w:t>April 2013</w:t>
      </w:r>
      <w:r>
        <w:t>).</w:t>
      </w:r>
    </w:p>
    <w:p w:rsidR="00985566" w:rsidRDefault="00985566" w:rsidP="00985566">
      <w:pPr>
        <w:pStyle w:val="Reference"/>
      </w:pPr>
      <w:r>
        <w:t xml:space="preserve">Watson, I. 2008, </w:t>
      </w:r>
      <w:r w:rsidRPr="00AA18C2">
        <w:rPr>
          <w:i/>
        </w:rPr>
        <w:t>Skills in Use: Labour Market and Workplace Trends in Skills Use in Australia</w:t>
      </w:r>
      <w:r>
        <w:t>, paper presented to New Directions in Skills Policy and Practice NSW DET Conference, Sydney, 26 May 2008.</w:t>
      </w:r>
    </w:p>
    <w:p w:rsidR="00985566" w:rsidRDefault="00985566" w:rsidP="00985566">
      <w:pPr>
        <w:pStyle w:val="Reference"/>
      </w:pPr>
      <w:r>
        <w:t xml:space="preserve">Watson, I 2011 </w:t>
      </w:r>
      <w:r w:rsidR="005239AE">
        <w:rPr>
          <w:i/>
        </w:rPr>
        <w:t>Education, Earnings and the Labour M</w:t>
      </w:r>
      <w:r w:rsidRPr="00D63D34">
        <w:rPr>
          <w:i/>
        </w:rPr>
        <w:t>arket, Report for Skills Australia</w:t>
      </w:r>
      <w:r w:rsidR="005239AE">
        <w:t xml:space="preserve">, </w:t>
      </w:r>
      <w:r w:rsidR="001E5500" w:rsidRPr="001E5500">
        <w:t>www.awpa.gov.au/publications/documents/education_earnings%20and%20the%20labour%20market%20report_final_30may2011.pdf</w:t>
      </w:r>
      <w:r w:rsidR="001E5500" w:rsidRPr="001E5500" w:rsidDel="001E5500">
        <w:t xml:space="preserve"> </w:t>
      </w:r>
      <w:r>
        <w:t xml:space="preserve">(accessed </w:t>
      </w:r>
      <w:r w:rsidR="001E5500">
        <w:t>29</w:t>
      </w:r>
      <w:r>
        <w:t xml:space="preserve"> April 201</w:t>
      </w:r>
      <w:r w:rsidR="001E5500">
        <w:t>3</w:t>
      </w:r>
      <w:r>
        <w:t>).</w:t>
      </w:r>
    </w:p>
    <w:p w:rsidR="00612EE0" w:rsidRDefault="00612EE0">
      <w:pPr>
        <w:rPr>
          <w:szCs w:val="20"/>
        </w:rPr>
      </w:pPr>
      <w:r>
        <w:br w:type="page"/>
      </w:r>
    </w:p>
    <w:p w:rsidR="00612EE0" w:rsidRDefault="00612EE0" w:rsidP="00E04D46">
      <w:pPr>
        <w:pStyle w:val="Heading2"/>
      </w:pPr>
      <w:r>
        <w:t>Acronyms and abbreviations</w:t>
      </w:r>
    </w:p>
    <w:p w:rsidR="00612EE0" w:rsidRDefault="00612EE0" w:rsidP="00E04D46">
      <w:pPr>
        <w:pStyle w:val="Abbreviation"/>
      </w:pPr>
      <w:r>
        <w:t>..</w:t>
      </w:r>
      <w:r>
        <w:tab/>
        <w:t>not applicable</w:t>
      </w:r>
    </w:p>
    <w:p w:rsidR="00612EE0" w:rsidRDefault="00612EE0" w:rsidP="00E04D46">
      <w:pPr>
        <w:pStyle w:val="Abbreviation"/>
      </w:pPr>
      <w:r>
        <w:t>–</w:t>
      </w:r>
      <w:r>
        <w:tab/>
        <w:t>zero, or rounded to zero</w:t>
      </w:r>
    </w:p>
    <w:p w:rsidR="00404BBA" w:rsidRDefault="00404BBA" w:rsidP="00E04D46">
      <w:pPr>
        <w:pStyle w:val="Abbreviation"/>
      </w:pPr>
      <w:r>
        <w:t>AATSIHS</w:t>
      </w:r>
      <w:r>
        <w:tab/>
        <w:t>Australian Aboriginal and Torres Strait Islander Health Survey</w:t>
      </w:r>
    </w:p>
    <w:p w:rsidR="00612EE0" w:rsidRDefault="00612EE0" w:rsidP="00E04D46">
      <w:pPr>
        <w:pStyle w:val="Abbreviation"/>
      </w:pPr>
      <w:r>
        <w:t>ABS</w:t>
      </w:r>
      <w:r>
        <w:tab/>
        <w:t>Australian Bureau of Statistics</w:t>
      </w:r>
    </w:p>
    <w:p w:rsidR="00612EE0" w:rsidRDefault="00612EE0" w:rsidP="00E04D46">
      <w:pPr>
        <w:pStyle w:val="Abbreviation"/>
      </w:pPr>
      <w:r>
        <w:t>ACE</w:t>
      </w:r>
      <w:r>
        <w:tab/>
        <w:t>Adult and Community Education</w:t>
      </w:r>
    </w:p>
    <w:p w:rsidR="00612EE0" w:rsidRDefault="00612EE0" w:rsidP="00E04D46">
      <w:pPr>
        <w:pStyle w:val="Abbreviation"/>
      </w:pPr>
      <w:r>
        <w:t>ACT</w:t>
      </w:r>
      <w:r>
        <w:tab/>
        <w:t xml:space="preserve">Australian Capital Territory </w:t>
      </w:r>
    </w:p>
    <w:p w:rsidR="00612EE0" w:rsidRDefault="00612EE0" w:rsidP="00E04D46">
      <w:pPr>
        <w:pStyle w:val="Abbreviation"/>
      </w:pPr>
      <w:r>
        <w:t>ALLS</w:t>
      </w:r>
      <w:r>
        <w:tab/>
        <w:t>Adult Literacy and Life Skills Survey</w:t>
      </w:r>
    </w:p>
    <w:p w:rsidR="00612EE0" w:rsidRDefault="00612EE0" w:rsidP="00E04D46">
      <w:pPr>
        <w:pStyle w:val="Abbreviation"/>
      </w:pPr>
      <w:proofErr w:type="spellStart"/>
      <w:r>
        <w:t>AQF</w:t>
      </w:r>
      <w:proofErr w:type="spellEnd"/>
      <w:r>
        <w:tab/>
        <w:t>Australian Qualifications Framework</w:t>
      </w:r>
    </w:p>
    <w:p w:rsidR="00464AFA" w:rsidRDefault="00464AFA" w:rsidP="00E04D46">
      <w:pPr>
        <w:pStyle w:val="Abbreviation"/>
      </w:pPr>
      <w:proofErr w:type="spellStart"/>
      <w:r>
        <w:t>AQFT</w:t>
      </w:r>
      <w:proofErr w:type="spellEnd"/>
      <w:r>
        <w:tab/>
        <w:t>Australian Quality Training Framework</w:t>
      </w:r>
    </w:p>
    <w:p w:rsidR="00612EE0" w:rsidRDefault="00612EE0" w:rsidP="00E04D46">
      <w:pPr>
        <w:pStyle w:val="Abbreviation"/>
      </w:pPr>
      <w:proofErr w:type="spellStart"/>
      <w:r>
        <w:t>ARA</w:t>
      </w:r>
      <w:proofErr w:type="spellEnd"/>
      <w:r>
        <w:tab/>
        <w:t>Any responsible adult</w:t>
      </w:r>
    </w:p>
    <w:p w:rsidR="00612EE0" w:rsidRDefault="00612EE0" w:rsidP="00E04D46">
      <w:pPr>
        <w:pStyle w:val="Abbreviation"/>
      </w:pPr>
      <w:r>
        <w:t>ARIA</w:t>
      </w:r>
      <w:r>
        <w:tab/>
        <w:t>Accessibility/Remoteness Index for Australia</w:t>
      </w:r>
    </w:p>
    <w:p w:rsidR="0008107B" w:rsidRDefault="0008107B" w:rsidP="00E04D46">
      <w:pPr>
        <w:pStyle w:val="Abbreviation"/>
      </w:pPr>
      <w:proofErr w:type="spellStart"/>
      <w:r>
        <w:t>ASCED</w:t>
      </w:r>
      <w:proofErr w:type="spellEnd"/>
      <w:r>
        <w:tab/>
        <w:t>Australian Standard Classification of Education</w:t>
      </w:r>
    </w:p>
    <w:p w:rsidR="007F67F8" w:rsidRDefault="007F67F8" w:rsidP="00E04D46">
      <w:pPr>
        <w:pStyle w:val="Abbreviation"/>
      </w:pPr>
      <w:r>
        <w:t>ASGC</w:t>
      </w:r>
      <w:r>
        <w:tab/>
        <w:t>Australian Standard Geographical Classification</w:t>
      </w:r>
    </w:p>
    <w:p w:rsidR="007F67F8" w:rsidRDefault="007F67F8" w:rsidP="00E04D46">
      <w:pPr>
        <w:pStyle w:val="Abbreviation"/>
      </w:pPr>
      <w:r>
        <w:t>ASGS</w:t>
      </w:r>
      <w:r>
        <w:tab/>
        <w:t>Australian Statistical Geography Standard</w:t>
      </w:r>
    </w:p>
    <w:p w:rsidR="00612EE0" w:rsidRDefault="00612EE0" w:rsidP="00E04D46">
      <w:pPr>
        <w:pStyle w:val="Abbreviation"/>
      </w:pPr>
      <w:proofErr w:type="spellStart"/>
      <w:r>
        <w:t>Aust</w:t>
      </w:r>
      <w:proofErr w:type="spellEnd"/>
      <w:r>
        <w:tab/>
        <w:t>Australia</w:t>
      </w:r>
    </w:p>
    <w:p w:rsidR="00030F3D" w:rsidRDefault="00030F3D" w:rsidP="00E04D46">
      <w:pPr>
        <w:pStyle w:val="Abbreviation"/>
      </w:pPr>
      <w:proofErr w:type="spellStart"/>
      <w:r>
        <w:t>AWPA</w:t>
      </w:r>
      <w:proofErr w:type="spellEnd"/>
      <w:r>
        <w:tab/>
        <w:t>Australian Workforce and Productivity Agency</w:t>
      </w:r>
    </w:p>
    <w:p w:rsidR="00612EE0" w:rsidRDefault="00612EE0" w:rsidP="00E04D46">
      <w:pPr>
        <w:pStyle w:val="Abbreviation"/>
      </w:pPr>
      <w:r>
        <w:t>COAG</w:t>
      </w:r>
      <w:r>
        <w:tab/>
        <w:t>Council of Australian Governments</w:t>
      </w:r>
    </w:p>
    <w:p w:rsidR="00612EE0" w:rsidRDefault="00612EE0" w:rsidP="00E04D46">
      <w:pPr>
        <w:pStyle w:val="Abbreviation"/>
      </w:pPr>
      <w:r>
        <w:t>CRC</w:t>
      </w:r>
      <w:r>
        <w:tab/>
        <w:t>COAG Reform Council</w:t>
      </w:r>
    </w:p>
    <w:p w:rsidR="00612EE0" w:rsidRDefault="00612EE0" w:rsidP="00E04D46">
      <w:pPr>
        <w:pStyle w:val="Abbreviation"/>
      </w:pPr>
      <w:proofErr w:type="spellStart"/>
      <w:r>
        <w:t>CURF</w:t>
      </w:r>
      <w:proofErr w:type="spellEnd"/>
      <w:r>
        <w:tab/>
      </w:r>
      <w:proofErr w:type="spellStart"/>
      <w:r>
        <w:t>Confidentialised</w:t>
      </w:r>
      <w:proofErr w:type="spellEnd"/>
      <w:r>
        <w:t xml:space="preserve"> Unit Record File</w:t>
      </w:r>
    </w:p>
    <w:p w:rsidR="00612EE0" w:rsidRDefault="00612EE0" w:rsidP="00E04D46">
      <w:pPr>
        <w:pStyle w:val="Abbreviation"/>
      </w:pPr>
      <w:r>
        <w:t>DEEWR</w:t>
      </w:r>
      <w:r>
        <w:tab/>
        <w:t>Department of Education Employment and Workplace Relations</w:t>
      </w:r>
    </w:p>
    <w:p w:rsidR="00612EE0" w:rsidRDefault="00612EE0" w:rsidP="00E04D46">
      <w:pPr>
        <w:pStyle w:val="Abbreviation"/>
      </w:pPr>
      <w:r>
        <w:t>DQS</w:t>
      </w:r>
      <w:r>
        <w:tab/>
        <w:t>Data Quality Statement</w:t>
      </w:r>
    </w:p>
    <w:p w:rsidR="00804102" w:rsidRDefault="00804102" w:rsidP="00E04D46">
      <w:pPr>
        <w:pStyle w:val="Abbreviation"/>
      </w:pPr>
      <w:r>
        <w:t>FLAG</w:t>
      </w:r>
      <w:r>
        <w:tab/>
        <w:t>Flexible Learning Advisory Group</w:t>
      </w:r>
    </w:p>
    <w:p w:rsidR="00612EE0" w:rsidRDefault="00612EE0" w:rsidP="00E04D46">
      <w:pPr>
        <w:pStyle w:val="Abbreviation"/>
      </w:pPr>
      <w:r>
        <w:t>IGA</w:t>
      </w:r>
      <w:r>
        <w:tab/>
        <w:t>Intergovernmental Agreement on Federal Financial Relations</w:t>
      </w:r>
    </w:p>
    <w:p w:rsidR="0008107B" w:rsidRDefault="0008107B" w:rsidP="00E04D46">
      <w:pPr>
        <w:pStyle w:val="Abbreviation"/>
      </w:pPr>
      <w:proofErr w:type="spellStart"/>
      <w:r>
        <w:t>LFS</w:t>
      </w:r>
      <w:proofErr w:type="spellEnd"/>
      <w:r>
        <w:tab/>
        <w:t>Labour Force Survey</w:t>
      </w:r>
    </w:p>
    <w:p w:rsidR="00612EE0" w:rsidRDefault="00612EE0" w:rsidP="00E04D46">
      <w:pPr>
        <w:pStyle w:val="Abbreviation"/>
      </w:pPr>
      <w:proofErr w:type="spellStart"/>
      <w:r>
        <w:t>LOTE</w:t>
      </w:r>
      <w:proofErr w:type="spellEnd"/>
      <w:r>
        <w:tab/>
        <w:t>Language other than English</w:t>
      </w:r>
    </w:p>
    <w:p w:rsidR="00612EE0" w:rsidRDefault="00612EE0" w:rsidP="00E04D46">
      <w:pPr>
        <w:pStyle w:val="Abbreviation"/>
      </w:pPr>
      <w:r>
        <w:t>NA</w:t>
      </w:r>
      <w:r>
        <w:tab/>
        <w:t>National Agreement</w:t>
      </w:r>
    </w:p>
    <w:p w:rsidR="00612EE0" w:rsidRDefault="00612EE0" w:rsidP="00E04D46">
      <w:pPr>
        <w:pStyle w:val="Abbreviation"/>
      </w:pPr>
      <w:r>
        <w:t>na</w:t>
      </w:r>
      <w:r>
        <w:tab/>
        <w:t>not available</w:t>
      </w:r>
    </w:p>
    <w:p w:rsidR="00612EE0" w:rsidRDefault="00612EE0" w:rsidP="00E04D46">
      <w:pPr>
        <w:pStyle w:val="Abbreviation"/>
      </w:pPr>
      <w:r>
        <w:t>NASWD</w:t>
      </w:r>
      <w:r>
        <w:tab/>
        <w:t>National Agreement for Skills and Workforce Development</w:t>
      </w:r>
    </w:p>
    <w:p w:rsidR="00804102" w:rsidRDefault="00804102" w:rsidP="00E04D46">
      <w:pPr>
        <w:pStyle w:val="Abbreviation"/>
      </w:pPr>
      <w:proofErr w:type="spellStart"/>
      <w:r>
        <w:t>NATESE</w:t>
      </w:r>
      <w:proofErr w:type="spellEnd"/>
      <w:r>
        <w:tab/>
        <w:t xml:space="preserve">National Advisory for Tertiary Education, Skills and Employment </w:t>
      </w:r>
    </w:p>
    <w:p w:rsidR="00612EE0" w:rsidRDefault="00612EE0" w:rsidP="00E04D46">
      <w:pPr>
        <w:pStyle w:val="Abbreviation"/>
      </w:pPr>
      <w:r>
        <w:t>NATSIHS</w:t>
      </w:r>
      <w:r>
        <w:tab/>
        <w:t>National Aboriginal and Torres Strait Islander Health Survey</w:t>
      </w:r>
    </w:p>
    <w:p w:rsidR="00612EE0" w:rsidRDefault="00612EE0" w:rsidP="00E04D46">
      <w:pPr>
        <w:pStyle w:val="Abbreviation"/>
      </w:pPr>
      <w:r>
        <w:t>NATSISS</w:t>
      </w:r>
      <w:r>
        <w:tab/>
        <w:t xml:space="preserve">National Aboriginal and Torres Strait Islander Social Survey </w:t>
      </w:r>
    </w:p>
    <w:p w:rsidR="00612EE0" w:rsidRDefault="00612EE0" w:rsidP="00E04D46">
      <w:pPr>
        <w:pStyle w:val="Abbreviation"/>
      </w:pPr>
      <w:r>
        <w:t>NCVER</w:t>
      </w:r>
      <w:r>
        <w:tab/>
        <w:t>National Centre for Vocational Education Research</w:t>
      </w:r>
    </w:p>
    <w:p w:rsidR="00612EE0" w:rsidRDefault="00612EE0" w:rsidP="00E04D46">
      <w:pPr>
        <w:pStyle w:val="Abbreviation"/>
      </w:pPr>
      <w:proofErr w:type="spellStart"/>
      <w:r>
        <w:t>nfd</w:t>
      </w:r>
      <w:proofErr w:type="spellEnd"/>
      <w:r>
        <w:tab/>
        <w:t>not further defined</w:t>
      </w:r>
    </w:p>
    <w:p w:rsidR="00612EE0" w:rsidRDefault="00612EE0" w:rsidP="00E04D46">
      <w:pPr>
        <w:pStyle w:val="Abbreviation"/>
      </w:pPr>
      <w:r>
        <w:t>NIRA</w:t>
      </w:r>
      <w:r>
        <w:tab/>
        <w:t>National Indigenous Reform Agreement</w:t>
      </w:r>
    </w:p>
    <w:p w:rsidR="00612EE0" w:rsidRDefault="00612EE0" w:rsidP="00E04D46">
      <w:pPr>
        <w:pStyle w:val="Abbreviation"/>
      </w:pPr>
      <w:r>
        <w:t>NP</w:t>
      </w:r>
      <w:r>
        <w:tab/>
        <w:t>National Partnership</w:t>
      </w:r>
    </w:p>
    <w:p w:rsidR="00612EE0" w:rsidRDefault="00612EE0" w:rsidP="00E04D46">
      <w:pPr>
        <w:pStyle w:val="Abbreviation"/>
      </w:pPr>
      <w:r>
        <w:t>np</w:t>
      </w:r>
      <w:r>
        <w:tab/>
        <w:t>not published</w:t>
      </w:r>
    </w:p>
    <w:p w:rsidR="00612EE0" w:rsidRDefault="00612EE0" w:rsidP="00E04D46">
      <w:pPr>
        <w:pStyle w:val="Abbreviation"/>
      </w:pPr>
      <w:proofErr w:type="spellStart"/>
      <w:r>
        <w:t>NSOC</w:t>
      </w:r>
      <w:proofErr w:type="spellEnd"/>
      <w:r>
        <w:tab/>
        <w:t>National Senior Officials Committee</w:t>
      </w:r>
    </w:p>
    <w:p w:rsidR="00804102" w:rsidRDefault="00804102" w:rsidP="00E04D46">
      <w:pPr>
        <w:pStyle w:val="Abbreviation"/>
      </w:pPr>
      <w:r>
        <w:t>NSSC</w:t>
      </w:r>
      <w:r>
        <w:tab/>
        <w:t>National Skills Standard Council</w:t>
      </w:r>
    </w:p>
    <w:p w:rsidR="00612EE0" w:rsidRDefault="00612EE0" w:rsidP="00E04D46">
      <w:pPr>
        <w:pStyle w:val="Abbreviation"/>
      </w:pPr>
      <w:r>
        <w:t>NSW</w:t>
      </w:r>
      <w:r>
        <w:tab/>
        <w:t>New South Wales</w:t>
      </w:r>
    </w:p>
    <w:p w:rsidR="00612EE0" w:rsidRDefault="00612EE0" w:rsidP="00E04D46">
      <w:pPr>
        <w:pStyle w:val="Abbreviation"/>
      </w:pPr>
      <w:r>
        <w:t>NT</w:t>
      </w:r>
      <w:r>
        <w:tab/>
        <w:t>Northern Territory</w:t>
      </w:r>
    </w:p>
    <w:p w:rsidR="00804102" w:rsidRDefault="00804102" w:rsidP="00E04D46">
      <w:pPr>
        <w:pStyle w:val="Abbreviation"/>
      </w:pPr>
      <w:proofErr w:type="spellStart"/>
      <w:r>
        <w:t>NVEAC</w:t>
      </w:r>
      <w:proofErr w:type="spellEnd"/>
      <w:r>
        <w:tab/>
        <w:t>National VET Equity Advisory Council</w:t>
      </w:r>
    </w:p>
    <w:p w:rsidR="00612EE0" w:rsidRDefault="00612EE0" w:rsidP="00E04D46">
      <w:pPr>
        <w:pStyle w:val="Abbreviation"/>
      </w:pPr>
      <w:r>
        <w:t>OECD</w:t>
      </w:r>
      <w:r>
        <w:tab/>
        <w:t>Organisation for Economic Co-operation and Development</w:t>
      </w:r>
    </w:p>
    <w:p w:rsidR="00612EE0" w:rsidRDefault="00612EE0" w:rsidP="00E04D46">
      <w:pPr>
        <w:pStyle w:val="Abbreviation"/>
      </w:pPr>
      <w:r>
        <w:t>PC</w:t>
      </w:r>
      <w:r>
        <w:tab/>
        <w:t>Productivity Commission</w:t>
      </w:r>
    </w:p>
    <w:p w:rsidR="009921B0" w:rsidRDefault="009921B0" w:rsidP="00E04D46">
      <w:pPr>
        <w:pStyle w:val="Abbreviation"/>
      </w:pPr>
      <w:r>
        <w:t>PIAAC</w:t>
      </w:r>
      <w:r>
        <w:tab/>
        <w:t>OECD Programme for the International Assessment of Adult Competencies</w:t>
      </w:r>
    </w:p>
    <w:p w:rsidR="00612EE0" w:rsidRDefault="00612EE0" w:rsidP="00E04D46">
      <w:pPr>
        <w:pStyle w:val="Abbreviation"/>
      </w:pPr>
      <w:r>
        <w:t>PPP</w:t>
      </w:r>
      <w:r>
        <w:tab/>
        <w:t>Productivity Places Program</w:t>
      </w:r>
    </w:p>
    <w:p w:rsidR="00612EE0" w:rsidRDefault="00612EE0" w:rsidP="00E04D46">
      <w:pPr>
        <w:pStyle w:val="Abbreviation"/>
      </w:pPr>
      <w:r>
        <w:t>Qld</w:t>
      </w:r>
      <w:r>
        <w:tab/>
        <w:t>Queensland</w:t>
      </w:r>
    </w:p>
    <w:p w:rsidR="00612EE0" w:rsidRDefault="00612EE0" w:rsidP="00E04D46">
      <w:pPr>
        <w:pStyle w:val="Abbreviation"/>
      </w:pPr>
      <w:proofErr w:type="spellStart"/>
      <w:r>
        <w:t>RSE</w:t>
      </w:r>
      <w:proofErr w:type="spellEnd"/>
      <w:r>
        <w:tab/>
        <w:t>relative standard error</w:t>
      </w:r>
    </w:p>
    <w:p w:rsidR="00804102" w:rsidRDefault="00804102" w:rsidP="00E04D46">
      <w:pPr>
        <w:pStyle w:val="Abbreviation"/>
      </w:pPr>
      <w:proofErr w:type="spellStart"/>
      <w:r>
        <w:t>RTO</w:t>
      </w:r>
      <w:proofErr w:type="spellEnd"/>
      <w:r>
        <w:tab/>
        <w:t>Registered Training Organisation</w:t>
      </w:r>
    </w:p>
    <w:p w:rsidR="00612EE0" w:rsidRDefault="00612EE0" w:rsidP="00E04D46">
      <w:pPr>
        <w:pStyle w:val="Abbreviation"/>
      </w:pPr>
      <w:r>
        <w:t>SA</w:t>
      </w:r>
      <w:r>
        <w:tab/>
        <w:t>South Australia</w:t>
      </w:r>
    </w:p>
    <w:p w:rsidR="001F558D" w:rsidRDefault="001F558D" w:rsidP="001F558D">
      <w:pPr>
        <w:pStyle w:val="Abbreviation"/>
      </w:pPr>
      <w:r>
        <w:t>SCFFR</w:t>
      </w:r>
      <w:r>
        <w:tab/>
        <w:t>Standing Council for Federal Financial Relations</w:t>
      </w:r>
    </w:p>
    <w:p w:rsidR="00804102" w:rsidRDefault="00804102" w:rsidP="00E04D46">
      <w:pPr>
        <w:pStyle w:val="Abbreviation"/>
      </w:pPr>
      <w:r>
        <w:t>SCOTESE</w:t>
      </w:r>
      <w:r>
        <w:tab/>
        <w:t>Standing Council on Tertiary Education, Skills and Employment</w:t>
      </w:r>
    </w:p>
    <w:p w:rsidR="00612EE0" w:rsidRDefault="00612EE0" w:rsidP="00E04D46">
      <w:pPr>
        <w:pStyle w:val="Abbreviation"/>
      </w:pPr>
      <w:r>
        <w:t>SCRGSP</w:t>
      </w:r>
      <w:r>
        <w:tab/>
        <w:t>Steering Committee for the Review of Government Service Provision</w:t>
      </w:r>
    </w:p>
    <w:p w:rsidR="00135F57" w:rsidRDefault="00612EE0" w:rsidP="00135F57">
      <w:pPr>
        <w:pStyle w:val="Abbreviation"/>
      </w:pPr>
      <w:r>
        <w:t>SEIFA</w:t>
      </w:r>
      <w:r w:rsidR="00135F57">
        <w:t xml:space="preserve"> IRSD</w:t>
      </w:r>
      <w:r>
        <w:tab/>
        <w:t>Socioeconomic Indexes for Areas</w:t>
      </w:r>
      <w:r w:rsidR="00135F57">
        <w:t xml:space="preserve"> Index of Relative Social Disadvantage</w:t>
      </w:r>
    </w:p>
    <w:p w:rsidR="00612EE0" w:rsidRDefault="00612EE0" w:rsidP="00E04D46">
      <w:pPr>
        <w:pStyle w:val="Abbreviation"/>
      </w:pPr>
      <w:r>
        <w:t>SES</w:t>
      </w:r>
      <w:r>
        <w:tab/>
      </w:r>
      <w:proofErr w:type="spellStart"/>
      <w:r>
        <w:t>socio-economic</w:t>
      </w:r>
      <w:proofErr w:type="spellEnd"/>
      <w:r>
        <w:t xml:space="preserve"> status</w:t>
      </w:r>
    </w:p>
    <w:p w:rsidR="00612EE0" w:rsidRDefault="00612EE0" w:rsidP="00E04D46">
      <w:pPr>
        <w:pStyle w:val="Abbreviation"/>
      </w:pPr>
      <w:proofErr w:type="spellStart"/>
      <w:r>
        <w:t>SEUV</w:t>
      </w:r>
      <w:proofErr w:type="spellEnd"/>
      <w:r>
        <w:tab/>
        <w:t>Survey of Employer Use and Views of the VET Sector</w:t>
      </w:r>
    </w:p>
    <w:p w:rsidR="00612EE0" w:rsidRDefault="00612EE0" w:rsidP="00E04D46">
      <w:pPr>
        <w:pStyle w:val="Abbreviation"/>
      </w:pPr>
      <w:r>
        <w:t>SEW</w:t>
      </w:r>
      <w:r>
        <w:tab/>
        <w:t>Survey of Education and Work</w:t>
      </w:r>
    </w:p>
    <w:p w:rsidR="00612EE0" w:rsidRDefault="00612EE0" w:rsidP="00E04D46">
      <w:pPr>
        <w:pStyle w:val="Abbreviation"/>
      </w:pPr>
      <w:r>
        <w:t>SLA</w:t>
      </w:r>
      <w:r>
        <w:tab/>
        <w:t>Statistical Local Area</w:t>
      </w:r>
    </w:p>
    <w:p w:rsidR="00612EE0" w:rsidRDefault="00612EE0" w:rsidP="00E04D46">
      <w:pPr>
        <w:pStyle w:val="Abbreviation"/>
      </w:pPr>
      <w:r>
        <w:t>SOS</w:t>
      </w:r>
      <w:r>
        <w:tab/>
        <w:t>Student Outcomes Survey</w:t>
      </w:r>
    </w:p>
    <w:p w:rsidR="00612EE0" w:rsidRDefault="00612EE0" w:rsidP="00E04D46">
      <w:pPr>
        <w:pStyle w:val="Abbreviation"/>
      </w:pPr>
      <w:proofErr w:type="spellStart"/>
      <w:r>
        <w:t>SPP</w:t>
      </w:r>
      <w:proofErr w:type="spellEnd"/>
      <w:r>
        <w:tab/>
        <w:t>specific purpose payment</w:t>
      </w:r>
    </w:p>
    <w:p w:rsidR="00612EE0" w:rsidRDefault="00612EE0" w:rsidP="00E04D46">
      <w:pPr>
        <w:pStyle w:val="Abbreviation"/>
      </w:pPr>
      <w:r>
        <w:t>TAFE</w:t>
      </w:r>
      <w:r>
        <w:tab/>
      </w:r>
      <w:r w:rsidR="00135F57">
        <w:t>T</w:t>
      </w:r>
      <w:r>
        <w:t>echnical and further education</w:t>
      </w:r>
    </w:p>
    <w:p w:rsidR="00612EE0" w:rsidRDefault="00612EE0" w:rsidP="00E04D46">
      <w:pPr>
        <w:pStyle w:val="Abbreviation"/>
      </w:pPr>
      <w:r>
        <w:t>Tas</w:t>
      </w:r>
      <w:r>
        <w:tab/>
        <w:t>Tasmania</w:t>
      </w:r>
    </w:p>
    <w:p w:rsidR="00612EE0" w:rsidRDefault="00612EE0" w:rsidP="00E04D46">
      <w:pPr>
        <w:pStyle w:val="Abbreviation"/>
      </w:pPr>
      <w:r>
        <w:t>VET</w:t>
      </w:r>
      <w:r>
        <w:tab/>
        <w:t>vocational education and training</w:t>
      </w:r>
    </w:p>
    <w:p w:rsidR="00612EE0" w:rsidRDefault="00612EE0" w:rsidP="00E04D46">
      <w:pPr>
        <w:pStyle w:val="Abbreviation"/>
      </w:pPr>
      <w:r>
        <w:t>Vic</w:t>
      </w:r>
      <w:r>
        <w:tab/>
        <w:t>Victoria</w:t>
      </w:r>
    </w:p>
    <w:p w:rsidR="00612EE0" w:rsidRDefault="00612EE0" w:rsidP="00E04D46">
      <w:pPr>
        <w:pStyle w:val="Abbreviation"/>
      </w:pPr>
      <w:r>
        <w:t>WA</w:t>
      </w:r>
      <w:r>
        <w:tab/>
        <w:t>Western Australia</w:t>
      </w:r>
    </w:p>
    <w:p w:rsidR="00135F57" w:rsidRDefault="00135F57" w:rsidP="00E04D46">
      <w:pPr>
        <w:pStyle w:val="Abbreviation"/>
      </w:pPr>
      <w:proofErr w:type="spellStart"/>
      <w:r>
        <w:t>WAP</w:t>
      </w:r>
      <w:proofErr w:type="spellEnd"/>
      <w:r>
        <w:tab/>
        <w:t>Working age population</w:t>
      </w:r>
    </w:p>
    <w:p w:rsidR="009E3B8F" w:rsidRDefault="009E3B8F" w:rsidP="00E04D46">
      <w:pPr>
        <w:pStyle w:val="Abbreviation"/>
      </w:pPr>
      <w:r>
        <w:t>WEA</w:t>
      </w:r>
      <w:r>
        <w:tab/>
        <w:t>Workers Education Association</w:t>
      </w:r>
    </w:p>
    <w:p w:rsidR="00DD585A" w:rsidRDefault="00DD585A">
      <w:pPr>
        <w:rPr>
          <w:szCs w:val="20"/>
        </w:rPr>
      </w:pPr>
      <w:r>
        <w:br w:type="page"/>
      </w:r>
    </w:p>
    <w:p w:rsidR="00DD585A" w:rsidRDefault="00DD585A" w:rsidP="00DD585A">
      <w:pPr>
        <w:pStyle w:val="Heading2"/>
      </w:pPr>
      <w:bookmarkStart w:id="47" w:name="_Toc290470598"/>
      <w:r>
        <w:t>Glossary</w:t>
      </w:r>
      <w:bookmarkEnd w:id="47"/>
    </w:p>
    <w:p w:rsidR="00DD585A" w:rsidRPr="00687A67" w:rsidRDefault="00DD585A" w:rsidP="00DD585A">
      <w:pPr>
        <w:pStyle w:val="BoxSpace"/>
      </w:pPr>
    </w:p>
    <w:tbl>
      <w:tblPr>
        <w:tblW w:w="0" w:type="auto"/>
        <w:tblLook w:val="01E0" w:firstRow="1" w:lastRow="1" w:firstColumn="1" w:lastColumn="1" w:noHBand="0" w:noVBand="0"/>
      </w:tblPr>
      <w:tblGrid>
        <w:gridCol w:w="2410"/>
        <w:gridCol w:w="6379"/>
      </w:tblGrid>
      <w:tr w:rsidR="00DD585A" w:rsidRPr="00687A67" w:rsidTr="00FE680A">
        <w:trPr>
          <w:trHeight w:val="1191"/>
        </w:trPr>
        <w:tc>
          <w:tcPr>
            <w:tcW w:w="2410" w:type="dxa"/>
          </w:tcPr>
          <w:p w:rsidR="00DD585A" w:rsidRPr="004A05D1" w:rsidRDefault="00DD585A" w:rsidP="00DD585A">
            <w:pPr>
              <w:pStyle w:val="TableBodyText"/>
              <w:jc w:val="left"/>
              <w:rPr>
                <w:b/>
              </w:rPr>
            </w:pPr>
            <w:r w:rsidRPr="004A05D1">
              <w:rPr>
                <w:b/>
              </w:rPr>
              <w:t>Completions</w:t>
            </w:r>
          </w:p>
        </w:tc>
        <w:tc>
          <w:tcPr>
            <w:tcW w:w="6379" w:type="dxa"/>
          </w:tcPr>
          <w:p w:rsidR="00DD585A" w:rsidRPr="00687A67" w:rsidRDefault="00DD585A" w:rsidP="0000308F">
            <w:pPr>
              <w:pStyle w:val="TableBodyText"/>
              <w:jc w:val="both"/>
            </w:pPr>
            <w:r w:rsidRPr="00687A67">
              <w:t>Fulfilment of all of the requirements of a course enrolment or module enrolment. Completion of a qualification or course is indicated by acknowledging eligibility for a qualification (whether or not the student physically received the acknowledgment).</w:t>
            </w:r>
          </w:p>
        </w:tc>
      </w:tr>
      <w:tr w:rsidR="00DD585A" w:rsidRPr="00687A67" w:rsidTr="00FE680A">
        <w:trPr>
          <w:trHeight w:val="994"/>
        </w:trPr>
        <w:tc>
          <w:tcPr>
            <w:tcW w:w="2410" w:type="dxa"/>
          </w:tcPr>
          <w:p w:rsidR="00DD585A" w:rsidRPr="004A05D1" w:rsidRDefault="00DD585A" w:rsidP="00DD585A">
            <w:pPr>
              <w:pStyle w:val="TableBodyText"/>
              <w:jc w:val="left"/>
              <w:rPr>
                <w:b/>
              </w:rPr>
            </w:pPr>
            <w:r w:rsidRPr="004A05D1">
              <w:rPr>
                <w:b/>
              </w:rPr>
              <w:t>Course</w:t>
            </w:r>
          </w:p>
        </w:tc>
        <w:tc>
          <w:tcPr>
            <w:tcW w:w="6379" w:type="dxa"/>
          </w:tcPr>
          <w:p w:rsidR="00DD585A" w:rsidRPr="00687A67" w:rsidRDefault="00DD585A" w:rsidP="0000308F">
            <w:pPr>
              <w:pStyle w:val="TableBodyText"/>
              <w:jc w:val="both"/>
            </w:pPr>
            <w:r w:rsidRPr="00687A67">
              <w:t>A structured program of study that leads to the acquisition of identified competencies and includes assessment leading to a qualification.</w:t>
            </w:r>
          </w:p>
        </w:tc>
      </w:tr>
      <w:tr w:rsidR="00DD585A" w:rsidRPr="00687A67" w:rsidTr="00FE680A">
        <w:trPr>
          <w:trHeight w:val="1419"/>
        </w:trPr>
        <w:tc>
          <w:tcPr>
            <w:tcW w:w="2410" w:type="dxa"/>
          </w:tcPr>
          <w:p w:rsidR="00DD585A" w:rsidRPr="004A05D1" w:rsidRDefault="00DD585A" w:rsidP="00DD585A">
            <w:pPr>
              <w:pStyle w:val="TableBodyText"/>
              <w:jc w:val="left"/>
              <w:rPr>
                <w:b/>
              </w:rPr>
            </w:pPr>
            <w:r w:rsidRPr="004A05D1">
              <w:rPr>
                <w:b/>
              </w:rPr>
              <w:t>Enrolment</w:t>
            </w:r>
          </w:p>
        </w:tc>
        <w:tc>
          <w:tcPr>
            <w:tcW w:w="6379" w:type="dxa"/>
          </w:tcPr>
          <w:p w:rsidR="00DD585A" w:rsidRPr="00687A67" w:rsidRDefault="00DD585A" w:rsidP="0000308F">
            <w:pPr>
              <w:pStyle w:val="TableBodyText"/>
              <w:jc w:val="both"/>
            </w:pPr>
            <w:r w:rsidRPr="00687A67">
              <w:t>The registration of a student at a training organisation’s delivery location for the purpose of undertaking a program of study. The enrolment is considered valid only if the student has undertaken enrolment procedures, met their fee obligations, and has engaged in learning activity regardless of the mode of delivery.</w:t>
            </w:r>
          </w:p>
        </w:tc>
      </w:tr>
      <w:tr w:rsidR="00DD585A" w:rsidRPr="00687A67" w:rsidTr="00FE680A">
        <w:trPr>
          <w:trHeight w:val="702"/>
        </w:trPr>
        <w:tc>
          <w:tcPr>
            <w:tcW w:w="2410" w:type="dxa"/>
          </w:tcPr>
          <w:p w:rsidR="00DD585A" w:rsidRPr="004A05D1" w:rsidRDefault="00DD585A" w:rsidP="00DD585A">
            <w:pPr>
              <w:pStyle w:val="TableBodyText"/>
              <w:jc w:val="left"/>
              <w:rPr>
                <w:b/>
              </w:rPr>
            </w:pPr>
            <w:r w:rsidRPr="004A05D1">
              <w:rPr>
                <w:b/>
              </w:rPr>
              <w:t>Fee-for-service</w:t>
            </w:r>
          </w:p>
        </w:tc>
        <w:tc>
          <w:tcPr>
            <w:tcW w:w="6379" w:type="dxa"/>
          </w:tcPr>
          <w:p w:rsidR="00DD585A" w:rsidRPr="00687A67" w:rsidRDefault="00DD585A" w:rsidP="0000308F">
            <w:pPr>
              <w:pStyle w:val="TableBodyText"/>
              <w:jc w:val="both"/>
            </w:pPr>
            <w:r w:rsidRPr="00687A67">
              <w:t>Training for which all of the cost is borne by the student or a person or organisation on behalf of the student.</w:t>
            </w:r>
          </w:p>
        </w:tc>
      </w:tr>
      <w:tr w:rsidR="00DD585A" w:rsidRPr="00687A67" w:rsidTr="00FE680A">
        <w:trPr>
          <w:trHeight w:val="2285"/>
        </w:trPr>
        <w:tc>
          <w:tcPr>
            <w:tcW w:w="2410" w:type="dxa"/>
          </w:tcPr>
          <w:p w:rsidR="00DD585A" w:rsidRPr="004A05D1" w:rsidRDefault="00DD585A" w:rsidP="00DD585A">
            <w:pPr>
              <w:pStyle w:val="TableBodyText"/>
              <w:jc w:val="left"/>
              <w:rPr>
                <w:b/>
              </w:rPr>
            </w:pPr>
            <w:r w:rsidRPr="004A05D1">
              <w:rPr>
                <w:b/>
              </w:rPr>
              <w:t>Government funded</w:t>
            </w:r>
          </w:p>
        </w:tc>
        <w:tc>
          <w:tcPr>
            <w:tcW w:w="6379" w:type="dxa"/>
          </w:tcPr>
          <w:p w:rsidR="00DD585A" w:rsidRPr="00687A67" w:rsidRDefault="00DD585A" w:rsidP="0000308F">
            <w:pPr>
              <w:pStyle w:val="TableBodyText"/>
              <w:jc w:val="both"/>
            </w:pPr>
            <w:r w:rsidRPr="00687A67">
              <w:t xml:space="preserve">Government recurrent funded students (which relates directly to training activity funded under the Commonwealth–State Agreement for Skilling Australia’s Workforce unless otherwise specified) and excludes students participating in VET programs delivered in schools (where the delivery was undertaken by schools) or who undertook ‘recreation, leisure or personal enrichment’ education programs. Fee-for-service by private providers, delivery undertaken at overseas campuses of Australian VET institutions, and credit transfer are also excluded. </w:t>
            </w:r>
          </w:p>
        </w:tc>
      </w:tr>
      <w:tr w:rsidR="00DD585A" w:rsidRPr="00687A67" w:rsidTr="00FE680A">
        <w:trPr>
          <w:trHeight w:val="404"/>
        </w:trPr>
        <w:tc>
          <w:tcPr>
            <w:tcW w:w="2410" w:type="dxa"/>
          </w:tcPr>
          <w:p w:rsidR="00DD585A" w:rsidRPr="004A05D1" w:rsidRDefault="00DD585A" w:rsidP="00DD585A">
            <w:pPr>
              <w:pStyle w:val="TableBodyText"/>
              <w:jc w:val="left"/>
              <w:rPr>
                <w:b/>
              </w:rPr>
            </w:pPr>
            <w:r w:rsidRPr="004A05D1">
              <w:rPr>
                <w:b/>
              </w:rPr>
              <w:t>Graduate</w:t>
            </w:r>
          </w:p>
        </w:tc>
        <w:tc>
          <w:tcPr>
            <w:tcW w:w="6379" w:type="dxa"/>
          </w:tcPr>
          <w:p w:rsidR="00DD585A" w:rsidRPr="00687A67" w:rsidRDefault="00DD585A" w:rsidP="0000308F">
            <w:pPr>
              <w:pStyle w:val="TableBodyText"/>
              <w:jc w:val="both"/>
            </w:pPr>
            <w:r w:rsidRPr="00687A67">
              <w:t>A person who has completed a VET program.</w:t>
            </w:r>
          </w:p>
        </w:tc>
      </w:tr>
      <w:tr w:rsidR="00DD585A" w:rsidRPr="00687A67" w:rsidTr="00FE680A">
        <w:trPr>
          <w:trHeight w:val="439"/>
        </w:trPr>
        <w:tc>
          <w:tcPr>
            <w:tcW w:w="2410" w:type="dxa"/>
          </w:tcPr>
          <w:p w:rsidR="00DD585A" w:rsidRPr="004A05D1" w:rsidRDefault="00DD585A" w:rsidP="00DD585A">
            <w:pPr>
              <w:pStyle w:val="TableBodyText"/>
              <w:jc w:val="left"/>
              <w:rPr>
                <w:b/>
              </w:rPr>
            </w:pPr>
            <w:r w:rsidRPr="004A05D1">
              <w:rPr>
                <w:b/>
              </w:rPr>
              <w:t>Module</w:t>
            </w:r>
          </w:p>
        </w:tc>
        <w:tc>
          <w:tcPr>
            <w:tcW w:w="6379" w:type="dxa"/>
          </w:tcPr>
          <w:p w:rsidR="00DD585A" w:rsidRPr="00687A67" w:rsidRDefault="00DD585A" w:rsidP="0000308F">
            <w:pPr>
              <w:pStyle w:val="TableBodyText"/>
              <w:jc w:val="both"/>
            </w:pPr>
            <w:r w:rsidRPr="00687A67">
              <w:t>A unit of training in which a student can enrol and be assessed.</w:t>
            </w:r>
          </w:p>
        </w:tc>
      </w:tr>
      <w:tr w:rsidR="00DD585A" w:rsidRPr="00687A67" w:rsidTr="00FE680A">
        <w:trPr>
          <w:trHeight w:val="700"/>
        </w:trPr>
        <w:tc>
          <w:tcPr>
            <w:tcW w:w="2410" w:type="dxa"/>
          </w:tcPr>
          <w:p w:rsidR="00DD585A" w:rsidRPr="004A05D1" w:rsidRDefault="00DD585A" w:rsidP="00DD585A">
            <w:pPr>
              <w:pStyle w:val="TableBodyText"/>
              <w:jc w:val="left"/>
              <w:rPr>
                <w:b/>
              </w:rPr>
            </w:pPr>
            <w:r w:rsidRPr="004A05D1">
              <w:rPr>
                <w:b/>
              </w:rPr>
              <w:t>Private provider</w:t>
            </w:r>
          </w:p>
        </w:tc>
        <w:tc>
          <w:tcPr>
            <w:tcW w:w="6379" w:type="dxa"/>
          </w:tcPr>
          <w:p w:rsidR="00DD585A" w:rsidRPr="00687A67" w:rsidRDefault="00DD585A" w:rsidP="0000308F">
            <w:pPr>
              <w:pStyle w:val="TableBodyText"/>
              <w:jc w:val="both"/>
            </w:pPr>
            <w:r w:rsidRPr="00687A67">
              <w:t>A commercial organisation that provides training to individuals and industry.</w:t>
            </w:r>
          </w:p>
        </w:tc>
      </w:tr>
      <w:tr w:rsidR="00DD585A" w:rsidRPr="00687A67" w:rsidTr="00FE680A">
        <w:trPr>
          <w:trHeight w:val="1844"/>
        </w:trPr>
        <w:tc>
          <w:tcPr>
            <w:tcW w:w="2410" w:type="dxa"/>
          </w:tcPr>
          <w:p w:rsidR="00DD585A" w:rsidRPr="002F2EDE" w:rsidRDefault="00DD585A" w:rsidP="00DD585A">
            <w:pPr>
              <w:pStyle w:val="TableBodyText"/>
              <w:jc w:val="left"/>
              <w:rPr>
                <w:b/>
              </w:rPr>
            </w:pPr>
            <w:r w:rsidRPr="002F2EDE">
              <w:rPr>
                <w:b/>
              </w:rPr>
              <w:t>Productivity Places Program</w:t>
            </w:r>
            <w:r>
              <w:rPr>
                <w:b/>
              </w:rPr>
              <w:t xml:space="preserve"> (PPP)</w:t>
            </w:r>
          </w:p>
        </w:tc>
        <w:tc>
          <w:tcPr>
            <w:tcW w:w="6379" w:type="dxa"/>
          </w:tcPr>
          <w:p w:rsidR="00DD585A" w:rsidRPr="002F2EDE" w:rsidRDefault="00DD585A" w:rsidP="0000308F">
            <w:pPr>
              <w:pStyle w:val="TableBodyText"/>
              <w:jc w:val="both"/>
            </w:pPr>
            <w:r w:rsidRPr="002F2EDE">
              <w:t xml:space="preserve">The PPP </w:t>
            </w:r>
            <w:r>
              <w:t>was</w:t>
            </w:r>
            <w:r w:rsidRPr="002F2EDE">
              <w:t xml:space="preserve"> part of the Australian Government’s Skilling Australia for the Future initiative. The program </w:t>
            </w:r>
            <w:r>
              <w:t xml:space="preserve">aimed to </w:t>
            </w:r>
            <w:r w:rsidRPr="002F2EDE">
              <w:t>provide additional training opportunities to assist Australian workers and job seekers to develop the skills they need</w:t>
            </w:r>
            <w:r>
              <w:t>ed</w:t>
            </w:r>
            <w:r w:rsidRPr="002F2EDE">
              <w:t xml:space="preserve"> to be effective participants and contributors to the modern workforce. The training places </w:t>
            </w:r>
            <w:r>
              <w:t>were</w:t>
            </w:r>
            <w:r w:rsidRPr="002F2EDE">
              <w:t xml:space="preserve"> delivered in response to skills and occupations demand identified by industry.</w:t>
            </w:r>
          </w:p>
        </w:tc>
      </w:tr>
      <w:tr w:rsidR="00DD585A" w:rsidRPr="00687A67" w:rsidTr="00FE680A">
        <w:trPr>
          <w:trHeight w:val="1133"/>
        </w:trPr>
        <w:tc>
          <w:tcPr>
            <w:tcW w:w="2410" w:type="dxa"/>
          </w:tcPr>
          <w:p w:rsidR="00DD585A" w:rsidRPr="004A05D1" w:rsidRDefault="00DD585A" w:rsidP="00DD585A">
            <w:pPr>
              <w:pStyle w:val="TableBodyText"/>
              <w:jc w:val="left"/>
              <w:rPr>
                <w:b/>
              </w:rPr>
            </w:pPr>
            <w:r w:rsidRPr="004A05D1">
              <w:rPr>
                <w:b/>
              </w:rPr>
              <w:t>Program of study</w:t>
            </w:r>
          </w:p>
        </w:tc>
        <w:tc>
          <w:tcPr>
            <w:tcW w:w="6379" w:type="dxa"/>
          </w:tcPr>
          <w:p w:rsidR="00DD585A" w:rsidRPr="00687A67" w:rsidRDefault="00DD585A" w:rsidP="0000308F">
            <w:pPr>
              <w:pStyle w:val="TableBodyText"/>
              <w:jc w:val="both"/>
            </w:pPr>
            <w:r w:rsidRPr="00687A67">
              <w:t>A generic term to describe Training Package qualifications, nationally recognised accredited courses, other courses (not nationally recognised accredited courses), units of competency and modules.</w:t>
            </w:r>
          </w:p>
        </w:tc>
      </w:tr>
      <w:tr w:rsidR="00037B6E" w:rsidRPr="00687A67" w:rsidTr="00934192">
        <w:trPr>
          <w:trHeight w:val="1277"/>
        </w:trPr>
        <w:tc>
          <w:tcPr>
            <w:tcW w:w="2410" w:type="dxa"/>
          </w:tcPr>
          <w:p w:rsidR="00037B6E" w:rsidRPr="004A05D1" w:rsidRDefault="00037B6E" w:rsidP="00DD585A">
            <w:pPr>
              <w:pStyle w:val="TableBodyText"/>
              <w:jc w:val="left"/>
              <w:rPr>
                <w:b/>
              </w:rPr>
            </w:pPr>
            <w:r>
              <w:rPr>
                <w:b/>
              </w:rPr>
              <w:t>Quintiles</w:t>
            </w:r>
          </w:p>
        </w:tc>
        <w:tc>
          <w:tcPr>
            <w:tcW w:w="6379" w:type="dxa"/>
          </w:tcPr>
          <w:p w:rsidR="00037B6E" w:rsidRPr="00687A67" w:rsidRDefault="00037B6E" w:rsidP="00037B6E">
            <w:pPr>
              <w:pStyle w:val="TableBodyText"/>
              <w:jc w:val="both"/>
            </w:pPr>
            <w:r>
              <w:t>Quintiles are groups that results from ranking all people in the population in ascending order (from the lowest to the highest) according to their response to a data item (</w:t>
            </w:r>
            <w:proofErr w:type="spellStart"/>
            <w:r>
              <w:t>eg</w:t>
            </w:r>
            <w:proofErr w:type="spellEnd"/>
            <w:r>
              <w:t xml:space="preserve"> income), and then dividing the population into five equal groups, each comprising 20 per cent of the population. </w:t>
            </w:r>
          </w:p>
        </w:tc>
      </w:tr>
      <w:tr w:rsidR="00DD585A" w:rsidRPr="00687A67" w:rsidTr="00934192">
        <w:trPr>
          <w:trHeight w:val="767"/>
        </w:trPr>
        <w:tc>
          <w:tcPr>
            <w:tcW w:w="2410" w:type="dxa"/>
          </w:tcPr>
          <w:p w:rsidR="00DD585A" w:rsidRPr="004A05D1" w:rsidRDefault="00DD585A" w:rsidP="00DD585A">
            <w:pPr>
              <w:pStyle w:val="TableBodyText"/>
              <w:jc w:val="left"/>
              <w:rPr>
                <w:b/>
              </w:rPr>
            </w:pPr>
            <w:r w:rsidRPr="004A05D1">
              <w:rPr>
                <w:b/>
              </w:rPr>
              <w:t>Recurrent funding</w:t>
            </w:r>
          </w:p>
        </w:tc>
        <w:tc>
          <w:tcPr>
            <w:tcW w:w="6379" w:type="dxa"/>
          </w:tcPr>
          <w:p w:rsidR="00DD585A" w:rsidRPr="00687A67" w:rsidRDefault="00DD585A" w:rsidP="0000308F">
            <w:pPr>
              <w:pStyle w:val="TableBodyText"/>
              <w:jc w:val="both"/>
            </w:pPr>
            <w:r w:rsidRPr="00687A67">
              <w:t>Funding provided by the Australian, State and Territory governments to cover operating costs, salaries and rent.</w:t>
            </w:r>
          </w:p>
        </w:tc>
      </w:tr>
      <w:tr w:rsidR="00DD585A" w:rsidRPr="00687A67" w:rsidTr="00934192">
        <w:trPr>
          <w:trHeight w:val="2409"/>
        </w:trPr>
        <w:tc>
          <w:tcPr>
            <w:tcW w:w="2410" w:type="dxa"/>
          </w:tcPr>
          <w:p w:rsidR="00DD585A" w:rsidRPr="004A05D1" w:rsidRDefault="00DD585A" w:rsidP="00DD585A">
            <w:pPr>
              <w:pStyle w:val="TableBodyText"/>
              <w:jc w:val="left"/>
              <w:rPr>
                <w:b/>
              </w:rPr>
            </w:pPr>
            <w:r w:rsidRPr="004A05D1">
              <w:rPr>
                <w:b/>
              </w:rPr>
              <w:t>Registered training organisation (</w:t>
            </w:r>
            <w:proofErr w:type="spellStart"/>
            <w:r w:rsidRPr="004A05D1">
              <w:rPr>
                <w:b/>
              </w:rPr>
              <w:t>RTO</w:t>
            </w:r>
            <w:proofErr w:type="spellEnd"/>
            <w:r w:rsidRPr="004A05D1">
              <w:rPr>
                <w:b/>
              </w:rPr>
              <w:t>)</w:t>
            </w:r>
          </w:p>
        </w:tc>
        <w:tc>
          <w:tcPr>
            <w:tcW w:w="6379" w:type="dxa"/>
          </w:tcPr>
          <w:p w:rsidR="00DD585A" w:rsidRPr="00687A67" w:rsidRDefault="00DD585A" w:rsidP="0000308F">
            <w:pPr>
              <w:pStyle w:val="TableBodyText"/>
              <w:jc w:val="both"/>
            </w:pPr>
            <w:proofErr w:type="spellStart"/>
            <w:r w:rsidRPr="00687A67">
              <w:t>RTOs</w:t>
            </w:r>
            <w:proofErr w:type="spellEnd"/>
            <w:r w:rsidRPr="00687A67">
              <w:t xml:space="preserve"> are organisations registered by a State or Territory recognition authority to deliver specified VET and/or assessment services, and issue nationally recognised qualifications in accordance with the </w:t>
            </w:r>
            <w:r w:rsidR="008D78B4">
              <w:t>Australian Quality Training Framework (</w:t>
            </w:r>
            <w:proofErr w:type="spellStart"/>
            <w:r w:rsidRPr="00687A67">
              <w:t>AQTF</w:t>
            </w:r>
            <w:proofErr w:type="spellEnd"/>
            <w:r w:rsidR="008D78B4">
              <w:t>)</w:t>
            </w:r>
            <w:r w:rsidRPr="00687A67">
              <w:t xml:space="preserve">. </w:t>
            </w:r>
            <w:proofErr w:type="spellStart"/>
            <w:r w:rsidRPr="00687A67">
              <w:t>RTOs</w:t>
            </w:r>
            <w:proofErr w:type="spellEnd"/>
            <w:r w:rsidRPr="00687A67">
              <w:t xml:space="preserve"> include TAFE colleges and institutes, adult and community education providers, private providers, community organisations, schools, higher education institutions, commercial and enterprise training providers, industry bodies and other organisations meeting the registration requirements.</w:t>
            </w:r>
          </w:p>
        </w:tc>
      </w:tr>
      <w:tr w:rsidR="00DD585A" w:rsidRPr="00687A67" w:rsidTr="00934192">
        <w:trPr>
          <w:trHeight w:val="840"/>
        </w:trPr>
        <w:tc>
          <w:tcPr>
            <w:tcW w:w="2410" w:type="dxa"/>
          </w:tcPr>
          <w:p w:rsidR="00DD585A" w:rsidRPr="004A05D1" w:rsidRDefault="00DD585A" w:rsidP="00DD585A">
            <w:pPr>
              <w:pStyle w:val="TableBodyText"/>
              <w:jc w:val="left"/>
              <w:rPr>
                <w:b/>
              </w:rPr>
            </w:pPr>
            <w:r w:rsidRPr="004A05D1">
              <w:rPr>
                <w:b/>
              </w:rPr>
              <w:t>TAFE</w:t>
            </w:r>
          </w:p>
        </w:tc>
        <w:tc>
          <w:tcPr>
            <w:tcW w:w="6379" w:type="dxa"/>
          </w:tcPr>
          <w:p w:rsidR="00DD585A" w:rsidRPr="00687A67" w:rsidRDefault="00DD585A" w:rsidP="0000308F">
            <w:pPr>
              <w:pStyle w:val="TableBodyText"/>
              <w:jc w:val="both"/>
            </w:pPr>
            <w:r w:rsidRPr="00687A67">
              <w:t>Technical and further education colleges and institutes, which are the primary providers of government funded VET.</w:t>
            </w:r>
          </w:p>
        </w:tc>
      </w:tr>
      <w:tr w:rsidR="00DD585A" w:rsidRPr="00687A67" w:rsidTr="00934192">
        <w:trPr>
          <w:trHeight w:val="3261"/>
        </w:trPr>
        <w:tc>
          <w:tcPr>
            <w:tcW w:w="2410" w:type="dxa"/>
          </w:tcPr>
          <w:p w:rsidR="00DD585A" w:rsidRPr="004A05D1" w:rsidRDefault="00DD585A" w:rsidP="00DD585A">
            <w:pPr>
              <w:pStyle w:val="TableBodyText"/>
              <w:jc w:val="left"/>
              <w:rPr>
                <w:b/>
              </w:rPr>
            </w:pPr>
            <w:r w:rsidRPr="004A05D1">
              <w:rPr>
                <w:b/>
              </w:rPr>
              <w:t>Training packages</w:t>
            </w:r>
          </w:p>
        </w:tc>
        <w:tc>
          <w:tcPr>
            <w:tcW w:w="6379" w:type="dxa"/>
          </w:tcPr>
          <w:p w:rsidR="00DD585A" w:rsidRDefault="00DD585A" w:rsidP="0000308F">
            <w:pPr>
              <w:pStyle w:val="TableBodyText"/>
              <w:jc w:val="both"/>
            </w:pPr>
            <w:r w:rsidRPr="00687A67">
              <w:t xml:space="preserve">An integrated set of nationally endorsed standards, guidelines and qualifications for training, assessing and recognising people’s skills, developed by industry to meet the training needs of an industry or group of industries. Training packages consist of core endorsed components of competency standards, assessment guidelines and qualifications, and optional non-endorsed components of support materials such as learning strategies, assessment resources and professional development materials. </w:t>
            </w:r>
          </w:p>
          <w:p w:rsidR="00DD585A" w:rsidRPr="00687A67" w:rsidRDefault="00DD585A" w:rsidP="0000308F">
            <w:pPr>
              <w:pStyle w:val="TableBodyText"/>
              <w:jc w:val="both"/>
            </w:pPr>
            <w:r w:rsidRPr="00687A67">
              <w:t>A Training Package is the grouping together of the training components designed to assist in achieving the competencies for a specific industry. Units of competency are packaged together which, when combined at various levels, can form qualifications (Certificate, Diploma etc.).</w:t>
            </w:r>
          </w:p>
        </w:tc>
      </w:tr>
      <w:tr w:rsidR="00DD585A" w:rsidRPr="004A05D1" w:rsidTr="00934192">
        <w:trPr>
          <w:trHeight w:val="998"/>
        </w:trPr>
        <w:tc>
          <w:tcPr>
            <w:tcW w:w="2410" w:type="dxa"/>
          </w:tcPr>
          <w:p w:rsidR="00DD585A" w:rsidRPr="004A05D1" w:rsidRDefault="00DD585A" w:rsidP="00DD585A">
            <w:pPr>
              <w:pStyle w:val="TableBodyText"/>
              <w:jc w:val="left"/>
              <w:rPr>
                <w:b/>
              </w:rPr>
            </w:pPr>
            <w:r w:rsidRPr="004A05D1">
              <w:rPr>
                <w:b/>
              </w:rPr>
              <w:t>VET program</w:t>
            </w:r>
          </w:p>
        </w:tc>
        <w:tc>
          <w:tcPr>
            <w:tcW w:w="6379" w:type="dxa"/>
          </w:tcPr>
          <w:p w:rsidR="00DD585A" w:rsidRPr="005015FA" w:rsidRDefault="00DD585A" w:rsidP="0000308F">
            <w:pPr>
              <w:pStyle w:val="TableBodyText"/>
              <w:jc w:val="both"/>
            </w:pPr>
            <w:r w:rsidRPr="00687A67">
              <w:t>A course or module offered by a training organisation in which students may enrol and gives people work-related knowledge and skills.</w:t>
            </w:r>
          </w:p>
        </w:tc>
      </w:tr>
      <w:tr w:rsidR="00E569BF" w:rsidRPr="004A05D1" w:rsidTr="00934192">
        <w:trPr>
          <w:trHeight w:val="701"/>
        </w:trPr>
        <w:tc>
          <w:tcPr>
            <w:tcW w:w="2410" w:type="dxa"/>
          </w:tcPr>
          <w:p w:rsidR="00E569BF" w:rsidRPr="001776B4" w:rsidRDefault="00E569BF" w:rsidP="00DD585A">
            <w:pPr>
              <w:pStyle w:val="TableBodyText"/>
              <w:jc w:val="left"/>
              <w:rPr>
                <w:b/>
              </w:rPr>
            </w:pPr>
            <w:r w:rsidRPr="001776B4">
              <w:rPr>
                <w:b/>
              </w:rPr>
              <w:t xml:space="preserve">Working age population </w:t>
            </w:r>
          </w:p>
        </w:tc>
        <w:tc>
          <w:tcPr>
            <w:tcW w:w="6379" w:type="dxa"/>
          </w:tcPr>
          <w:p w:rsidR="00E569BF" w:rsidRPr="00687A67" w:rsidRDefault="001776B4" w:rsidP="0000308F">
            <w:pPr>
              <w:pStyle w:val="TableBodyText"/>
              <w:jc w:val="both"/>
            </w:pPr>
            <w:r w:rsidRPr="001776B4">
              <w:t xml:space="preserve">For the purposes of NASWD performance reporting, the working aged population refers to those </w:t>
            </w:r>
            <w:r w:rsidR="00F06E39">
              <w:t xml:space="preserve">people </w:t>
            </w:r>
            <w:r w:rsidR="00E2205C">
              <w:t>aged 20</w:t>
            </w:r>
            <w:r w:rsidR="00E2205C">
              <w:rPr>
                <w:rFonts w:cs="Arial"/>
              </w:rPr>
              <w:t>−</w:t>
            </w:r>
            <w:r w:rsidRPr="001776B4">
              <w:t>64 years.</w:t>
            </w:r>
            <w:r>
              <w:t xml:space="preserve"> </w:t>
            </w:r>
          </w:p>
        </w:tc>
      </w:tr>
    </w:tbl>
    <w:p w:rsidR="00DD585A" w:rsidRDefault="00DD585A" w:rsidP="00E04D46">
      <w:pPr>
        <w:pStyle w:val="Abbreviation"/>
      </w:pPr>
    </w:p>
    <w:sectPr w:rsidR="00DD585A" w:rsidSect="00322D6B">
      <w:pgSz w:w="11907" w:h="16840" w:code="9"/>
      <w:pgMar w:top="1985" w:right="1304" w:bottom="1418" w:left="1814" w:header="1701" w:footer="567" w:gutter="0"/>
      <w:pgNumType w:start="305" w:chapSep="period"/>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DDD" w:rsidRDefault="00A57DDD">
      <w:r>
        <w:separator/>
      </w:r>
    </w:p>
  </w:endnote>
  <w:endnote w:type="continuationSeparator" w:id="0">
    <w:p w:rsidR="00A57DDD" w:rsidRDefault="00A57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510"/>
      <w:gridCol w:w="1644"/>
      <w:gridCol w:w="6634"/>
    </w:tblGrid>
    <w:tr w:rsidR="00A57DDD">
      <w:trPr>
        <w:trHeight w:hRule="exact" w:val="740"/>
      </w:trPr>
      <w:tc>
        <w:tcPr>
          <w:tcW w:w="510" w:type="dxa"/>
          <w:tcBorders>
            <w:top w:val="single" w:sz="6" w:space="0" w:color="auto"/>
          </w:tcBorders>
        </w:tcPr>
        <w:p w:rsidR="00A57DDD" w:rsidRDefault="00A57DDD" w:rsidP="00D111FD">
          <w:pPr>
            <w:pStyle w:val="Footer"/>
            <w:tabs>
              <w:tab w:val="left" w:pos="0"/>
            </w:tabs>
            <w:ind w:right="0"/>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9C2AD2">
            <w:rPr>
              <w:rStyle w:val="PageNumber"/>
              <w:noProof/>
            </w:rPr>
            <w:t>2</w:t>
          </w:r>
          <w:r>
            <w:rPr>
              <w:rStyle w:val="PageNumber"/>
            </w:rPr>
            <w:fldChar w:fldCharType="end"/>
          </w:r>
        </w:p>
      </w:tc>
      <w:tc>
        <w:tcPr>
          <w:tcW w:w="1644" w:type="dxa"/>
          <w:tcBorders>
            <w:top w:val="single" w:sz="6" w:space="0" w:color="auto"/>
          </w:tcBorders>
        </w:tcPr>
        <w:p w:rsidR="00A57DDD" w:rsidRDefault="00A57DDD" w:rsidP="0006474A">
          <w:pPr>
            <w:pStyle w:val="Footer"/>
          </w:pPr>
          <w:r>
            <w:fldChar w:fldCharType="begin"/>
          </w:r>
          <w:r>
            <w:instrText xml:space="preserve"> SUBJECT  \* MERGEFORMAT </w:instrText>
          </w:r>
          <w:r>
            <w:fldChar w:fldCharType="separate"/>
          </w:r>
          <w:proofErr w:type="spellStart"/>
          <w:r>
            <w:t>SCRGSP</w:t>
          </w:r>
          <w:proofErr w:type="spellEnd"/>
          <w:r>
            <w:t xml:space="preserve"> REPORT TO CRC APRIL 2014</w:t>
          </w:r>
          <w:r>
            <w:fldChar w:fldCharType="end"/>
          </w:r>
        </w:p>
      </w:tc>
      <w:tc>
        <w:tcPr>
          <w:tcW w:w="6634" w:type="dxa"/>
        </w:tcPr>
        <w:p w:rsidR="00A57DDD" w:rsidRDefault="00A57DDD" w:rsidP="0019293B">
          <w:pPr>
            <w:pStyle w:val="Footer"/>
          </w:pPr>
        </w:p>
      </w:tc>
    </w:tr>
  </w:tbl>
  <w:p w:rsidR="00A57DDD" w:rsidRDefault="00A57D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6096"/>
      <w:gridCol w:w="2182"/>
      <w:gridCol w:w="510"/>
    </w:tblGrid>
    <w:tr w:rsidR="00A57DDD" w:rsidTr="00DF3AA3">
      <w:trPr>
        <w:trHeight w:hRule="exact" w:val="740"/>
      </w:trPr>
      <w:tc>
        <w:tcPr>
          <w:tcW w:w="6096" w:type="dxa"/>
        </w:tcPr>
        <w:p w:rsidR="00A57DDD" w:rsidRDefault="00A57DDD">
          <w:pPr>
            <w:pStyle w:val="Footer"/>
            <w:ind w:right="360" w:firstLine="360"/>
          </w:pPr>
        </w:p>
      </w:tc>
      <w:tc>
        <w:tcPr>
          <w:tcW w:w="2182" w:type="dxa"/>
          <w:tcBorders>
            <w:top w:val="single" w:sz="6" w:space="0" w:color="auto"/>
          </w:tcBorders>
        </w:tcPr>
        <w:p w:rsidR="00A57DDD" w:rsidRDefault="00572732">
          <w:pPr>
            <w:pStyle w:val="Footer"/>
          </w:pPr>
          <w:fldSimple w:instr=" TITLE  \* MERGEFORMAT ">
            <w:r w:rsidR="00A57DDD">
              <w:t>SKILLS AND WORKFORCE DEVELOPMENT</w:t>
            </w:r>
          </w:fldSimple>
          <w:bookmarkStart w:id="29" w:name="_Ref260833035"/>
        </w:p>
      </w:tc>
      <w:tc>
        <w:tcPr>
          <w:tcW w:w="510" w:type="dxa"/>
          <w:tcBorders>
            <w:top w:val="single" w:sz="6" w:space="0" w:color="auto"/>
          </w:tcBorders>
        </w:tcPr>
        <w:p w:rsidR="00A57DDD" w:rsidRDefault="00A57DDD" w:rsidP="0092225E">
          <w:pPr>
            <w:pStyle w:val="Footer"/>
            <w:jc w:val="right"/>
          </w:pPr>
          <w:r>
            <w:rPr>
              <w:rStyle w:val="PageNumber"/>
            </w:rPr>
            <w:fldChar w:fldCharType="begin"/>
          </w:r>
          <w:r>
            <w:rPr>
              <w:rStyle w:val="PageNumber"/>
            </w:rPr>
            <w:instrText xml:space="preserve">PAGE  </w:instrText>
          </w:r>
          <w:r>
            <w:rPr>
              <w:rStyle w:val="PageNumber"/>
            </w:rPr>
            <w:fldChar w:fldCharType="separate"/>
          </w:r>
          <w:r w:rsidR="009C2AD2">
            <w:rPr>
              <w:rStyle w:val="PageNumber"/>
              <w:noProof/>
            </w:rPr>
            <w:t>1</w:t>
          </w:r>
          <w:r>
            <w:rPr>
              <w:rStyle w:val="PageNumber"/>
            </w:rPr>
            <w:fldChar w:fldCharType="end"/>
          </w:r>
        </w:p>
      </w:tc>
    </w:tr>
    <w:bookmarkEnd w:id="29"/>
  </w:tbl>
  <w:p w:rsidR="00A57DDD" w:rsidRDefault="00A57DDD">
    <w:pPr>
      <w:pStyle w:val="FooterEn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AD2" w:rsidRDefault="009C2A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DDD" w:rsidRDefault="00A57DDD">
      <w:r>
        <w:separator/>
      </w:r>
    </w:p>
  </w:footnote>
  <w:footnote w:type="continuationSeparator" w:id="0">
    <w:p w:rsidR="00A57DDD" w:rsidRDefault="00A57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A57DDD">
      <w:tc>
        <w:tcPr>
          <w:tcW w:w="2155" w:type="dxa"/>
          <w:tcBorders>
            <w:top w:val="single" w:sz="24" w:space="0" w:color="auto"/>
          </w:tcBorders>
        </w:tcPr>
        <w:p w:rsidR="00A57DDD" w:rsidRDefault="00A57DDD" w:rsidP="0019293B">
          <w:pPr>
            <w:pStyle w:val="HeaderEven"/>
          </w:pPr>
        </w:p>
      </w:tc>
      <w:tc>
        <w:tcPr>
          <w:tcW w:w="6634" w:type="dxa"/>
          <w:tcBorders>
            <w:top w:val="single" w:sz="6" w:space="0" w:color="auto"/>
          </w:tcBorders>
        </w:tcPr>
        <w:p w:rsidR="00A57DDD" w:rsidRDefault="00A57DDD" w:rsidP="00877AB4">
          <w:pPr>
            <w:pStyle w:val="HeaderEven"/>
            <w:tabs>
              <w:tab w:val="left" w:pos="1204"/>
              <w:tab w:val="right" w:pos="6634"/>
            </w:tabs>
          </w:pPr>
        </w:p>
      </w:tc>
    </w:tr>
  </w:tbl>
  <w:p w:rsidR="00A57DDD" w:rsidRDefault="00A57DDD" w:rsidP="0019293B">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A57DDD">
      <w:tc>
        <w:tcPr>
          <w:tcW w:w="6634" w:type="dxa"/>
          <w:tcBorders>
            <w:top w:val="single" w:sz="6" w:space="0" w:color="auto"/>
          </w:tcBorders>
        </w:tcPr>
        <w:p w:rsidR="00A57DDD" w:rsidRDefault="00A57DDD" w:rsidP="000D103A">
          <w:pPr>
            <w:pStyle w:val="HeaderOdd"/>
          </w:pPr>
        </w:p>
      </w:tc>
      <w:tc>
        <w:tcPr>
          <w:tcW w:w="2155" w:type="dxa"/>
          <w:tcBorders>
            <w:top w:val="single" w:sz="24" w:space="0" w:color="auto"/>
          </w:tcBorders>
        </w:tcPr>
        <w:p w:rsidR="00A57DDD" w:rsidRDefault="00A57DDD" w:rsidP="00E669E2">
          <w:pPr>
            <w:pStyle w:val="HeaderOdd"/>
          </w:pPr>
        </w:p>
      </w:tc>
    </w:tr>
  </w:tbl>
  <w:p w:rsidR="00A57DDD" w:rsidRDefault="00A57DDD" w:rsidP="00E669E2">
    <w:pPr>
      <w:pStyle w:val="HeaderEn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AD2" w:rsidRDefault="009C2A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ED98921A"/>
    <w:lvl w:ilvl="0">
      <w:start w:val="1"/>
      <w:numFmt w:val="decimal"/>
      <w:lvlText w:val="%1."/>
      <w:lvlJc w:val="left"/>
      <w:pPr>
        <w:tabs>
          <w:tab w:val="num" w:pos="926"/>
        </w:tabs>
        <w:ind w:left="926" w:hanging="360"/>
      </w:pPr>
    </w:lvl>
  </w:abstractNum>
  <w:abstractNum w:abstractNumId="1">
    <w:nsid w:val="FFFFFF7F"/>
    <w:multiLevelType w:val="singleLevel"/>
    <w:tmpl w:val="69042E6A"/>
    <w:lvl w:ilvl="0">
      <w:start w:val="1"/>
      <w:numFmt w:val="decimal"/>
      <w:lvlText w:val="%1."/>
      <w:lvlJc w:val="left"/>
      <w:pPr>
        <w:tabs>
          <w:tab w:val="num" w:pos="643"/>
        </w:tabs>
        <w:ind w:left="643" w:hanging="360"/>
      </w:pPr>
    </w:lvl>
  </w:abstractNum>
  <w:abstractNum w:abstractNumId="2">
    <w:nsid w:val="FFFFFF82"/>
    <w:multiLevelType w:val="singleLevel"/>
    <w:tmpl w:val="3A3A2F08"/>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4">
    <w:nsid w:val="FFFFFF88"/>
    <w:multiLevelType w:val="singleLevel"/>
    <w:tmpl w:val="93104AE2"/>
    <w:lvl w:ilvl="0">
      <w:start w:val="1"/>
      <w:numFmt w:val="decimal"/>
      <w:lvlText w:val="%1."/>
      <w:lvlJc w:val="left"/>
      <w:pPr>
        <w:tabs>
          <w:tab w:val="num" w:pos="360"/>
        </w:tabs>
        <w:ind w:left="360" w:hanging="360"/>
      </w:pPr>
    </w:lvl>
  </w:abstractNum>
  <w:abstractNum w:abstractNumId="5">
    <w:nsid w:val="FFFFFF89"/>
    <w:multiLevelType w:val="singleLevel"/>
    <w:tmpl w:val="0F36FBA8"/>
    <w:lvl w:ilvl="0">
      <w:start w:val="1"/>
      <w:numFmt w:val="bullet"/>
      <w:lvlText w:val=""/>
      <w:lvlJc w:val="left"/>
      <w:pPr>
        <w:tabs>
          <w:tab w:val="num" w:pos="360"/>
        </w:tabs>
        <w:ind w:left="360" w:hanging="360"/>
      </w:pPr>
      <w:rPr>
        <w:rFonts w:ascii="Symbol" w:hAnsi="Symbol" w:hint="default"/>
      </w:rPr>
    </w:lvl>
  </w:abstractNum>
  <w:abstractNum w:abstractNumId="6">
    <w:nsid w:val="FFFFFFFE"/>
    <w:multiLevelType w:val="singleLevel"/>
    <w:tmpl w:val="FFFFFFFF"/>
    <w:lvl w:ilvl="0">
      <w:numFmt w:val="decimal"/>
      <w:lvlText w:val="*"/>
      <w:lvlJc w:val="left"/>
    </w:lvl>
  </w:abstractNum>
  <w:abstractNum w:abstractNumId="7">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033F2413"/>
    <w:multiLevelType w:val="multilevel"/>
    <w:tmpl w:val="8E3050E6"/>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1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11">
    <w:nsid w:val="06791123"/>
    <w:multiLevelType w:val="hybridMultilevel"/>
    <w:tmpl w:val="5F14156E"/>
    <w:lvl w:ilvl="0" w:tplc="2BD04F64">
      <w:numFmt w:val="bullet"/>
      <w:lvlText w:val=""/>
      <w:lvlJc w:val="left"/>
      <w:pPr>
        <w:ind w:left="1004" w:hanging="360"/>
      </w:pPr>
      <w:rPr>
        <w:rFonts w:ascii="MT Extra" w:hAnsi="MT Extra" w:cs="Times New Roman"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nsid w:val="07057F34"/>
    <w:multiLevelType w:val="singleLevel"/>
    <w:tmpl w:val="ED98921A"/>
    <w:lvl w:ilvl="0">
      <w:start w:val="1"/>
      <w:numFmt w:val="decimal"/>
      <w:lvlText w:val="%1."/>
      <w:legacy w:legacy="1" w:legacySpace="0" w:legacyIndent="340"/>
      <w:lvlJc w:val="left"/>
      <w:pPr>
        <w:ind w:left="340" w:hanging="340"/>
      </w:pPr>
    </w:lvl>
  </w:abstractNum>
  <w:abstractNum w:abstractNumId="13">
    <w:nsid w:val="07405C8A"/>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17">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nsid w:val="232D1EFD"/>
    <w:multiLevelType w:val="hybridMultilevel"/>
    <w:tmpl w:val="596E221E"/>
    <w:lvl w:ilvl="0" w:tplc="42DC4E9E">
      <w:start w:val="1"/>
      <w:numFmt w:val="decimal"/>
      <w:lvlText w:val="%1."/>
      <w:lvlJc w:val="left"/>
      <w:pPr>
        <w:ind w:left="530" w:hanging="360"/>
      </w:pPr>
      <w:rPr>
        <w:rFonts w:hint="default"/>
      </w:rPr>
    </w:lvl>
    <w:lvl w:ilvl="1" w:tplc="0C090019" w:tentative="1">
      <w:start w:val="1"/>
      <w:numFmt w:val="lowerLetter"/>
      <w:lvlText w:val="%2."/>
      <w:lvlJc w:val="left"/>
      <w:pPr>
        <w:ind w:left="1250" w:hanging="360"/>
      </w:pPr>
    </w:lvl>
    <w:lvl w:ilvl="2" w:tplc="0C09001B" w:tentative="1">
      <w:start w:val="1"/>
      <w:numFmt w:val="lowerRoman"/>
      <w:lvlText w:val="%3."/>
      <w:lvlJc w:val="right"/>
      <w:pPr>
        <w:ind w:left="1970" w:hanging="180"/>
      </w:pPr>
    </w:lvl>
    <w:lvl w:ilvl="3" w:tplc="0C09000F" w:tentative="1">
      <w:start w:val="1"/>
      <w:numFmt w:val="decimal"/>
      <w:lvlText w:val="%4."/>
      <w:lvlJc w:val="left"/>
      <w:pPr>
        <w:ind w:left="2690" w:hanging="360"/>
      </w:pPr>
    </w:lvl>
    <w:lvl w:ilvl="4" w:tplc="0C090019" w:tentative="1">
      <w:start w:val="1"/>
      <w:numFmt w:val="lowerLetter"/>
      <w:lvlText w:val="%5."/>
      <w:lvlJc w:val="left"/>
      <w:pPr>
        <w:ind w:left="3410" w:hanging="360"/>
      </w:pPr>
    </w:lvl>
    <w:lvl w:ilvl="5" w:tplc="0C09001B" w:tentative="1">
      <w:start w:val="1"/>
      <w:numFmt w:val="lowerRoman"/>
      <w:lvlText w:val="%6."/>
      <w:lvlJc w:val="right"/>
      <w:pPr>
        <w:ind w:left="4130" w:hanging="180"/>
      </w:pPr>
    </w:lvl>
    <w:lvl w:ilvl="6" w:tplc="0C09000F" w:tentative="1">
      <w:start w:val="1"/>
      <w:numFmt w:val="decimal"/>
      <w:lvlText w:val="%7."/>
      <w:lvlJc w:val="left"/>
      <w:pPr>
        <w:ind w:left="4850" w:hanging="360"/>
      </w:pPr>
    </w:lvl>
    <w:lvl w:ilvl="7" w:tplc="0C090019" w:tentative="1">
      <w:start w:val="1"/>
      <w:numFmt w:val="lowerLetter"/>
      <w:lvlText w:val="%8."/>
      <w:lvlJc w:val="left"/>
      <w:pPr>
        <w:ind w:left="5570" w:hanging="360"/>
      </w:pPr>
    </w:lvl>
    <w:lvl w:ilvl="8" w:tplc="0C09001B" w:tentative="1">
      <w:start w:val="1"/>
      <w:numFmt w:val="lowerRoman"/>
      <w:lvlText w:val="%9."/>
      <w:lvlJc w:val="right"/>
      <w:pPr>
        <w:ind w:left="6290" w:hanging="180"/>
      </w:pPr>
    </w:lvl>
  </w:abstractNum>
  <w:abstractNum w:abstractNumId="19">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20">
    <w:nsid w:val="27371796"/>
    <w:multiLevelType w:val="multilevel"/>
    <w:tmpl w:val="8E3050E6"/>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23">
    <w:nsid w:val="324830D2"/>
    <w:multiLevelType w:val="hybridMultilevel"/>
    <w:tmpl w:val="3F0C286C"/>
    <w:lvl w:ilvl="0" w:tplc="F94A5766">
      <w:start w:val="1"/>
      <w:numFmt w:val="lowerLetter"/>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24">
    <w:nsid w:val="39C335C1"/>
    <w:multiLevelType w:val="multilevel"/>
    <w:tmpl w:val="7DF6C670"/>
    <w:lvl w:ilvl="0">
      <w:start w:val="1"/>
      <w:numFmt w:val="decimal"/>
      <w:lvlText w:val="%1)"/>
      <w:lvlJc w:val="left"/>
      <w:pPr>
        <w:tabs>
          <w:tab w:val="num" w:pos="1134"/>
        </w:tabs>
        <w:ind w:left="1134" w:hanging="340"/>
      </w:pPr>
      <w:rPr>
        <w:rFonts w:hint="default"/>
      </w:rPr>
    </w:lvl>
    <w:lvl w:ilvl="1">
      <w:start w:val="1"/>
      <w:numFmt w:val="lowerLetter"/>
      <w:lvlText w:val="%2)"/>
      <w:lvlJc w:val="left"/>
      <w:pPr>
        <w:tabs>
          <w:tab w:val="num" w:pos="1588"/>
        </w:tabs>
        <w:ind w:left="1588" w:hanging="454"/>
      </w:pPr>
      <w:rPr>
        <w:rFonts w:hint="default"/>
      </w:rPr>
    </w:lvl>
    <w:lvl w:ilvl="2">
      <w:start w:val="1"/>
      <w:numFmt w:val="lowerRoman"/>
      <w:lvlText w:val="%3)"/>
      <w:lvlJc w:val="left"/>
      <w:pPr>
        <w:tabs>
          <w:tab w:val="num" w:pos="2098"/>
        </w:tabs>
        <w:ind w:left="2098" w:hanging="510"/>
      </w:pPr>
      <w:rPr>
        <w:rFonts w:hint="default"/>
      </w:rPr>
    </w:lvl>
    <w:lvl w:ilvl="3">
      <w:start w:val="1"/>
      <w:numFmt w:val="decimal"/>
      <w:lvlText w:val="(%4)"/>
      <w:lvlJc w:val="left"/>
      <w:pPr>
        <w:tabs>
          <w:tab w:val="num" w:pos="2234"/>
        </w:tabs>
        <w:ind w:left="2234" w:hanging="360"/>
      </w:pPr>
      <w:rPr>
        <w:rFonts w:hint="default"/>
      </w:rPr>
    </w:lvl>
    <w:lvl w:ilvl="4">
      <w:start w:val="1"/>
      <w:numFmt w:val="lowerLetter"/>
      <w:lvlText w:val="(%5)"/>
      <w:lvlJc w:val="left"/>
      <w:pPr>
        <w:tabs>
          <w:tab w:val="num" w:pos="2594"/>
        </w:tabs>
        <w:ind w:left="2594" w:hanging="360"/>
      </w:pPr>
      <w:rPr>
        <w:rFonts w:hint="default"/>
      </w:rPr>
    </w:lvl>
    <w:lvl w:ilvl="5">
      <w:start w:val="1"/>
      <w:numFmt w:val="lowerRoman"/>
      <w:lvlText w:val="(%6)"/>
      <w:lvlJc w:val="left"/>
      <w:pPr>
        <w:tabs>
          <w:tab w:val="num" w:pos="2954"/>
        </w:tabs>
        <w:ind w:left="2954" w:hanging="360"/>
      </w:pPr>
      <w:rPr>
        <w:rFonts w:hint="default"/>
      </w:rPr>
    </w:lvl>
    <w:lvl w:ilvl="6">
      <w:start w:val="1"/>
      <w:numFmt w:val="decimal"/>
      <w:lvlText w:val="%7."/>
      <w:lvlJc w:val="left"/>
      <w:pPr>
        <w:tabs>
          <w:tab w:val="num" w:pos="3314"/>
        </w:tabs>
        <w:ind w:left="3314" w:hanging="360"/>
      </w:pPr>
      <w:rPr>
        <w:rFonts w:hint="default"/>
      </w:rPr>
    </w:lvl>
    <w:lvl w:ilvl="7">
      <w:start w:val="1"/>
      <w:numFmt w:val="lowerLetter"/>
      <w:lvlText w:val="%8."/>
      <w:lvlJc w:val="left"/>
      <w:pPr>
        <w:tabs>
          <w:tab w:val="num" w:pos="3674"/>
        </w:tabs>
        <w:ind w:left="3674" w:hanging="360"/>
      </w:pPr>
      <w:rPr>
        <w:rFonts w:hint="default"/>
      </w:rPr>
    </w:lvl>
    <w:lvl w:ilvl="8">
      <w:start w:val="1"/>
      <w:numFmt w:val="lowerRoman"/>
      <w:lvlText w:val="%9."/>
      <w:lvlJc w:val="left"/>
      <w:pPr>
        <w:tabs>
          <w:tab w:val="num" w:pos="4034"/>
        </w:tabs>
        <w:ind w:left="4034" w:hanging="360"/>
      </w:pPr>
      <w:rPr>
        <w:rFonts w:hint="default"/>
      </w:rPr>
    </w:lvl>
  </w:abstractNum>
  <w:abstractNum w:abstractNumId="25">
    <w:nsid w:val="41B320C4"/>
    <w:multiLevelType w:val="hybridMultilevel"/>
    <w:tmpl w:val="E49025EA"/>
    <w:lvl w:ilvl="0" w:tplc="F6E67F58">
      <w:start w:val="1"/>
      <w:numFmt w:val="lowerLetter"/>
      <w:lvlText w:val="(%1)"/>
      <w:lvlJc w:val="left"/>
      <w:pPr>
        <w:ind w:left="530" w:hanging="360"/>
      </w:pPr>
      <w:rPr>
        <w:rFonts w:hint="default"/>
      </w:rPr>
    </w:lvl>
    <w:lvl w:ilvl="1" w:tplc="0C090019" w:tentative="1">
      <w:start w:val="1"/>
      <w:numFmt w:val="lowerLetter"/>
      <w:lvlText w:val="%2."/>
      <w:lvlJc w:val="left"/>
      <w:pPr>
        <w:ind w:left="1250" w:hanging="360"/>
      </w:pPr>
    </w:lvl>
    <w:lvl w:ilvl="2" w:tplc="0C09001B" w:tentative="1">
      <w:start w:val="1"/>
      <w:numFmt w:val="lowerRoman"/>
      <w:lvlText w:val="%3."/>
      <w:lvlJc w:val="right"/>
      <w:pPr>
        <w:ind w:left="1970" w:hanging="180"/>
      </w:pPr>
    </w:lvl>
    <w:lvl w:ilvl="3" w:tplc="0C09000F" w:tentative="1">
      <w:start w:val="1"/>
      <w:numFmt w:val="decimal"/>
      <w:lvlText w:val="%4."/>
      <w:lvlJc w:val="left"/>
      <w:pPr>
        <w:ind w:left="2690" w:hanging="360"/>
      </w:pPr>
    </w:lvl>
    <w:lvl w:ilvl="4" w:tplc="0C090019" w:tentative="1">
      <w:start w:val="1"/>
      <w:numFmt w:val="lowerLetter"/>
      <w:lvlText w:val="%5."/>
      <w:lvlJc w:val="left"/>
      <w:pPr>
        <w:ind w:left="3410" w:hanging="360"/>
      </w:pPr>
    </w:lvl>
    <w:lvl w:ilvl="5" w:tplc="0C09001B" w:tentative="1">
      <w:start w:val="1"/>
      <w:numFmt w:val="lowerRoman"/>
      <w:lvlText w:val="%6."/>
      <w:lvlJc w:val="right"/>
      <w:pPr>
        <w:ind w:left="4130" w:hanging="180"/>
      </w:pPr>
    </w:lvl>
    <w:lvl w:ilvl="6" w:tplc="0C09000F" w:tentative="1">
      <w:start w:val="1"/>
      <w:numFmt w:val="decimal"/>
      <w:lvlText w:val="%7."/>
      <w:lvlJc w:val="left"/>
      <w:pPr>
        <w:ind w:left="4850" w:hanging="360"/>
      </w:pPr>
    </w:lvl>
    <w:lvl w:ilvl="7" w:tplc="0C090019" w:tentative="1">
      <w:start w:val="1"/>
      <w:numFmt w:val="lowerLetter"/>
      <w:lvlText w:val="%8."/>
      <w:lvlJc w:val="left"/>
      <w:pPr>
        <w:ind w:left="5570" w:hanging="360"/>
      </w:pPr>
    </w:lvl>
    <w:lvl w:ilvl="8" w:tplc="0C09001B" w:tentative="1">
      <w:start w:val="1"/>
      <w:numFmt w:val="lowerRoman"/>
      <w:lvlText w:val="%9."/>
      <w:lvlJc w:val="right"/>
      <w:pPr>
        <w:ind w:left="6290" w:hanging="180"/>
      </w:pPr>
    </w:lvl>
  </w:abstractNum>
  <w:abstractNum w:abstractNumId="26">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4C7F6CCA"/>
    <w:multiLevelType w:val="hybridMultilevel"/>
    <w:tmpl w:val="BE6CD294"/>
    <w:lvl w:ilvl="0" w:tplc="1D687BBE">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28">
    <w:nsid w:val="4D212809"/>
    <w:multiLevelType w:val="hybridMultilevel"/>
    <w:tmpl w:val="01EE78F8"/>
    <w:lvl w:ilvl="0" w:tplc="FEF0DFD2">
      <w:start w:val="1"/>
      <w:numFmt w:val="bullet"/>
      <w:lvlText w:val="–"/>
      <w:lvlJc w:val="left"/>
      <w:pPr>
        <w:ind w:left="700" w:hanging="360"/>
      </w:pPr>
      <w:rPr>
        <w:rFonts w:ascii="Times New Roman" w:hAnsi="Times New Roman" w:cs="Times New Roman" w:hint="default"/>
        <w:b w:val="0"/>
        <w:i w:val="0"/>
        <w:sz w:val="18"/>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9">
    <w:nsid w:val="51F74561"/>
    <w:multiLevelType w:val="singleLevel"/>
    <w:tmpl w:val="ED98921A"/>
    <w:lvl w:ilvl="0">
      <w:start w:val="1"/>
      <w:numFmt w:val="decimal"/>
      <w:lvlText w:val="%1."/>
      <w:legacy w:legacy="1" w:legacySpace="0" w:legacyIndent="340"/>
      <w:lvlJc w:val="left"/>
      <w:pPr>
        <w:ind w:left="340" w:hanging="340"/>
      </w:pPr>
    </w:lvl>
  </w:abstractNum>
  <w:abstractNum w:abstractNumId="3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31">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32">
    <w:nsid w:val="55532592"/>
    <w:multiLevelType w:val="singleLevel"/>
    <w:tmpl w:val="AD60D3B8"/>
    <w:lvl w:ilvl="0">
      <w:start w:val="1"/>
      <w:numFmt w:val="lowerLetter"/>
      <w:lvlText w:val="(%1)"/>
      <w:legacy w:legacy="1" w:legacySpace="0" w:legacyIndent="340"/>
      <w:lvlJc w:val="left"/>
      <w:pPr>
        <w:ind w:left="680" w:hanging="340"/>
      </w:pPr>
    </w:lvl>
  </w:abstractNum>
  <w:abstractNum w:abstractNumId="33">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34">
    <w:nsid w:val="572458E6"/>
    <w:multiLevelType w:val="hybridMultilevel"/>
    <w:tmpl w:val="0E567744"/>
    <w:lvl w:ilvl="0" w:tplc="ED9617DC">
      <w:start w:val="1"/>
      <w:numFmt w:val="bullet"/>
      <w:pStyle w:val="MtgPaperDotpoint1"/>
      <w:lvlText w:val=""/>
      <w:lvlJc w:val="left"/>
      <w:pPr>
        <w:tabs>
          <w:tab w:val="num" w:pos="360"/>
        </w:tabs>
        <w:ind w:left="360" w:hanging="360"/>
      </w:pPr>
      <w:rPr>
        <w:rFonts w:ascii="Symbol" w:hAnsi="Symbol" w:hint="default"/>
        <w:color w:val="auto"/>
        <w:sz w:val="20"/>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nsid w:val="58A04AF2"/>
    <w:multiLevelType w:val="singleLevel"/>
    <w:tmpl w:val="E9806908"/>
    <w:lvl w:ilvl="0">
      <w:start w:val="1"/>
      <w:numFmt w:val="lowerRoman"/>
      <w:lvlText w:val="(%1)"/>
      <w:legacy w:legacy="1" w:legacySpace="0" w:legacyIndent="340"/>
      <w:lvlJc w:val="left"/>
      <w:pPr>
        <w:ind w:left="1134" w:hanging="340"/>
      </w:pPr>
    </w:lvl>
  </w:abstractNum>
  <w:abstractNum w:abstractNumId="36">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7">
    <w:nsid w:val="5A096576"/>
    <w:multiLevelType w:val="singleLevel"/>
    <w:tmpl w:val="ED98921A"/>
    <w:lvl w:ilvl="0">
      <w:start w:val="1"/>
      <w:numFmt w:val="decimal"/>
      <w:lvlText w:val="%1."/>
      <w:legacy w:legacy="1" w:legacySpace="0" w:legacyIndent="340"/>
      <w:lvlJc w:val="left"/>
      <w:pPr>
        <w:ind w:left="340" w:hanging="340"/>
      </w:pPr>
    </w:lvl>
  </w:abstractNum>
  <w:abstractNum w:abstractNumId="38">
    <w:nsid w:val="5BB56A48"/>
    <w:multiLevelType w:val="multilevel"/>
    <w:tmpl w:val="6D248CEA"/>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nsid w:val="60055F7F"/>
    <w:multiLevelType w:val="singleLevel"/>
    <w:tmpl w:val="ED98921A"/>
    <w:lvl w:ilvl="0">
      <w:start w:val="1"/>
      <w:numFmt w:val="decimal"/>
      <w:lvlText w:val="%1."/>
      <w:legacy w:legacy="1" w:legacySpace="0" w:legacyIndent="340"/>
      <w:lvlJc w:val="left"/>
      <w:pPr>
        <w:ind w:left="340" w:hanging="340"/>
      </w:pPr>
    </w:lvl>
  </w:abstractNum>
  <w:abstractNum w:abstractNumId="40">
    <w:nsid w:val="608E741E"/>
    <w:multiLevelType w:val="singleLevel"/>
    <w:tmpl w:val="ED98921A"/>
    <w:lvl w:ilvl="0">
      <w:start w:val="1"/>
      <w:numFmt w:val="decimal"/>
      <w:lvlText w:val="%1."/>
      <w:legacy w:legacy="1" w:legacySpace="0" w:legacyIndent="340"/>
      <w:lvlJc w:val="left"/>
      <w:pPr>
        <w:ind w:left="340" w:hanging="340"/>
      </w:pPr>
    </w:lvl>
  </w:abstractNum>
  <w:abstractNum w:abstractNumId="41">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61320C1E"/>
    <w:multiLevelType w:val="singleLevel"/>
    <w:tmpl w:val="C444122C"/>
    <w:lvl w:ilvl="0">
      <w:start w:val="1"/>
      <w:numFmt w:val="decimal"/>
      <w:lvlText w:val="%1."/>
      <w:legacy w:legacy="1" w:legacySpace="0" w:legacyIndent="284"/>
      <w:lvlJc w:val="left"/>
      <w:pPr>
        <w:ind w:left="284" w:hanging="284"/>
      </w:pPr>
    </w:lvl>
  </w:abstractNum>
  <w:abstractNum w:abstractNumId="43">
    <w:nsid w:val="627154D2"/>
    <w:multiLevelType w:val="singleLevel"/>
    <w:tmpl w:val="AD60D3B8"/>
    <w:lvl w:ilvl="0">
      <w:start w:val="1"/>
      <w:numFmt w:val="lowerLetter"/>
      <w:lvlText w:val="(%1)"/>
      <w:legacy w:legacy="1" w:legacySpace="0" w:legacyIndent="340"/>
      <w:lvlJc w:val="left"/>
      <w:pPr>
        <w:ind w:left="680" w:hanging="340"/>
      </w:pPr>
    </w:lvl>
  </w:abstractNum>
  <w:abstractNum w:abstractNumId="44">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45">
    <w:nsid w:val="67806EB5"/>
    <w:multiLevelType w:val="singleLevel"/>
    <w:tmpl w:val="AD60D3B8"/>
    <w:lvl w:ilvl="0">
      <w:start w:val="1"/>
      <w:numFmt w:val="lowerLetter"/>
      <w:lvlText w:val="(%1)"/>
      <w:legacy w:legacy="1" w:legacySpace="0" w:legacyIndent="340"/>
      <w:lvlJc w:val="left"/>
      <w:pPr>
        <w:ind w:left="680" w:hanging="340"/>
      </w:pPr>
    </w:lvl>
  </w:abstractNum>
  <w:abstractNum w:abstractNumId="46">
    <w:nsid w:val="707E6FEC"/>
    <w:multiLevelType w:val="singleLevel"/>
    <w:tmpl w:val="E9806908"/>
    <w:lvl w:ilvl="0">
      <w:start w:val="1"/>
      <w:numFmt w:val="lowerRoman"/>
      <w:lvlText w:val="(%1)"/>
      <w:legacy w:legacy="1" w:legacySpace="0" w:legacyIndent="340"/>
      <w:lvlJc w:val="left"/>
      <w:pPr>
        <w:ind w:left="1134" w:hanging="340"/>
      </w:pPr>
    </w:lvl>
  </w:abstractNum>
  <w:abstractNum w:abstractNumId="47">
    <w:nsid w:val="746E6DCF"/>
    <w:multiLevelType w:val="multilevel"/>
    <w:tmpl w:val="8E3050E6"/>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nsid w:val="74E25280"/>
    <w:multiLevelType w:val="singleLevel"/>
    <w:tmpl w:val="AD60D3B8"/>
    <w:lvl w:ilvl="0">
      <w:start w:val="1"/>
      <w:numFmt w:val="lowerLetter"/>
      <w:lvlText w:val="(%1)"/>
      <w:legacy w:legacy="1" w:legacySpace="0" w:legacyIndent="340"/>
      <w:lvlJc w:val="left"/>
      <w:pPr>
        <w:ind w:left="680" w:hanging="340"/>
      </w:pPr>
    </w:lvl>
  </w:abstractNum>
  <w:abstractNum w:abstractNumId="49">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5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abstractNum w:abstractNumId="51">
    <w:nsid w:val="7F5B19C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0"/>
  </w:num>
  <w:num w:numId="2">
    <w:abstractNumId w:val="15"/>
  </w:num>
  <w:num w:numId="3">
    <w:abstractNumId w:val="23"/>
  </w:num>
  <w:num w:numId="4">
    <w:abstractNumId w:val="34"/>
  </w:num>
  <w:num w:numId="5">
    <w:abstractNumId w:val="27"/>
  </w:num>
  <w:num w:numId="6">
    <w:abstractNumId w:val="22"/>
  </w:num>
  <w:num w:numId="7">
    <w:abstractNumId w:val="44"/>
  </w:num>
  <w:num w:numId="8">
    <w:abstractNumId w:val="36"/>
  </w:num>
  <w:num w:numId="9">
    <w:abstractNumId w:val="14"/>
  </w:num>
  <w:num w:numId="10">
    <w:abstractNumId w:val="21"/>
  </w:num>
  <w:num w:numId="11">
    <w:abstractNumId w:val="49"/>
  </w:num>
  <w:num w:numId="12">
    <w:abstractNumId w:val="30"/>
  </w:num>
  <w:num w:numId="13">
    <w:abstractNumId w:val="26"/>
  </w:num>
  <w:num w:numId="14">
    <w:abstractNumId w:val="7"/>
  </w:num>
  <w:num w:numId="15">
    <w:abstractNumId w:val="9"/>
  </w:num>
  <w:num w:numId="16">
    <w:abstractNumId w:val="33"/>
  </w:num>
  <w:num w:numId="17">
    <w:abstractNumId w:val="50"/>
  </w:num>
  <w:num w:numId="18">
    <w:abstractNumId w:val="19"/>
  </w:num>
  <w:num w:numId="19">
    <w:abstractNumId w:val="16"/>
  </w:num>
  <w:num w:numId="20">
    <w:abstractNumId w:val="31"/>
  </w:num>
  <w:num w:numId="21">
    <w:abstractNumId w:val="25"/>
  </w:num>
  <w:num w:numId="22">
    <w:abstractNumId w:val="18"/>
  </w:num>
  <w:num w:numId="23">
    <w:abstractNumId w:val="22"/>
  </w:num>
  <w:num w:numId="24">
    <w:abstractNumId w:val="22"/>
  </w:num>
  <w:num w:numId="25">
    <w:abstractNumId w:val="22"/>
  </w:num>
  <w:num w:numId="26">
    <w:abstractNumId w:val="22"/>
  </w:num>
  <w:num w:numId="27">
    <w:abstractNumId w:val="22"/>
  </w:num>
  <w:num w:numId="28">
    <w:abstractNumId w:val="5"/>
  </w:num>
  <w:num w:numId="29">
    <w:abstractNumId w:val="3"/>
  </w:num>
  <w:num w:numId="30">
    <w:abstractNumId w:val="2"/>
  </w:num>
  <w:num w:numId="31">
    <w:abstractNumId w:val="4"/>
  </w:num>
  <w:num w:numId="32">
    <w:abstractNumId w:val="1"/>
  </w:num>
  <w:num w:numId="33">
    <w:abstractNumId w:val="0"/>
  </w:num>
  <w:num w:numId="34">
    <w:abstractNumId w:val="12"/>
  </w:num>
  <w:num w:numId="35">
    <w:abstractNumId w:val="40"/>
  </w:num>
  <w:num w:numId="36">
    <w:abstractNumId w:val="43"/>
  </w:num>
  <w:num w:numId="37">
    <w:abstractNumId w:val="29"/>
  </w:num>
  <w:num w:numId="38">
    <w:abstractNumId w:val="32"/>
  </w:num>
  <w:num w:numId="39">
    <w:abstractNumId w:val="35"/>
  </w:num>
  <w:num w:numId="40">
    <w:abstractNumId w:val="48"/>
  </w:num>
  <w:num w:numId="41">
    <w:abstractNumId w:val="39"/>
  </w:num>
  <w:num w:numId="42">
    <w:abstractNumId w:val="45"/>
  </w:num>
  <w:num w:numId="43">
    <w:abstractNumId w:val="46"/>
  </w:num>
  <w:num w:numId="44">
    <w:abstractNumId w:val="37"/>
  </w:num>
  <w:num w:numId="45">
    <w:abstractNumId w:val="24"/>
  </w:num>
  <w:num w:numId="46">
    <w:abstractNumId w:val="51"/>
  </w:num>
  <w:num w:numId="47">
    <w:abstractNumId w:val="8"/>
  </w:num>
  <w:num w:numId="48">
    <w:abstractNumId w:val="20"/>
  </w:num>
  <w:num w:numId="49">
    <w:abstractNumId w:val="47"/>
  </w:num>
  <w:num w:numId="50">
    <w:abstractNumId w:val="38"/>
  </w:num>
  <w:num w:numId="51">
    <w:abstractNumId w:val="13"/>
  </w:num>
  <w:num w:numId="52">
    <w:abstractNumId w:val="42"/>
  </w:num>
  <w:num w:numId="53">
    <w:abstractNumId w:val="28"/>
  </w:num>
  <w:num w:numId="54">
    <w:abstractNumId w:val="6"/>
    <w:lvlOverride w:ilvl="0">
      <w:lvl w:ilvl="0">
        <w:start w:val="1"/>
        <w:numFmt w:val="bullet"/>
        <w:lvlText w:val=""/>
        <w:legacy w:legacy="1" w:legacySpace="0" w:legacyIndent="340"/>
        <w:lvlJc w:val="left"/>
        <w:pPr>
          <w:ind w:left="340" w:hanging="340"/>
        </w:pPr>
        <w:rPr>
          <w:rFonts w:ascii="Symbol" w:hAnsi="Symbol" w:hint="default"/>
          <w:sz w:val="18"/>
        </w:rPr>
      </w:lvl>
    </w:lvlOverride>
  </w:num>
  <w:num w:numId="55">
    <w:abstractNumId w:val="11"/>
  </w:num>
  <w:num w:numId="56">
    <w:abstractNumId w:val="22"/>
  </w:num>
  <w:num w:numId="57">
    <w:abstractNumId w:val="22"/>
  </w:num>
  <w:num w:numId="58">
    <w:abstractNumId w:val="22"/>
  </w:num>
  <w:num w:numId="59">
    <w:abstractNumId w:val="6"/>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60">
    <w:abstractNumId w:val="41"/>
  </w:num>
  <w:num w:numId="61">
    <w:abstractNumId w:val="1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mirrorMargins/>
  <w:proofState w:spelling="clean"/>
  <w:linkStyle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4761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indingOptions" w:val="1"/>
    <w:docVar w:name="RecOptions" w:val="111"/>
    <w:docVar w:name="ShortChapterTitle" w:val="SKILLS AND WORKFORCE DEVELOPMENT"/>
    <w:docVar w:name="ShortReportTitle" w:val="SCRGSP REPORT TO CRC APRIL 2014"/>
  </w:docVars>
  <w:rsids>
    <w:rsidRoot w:val="00DF3AA3"/>
    <w:rsid w:val="0000308F"/>
    <w:rsid w:val="00003862"/>
    <w:rsid w:val="00003965"/>
    <w:rsid w:val="00004155"/>
    <w:rsid w:val="0000478D"/>
    <w:rsid w:val="000049B8"/>
    <w:rsid w:val="0000553E"/>
    <w:rsid w:val="0000716F"/>
    <w:rsid w:val="0001041B"/>
    <w:rsid w:val="000132A1"/>
    <w:rsid w:val="000159BC"/>
    <w:rsid w:val="00017EB5"/>
    <w:rsid w:val="000206F6"/>
    <w:rsid w:val="00020B6B"/>
    <w:rsid w:val="00021D77"/>
    <w:rsid w:val="0002448D"/>
    <w:rsid w:val="000245AA"/>
    <w:rsid w:val="000250BB"/>
    <w:rsid w:val="000258A2"/>
    <w:rsid w:val="000270CE"/>
    <w:rsid w:val="000279D3"/>
    <w:rsid w:val="00030F3D"/>
    <w:rsid w:val="0003125A"/>
    <w:rsid w:val="00035825"/>
    <w:rsid w:val="00035C14"/>
    <w:rsid w:val="0003664B"/>
    <w:rsid w:val="00037389"/>
    <w:rsid w:val="00037A4B"/>
    <w:rsid w:val="00037B6E"/>
    <w:rsid w:val="00037BAA"/>
    <w:rsid w:val="0004111F"/>
    <w:rsid w:val="0004301B"/>
    <w:rsid w:val="00044565"/>
    <w:rsid w:val="00045733"/>
    <w:rsid w:val="00050EA9"/>
    <w:rsid w:val="00052DD0"/>
    <w:rsid w:val="000547C6"/>
    <w:rsid w:val="000565B3"/>
    <w:rsid w:val="00056723"/>
    <w:rsid w:val="00056BF4"/>
    <w:rsid w:val="00057E79"/>
    <w:rsid w:val="00057F5E"/>
    <w:rsid w:val="0006101E"/>
    <w:rsid w:val="00062E03"/>
    <w:rsid w:val="00064038"/>
    <w:rsid w:val="000642BF"/>
    <w:rsid w:val="000643B1"/>
    <w:rsid w:val="0006474A"/>
    <w:rsid w:val="00065736"/>
    <w:rsid w:val="0006714B"/>
    <w:rsid w:val="00067B73"/>
    <w:rsid w:val="0007150B"/>
    <w:rsid w:val="00072506"/>
    <w:rsid w:val="000737FF"/>
    <w:rsid w:val="00073F28"/>
    <w:rsid w:val="0007463D"/>
    <w:rsid w:val="00074916"/>
    <w:rsid w:val="00075D05"/>
    <w:rsid w:val="0007733B"/>
    <w:rsid w:val="0008107B"/>
    <w:rsid w:val="00085E0D"/>
    <w:rsid w:val="000915A4"/>
    <w:rsid w:val="00092C6B"/>
    <w:rsid w:val="0009351E"/>
    <w:rsid w:val="000938F5"/>
    <w:rsid w:val="00093E69"/>
    <w:rsid w:val="0009404F"/>
    <w:rsid w:val="000962B6"/>
    <w:rsid w:val="000A0229"/>
    <w:rsid w:val="000A025D"/>
    <w:rsid w:val="000A1270"/>
    <w:rsid w:val="000A280A"/>
    <w:rsid w:val="000A2D55"/>
    <w:rsid w:val="000A35DF"/>
    <w:rsid w:val="000A3A34"/>
    <w:rsid w:val="000A4307"/>
    <w:rsid w:val="000A4F3D"/>
    <w:rsid w:val="000A7474"/>
    <w:rsid w:val="000A7545"/>
    <w:rsid w:val="000A782A"/>
    <w:rsid w:val="000B0AA4"/>
    <w:rsid w:val="000B17E4"/>
    <w:rsid w:val="000B20D8"/>
    <w:rsid w:val="000B2BD2"/>
    <w:rsid w:val="000B40D2"/>
    <w:rsid w:val="000B4612"/>
    <w:rsid w:val="000B5441"/>
    <w:rsid w:val="000B601B"/>
    <w:rsid w:val="000B71E5"/>
    <w:rsid w:val="000C033E"/>
    <w:rsid w:val="000C0E10"/>
    <w:rsid w:val="000C207E"/>
    <w:rsid w:val="000C249F"/>
    <w:rsid w:val="000C3AC6"/>
    <w:rsid w:val="000C402F"/>
    <w:rsid w:val="000C4E24"/>
    <w:rsid w:val="000C7189"/>
    <w:rsid w:val="000D0B7D"/>
    <w:rsid w:val="000D0F7B"/>
    <w:rsid w:val="000D103A"/>
    <w:rsid w:val="000D15C5"/>
    <w:rsid w:val="000D18F2"/>
    <w:rsid w:val="000D19ED"/>
    <w:rsid w:val="000D1AEA"/>
    <w:rsid w:val="000D1BF7"/>
    <w:rsid w:val="000D7730"/>
    <w:rsid w:val="000D78E5"/>
    <w:rsid w:val="000E09BB"/>
    <w:rsid w:val="000E2A4E"/>
    <w:rsid w:val="000E3781"/>
    <w:rsid w:val="000E4F0D"/>
    <w:rsid w:val="000E568E"/>
    <w:rsid w:val="000E6BBB"/>
    <w:rsid w:val="000F0DB7"/>
    <w:rsid w:val="000F1968"/>
    <w:rsid w:val="000F4F0A"/>
    <w:rsid w:val="000F4FE8"/>
    <w:rsid w:val="000F6C73"/>
    <w:rsid w:val="000F792F"/>
    <w:rsid w:val="001007AF"/>
    <w:rsid w:val="0010169E"/>
    <w:rsid w:val="001043AB"/>
    <w:rsid w:val="00104EA1"/>
    <w:rsid w:val="00106526"/>
    <w:rsid w:val="00107E0E"/>
    <w:rsid w:val="00110116"/>
    <w:rsid w:val="001105C3"/>
    <w:rsid w:val="00112FF4"/>
    <w:rsid w:val="0011578A"/>
    <w:rsid w:val="00117F40"/>
    <w:rsid w:val="00123B9E"/>
    <w:rsid w:val="00124F9D"/>
    <w:rsid w:val="00126EB8"/>
    <w:rsid w:val="001310BD"/>
    <w:rsid w:val="001337C4"/>
    <w:rsid w:val="00134B58"/>
    <w:rsid w:val="00135F57"/>
    <w:rsid w:val="001363AA"/>
    <w:rsid w:val="00136E5D"/>
    <w:rsid w:val="00136FA3"/>
    <w:rsid w:val="00137260"/>
    <w:rsid w:val="0013752D"/>
    <w:rsid w:val="001376EE"/>
    <w:rsid w:val="0014028A"/>
    <w:rsid w:val="00140741"/>
    <w:rsid w:val="00140E5B"/>
    <w:rsid w:val="00140F2D"/>
    <w:rsid w:val="00144C03"/>
    <w:rsid w:val="001518C2"/>
    <w:rsid w:val="001532CD"/>
    <w:rsid w:val="00153613"/>
    <w:rsid w:val="00153FA3"/>
    <w:rsid w:val="001541C8"/>
    <w:rsid w:val="00154DD9"/>
    <w:rsid w:val="00155C51"/>
    <w:rsid w:val="00156D16"/>
    <w:rsid w:val="00157946"/>
    <w:rsid w:val="001621F2"/>
    <w:rsid w:val="00162519"/>
    <w:rsid w:val="001636F0"/>
    <w:rsid w:val="00164D69"/>
    <w:rsid w:val="001653DA"/>
    <w:rsid w:val="00170238"/>
    <w:rsid w:val="00170BB1"/>
    <w:rsid w:val="00171C0F"/>
    <w:rsid w:val="00175229"/>
    <w:rsid w:val="001776B4"/>
    <w:rsid w:val="0017788D"/>
    <w:rsid w:val="00177F6E"/>
    <w:rsid w:val="00183E82"/>
    <w:rsid w:val="00184511"/>
    <w:rsid w:val="001861FE"/>
    <w:rsid w:val="001912D9"/>
    <w:rsid w:val="0019293B"/>
    <w:rsid w:val="00192A4B"/>
    <w:rsid w:val="00193E25"/>
    <w:rsid w:val="00197514"/>
    <w:rsid w:val="00197F28"/>
    <w:rsid w:val="001A1932"/>
    <w:rsid w:val="001A1B22"/>
    <w:rsid w:val="001A4365"/>
    <w:rsid w:val="001A63FE"/>
    <w:rsid w:val="001A6EB5"/>
    <w:rsid w:val="001B090C"/>
    <w:rsid w:val="001B0B52"/>
    <w:rsid w:val="001B133B"/>
    <w:rsid w:val="001B13DF"/>
    <w:rsid w:val="001B2084"/>
    <w:rsid w:val="001B41E2"/>
    <w:rsid w:val="001B5488"/>
    <w:rsid w:val="001B5F6C"/>
    <w:rsid w:val="001C0865"/>
    <w:rsid w:val="001C0BEB"/>
    <w:rsid w:val="001C168A"/>
    <w:rsid w:val="001C3ABA"/>
    <w:rsid w:val="001C6387"/>
    <w:rsid w:val="001C64D2"/>
    <w:rsid w:val="001D0907"/>
    <w:rsid w:val="001D2206"/>
    <w:rsid w:val="001D2234"/>
    <w:rsid w:val="001D22DC"/>
    <w:rsid w:val="001D32EC"/>
    <w:rsid w:val="001D43BF"/>
    <w:rsid w:val="001D75A8"/>
    <w:rsid w:val="001D78E1"/>
    <w:rsid w:val="001E038D"/>
    <w:rsid w:val="001E239C"/>
    <w:rsid w:val="001E37D9"/>
    <w:rsid w:val="001E4416"/>
    <w:rsid w:val="001E4562"/>
    <w:rsid w:val="001E5500"/>
    <w:rsid w:val="001E7BE8"/>
    <w:rsid w:val="001F0248"/>
    <w:rsid w:val="001F3270"/>
    <w:rsid w:val="001F3EB3"/>
    <w:rsid w:val="001F49F8"/>
    <w:rsid w:val="001F558D"/>
    <w:rsid w:val="001F5B3D"/>
    <w:rsid w:val="001F6071"/>
    <w:rsid w:val="00200D63"/>
    <w:rsid w:val="002026AE"/>
    <w:rsid w:val="00202C2C"/>
    <w:rsid w:val="00206288"/>
    <w:rsid w:val="0020677A"/>
    <w:rsid w:val="00207049"/>
    <w:rsid w:val="002070D3"/>
    <w:rsid w:val="00211211"/>
    <w:rsid w:val="00212708"/>
    <w:rsid w:val="00212B0F"/>
    <w:rsid w:val="00216425"/>
    <w:rsid w:val="0021665D"/>
    <w:rsid w:val="00216BEB"/>
    <w:rsid w:val="002178E2"/>
    <w:rsid w:val="00221EFD"/>
    <w:rsid w:val="002247F1"/>
    <w:rsid w:val="00226584"/>
    <w:rsid w:val="002278FA"/>
    <w:rsid w:val="00227D25"/>
    <w:rsid w:val="00227D80"/>
    <w:rsid w:val="0023156D"/>
    <w:rsid w:val="0023174D"/>
    <w:rsid w:val="00232B7F"/>
    <w:rsid w:val="00233E29"/>
    <w:rsid w:val="002340FB"/>
    <w:rsid w:val="002357A7"/>
    <w:rsid w:val="002374B7"/>
    <w:rsid w:val="0024008E"/>
    <w:rsid w:val="002417DC"/>
    <w:rsid w:val="00241EE2"/>
    <w:rsid w:val="00242279"/>
    <w:rsid w:val="00245C82"/>
    <w:rsid w:val="002465CC"/>
    <w:rsid w:val="00246AD9"/>
    <w:rsid w:val="00247342"/>
    <w:rsid w:val="002476E0"/>
    <w:rsid w:val="00247953"/>
    <w:rsid w:val="00247BC2"/>
    <w:rsid w:val="00250C8E"/>
    <w:rsid w:val="00251AC4"/>
    <w:rsid w:val="00251C79"/>
    <w:rsid w:val="00252C91"/>
    <w:rsid w:val="00253FFA"/>
    <w:rsid w:val="002543A1"/>
    <w:rsid w:val="002559E2"/>
    <w:rsid w:val="002560DB"/>
    <w:rsid w:val="00256242"/>
    <w:rsid w:val="00256383"/>
    <w:rsid w:val="0025659C"/>
    <w:rsid w:val="00256783"/>
    <w:rsid w:val="00260961"/>
    <w:rsid w:val="00261AC3"/>
    <w:rsid w:val="0026218D"/>
    <w:rsid w:val="00264BBD"/>
    <w:rsid w:val="00270164"/>
    <w:rsid w:val="00273EC6"/>
    <w:rsid w:val="002749E5"/>
    <w:rsid w:val="00277E87"/>
    <w:rsid w:val="00281B10"/>
    <w:rsid w:val="00282146"/>
    <w:rsid w:val="002821BF"/>
    <w:rsid w:val="0028355C"/>
    <w:rsid w:val="002862B3"/>
    <w:rsid w:val="00290DD4"/>
    <w:rsid w:val="00291B40"/>
    <w:rsid w:val="00294255"/>
    <w:rsid w:val="002944E6"/>
    <w:rsid w:val="00297148"/>
    <w:rsid w:val="00297BF4"/>
    <w:rsid w:val="002A077A"/>
    <w:rsid w:val="002A16C0"/>
    <w:rsid w:val="002A173F"/>
    <w:rsid w:val="002A18AB"/>
    <w:rsid w:val="002A32E9"/>
    <w:rsid w:val="002A3A47"/>
    <w:rsid w:val="002A512C"/>
    <w:rsid w:val="002A55D8"/>
    <w:rsid w:val="002B4008"/>
    <w:rsid w:val="002B7490"/>
    <w:rsid w:val="002B75F5"/>
    <w:rsid w:val="002C1FCD"/>
    <w:rsid w:val="002C1FFB"/>
    <w:rsid w:val="002C206C"/>
    <w:rsid w:val="002C3EEC"/>
    <w:rsid w:val="002C4E0E"/>
    <w:rsid w:val="002C5C55"/>
    <w:rsid w:val="002C5D0A"/>
    <w:rsid w:val="002C6EC2"/>
    <w:rsid w:val="002C743E"/>
    <w:rsid w:val="002D0E8E"/>
    <w:rsid w:val="002D2AD1"/>
    <w:rsid w:val="002D389B"/>
    <w:rsid w:val="002D52A4"/>
    <w:rsid w:val="002D56D0"/>
    <w:rsid w:val="002D56FE"/>
    <w:rsid w:val="002D5835"/>
    <w:rsid w:val="002D6448"/>
    <w:rsid w:val="002D7DAF"/>
    <w:rsid w:val="002E049F"/>
    <w:rsid w:val="002E1003"/>
    <w:rsid w:val="002E25BB"/>
    <w:rsid w:val="002E2B90"/>
    <w:rsid w:val="002E329F"/>
    <w:rsid w:val="002E41C5"/>
    <w:rsid w:val="002E61AF"/>
    <w:rsid w:val="002E73F3"/>
    <w:rsid w:val="002E767C"/>
    <w:rsid w:val="002F00B6"/>
    <w:rsid w:val="002F1DCD"/>
    <w:rsid w:val="002F2DEB"/>
    <w:rsid w:val="002F3227"/>
    <w:rsid w:val="002F3485"/>
    <w:rsid w:val="002F3D00"/>
    <w:rsid w:val="002F4F78"/>
    <w:rsid w:val="002F547D"/>
    <w:rsid w:val="002F6CEA"/>
    <w:rsid w:val="002F7D7B"/>
    <w:rsid w:val="00300097"/>
    <w:rsid w:val="00301189"/>
    <w:rsid w:val="0030207A"/>
    <w:rsid w:val="003027BB"/>
    <w:rsid w:val="00302DC2"/>
    <w:rsid w:val="003036CA"/>
    <w:rsid w:val="003041CE"/>
    <w:rsid w:val="0030468E"/>
    <w:rsid w:val="00304B22"/>
    <w:rsid w:val="00305F55"/>
    <w:rsid w:val="00310DB6"/>
    <w:rsid w:val="0031116C"/>
    <w:rsid w:val="00311D2B"/>
    <w:rsid w:val="00313DE3"/>
    <w:rsid w:val="00314362"/>
    <w:rsid w:val="00317762"/>
    <w:rsid w:val="00320091"/>
    <w:rsid w:val="003205EC"/>
    <w:rsid w:val="00320E5D"/>
    <w:rsid w:val="003223F1"/>
    <w:rsid w:val="00322582"/>
    <w:rsid w:val="003226D4"/>
    <w:rsid w:val="00322D6B"/>
    <w:rsid w:val="00323CE5"/>
    <w:rsid w:val="00323E09"/>
    <w:rsid w:val="00327C18"/>
    <w:rsid w:val="003319FA"/>
    <w:rsid w:val="00333932"/>
    <w:rsid w:val="00333C89"/>
    <w:rsid w:val="0033706F"/>
    <w:rsid w:val="00337C1A"/>
    <w:rsid w:val="003420AD"/>
    <w:rsid w:val="00344BED"/>
    <w:rsid w:val="00345B8E"/>
    <w:rsid w:val="00345E73"/>
    <w:rsid w:val="0034640E"/>
    <w:rsid w:val="00350A5D"/>
    <w:rsid w:val="003518AA"/>
    <w:rsid w:val="003520B6"/>
    <w:rsid w:val="00352165"/>
    <w:rsid w:val="00353182"/>
    <w:rsid w:val="00353E08"/>
    <w:rsid w:val="00355518"/>
    <w:rsid w:val="00355BB2"/>
    <w:rsid w:val="00355EDE"/>
    <w:rsid w:val="003565D9"/>
    <w:rsid w:val="003572E9"/>
    <w:rsid w:val="003602E1"/>
    <w:rsid w:val="00360AB4"/>
    <w:rsid w:val="00360EB1"/>
    <w:rsid w:val="00365555"/>
    <w:rsid w:val="003658FC"/>
    <w:rsid w:val="00366CCF"/>
    <w:rsid w:val="0037026F"/>
    <w:rsid w:val="00371240"/>
    <w:rsid w:val="003733DE"/>
    <w:rsid w:val="00374731"/>
    <w:rsid w:val="00375068"/>
    <w:rsid w:val="00376887"/>
    <w:rsid w:val="0038227D"/>
    <w:rsid w:val="00383E82"/>
    <w:rsid w:val="0038415E"/>
    <w:rsid w:val="0038476A"/>
    <w:rsid w:val="00387627"/>
    <w:rsid w:val="003907AE"/>
    <w:rsid w:val="0039146D"/>
    <w:rsid w:val="003919BA"/>
    <w:rsid w:val="003919F9"/>
    <w:rsid w:val="00393641"/>
    <w:rsid w:val="00393BA6"/>
    <w:rsid w:val="00394E39"/>
    <w:rsid w:val="00397387"/>
    <w:rsid w:val="00397A53"/>
    <w:rsid w:val="00397CBF"/>
    <w:rsid w:val="003A0B0A"/>
    <w:rsid w:val="003A12DD"/>
    <w:rsid w:val="003A1361"/>
    <w:rsid w:val="003A1F37"/>
    <w:rsid w:val="003A1FCD"/>
    <w:rsid w:val="003A33DB"/>
    <w:rsid w:val="003A4F60"/>
    <w:rsid w:val="003A6DBA"/>
    <w:rsid w:val="003B0975"/>
    <w:rsid w:val="003B194C"/>
    <w:rsid w:val="003B34C8"/>
    <w:rsid w:val="003B65AE"/>
    <w:rsid w:val="003B73C9"/>
    <w:rsid w:val="003C38B5"/>
    <w:rsid w:val="003C3F3C"/>
    <w:rsid w:val="003C4EDC"/>
    <w:rsid w:val="003C5668"/>
    <w:rsid w:val="003C5D99"/>
    <w:rsid w:val="003C65CC"/>
    <w:rsid w:val="003C665F"/>
    <w:rsid w:val="003D0761"/>
    <w:rsid w:val="003D13AB"/>
    <w:rsid w:val="003D146F"/>
    <w:rsid w:val="003D14FC"/>
    <w:rsid w:val="003D29CA"/>
    <w:rsid w:val="003D3826"/>
    <w:rsid w:val="003D3E08"/>
    <w:rsid w:val="003D3FAE"/>
    <w:rsid w:val="003D5319"/>
    <w:rsid w:val="003D5D07"/>
    <w:rsid w:val="003D74C9"/>
    <w:rsid w:val="003E0E83"/>
    <w:rsid w:val="003E27DF"/>
    <w:rsid w:val="003E32A2"/>
    <w:rsid w:val="003E3F32"/>
    <w:rsid w:val="003E6354"/>
    <w:rsid w:val="003F074E"/>
    <w:rsid w:val="003F0789"/>
    <w:rsid w:val="003F436C"/>
    <w:rsid w:val="003F6CD0"/>
    <w:rsid w:val="003F778C"/>
    <w:rsid w:val="00400845"/>
    <w:rsid w:val="00401882"/>
    <w:rsid w:val="00402212"/>
    <w:rsid w:val="00402752"/>
    <w:rsid w:val="004028CA"/>
    <w:rsid w:val="004028D7"/>
    <w:rsid w:val="00404AF0"/>
    <w:rsid w:val="00404BBA"/>
    <w:rsid w:val="004100C8"/>
    <w:rsid w:val="004109B5"/>
    <w:rsid w:val="00411CFA"/>
    <w:rsid w:val="00412037"/>
    <w:rsid w:val="00412ACE"/>
    <w:rsid w:val="00414BB6"/>
    <w:rsid w:val="00416227"/>
    <w:rsid w:val="004177E0"/>
    <w:rsid w:val="0042110D"/>
    <w:rsid w:val="004231C2"/>
    <w:rsid w:val="0042632D"/>
    <w:rsid w:val="00426CA2"/>
    <w:rsid w:val="00426E98"/>
    <w:rsid w:val="004273FF"/>
    <w:rsid w:val="004274D4"/>
    <w:rsid w:val="0043039A"/>
    <w:rsid w:val="00430B47"/>
    <w:rsid w:val="00430F28"/>
    <w:rsid w:val="00431249"/>
    <w:rsid w:val="00433347"/>
    <w:rsid w:val="00434C19"/>
    <w:rsid w:val="00435A39"/>
    <w:rsid w:val="004362A2"/>
    <w:rsid w:val="00440924"/>
    <w:rsid w:val="00441A40"/>
    <w:rsid w:val="0044624E"/>
    <w:rsid w:val="00446B27"/>
    <w:rsid w:val="0044732C"/>
    <w:rsid w:val="00450559"/>
    <w:rsid w:val="00450810"/>
    <w:rsid w:val="00451F5B"/>
    <w:rsid w:val="00455E50"/>
    <w:rsid w:val="0045619B"/>
    <w:rsid w:val="004627E6"/>
    <w:rsid w:val="0046325B"/>
    <w:rsid w:val="00464AFA"/>
    <w:rsid w:val="004655B3"/>
    <w:rsid w:val="004656D4"/>
    <w:rsid w:val="00466C06"/>
    <w:rsid w:val="004672B5"/>
    <w:rsid w:val="00470741"/>
    <w:rsid w:val="00472D1E"/>
    <w:rsid w:val="00474180"/>
    <w:rsid w:val="00475DB6"/>
    <w:rsid w:val="004766D9"/>
    <w:rsid w:val="00477144"/>
    <w:rsid w:val="00482B04"/>
    <w:rsid w:val="00482E63"/>
    <w:rsid w:val="00484CC0"/>
    <w:rsid w:val="004859E6"/>
    <w:rsid w:val="00490068"/>
    <w:rsid w:val="00490E4A"/>
    <w:rsid w:val="0049255D"/>
    <w:rsid w:val="0049327A"/>
    <w:rsid w:val="00494185"/>
    <w:rsid w:val="0049459F"/>
    <w:rsid w:val="00495953"/>
    <w:rsid w:val="00497B2A"/>
    <w:rsid w:val="004A2D6E"/>
    <w:rsid w:val="004A38DD"/>
    <w:rsid w:val="004A6646"/>
    <w:rsid w:val="004A6E84"/>
    <w:rsid w:val="004A7F3F"/>
    <w:rsid w:val="004A7F7C"/>
    <w:rsid w:val="004B05C0"/>
    <w:rsid w:val="004B26CF"/>
    <w:rsid w:val="004B340D"/>
    <w:rsid w:val="004B43AE"/>
    <w:rsid w:val="004B512C"/>
    <w:rsid w:val="004C09BA"/>
    <w:rsid w:val="004C0D13"/>
    <w:rsid w:val="004C13C5"/>
    <w:rsid w:val="004C142A"/>
    <w:rsid w:val="004C2495"/>
    <w:rsid w:val="004C30ED"/>
    <w:rsid w:val="004C343F"/>
    <w:rsid w:val="004C6554"/>
    <w:rsid w:val="004C6988"/>
    <w:rsid w:val="004C7367"/>
    <w:rsid w:val="004C7405"/>
    <w:rsid w:val="004C7C03"/>
    <w:rsid w:val="004D0C44"/>
    <w:rsid w:val="004D20E7"/>
    <w:rsid w:val="004D23AB"/>
    <w:rsid w:val="004D45BC"/>
    <w:rsid w:val="004D5511"/>
    <w:rsid w:val="004D5675"/>
    <w:rsid w:val="004D7080"/>
    <w:rsid w:val="004E3442"/>
    <w:rsid w:val="004E4756"/>
    <w:rsid w:val="004E762A"/>
    <w:rsid w:val="004E7A15"/>
    <w:rsid w:val="004E7B94"/>
    <w:rsid w:val="004F1EA4"/>
    <w:rsid w:val="004F2160"/>
    <w:rsid w:val="004F238E"/>
    <w:rsid w:val="004F35D6"/>
    <w:rsid w:val="004F3A32"/>
    <w:rsid w:val="004F431E"/>
    <w:rsid w:val="004F47C4"/>
    <w:rsid w:val="004F52CE"/>
    <w:rsid w:val="004F7158"/>
    <w:rsid w:val="00501EB8"/>
    <w:rsid w:val="00502F86"/>
    <w:rsid w:val="0050301B"/>
    <w:rsid w:val="00503054"/>
    <w:rsid w:val="005031DE"/>
    <w:rsid w:val="00503700"/>
    <w:rsid w:val="00503759"/>
    <w:rsid w:val="0050570E"/>
    <w:rsid w:val="00506FE6"/>
    <w:rsid w:val="005070F1"/>
    <w:rsid w:val="005075AD"/>
    <w:rsid w:val="0051205E"/>
    <w:rsid w:val="00512493"/>
    <w:rsid w:val="00512593"/>
    <w:rsid w:val="00512AF2"/>
    <w:rsid w:val="005142B9"/>
    <w:rsid w:val="00514646"/>
    <w:rsid w:val="005154B4"/>
    <w:rsid w:val="00515BBB"/>
    <w:rsid w:val="00517D08"/>
    <w:rsid w:val="00521A12"/>
    <w:rsid w:val="0052286A"/>
    <w:rsid w:val="00523639"/>
    <w:rsid w:val="005236B0"/>
    <w:rsid w:val="005239AE"/>
    <w:rsid w:val="00523BE4"/>
    <w:rsid w:val="00525EE0"/>
    <w:rsid w:val="00531006"/>
    <w:rsid w:val="005325D6"/>
    <w:rsid w:val="005356AB"/>
    <w:rsid w:val="00536C9F"/>
    <w:rsid w:val="00537900"/>
    <w:rsid w:val="00537DB8"/>
    <w:rsid w:val="00545D1D"/>
    <w:rsid w:val="00552306"/>
    <w:rsid w:val="00553848"/>
    <w:rsid w:val="00554AD7"/>
    <w:rsid w:val="00554FEE"/>
    <w:rsid w:val="00555811"/>
    <w:rsid w:val="0055612B"/>
    <w:rsid w:val="0056001E"/>
    <w:rsid w:val="005611A3"/>
    <w:rsid w:val="00563121"/>
    <w:rsid w:val="005634A1"/>
    <w:rsid w:val="00563606"/>
    <w:rsid w:val="00563F66"/>
    <w:rsid w:val="00565CE2"/>
    <w:rsid w:val="0056645E"/>
    <w:rsid w:val="00570D3D"/>
    <w:rsid w:val="0057108F"/>
    <w:rsid w:val="00572320"/>
    <w:rsid w:val="005725E4"/>
    <w:rsid w:val="00572732"/>
    <w:rsid w:val="00573754"/>
    <w:rsid w:val="0057396D"/>
    <w:rsid w:val="00575817"/>
    <w:rsid w:val="005776E2"/>
    <w:rsid w:val="00577D60"/>
    <w:rsid w:val="0058109A"/>
    <w:rsid w:val="00581572"/>
    <w:rsid w:val="00582BA9"/>
    <w:rsid w:val="00583C39"/>
    <w:rsid w:val="00583F18"/>
    <w:rsid w:val="00585B4E"/>
    <w:rsid w:val="00586034"/>
    <w:rsid w:val="00586392"/>
    <w:rsid w:val="00586788"/>
    <w:rsid w:val="00586DC9"/>
    <w:rsid w:val="0058765F"/>
    <w:rsid w:val="005909CF"/>
    <w:rsid w:val="00590A50"/>
    <w:rsid w:val="00590E06"/>
    <w:rsid w:val="00591E71"/>
    <w:rsid w:val="005921AF"/>
    <w:rsid w:val="00592B2E"/>
    <w:rsid w:val="00592D9D"/>
    <w:rsid w:val="00592EC6"/>
    <w:rsid w:val="0059393F"/>
    <w:rsid w:val="00595A0C"/>
    <w:rsid w:val="00597C41"/>
    <w:rsid w:val="005A0D41"/>
    <w:rsid w:val="005A2EE7"/>
    <w:rsid w:val="005A59A0"/>
    <w:rsid w:val="005B07DF"/>
    <w:rsid w:val="005B0DB0"/>
    <w:rsid w:val="005B29FA"/>
    <w:rsid w:val="005B3671"/>
    <w:rsid w:val="005B5A39"/>
    <w:rsid w:val="005B67E4"/>
    <w:rsid w:val="005C05C0"/>
    <w:rsid w:val="005C1669"/>
    <w:rsid w:val="005C2A2A"/>
    <w:rsid w:val="005C4285"/>
    <w:rsid w:val="005C539C"/>
    <w:rsid w:val="005C691A"/>
    <w:rsid w:val="005D006E"/>
    <w:rsid w:val="005D0BB7"/>
    <w:rsid w:val="005D2A1C"/>
    <w:rsid w:val="005D4AA1"/>
    <w:rsid w:val="005D607E"/>
    <w:rsid w:val="005D75C9"/>
    <w:rsid w:val="005E03BB"/>
    <w:rsid w:val="005E12E3"/>
    <w:rsid w:val="005E31E2"/>
    <w:rsid w:val="005E371D"/>
    <w:rsid w:val="005E4CE4"/>
    <w:rsid w:val="005E59FF"/>
    <w:rsid w:val="005E767C"/>
    <w:rsid w:val="005F05DB"/>
    <w:rsid w:val="005F3C37"/>
    <w:rsid w:val="005F5A28"/>
    <w:rsid w:val="005F60ED"/>
    <w:rsid w:val="005F6C0A"/>
    <w:rsid w:val="00600E52"/>
    <w:rsid w:val="0060107E"/>
    <w:rsid w:val="0060283E"/>
    <w:rsid w:val="006045C8"/>
    <w:rsid w:val="00606FC0"/>
    <w:rsid w:val="00607BF1"/>
    <w:rsid w:val="00610962"/>
    <w:rsid w:val="006121EC"/>
    <w:rsid w:val="00612EE0"/>
    <w:rsid w:val="006131B3"/>
    <w:rsid w:val="00613BEB"/>
    <w:rsid w:val="00615ACC"/>
    <w:rsid w:val="00617894"/>
    <w:rsid w:val="00617B4A"/>
    <w:rsid w:val="00622184"/>
    <w:rsid w:val="00623B57"/>
    <w:rsid w:val="006242CD"/>
    <w:rsid w:val="0062447C"/>
    <w:rsid w:val="00625494"/>
    <w:rsid w:val="00630D4D"/>
    <w:rsid w:val="006315F9"/>
    <w:rsid w:val="00632A74"/>
    <w:rsid w:val="00633843"/>
    <w:rsid w:val="006413DD"/>
    <w:rsid w:val="00641401"/>
    <w:rsid w:val="006414C6"/>
    <w:rsid w:val="0064201C"/>
    <w:rsid w:val="006420EA"/>
    <w:rsid w:val="0064395F"/>
    <w:rsid w:val="006460EB"/>
    <w:rsid w:val="00650809"/>
    <w:rsid w:val="00651721"/>
    <w:rsid w:val="006530F9"/>
    <w:rsid w:val="00653CF8"/>
    <w:rsid w:val="00656A11"/>
    <w:rsid w:val="006616CF"/>
    <w:rsid w:val="0066173A"/>
    <w:rsid w:val="006618E8"/>
    <w:rsid w:val="006627C3"/>
    <w:rsid w:val="00666525"/>
    <w:rsid w:val="00667F84"/>
    <w:rsid w:val="00671752"/>
    <w:rsid w:val="00672E2A"/>
    <w:rsid w:val="00675FAA"/>
    <w:rsid w:val="00684453"/>
    <w:rsid w:val="00684D45"/>
    <w:rsid w:val="00686DE5"/>
    <w:rsid w:val="00687164"/>
    <w:rsid w:val="00687DCC"/>
    <w:rsid w:val="006933A6"/>
    <w:rsid w:val="00696430"/>
    <w:rsid w:val="006A2834"/>
    <w:rsid w:val="006A4655"/>
    <w:rsid w:val="006A5AB5"/>
    <w:rsid w:val="006A6DD5"/>
    <w:rsid w:val="006A731F"/>
    <w:rsid w:val="006B03DC"/>
    <w:rsid w:val="006B0582"/>
    <w:rsid w:val="006B2351"/>
    <w:rsid w:val="006B2B3C"/>
    <w:rsid w:val="006B35E5"/>
    <w:rsid w:val="006B3802"/>
    <w:rsid w:val="006B63B5"/>
    <w:rsid w:val="006B6925"/>
    <w:rsid w:val="006C1434"/>
    <w:rsid w:val="006C14E6"/>
    <w:rsid w:val="006C2559"/>
    <w:rsid w:val="006C27D1"/>
    <w:rsid w:val="006C3993"/>
    <w:rsid w:val="006C3BD0"/>
    <w:rsid w:val="006C4195"/>
    <w:rsid w:val="006C579C"/>
    <w:rsid w:val="006C7038"/>
    <w:rsid w:val="006C7834"/>
    <w:rsid w:val="006D0BAB"/>
    <w:rsid w:val="006D1EA4"/>
    <w:rsid w:val="006D2F6A"/>
    <w:rsid w:val="006D3DD3"/>
    <w:rsid w:val="006D409B"/>
    <w:rsid w:val="006D418A"/>
    <w:rsid w:val="006D484B"/>
    <w:rsid w:val="006D5807"/>
    <w:rsid w:val="006D77DD"/>
    <w:rsid w:val="006E0CBE"/>
    <w:rsid w:val="006E0D1E"/>
    <w:rsid w:val="006E40AC"/>
    <w:rsid w:val="006E73EF"/>
    <w:rsid w:val="006E7590"/>
    <w:rsid w:val="006E7F32"/>
    <w:rsid w:val="006F0D35"/>
    <w:rsid w:val="006F1E74"/>
    <w:rsid w:val="006F30D0"/>
    <w:rsid w:val="006F5490"/>
    <w:rsid w:val="006F5D29"/>
    <w:rsid w:val="006F7AB1"/>
    <w:rsid w:val="00700A67"/>
    <w:rsid w:val="00700C1B"/>
    <w:rsid w:val="00702F2D"/>
    <w:rsid w:val="00703EB8"/>
    <w:rsid w:val="007046EE"/>
    <w:rsid w:val="0070552C"/>
    <w:rsid w:val="00706045"/>
    <w:rsid w:val="0070753D"/>
    <w:rsid w:val="007136A7"/>
    <w:rsid w:val="00713DD2"/>
    <w:rsid w:val="00714D4D"/>
    <w:rsid w:val="00715E2D"/>
    <w:rsid w:val="00715E8C"/>
    <w:rsid w:val="0071678E"/>
    <w:rsid w:val="00716E94"/>
    <w:rsid w:val="00717EB3"/>
    <w:rsid w:val="0072191D"/>
    <w:rsid w:val="00722531"/>
    <w:rsid w:val="0072329B"/>
    <w:rsid w:val="007249FB"/>
    <w:rsid w:val="00724A07"/>
    <w:rsid w:val="0072519E"/>
    <w:rsid w:val="00725BED"/>
    <w:rsid w:val="00725CFC"/>
    <w:rsid w:val="0072647D"/>
    <w:rsid w:val="007279E6"/>
    <w:rsid w:val="00727F91"/>
    <w:rsid w:val="00731095"/>
    <w:rsid w:val="00731995"/>
    <w:rsid w:val="00732A3E"/>
    <w:rsid w:val="00732D04"/>
    <w:rsid w:val="00732F2D"/>
    <w:rsid w:val="00733F78"/>
    <w:rsid w:val="00735F92"/>
    <w:rsid w:val="00736D24"/>
    <w:rsid w:val="00745C50"/>
    <w:rsid w:val="00746591"/>
    <w:rsid w:val="00750348"/>
    <w:rsid w:val="0075116F"/>
    <w:rsid w:val="007518DD"/>
    <w:rsid w:val="00753126"/>
    <w:rsid w:val="00755FA3"/>
    <w:rsid w:val="00756331"/>
    <w:rsid w:val="007579C3"/>
    <w:rsid w:val="007602D4"/>
    <w:rsid w:val="007604BB"/>
    <w:rsid w:val="007606F7"/>
    <w:rsid w:val="00761E74"/>
    <w:rsid w:val="007626A8"/>
    <w:rsid w:val="00763542"/>
    <w:rsid w:val="00764A68"/>
    <w:rsid w:val="00765759"/>
    <w:rsid w:val="007668CD"/>
    <w:rsid w:val="00771562"/>
    <w:rsid w:val="00771B74"/>
    <w:rsid w:val="00772CE4"/>
    <w:rsid w:val="00773C8C"/>
    <w:rsid w:val="00774371"/>
    <w:rsid w:val="00774591"/>
    <w:rsid w:val="007760B0"/>
    <w:rsid w:val="007828EE"/>
    <w:rsid w:val="0078312C"/>
    <w:rsid w:val="007851A2"/>
    <w:rsid w:val="00785232"/>
    <w:rsid w:val="007852FB"/>
    <w:rsid w:val="00787D65"/>
    <w:rsid w:val="007908BE"/>
    <w:rsid w:val="00791C7D"/>
    <w:rsid w:val="00791F17"/>
    <w:rsid w:val="00793D7B"/>
    <w:rsid w:val="00796D54"/>
    <w:rsid w:val="007A0322"/>
    <w:rsid w:val="007A1835"/>
    <w:rsid w:val="007A18EF"/>
    <w:rsid w:val="007A21EB"/>
    <w:rsid w:val="007A25C6"/>
    <w:rsid w:val="007A34DD"/>
    <w:rsid w:val="007A4819"/>
    <w:rsid w:val="007A5083"/>
    <w:rsid w:val="007A52FF"/>
    <w:rsid w:val="007A68B3"/>
    <w:rsid w:val="007A6EFE"/>
    <w:rsid w:val="007A7A5F"/>
    <w:rsid w:val="007B6339"/>
    <w:rsid w:val="007C056A"/>
    <w:rsid w:val="007C1B92"/>
    <w:rsid w:val="007C3216"/>
    <w:rsid w:val="007C36C9"/>
    <w:rsid w:val="007C3A5D"/>
    <w:rsid w:val="007C51FE"/>
    <w:rsid w:val="007C5FD9"/>
    <w:rsid w:val="007D0349"/>
    <w:rsid w:val="007D12AE"/>
    <w:rsid w:val="007D2A93"/>
    <w:rsid w:val="007D524E"/>
    <w:rsid w:val="007D5FD4"/>
    <w:rsid w:val="007D6192"/>
    <w:rsid w:val="007D7AFE"/>
    <w:rsid w:val="007E01E4"/>
    <w:rsid w:val="007E01F3"/>
    <w:rsid w:val="007E01FC"/>
    <w:rsid w:val="007E216A"/>
    <w:rsid w:val="007E25D2"/>
    <w:rsid w:val="007E2945"/>
    <w:rsid w:val="007E2DC9"/>
    <w:rsid w:val="007E6DA2"/>
    <w:rsid w:val="007E6DB2"/>
    <w:rsid w:val="007F0D75"/>
    <w:rsid w:val="007F4533"/>
    <w:rsid w:val="007F47EB"/>
    <w:rsid w:val="007F592E"/>
    <w:rsid w:val="007F6584"/>
    <w:rsid w:val="007F67F8"/>
    <w:rsid w:val="007F6919"/>
    <w:rsid w:val="007F6FD5"/>
    <w:rsid w:val="007F7107"/>
    <w:rsid w:val="007F7A1F"/>
    <w:rsid w:val="00800100"/>
    <w:rsid w:val="00804102"/>
    <w:rsid w:val="00804289"/>
    <w:rsid w:val="00806814"/>
    <w:rsid w:val="00807F09"/>
    <w:rsid w:val="00807FA5"/>
    <w:rsid w:val="0081030F"/>
    <w:rsid w:val="00811124"/>
    <w:rsid w:val="00811697"/>
    <w:rsid w:val="00811D2D"/>
    <w:rsid w:val="00812CA5"/>
    <w:rsid w:val="00813CFA"/>
    <w:rsid w:val="00813EC1"/>
    <w:rsid w:val="00815323"/>
    <w:rsid w:val="00815C7D"/>
    <w:rsid w:val="00817201"/>
    <w:rsid w:val="0082087D"/>
    <w:rsid w:val="00821379"/>
    <w:rsid w:val="0082164F"/>
    <w:rsid w:val="00821C91"/>
    <w:rsid w:val="008231D3"/>
    <w:rsid w:val="008231F9"/>
    <w:rsid w:val="00823B5F"/>
    <w:rsid w:val="00824DCB"/>
    <w:rsid w:val="00825E75"/>
    <w:rsid w:val="0082644B"/>
    <w:rsid w:val="00827E32"/>
    <w:rsid w:val="00831179"/>
    <w:rsid w:val="0083166A"/>
    <w:rsid w:val="00831A5B"/>
    <w:rsid w:val="008335A0"/>
    <w:rsid w:val="00834C5D"/>
    <w:rsid w:val="008360A5"/>
    <w:rsid w:val="00841067"/>
    <w:rsid w:val="00841343"/>
    <w:rsid w:val="008414C7"/>
    <w:rsid w:val="008415BD"/>
    <w:rsid w:val="00842933"/>
    <w:rsid w:val="00844C35"/>
    <w:rsid w:val="00846142"/>
    <w:rsid w:val="0084639F"/>
    <w:rsid w:val="0084761B"/>
    <w:rsid w:val="008476D9"/>
    <w:rsid w:val="00847B93"/>
    <w:rsid w:val="008518DA"/>
    <w:rsid w:val="00852D3A"/>
    <w:rsid w:val="00853C13"/>
    <w:rsid w:val="0085415C"/>
    <w:rsid w:val="0085425D"/>
    <w:rsid w:val="00855AAE"/>
    <w:rsid w:val="008570F6"/>
    <w:rsid w:val="00860162"/>
    <w:rsid w:val="0086082C"/>
    <w:rsid w:val="00861141"/>
    <w:rsid w:val="008627BE"/>
    <w:rsid w:val="0086287E"/>
    <w:rsid w:val="00864AC0"/>
    <w:rsid w:val="00864ADC"/>
    <w:rsid w:val="00867CA1"/>
    <w:rsid w:val="00867CAB"/>
    <w:rsid w:val="00871DE2"/>
    <w:rsid w:val="00872828"/>
    <w:rsid w:val="00872CBF"/>
    <w:rsid w:val="00873039"/>
    <w:rsid w:val="0087374A"/>
    <w:rsid w:val="00874374"/>
    <w:rsid w:val="00874439"/>
    <w:rsid w:val="00875721"/>
    <w:rsid w:val="00877534"/>
    <w:rsid w:val="008776DB"/>
    <w:rsid w:val="00877AB4"/>
    <w:rsid w:val="00880153"/>
    <w:rsid w:val="008809AF"/>
    <w:rsid w:val="00880F97"/>
    <w:rsid w:val="0088133A"/>
    <w:rsid w:val="00884183"/>
    <w:rsid w:val="0088487B"/>
    <w:rsid w:val="008864C2"/>
    <w:rsid w:val="00886B07"/>
    <w:rsid w:val="00890AD8"/>
    <w:rsid w:val="0089285E"/>
    <w:rsid w:val="0089327A"/>
    <w:rsid w:val="00893787"/>
    <w:rsid w:val="0089436C"/>
    <w:rsid w:val="008959B4"/>
    <w:rsid w:val="0089757A"/>
    <w:rsid w:val="008A0CB8"/>
    <w:rsid w:val="008A3207"/>
    <w:rsid w:val="008A3466"/>
    <w:rsid w:val="008A51F1"/>
    <w:rsid w:val="008A5F2F"/>
    <w:rsid w:val="008B07EF"/>
    <w:rsid w:val="008B1852"/>
    <w:rsid w:val="008B392A"/>
    <w:rsid w:val="008B4286"/>
    <w:rsid w:val="008B66F5"/>
    <w:rsid w:val="008B6A1A"/>
    <w:rsid w:val="008B760C"/>
    <w:rsid w:val="008C16B8"/>
    <w:rsid w:val="008C1FA9"/>
    <w:rsid w:val="008C26D7"/>
    <w:rsid w:val="008C2CFD"/>
    <w:rsid w:val="008C4792"/>
    <w:rsid w:val="008C7844"/>
    <w:rsid w:val="008D049C"/>
    <w:rsid w:val="008D1156"/>
    <w:rsid w:val="008D123A"/>
    <w:rsid w:val="008D3306"/>
    <w:rsid w:val="008D365C"/>
    <w:rsid w:val="008D4205"/>
    <w:rsid w:val="008D54C5"/>
    <w:rsid w:val="008D5740"/>
    <w:rsid w:val="008D5D0D"/>
    <w:rsid w:val="008D60AD"/>
    <w:rsid w:val="008D641F"/>
    <w:rsid w:val="008D6D43"/>
    <w:rsid w:val="008D6E74"/>
    <w:rsid w:val="008D78B4"/>
    <w:rsid w:val="008D78E9"/>
    <w:rsid w:val="008D7EFE"/>
    <w:rsid w:val="008E41A1"/>
    <w:rsid w:val="008E6786"/>
    <w:rsid w:val="008F031B"/>
    <w:rsid w:val="008F094A"/>
    <w:rsid w:val="008F5813"/>
    <w:rsid w:val="009003B1"/>
    <w:rsid w:val="00900C9C"/>
    <w:rsid w:val="009015D8"/>
    <w:rsid w:val="00901757"/>
    <w:rsid w:val="00901E85"/>
    <w:rsid w:val="009030BF"/>
    <w:rsid w:val="009037DE"/>
    <w:rsid w:val="00904D65"/>
    <w:rsid w:val="00904DA6"/>
    <w:rsid w:val="009052ED"/>
    <w:rsid w:val="009064AA"/>
    <w:rsid w:val="00906D52"/>
    <w:rsid w:val="00906F0D"/>
    <w:rsid w:val="00910491"/>
    <w:rsid w:val="0091150F"/>
    <w:rsid w:val="00911A18"/>
    <w:rsid w:val="00914368"/>
    <w:rsid w:val="0091563F"/>
    <w:rsid w:val="009157A4"/>
    <w:rsid w:val="00915B03"/>
    <w:rsid w:val="00916015"/>
    <w:rsid w:val="00917561"/>
    <w:rsid w:val="0092206E"/>
    <w:rsid w:val="0092225E"/>
    <w:rsid w:val="0092249A"/>
    <w:rsid w:val="00922C23"/>
    <w:rsid w:val="00931076"/>
    <w:rsid w:val="00932359"/>
    <w:rsid w:val="00934192"/>
    <w:rsid w:val="009345D9"/>
    <w:rsid w:val="00934B15"/>
    <w:rsid w:val="00935D04"/>
    <w:rsid w:val="009366D8"/>
    <w:rsid w:val="009370A4"/>
    <w:rsid w:val="00937913"/>
    <w:rsid w:val="0094055E"/>
    <w:rsid w:val="00941DB2"/>
    <w:rsid w:val="00942B62"/>
    <w:rsid w:val="0094302C"/>
    <w:rsid w:val="00943A41"/>
    <w:rsid w:val="00944351"/>
    <w:rsid w:val="00945BAF"/>
    <w:rsid w:val="009506C3"/>
    <w:rsid w:val="00950B60"/>
    <w:rsid w:val="009516C3"/>
    <w:rsid w:val="00952059"/>
    <w:rsid w:val="0095384E"/>
    <w:rsid w:val="00953D68"/>
    <w:rsid w:val="00954406"/>
    <w:rsid w:val="00954FBE"/>
    <w:rsid w:val="00956A0C"/>
    <w:rsid w:val="00956BD9"/>
    <w:rsid w:val="00957D24"/>
    <w:rsid w:val="0096115C"/>
    <w:rsid w:val="0096148F"/>
    <w:rsid w:val="00961CD9"/>
    <w:rsid w:val="00962489"/>
    <w:rsid w:val="0096360D"/>
    <w:rsid w:val="00963DC5"/>
    <w:rsid w:val="00965EE2"/>
    <w:rsid w:val="00965F16"/>
    <w:rsid w:val="009664F7"/>
    <w:rsid w:val="00966906"/>
    <w:rsid w:val="00967A1F"/>
    <w:rsid w:val="00970174"/>
    <w:rsid w:val="00971C27"/>
    <w:rsid w:val="00973D78"/>
    <w:rsid w:val="00974195"/>
    <w:rsid w:val="009764E1"/>
    <w:rsid w:val="009766AF"/>
    <w:rsid w:val="0098383A"/>
    <w:rsid w:val="00983F6A"/>
    <w:rsid w:val="00985566"/>
    <w:rsid w:val="00985AEF"/>
    <w:rsid w:val="00985CA6"/>
    <w:rsid w:val="00987A5A"/>
    <w:rsid w:val="00990C2C"/>
    <w:rsid w:val="00990FBC"/>
    <w:rsid w:val="00991C12"/>
    <w:rsid w:val="009921B0"/>
    <w:rsid w:val="00993BF9"/>
    <w:rsid w:val="00993EFC"/>
    <w:rsid w:val="009949F2"/>
    <w:rsid w:val="0099500B"/>
    <w:rsid w:val="00995A7F"/>
    <w:rsid w:val="009A0AA3"/>
    <w:rsid w:val="009A0B38"/>
    <w:rsid w:val="009A0C39"/>
    <w:rsid w:val="009A0F13"/>
    <w:rsid w:val="009A1525"/>
    <w:rsid w:val="009A33BB"/>
    <w:rsid w:val="009A3B94"/>
    <w:rsid w:val="009A4A72"/>
    <w:rsid w:val="009A4E33"/>
    <w:rsid w:val="009A5855"/>
    <w:rsid w:val="009A5868"/>
    <w:rsid w:val="009A7E1B"/>
    <w:rsid w:val="009B01C1"/>
    <w:rsid w:val="009B25AE"/>
    <w:rsid w:val="009B27C9"/>
    <w:rsid w:val="009B37CB"/>
    <w:rsid w:val="009B5623"/>
    <w:rsid w:val="009B6B60"/>
    <w:rsid w:val="009B6FC2"/>
    <w:rsid w:val="009B78C2"/>
    <w:rsid w:val="009C0EE0"/>
    <w:rsid w:val="009C2AD2"/>
    <w:rsid w:val="009C6A61"/>
    <w:rsid w:val="009C6A81"/>
    <w:rsid w:val="009C6ACB"/>
    <w:rsid w:val="009D03E3"/>
    <w:rsid w:val="009D0CF5"/>
    <w:rsid w:val="009D1BC2"/>
    <w:rsid w:val="009D2B5C"/>
    <w:rsid w:val="009D6019"/>
    <w:rsid w:val="009D6A03"/>
    <w:rsid w:val="009E0152"/>
    <w:rsid w:val="009E1317"/>
    <w:rsid w:val="009E374A"/>
    <w:rsid w:val="009E3B8F"/>
    <w:rsid w:val="009E40FE"/>
    <w:rsid w:val="009E62F6"/>
    <w:rsid w:val="009E7F68"/>
    <w:rsid w:val="009F0260"/>
    <w:rsid w:val="009F167A"/>
    <w:rsid w:val="009F2D0A"/>
    <w:rsid w:val="009F2E42"/>
    <w:rsid w:val="009F2EFD"/>
    <w:rsid w:val="009F3BDC"/>
    <w:rsid w:val="009F5C5E"/>
    <w:rsid w:val="009F696D"/>
    <w:rsid w:val="009F6BC6"/>
    <w:rsid w:val="00A01577"/>
    <w:rsid w:val="00A05926"/>
    <w:rsid w:val="00A07C70"/>
    <w:rsid w:val="00A1068B"/>
    <w:rsid w:val="00A10EB0"/>
    <w:rsid w:val="00A14072"/>
    <w:rsid w:val="00A14D35"/>
    <w:rsid w:val="00A1566E"/>
    <w:rsid w:val="00A15E90"/>
    <w:rsid w:val="00A162A7"/>
    <w:rsid w:val="00A163B3"/>
    <w:rsid w:val="00A16E62"/>
    <w:rsid w:val="00A16EAF"/>
    <w:rsid w:val="00A17328"/>
    <w:rsid w:val="00A1743D"/>
    <w:rsid w:val="00A17774"/>
    <w:rsid w:val="00A2151C"/>
    <w:rsid w:val="00A217DC"/>
    <w:rsid w:val="00A22E64"/>
    <w:rsid w:val="00A23A20"/>
    <w:rsid w:val="00A23FAD"/>
    <w:rsid w:val="00A24422"/>
    <w:rsid w:val="00A268B9"/>
    <w:rsid w:val="00A26C79"/>
    <w:rsid w:val="00A26E73"/>
    <w:rsid w:val="00A2703A"/>
    <w:rsid w:val="00A327B4"/>
    <w:rsid w:val="00A33DFF"/>
    <w:rsid w:val="00A33F3F"/>
    <w:rsid w:val="00A35115"/>
    <w:rsid w:val="00A36E04"/>
    <w:rsid w:val="00A4403E"/>
    <w:rsid w:val="00A44587"/>
    <w:rsid w:val="00A4649A"/>
    <w:rsid w:val="00A473B0"/>
    <w:rsid w:val="00A50096"/>
    <w:rsid w:val="00A50E57"/>
    <w:rsid w:val="00A52408"/>
    <w:rsid w:val="00A52A6A"/>
    <w:rsid w:val="00A554AB"/>
    <w:rsid w:val="00A55B26"/>
    <w:rsid w:val="00A55D1F"/>
    <w:rsid w:val="00A57DDD"/>
    <w:rsid w:val="00A57DEA"/>
    <w:rsid w:val="00A62567"/>
    <w:rsid w:val="00A625D7"/>
    <w:rsid w:val="00A62733"/>
    <w:rsid w:val="00A6543C"/>
    <w:rsid w:val="00A65B44"/>
    <w:rsid w:val="00A65B46"/>
    <w:rsid w:val="00A65D58"/>
    <w:rsid w:val="00A70D97"/>
    <w:rsid w:val="00A71C95"/>
    <w:rsid w:val="00A73A05"/>
    <w:rsid w:val="00A740E1"/>
    <w:rsid w:val="00A756FA"/>
    <w:rsid w:val="00A75CDB"/>
    <w:rsid w:val="00A763D5"/>
    <w:rsid w:val="00A76B8A"/>
    <w:rsid w:val="00A7704E"/>
    <w:rsid w:val="00A77E8F"/>
    <w:rsid w:val="00A808D7"/>
    <w:rsid w:val="00A80978"/>
    <w:rsid w:val="00A80A0B"/>
    <w:rsid w:val="00A82142"/>
    <w:rsid w:val="00A8405E"/>
    <w:rsid w:val="00A852F5"/>
    <w:rsid w:val="00A85EDC"/>
    <w:rsid w:val="00A864E0"/>
    <w:rsid w:val="00A87935"/>
    <w:rsid w:val="00A913FC"/>
    <w:rsid w:val="00A92B53"/>
    <w:rsid w:val="00A92BCC"/>
    <w:rsid w:val="00A946D7"/>
    <w:rsid w:val="00A94887"/>
    <w:rsid w:val="00A94FA6"/>
    <w:rsid w:val="00AA0689"/>
    <w:rsid w:val="00AA18C2"/>
    <w:rsid w:val="00AA311C"/>
    <w:rsid w:val="00AA3506"/>
    <w:rsid w:val="00AA49A0"/>
    <w:rsid w:val="00AA63A9"/>
    <w:rsid w:val="00AA654D"/>
    <w:rsid w:val="00AA6710"/>
    <w:rsid w:val="00AA68C1"/>
    <w:rsid w:val="00AA6A5D"/>
    <w:rsid w:val="00AB0681"/>
    <w:rsid w:val="00AB11F1"/>
    <w:rsid w:val="00AB644A"/>
    <w:rsid w:val="00AB6465"/>
    <w:rsid w:val="00AB6614"/>
    <w:rsid w:val="00AB6DF3"/>
    <w:rsid w:val="00AC0AC3"/>
    <w:rsid w:val="00AC0DF1"/>
    <w:rsid w:val="00AC1342"/>
    <w:rsid w:val="00AC24DC"/>
    <w:rsid w:val="00AC355D"/>
    <w:rsid w:val="00AD0469"/>
    <w:rsid w:val="00AD09A1"/>
    <w:rsid w:val="00AD1D8B"/>
    <w:rsid w:val="00AD2CC2"/>
    <w:rsid w:val="00AD3D97"/>
    <w:rsid w:val="00AD484D"/>
    <w:rsid w:val="00AD4852"/>
    <w:rsid w:val="00AD4B06"/>
    <w:rsid w:val="00AD6ED1"/>
    <w:rsid w:val="00AD73F1"/>
    <w:rsid w:val="00AE0CFA"/>
    <w:rsid w:val="00AE0D71"/>
    <w:rsid w:val="00AE14D9"/>
    <w:rsid w:val="00AE3A3D"/>
    <w:rsid w:val="00AE7C3A"/>
    <w:rsid w:val="00AF0B07"/>
    <w:rsid w:val="00AF10CA"/>
    <w:rsid w:val="00AF19D8"/>
    <w:rsid w:val="00AF2246"/>
    <w:rsid w:val="00AF2253"/>
    <w:rsid w:val="00AF265C"/>
    <w:rsid w:val="00AF32BA"/>
    <w:rsid w:val="00AF63C4"/>
    <w:rsid w:val="00AF6D38"/>
    <w:rsid w:val="00B00283"/>
    <w:rsid w:val="00B0152F"/>
    <w:rsid w:val="00B02B0B"/>
    <w:rsid w:val="00B02EE5"/>
    <w:rsid w:val="00B06320"/>
    <w:rsid w:val="00B06731"/>
    <w:rsid w:val="00B06A60"/>
    <w:rsid w:val="00B0738E"/>
    <w:rsid w:val="00B07E93"/>
    <w:rsid w:val="00B10213"/>
    <w:rsid w:val="00B10D03"/>
    <w:rsid w:val="00B11700"/>
    <w:rsid w:val="00B12567"/>
    <w:rsid w:val="00B12EC5"/>
    <w:rsid w:val="00B13BA8"/>
    <w:rsid w:val="00B147C4"/>
    <w:rsid w:val="00B20AE7"/>
    <w:rsid w:val="00B2215F"/>
    <w:rsid w:val="00B22A96"/>
    <w:rsid w:val="00B2485C"/>
    <w:rsid w:val="00B24B97"/>
    <w:rsid w:val="00B2659D"/>
    <w:rsid w:val="00B270B3"/>
    <w:rsid w:val="00B274AB"/>
    <w:rsid w:val="00B30A03"/>
    <w:rsid w:val="00B315AC"/>
    <w:rsid w:val="00B320E5"/>
    <w:rsid w:val="00B3798F"/>
    <w:rsid w:val="00B4036C"/>
    <w:rsid w:val="00B40A9E"/>
    <w:rsid w:val="00B40B6B"/>
    <w:rsid w:val="00B439F4"/>
    <w:rsid w:val="00B43CAB"/>
    <w:rsid w:val="00B440AD"/>
    <w:rsid w:val="00B4485E"/>
    <w:rsid w:val="00B46468"/>
    <w:rsid w:val="00B503D8"/>
    <w:rsid w:val="00B5315D"/>
    <w:rsid w:val="00B53311"/>
    <w:rsid w:val="00B53E7E"/>
    <w:rsid w:val="00B54952"/>
    <w:rsid w:val="00B56FAF"/>
    <w:rsid w:val="00B5730E"/>
    <w:rsid w:val="00B60686"/>
    <w:rsid w:val="00B6182E"/>
    <w:rsid w:val="00B61931"/>
    <w:rsid w:val="00B6342E"/>
    <w:rsid w:val="00B63B12"/>
    <w:rsid w:val="00B65F8E"/>
    <w:rsid w:val="00B7113F"/>
    <w:rsid w:val="00B73552"/>
    <w:rsid w:val="00B760D4"/>
    <w:rsid w:val="00B77593"/>
    <w:rsid w:val="00B80439"/>
    <w:rsid w:val="00B8081C"/>
    <w:rsid w:val="00B815D1"/>
    <w:rsid w:val="00B81D80"/>
    <w:rsid w:val="00B85641"/>
    <w:rsid w:val="00B872F2"/>
    <w:rsid w:val="00B905BD"/>
    <w:rsid w:val="00B9120C"/>
    <w:rsid w:val="00B93428"/>
    <w:rsid w:val="00B936EF"/>
    <w:rsid w:val="00B93E97"/>
    <w:rsid w:val="00B95F55"/>
    <w:rsid w:val="00B9608B"/>
    <w:rsid w:val="00B966DB"/>
    <w:rsid w:val="00B9703B"/>
    <w:rsid w:val="00B9737E"/>
    <w:rsid w:val="00BA18A3"/>
    <w:rsid w:val="00BA2B90"/>
    <w:rsid w:val="00BA2F69"/>
    <w:rsid w:val="00BA4862"/>
    <w:rsid w:val="00BA73B6"/>
    <w:rsid w:val="00BB0462"/>
    <w:rsid w:val="00BB0773"/>
    <w:rsid w:val="00BB0D0C"/>
    <w:rsid w:val="00BB47C9"/>
    <w:rsid w:val="00BB4FCD"/>
    <w:rsid w:val="00BB51AB"/>
    <w:rsid w:val="00BB6636"/>
    <w:rsid w:val="00BB79A7"/>
    <w:rsid w:val="00BC56C1"/>
    <w:rsid w:val="00BC5C27"/>
    <w:rsid w:val="00BC6137"/>
    <w:rsid w:val="00BC6A11"/>
    <w:rsid w:val="00BD0106"/>
    <w:rsid w:val="00BD13EA"/>
    <w:rsid w:val="00BD2C5D"/>
    <w:rsid w:val="00BD3746"/>
    <w:rsid w:val="00BD5A50"/>
    <w:rsid w:val="00BD5D6E"/>
    <w:rsid w:val="00BD6767"/>
    <w:rsid w:val="00BD6C04"/>
    <w:rsid w:val="00BD721E"/>
    <w:rsid w:val="00BD7458"/>
    <w:rsid w:val="00BE2677"/>
    <w:rsid w:val="00BE3808"/>
    <w:rsid w:val="00BE5216"/>
    <w:rsid w:val="00BE626B"/>
    <w:rsid w:val="00BE7BA9"/>
    <w:rsid w:val="00BE7E23"/>
    <w:rsid w:val="00BF087C"/>
    <w:rsid w:val="00BF491E"/>
    <w:rsid w:val="00BF51B1"/>
    <w:rsid w:val="00BF648E"/>
    <w:rsid w:val="00BF6D7C"/>
    <w:rsid w:val="00BF7042"/>
    <w:rsid w:val="00C00AFB"/>
    <w:rsid w:val="00C01315"/>
    <w:rsid w:val="00C020BF"/>
    <w:rsid w:val="00C03EA2"/>
    <w:rsid w:val="00C049D3"/>
    <w:rsid w:val="00C062E9"/>
    <w:rsid w:val="00C078CA"/>
    <w:rsid w:val="00C07AA1"/>
    <w:rsid w:val="00C07B64"/>
    <w:rsid w:val="00C1196A"/>
    <w:rsid w:val="00C11E32"/>
    <w:rsid w:val="00C120A5"/>
    <w:rsid w:val="00C131F6"/>
    <w:rsid w:val="00C13721"/>
    <w:rsid w:val="00C1396C"/>
    <w:rsid w:val="00C144B3"/>
    <w:rsid w:val="00C15686"/>
    <w:rsid w:val="00C15CEE"/>
    <w:rsid w:val="00C16834"/>
    <w:rsid w:val="00C20F2F"/>
    <w:rsid w:val="00C22684"/>
    <w:rsid w:val="00C24908"/>
    <w:rsid w:val="00C25B1D"/>
    <w:rsid w:val="00C2733B"/>
    <w:rsid w:val="00C3066D"/>
    <w:rsid w:val="00C31F8A"/>
    <w:rsid w:val="00C3266C"/>
    <w:rsid w:val="00C34A3D"/>
    <w:rsid w:val="00C34B33"/>
    <w:rsid w:val="00C3569B"/>
    <w:rsid w:val="00C36EB3"/>
    <w:rsid w:val="00C37845"/>
    <w:rsid w:val="00C418DA"/>
    <w:rsid w:val="00C423B9"/>
    <w:rsid w:val="00C4380F"/>
    <w:rsid w:val="00C45887"/>
    <w:rsid w:val="00C46E14"/>
    <w:rsid w:val="00C47744"/>
    <w:rsid w:val="00C51819"/>
    <w:rsid w:val="00C5266E"/>
    <w:rsid w:val="00C52DFB"/>
    <w:rsid w:val="00C543F4"/>
    <w:rsid w:val="00C5471F"/>
    <w:rsid w:val="00C54A69"/>
    <w:rsid w:val="00C57FC9"/>
    <w:rsid w:val="00C61575"/>
    <w:rsid w:val="00C625CA"/>
    <w:rsid w:val="00C6291C"/>
    <w:rsid w:val="00C633CB"/>
    <w:rsid w:val="00C6455F"/>
    <w:rsid w:val="00C652DF"/>
    <w:rsid w:val="00C70A34"/>
    <w:rsid w:val="00C70CD6"/>
    <w:rsid w:val="00C70CDF"/>
    <w:rsid w:val="00C70DF0"/>
    <w:rsid w:val="00C71BA2"/>
    <w:rsid w:val="00C73281"/>
    <w:rsid w:val="00C739B2"/>
    <w:rsid w:val="00C749A0"/>
    <w:rsid w:val="00C74ACB"/>
    <w:rsid w:val="00C8162A"/>
    <w:rsid w:val="00C8294C"/>
    <w:rsid w:val="00C832CB"/>
    <w:rsid w:val="00C83ADA"/>
    <w:rsid w:val="00C83B08"/>
    <w:rsid w:val="00C842ED"/>
    <w:rsid w:val="00C85590"/>
    <w:rsid w:val="00C8762C"/>
    <w:rsid w:val="00C87C2F"/>
    <w:rsid w:val="00C907B7"/>
    <w:rsid w:val="00C9096B"/>
    <w:rsid w:val="00C91FA8"/>
    <w:rsid w:val="00C9250A"/>
    <w:rsid w:val="00C92ADB"/>
    <w:rsid w:val="00C9483E"/>
    <w:rsid w:val="00C959E2"/>
    <w:rsid w:val="00C96309"/>
    <w:rsid w:val="00C97A19"/>
    <w:rsid w:val="00C97BEF"/>
    <w:rsid w:val="00CA00F9"/>
    <w:rsid w:val="00CA0CB8"/>
    <w:rsid w:val="00CA0EE0"/>
    <w:rsid w:val="00CA2961"/>
    <w:rsid w:val="00CA2F95"/>
    <w:rsid w:val="00CA5A44"/>
    <w:rsid w:val="00CA66E0"/>
    <w:rsid w:val="00CA6B35"/>
    <w:rsid w:val="00CA733E"/>
    <w:rsid w:val="00CB008C"/>
    <w:rsid w:val="00CB0AE4"/>
    <w:rsid w:val="00CB198D"/>
    <w:rsid w:val="00CB45CA"/>
    <w:rsid w:val="00CB50D7"/>
    <w:rsid w:val="00CB5E4D"/>
    <w:rsid w:val="00CB62F5"/>
    <w:rsid w:val="00CB7177"/>
    <w:rsid w:val="00CC0F9D"/>
    <w:rsid w:val="00CC1998"/>
    <w:rsid w:val="00CC1AC0"/>
    <w:rsid w:val="00CC1F06"/>
    <w:rsid w:val="00CC32F4"/>
    <w:rsid w:val="00CC356C"/>
    <w:rsid w:val="00CC4946"/>
    <w:rsid w:val="00CC5B74"/>
    <w:rsid w:val="00CC5DC5"/>
    <w:rsid w:val="00CC70C2"/>
    <w:rsid w:val="00CD18DC"/>
    <w:rsid w:val="00CD37A5"/>
    <w:rsid w:val="00CD3A4E"/>
    <w:rsid w:val="00CD3D34"/>
    <w:rsid w:val="00CD4151"/>
    <w:rsid w:val="00CD4CC5"/>
    <w:rsid w:val="00CD5D94"/>
    <w:rsid w:val="00CE0E1D"/>
    <w:rsid w:val="00CE1210"/>
    <w:rsid w:val="00CE215C"/>
    <w:rsid w:val="00CE3901"/>
    <w:rsid w:val="00CE6BD2"/>
    <w:rsid w:val="00CE72DC"/>
    <w:rsid w:val="00CE7CF3"/>
    <w:rsid w:val="00CF02FE"/>
    <w:rsid w:val="00CF20C7"/>
    <w:rsid w:val="00CF53B9"/>
    <w:rsid w:val="00CF740A"/>
    <w:rsid w:val="00D01E56"/>
    <w:rsid w:val="00D02645"/>
    <w:rsid w:val="00D026BF"/>
    <w:rsid w:val="00D031F0"/>
    <w:rsid w:val="00D04382"/>
    <w:rsid w:val="00D056DC"/>
    <w:rsid w:val="00D05CC7"/>
    <w:rsid w:val="00D06687"/>
    <w:rsid w:val="00D07580"/>
    <w:rsid w:val="00D10A35"/>
    <w:rsid w:val="00D111FD"/>
    <w:rsid w:val="00D14EA6"/>
    <w:rsid w:val="00D155E0"/>
    <w:rsid w:val="00D15D9E"/>
    <w:rsid w:val="00D17873"/>
    <w:rsid w:val="00D178FF"/>
    <w:rsid w:val="00D20822"/>
    <w:rsid w:val="00D221A4"/>
    <w:rsid w:val="00D2368B"/>
    <w:rsid w:val="00D25DF7"/>
    <w:rsid w:val="00D270A4"/>
    <w:rsid w:val="00D304E0"/>
    <w:rsid w:val="00D31879"/>
    <w:rsid w:val="00D33CBC"/>
    <w:rsid w:val="00D34E1B"/>
    <w:rsid w:val="00D376BA"/>
    <w:rsid w:val="00D4060A"/>
    <w:rsid w:val="00D41538"/>
    <w:rsid w:val="00D42FE7"/>
    <w:rsid w:val="00D43889"/>
    <w:rsid w:val="00D43996"/>
    <w:rsid w:val="00D43E46"/>
    <w:rsid w:val="00D44F12"/>
    <w:rsid w:val="00D4727D"/>
    <w:rsid w:val="00D47790"/>
    <w:rsid w:val="00D5021E"/>
    <w:rsid w:val="00D50B65"/>
    <w:rsid w:val="00D5568A"/>
    <w:rsid w:val="00D558EB"/>
    <w:rsid w:val="00D5627E"/>
    <w:rsid w:val="00D567CF"/>
    <w:rsid w:val="00D56E3F"/>
    <w:rsid w:val="00D56E70"/>
    <w:rsid w:val="00D60230"/>
    <w:rsid w:val="00D60288"/>
    <w:rsid w:val="00D62C6C"/>
    <w:rsid w:val="00D632D7"/>
    <w:rsid w:val="00D63AAA"/>
    <w:rsid w:val="00D63D34"/>
    <w:rsid w:val="00D63D73"/>
    <w:rsid w:val="00D6648A"/>
    <w:rsid w:val="00D66E1E"/>
    <w:rsid w:val="00D675E0"/>
    <w:rsid w:val="00D70037"/>
    <w:rsid w:val="00D7078E"/>
    <w:rsid w:val="00D71130"/>
    <w:rsid w:val="00D75722"/>
    <w:rsid w:val="00D7597A"/>
    <w:rsid w:val="00D76F91"/>
    <w:rsid w:val="00D77544"/>
    <w:rsid w:val="00D81A12"/>
    <w:rsid w:val="00D81D8D"/>
    <w:rsid w:val="00D84D1D"/>
    <w:rsid w:val="00D85EA8"/>
    <w:rsid w:val="00D86CCB"/>
    <w:rsid w:val="00D87377"/>
    <w:rsid w:val="00D90BC1"/>
    <w:rsid w:val="00D919BA"/>
    <w:rsid w:val="00D92738"/>
    <w:rsid w:val="00D9280C"/>
    <w:rsid w:val="00D96D63"/>
    <w:rsid w:val="00D97D8D"/>
    <w:rsid w:val="00DA01A8"/>
    <w:rsid w:val="00DA0348"/>
    <w:rsid w:val="00DA06E5"/>
    <w:rsid w:val="00DA15FB"/>
    <w:rsid w:val="00DA1E94"/>
    <w:rsid w:val="00DA2D08"/>
    <w:rsid w:val="00DA30CC"/>
    <w:rsid w:val="00DA4676"/>
    <w:rsid w:val="00DA50BB"/>
    <w:rsid w:val="00DA5BBA"/>
    <w:rsid w:val="00DA5E5D"/>
    <w:rsid w:val="00DA7D25"/>
    <w:rsid w:val="00DB04D7"/>
    <w:rsid w:val="00DB1020"/>
    <w:rsid w:val="00DB127B"/>
    <w:rsid w:val="00DB1729"/>
    <w:rsid w:val="00DB67C9"/>
    <w:rsid w:val="00DB7814"/>
    <w:rsid w:val="00DB7F49"/>
    <w:rsid w:val="00DC0099"/>
    <w:rsid w:val="00DC0C95"/>
    <w:rsid w:val="00DC0F2B"/>
    <w:rsid w:val="00DC386E"/>
    <w:rsid w:val="00DC444A"/>
    <w:rsid w:val="00DC5FA0"/>
    <w:rsid w:val="00DC65AC"/>
    <w:rsid w:val="00DC685E"/>
    <w:rsid w:val="00DC709C"/>
    <w:rsid w:val="00DC7584"/>
    <w:rsid w:val="00DC7C37"/>
    <w:rsid w:val="00DD0ABC"/>
    <w:rsid w:val="00DD0AD6"/>
    <w:rsid w:val="00DD0D9E"/>
    <w:rsid w:val="00DD1507"/>
    <w:rsid w:val="00DD3974"/>
    <w:rsid w:val="00DD40CA"/>
    <w:rsid w:val="00DD55B3"/>
    <w:rsid w:val="00DD577B"/>
    <w:rsid w:val="00DD585A"/>
    <w:rsid w:val="00DD64F6"/>
    <w:rsid w:val="00DD6580"/>
    <w:rsid w:val="00DE04BA"/>
    <w:rsid w:val="00DE38A1"/>
    <w:rsid w:val="00DE3B9C"/>
    <w:rsid w:val="00DE3CA9"/>
    <w:rsid w:val="00DE6618"/>
    <w:rsid w:val="00DF13FD"/>
    <w:rsid w:val="00DF2594"/>
    <w:rsid w:val="00DF37A1"/>
    <w:rsid w:val="00DF3AA3"/>
    <w:rsid w:val="00DF40A2"/>
    <w:rsid w:val="00DF49AE"/>
    <w:rsid w:val="00E0011D"/>
    <w:rsid w:val="00E00475"/>
    <w:rsid w:val="00E0080B"/>
    <w:rsid w:val="00E01515"/>
    <w:rsid w:val="00E031DE"/>
    <w:rsid w:val="00E037A1"/>
    <w:rsid w:val="00E0459E"/>
    <w:rsid w:val="00E04D46"/>
    <w:rsid w:val="00E05B3C"/>
    <w:rsid w:val="00E06277"/>
    <w:rsid w:val="00E073DB"/>
    <w:rsid w:val="00E075E4"/>
    <w:rsid w:val="00E1000A"/>
    <w:rsid w:val="00E10A72"/>
    <w:rsid w:val="00E12842"/>
    <w:rsid w:val="00E14D1F"/>
    <w:rsid w:val="00E1589D"/>
    <w:rsid w:val="00E15D47"/>
    <w:rsid w:val="00E15EA6"/>
    <w:rsid w:val="00E1684A"/>
    <w:rsid w:val="00E1721A"/>
    <w:rsid w:val="00E17328"/>
    <w:rsid w:val="00E17C72"/>
    <w:rsid w:val="00E21B96"/>
    <w:rsid w:val="00E21FC6"/>
    <w:rsid w:val="00E2205C"/>
    <w:rsid w:val="00E2246B"/>
    <w:rsid w:val="00E23FFF"/>
    <w:rsid w:val="00E242DD"/>
    <w:rsid w:val="00E2432C"/>
    <w:rsid w:val="00E25151"/>
    <w:rsid w:val="00E2570B"/>
    <w:rsid w:val="00E257D1"/>
    <w:rsid w:val="00E2635C"/>
    <w:rsid w:val="00E269D6"/>
    <w:rsid w:val="00E2763A"/>
    <w:rsid w:val="00E3108E"/>
    <w:rsid w:val="00E32311"/>
    <w:rsid w:val="00E33927"/>
    <w:rsid w:val="00E34DAE"/>
    <w:rsid w:val="00E4048E"/>
    <w:rsid w:val="00E41A5F"/>
    <w:rsid w:val="00E45D3A"/>
    <w:rsid w:val="00E46BF2"/>
    <w:rsid w:val="00E50235"/>
    <w:rsid w:val="00E5553F"/>
    <w:rsid w:val="00E559C8"/>
    <w:rsid w:val="00E55F0A"/>
    <w:rsid w:val="00E569BF"/>
    <w:rsid w:val="00E56F9F"/>
    <w:rsid w:val="00E60C09"/>
    <w:rsid w:val="00E61658"/>
    <w:rsid w:val="00E6176D"/>
    <w:rsid w:val="00E64B52"/>
    <w:rsid w:val="00E64B79"/>
    <w:rsid w:val="00E65DE9"/>
    <w:rsid w:val="00E669E2"/>
    <w:rsid w:val="00E6771E"/>
    <w:rsid w:val="00E67FA3"/>
    <w:rsid w:val="00E70CFD"/>
    <w:rsid w:val="00E71081"/>
    <w:rsid w:val="00E71332"/>
    <w:rsid w:val="00E76135"/>
    <w:rsid w:val="00E77A31"/>
    <w:rsid w:val="00E80843"/>
    <w:rsid w:val="00E8242D"/>
    <w:rsid w:val="00E83C5B"/>
    <w:rsid w:val="00E85018"/>
    <w:rsid w:val="00E8542D"/>
    <w:rsid w:val="00E858F1"/>
    <w:rsid w:val="00E87D0B"/>
    <w:rsid w:val="00E9026C"/>
    <w:rsid w:val="00E902CD"/>
    <w:rsid w:val="00E9074E"/>
    <w:rsid w:val="00E907C1"/>
    <w:rsid w:val="00E938C4"/>
    <w:rsid w:val="00E9405C"/>
    <w:rsid w:val="00E94FFC"/>
    <w:rsid w:val="00EA001E"/>
    <w:rsid w:val="00EA0BF7"/>
    <w:rsid w:val="00EA1EDF"/>
    <w:rsid w:val="00EA293B"/>
    <w:rsid w:val="00EA4207"/>
    <w:rsid w:val="00EA4244"/>
    <w:rsid w:val="00EA4AE1"/>
    <w:rsid w:val="00EA6964"/>
    <w:rsid w:val="00EA69C0"/>
    <w:rsid w:val="00EA6A26"/>
    <w:rsid w:val="00EA735E"/>
    <w:rsid w:val="00EA7983"/>
    <w:rsid w:val="00EA7E10"/>
    <w:rsid w:val="00EB06DB"/>
    <w:rsid w:val="00EB3292"/>
    <w:rsid w:val="00EC0CB2"/>
    <w:rsid w:val="00EC19E4"/>
    <w:rsid w:val="00EC2844"/>
    <w:rsid w:val="00EC300A"/>
    <w:rsid w:val="00EC3766"/>
    <w:rsid w:val="00EC56DF"/>
    <w:rsid w:val="00EC5C90"/>
    <w:rsid w:val="00EC5CBB"/>
    <w:rsid w:val="00EC7E11"/>
    <w:rsid w:val="00ED0C36"/>
    <w:rsid w:val="00ED17E9"/>
    <w:rsid w:val="00ED31C0"/>
    <w:rsid w:val="00ED4313"/>
    <w:rsid w:val="00ED6E56"/>
    <w:rsid w:val="00ED7D21"/>
    <w:rsid w:val="00EE16F6"/>
    <w:rsid w:val="00EE1CC6"/>
    <w:rsid w:val="00EE42CD"/>
    <w:rsid w:val="00EE4AF4"/>
    <w:rsid w:val="00EE6E4E"/>
    <w:rsid w:val="00EF00E5"/>
    <w:rsid w:val="00EF2B9D"/>
    <w:rsid w:val="00EF2EE1"/>
    <w:rsid w:val="00EF482D"/>
    <w:rsid w:val="00EF61D5"/>
    <w:rsid w:val="00EF6565"/>
    <w:rsid w:val="00EF6A7D"/>
    <w:rsid w:val="00EF6C6C"/>
    <w:rsid w:val="00EF728B"/>
    <w:rsid w:val="00EF775D"/>
    <w:rsid w:val="00F00BB3"/>
    <w:rsid w:val="00F014B2"/>
    <w:rsid w:val="00F01DD5"/>
    <w:rsid w:val="00F020CD"/>
    <w:rsid w:val="00F03A11"/>
    <w:rsid w:val="00F04294"/>
    <w:rsid w:val="00F056FC"/>
    <w:rsid w:val="00F06E39"/>
    <w:rsid w:val="00F075ED"/>
    <w:rsid w:val="00F10476"/>
    <w:rsid w:val="00F10B6C"/>
    <w:rsid w:val="00F120AF"/>
    <w:rsid w:val="00F12394"/>
    <w:rsid w:val="00F12E2D"/>
    <w:rsid w:val="00F135D8"/>
    <w:rsid w:val="00F14736"/>
    <w:rsid w:val="00F15107"/>
    <w:rsid w:val="00F17559"/>
    <w:rsid w:val="00F17D0C"/>
    <w:rsid w:val="00F22FD5"/>
    <w:rsid w:val="00F232B5"/>
    <w:rsid w:val="00F242CA"/>
    <w:rsid w:val="00F2508A"/>
    <w:rsid w:val="00F26EAE"/>
    <w:rsid w:val="00F30657"/>
    <w:rsid w:val="00F306A6"/>
    <w:rsid w:val="00F30DAA"/>
    <w:rsid w:val="00F31299"/>
    <w:rsid w:val="00F33937"/>
    <w:rsid w:val="00F3421B"/>
    <w:rsid w:val="00F34557"/>
    <w:rsid w:val="00F3534A"/>
    <w:rsid w:val="00F379EA"/>
    <w:rsid w:val="00F42101"/>
    <w:rsid w:val="00F421EE"/>
    <w:rsid w:val="00F46C27"/>
    <w:rsid w:val="00F46C70"/>
    <w:rsid w:val="00F52282"/>
    <w:rsid w:val="00F56200"/>
    <w:rsid w:val="00F60F01"/>
    <w:rsid w:val="00F66FC7"/>
    <w:rsid w:val="00F72EA9"/>
    <w:rsid w:val="00F731F3"/>
    <w:rsid w:val="00F73633"/>
    <w:rsid w:val="00F75845"/>
    <w:rsid w:val="00F75B7B"/>
    <w:rsid w:val="00F7670B"/>
    <w:rsid w:val="00F76745"/>
    <w:rsid w:val="00F77FEE"/>
    <w:rsid w:val="00F80682"/>
    <w:rsid w:val="00F80D82"/>
    <w:rsid w:val="00F81D17"/>
    <w:rsid w:val="00F8404B"/>
    <w:rsid w:val="00F844B9"/>
    <w:rsid w:val="00F85085"/>
    <w:rsid w:val="00F85325"/>
    <w:rsid w:val="00F86082"/>
    <w:rsid w:val="00F867E5"/>
    <w:rsid w:val="00F869F6"/>
    <w:rsid w:val="00F87724"/>
    <w:rsid w:val="00F9048F"/>
    <w:rsid w:val="00F91616"/>
    <w:rsid w:val="00F91BC9"/>
    <w:rsid w:val="00F94274"/>
    <w:rsid w:val="00F953F8"/>
    <w:rsid w:val="00F95ACF"/>
    <w:rsid w:val="00F96DA9"/>
    <w:rsid w:val="00FA00F3"/>
    <w:rsid w:val="00FA1E26"/>
    <w:rsid w:val="00FA2272"/>
    <w:rsid w:val="00FA2DB3"/>
    <w:rsid w:val="00FA3DBA"/>
    <w:rsid w:val="00FA3EA0"/>
    <w:rsid w:val="00FA4290"/>
    <w:rsid w:val="00FA4728"/>
    <w:rsid w:val="00FA47D6"/>
    <w:rsid w:val="00FA6040"/>
    <w:rsid w:val="00FA762C"/>
    <w:rsid w:val="00FB1E5F"/>
    <w:rsid w:val="00FB23B2"/>
    <w:rsid w:val="00FB3590"/>
    <w:rsid w:val="00FB38BD"/>
    <w:rsid w:val="00FB4624"/>
    <w:rsid w:val="00FB6BF4"/>
    <w:rsid w:val="00FB6EB8"/>
    <w:rsid w:val="00FC0A31"/>
    <w:rsid w:val="00FC1DCF"/>
    <w:rsid w:val="00FC318B"/>
    <w:rsid w:val="00FC4EB1"/>
    <w:rsid w:val="00FC63A5"/>
    <w:rsid w:val="00FC785C"/>
    <w:rsid w:val="00FD01F8"/>
    <w:rsid w:val="00FD04A2"/>
    <w:rsid w:val="00FD0B36"/>
    <w:rsid w:val="00FD22B1"/>
    <w:rsid w:val="00FD2D09"/>
    <w:rsid w:val="00FD2FD9"/>
    <w:rsid w:val="00FD3192"/>
    <w:rsid w:val="00FD3408"/>
    <w:rsid w:val="00FD354B"/>
    <w:rsid w:val="00FD51FE"/>
    <w:rsid w:val="00FD722E"/>
    <w:rsid w:val="00FE034C"/>
    <w:rsid w:val="00FE1905"/>
    <w:rsid w:val="00FE23A1"/>
    <w:rsid w:val="00FE37A9"/>
    <w:rsid w:val="00FE4AF0"/>
    <w:rsid w:val="00FE4D28"/>
    <w:rsid w:val="00FE6230"/>
    <w:rsid w:val="00FE66B7"/>
    <w:rsid w:val="00FE680A"/>
    <w:rsid w:val="00FE713C"/>
    <w:rsid w:val="00FF2E2E"/>
    <w:rsid w:val="00FF6B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61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qFormat="1"/>
    <w:lsdException w:name="heading 5" w:qFormat="1"/>
    <w:lsdException w:name="Default Paragraph Font" w:uiPriority="1"/>
    <w:lsdException w:name="Body Text" w:qFormat="1"/>
    <w:lsdException w:name="Subtitle" w:qFormat="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9C2AD2"/>
    <w:rPr>
      <w:sz w:val="26"/>
      <w:szCs w:val="24"/>
    </w:rPr>
  </w:style>
  <w:style w:type="paragraph" w:styleId="Heading1">
    <w:name w:val="heading 1"/>
    <w:basedOn w:val="BodyText"/>
    <w:next w:val="BodyText"/>
    <w:link w:val="Heading1Char"/>
    <w:rsid w:val="009C2AD2"/>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9C2AD2"/>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9C2AD2"/>
    <w:pPr>
      <w:spacing w:before="560" w:line="320" w:lineRule="exact"/>
      <w:ind w:left="0" w:firstLine="0"/>
      <w:outlineLvl w:val="2"/>
    </w:pPr>
    <w:rPr>
      <w:sz w:val="26"/>
    </w:rPr>
  </w:style>
  <w:style w:type="paragraph" w:styleId="Heading4">
    <w:name w:val="heading 4"/>
    <w:basedOn w:val="Heading3"/>
    <w:next w:val="BodyText"/>
    <w:link w:val="Heading4Char"/>
    <w:qFormat/>
    <w:rsid w:val="009C2AD2"/>
    <w:pPr>
      <w:spacing w:before="480"/>
      <w:outlineLvl w:val="3"/>
    </w:pPr>
    <w:rPr>
      <w:b w:val="0"/>
      <w:i/>
      <w:sz w:val="24"/>
    </w:rPr>
  </w:style>
  <w:style w:type="paragraph" w:styleId="Heading5">
    <w:name w:val="heading 5"/>
    <w:basedOn w:val="Heading4"/>
    <w:next w:val="BodyText"/>
    <w:link w:val="Heading5Char"/>
    <w:qFormat/>
    <w:rsid w:val="009C2AD2"/>
    <w:pPr>
      <w:outlineLvl w:val="4"/>
    </w:pPr>
    <w:rPr>
      <w:rFonts w:ascii="Times New Roman" w:hAnsi="Times New Roman"/>
      <w:sz w:val="26"/>
    </w:rPr>
  </w:style>
  <w:style w:type="paragraph" w:styleId="Heading6">
    <w:name w:val="heading 6"/>
    <w:basedOn w:val="BodyText"/>
    <w:next w:val="BodyText"/>
    <w:link w:val="Heading6Char"/>
    <w:rsid w:val="009C2AD2"/>
    <w:pPr>
      <w:spacing w:after="60"/>
      <w:jc w:val="left"/>
      <w:outlineLvl w:val="5"/>
    </w:pPr>
    <w:rPr>
      <w:i/>
      <w:sz w:val="22"/>
    </w:rPr>
  </w:style>
  <w:style w:type="paragraph" w:styleId="Heading7">
    <w:name w:val="heading 7"/>
    <w:basedOn w:val="BodyText"/>
    <w:next w:val="BodyText"/>
    <w:link w:val="Heading7Char"/>
    <w:rsid w:val="009C2AD2"/>
    <w:pPr>
      <w:spacing w:after="60" w:line="240" w:lineRule="auto"/>
      <w:jc w:val="left"/>
      <w:outlineLvl w:val="6"/>
    </w:pPr>
    <w:rPr>
      <w:rFonts w:ascii="Arial" w:hAnsi="Arial"/>
      <w:sz w:val="20"/>
    </w:rPr>
  </w:style>
  <w:style w:type="paragraph" w:styleId="Heading8">
    <w:name w:val="heading 8"/>
    <w:basedOn w:val="BodyText"/>
    <w:next w:val="BodyText"/>
    <w:link w:val="Heading8Char"/>
    <w:rsid w:val="009C2AD2"/>
    <w:pPr>
      <w:spacing w:after="60" w:line="240" w:lineRule="auto"/>
      <w:jc w:val="left"/>
      <w:outlineLvl w:val="7"/>
    </w:pPr>
    <w:rPr>
      <w:rFonts w:ascii="Arial" w:hAnsi="Arial"/>
      <w:i/>
      <w:sz w:val="20"/>
    </w:rPr>
  </w:style>
  <w:style w:type="paragraph" w:styleId="Heading9">
    <w:name w:val="heading 9"/>
    <w:basedOn w:val="BodyText"/>
    <w:next w:val="BodyText"/>
    <w:link w:val="Heading9Char"/>
    <w:rsid w:val="009C2AD2"/>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rsid w:val="009C2AD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C2AD2"/>
  </w:style>
  <w:style w:type="paragraph" w:styleId="BodyText">
    <w:name w:val="Body Text"/>
    <w:link w:val="BodyTextChar"/>
    <w:qFormat/>
    <w:rsid w:val="009C2AD2"/>
    <w:pPr>
      <w:spacing w:before="240" w:line="320" w:lineRule="atLeast"/>
      <w:jc w:val="both"/>
    </w:pPr>
    <w:rPr>
      <w:sz w:val="26"/>
    </w:rPr>
  </w:style>
  <w:style w:type="paragraph" w:styleId="Footer">
    <w:name w:val="footer"/>
    <w:basedOn w:val="BodyText"/>
    <w:link w:val="FooterChar"/>
    <w:semiHidden/>
    <w:rsid w:val="009C2AD2"/>
    <w:pPr>
      <w:spacing w:before="80" w:line="200" w:lineRule="exact"/>
      <w:ind w:right="6"/>
      <w:jc w:val="left"/>
    </w:pPr>
    <w:rPr>
      <w:caps/>
      <w:spacing w:val="-4"/>
      <w:sz w:val="16"/>
    </w:rPr>
  </w:style>
  <w:style w:type="paragraph" w:customStyle="1" w:styleId="FooterEnd">
    <w:name w:val="Footer End"/>
    <w:basedOn w:val="Footer"/>
    <w:rsid w:val="009C2AD2"/>
    <w:pPr>
      <w:spacing w:before="0" w:line="20" w:lineRule="exact"/>
    </w:pPr>
  </w:style>
  <w:style w:type="paragraph" w:styleId="Header">
    <w:name w:val="header"/>
    <w:basedOn w:val="BodyText"/>
    <w:link w:val="HeaderChar"/>
    <w:rsid w:val="009C2AD2"/>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C2AD2"/>
    <w:pPr>
      <w:spacing w:line="20" w:lineRule="exact"/>
    </w:pPr>
    <w:rPr>
      <w:sz w:val="16"/>
    </w:rPr>
  </w:style>
  <w:style w:type="paragraph" w:customStyle="1" w:styleId="HeaderEven">
    <w:name w:val="Header Even"/>
    <w:basedOn w:val="Header"/>
    <w:semiHidden/>
    <w:rsid w:val="009C2AD2"/>
  </w:style>
  <w:style w:type="paragraph" w:customStyle="1" w:styleId="HeaderOdd">
    <w:name w:val="Header Odd"/>
    <w:basedOn w:val="Header"/>
    <w:semiHidden/>
    <w:rsid w:val="009C2AD2"/>
  </w:style>
  <w:style w:type="character" w:styleId="PageNumber">
    <w:name w:val="page number"/>
    <w:basedOn w:val="DefaultParagraphFont"/>
    <w:rsid w:val="009C2AD2"/>
    <w:rPr>
      <w:rFonts w:ascii="Arial" w:hAnsi="Arial"/>
      <w:b/>
      <w:sz w:val="16"/>
    </w:rPr>
  </w:style>
  <w:style w:type="paragraph" w:customStyle="1" w:styleId="Abbreviation">
    <w:name w:val="Abbreviation"/>
    <w:basedOn w:val="BodyText"/>
    <w:rsid w:val="009C2AD2"/>
    <w:pPr>
      <w:spacing w:before="120"/>
      <w:ind w:left="2381" w:hanging="2381"/>
      <w:jc w:val="left"/>
    </w:pPr>
  </w:style>
  <w:style w:type="paragraph" w:customStyle="1" w:styleId="Box">
    <w:name w:val="Box"/>
    <w:basedOn w:val="BodyText"/>
    <w:qFormat/>
    <w:rsid w:val="009C2AD2"/>
    <w:pPr>
      <w:keepNext/>
      <w:spacing w:before="120" w:line="280" w:lineRule="atLeast"/>
    </w:pPr>
    <w:rPr>
      <w:rFonts w:ascii="Arial" w:hAnsi="Arial"/>
      <w:sz w:val="22"/>
    </w:rPr>
  </w:style>
  <w:style w:type="paragraph" w:customStyle="1" w:styleId="BoxContinued">
    <w:name w:val="Box Continued"/>
    <w:basedOn w:val="BodyText"/>
    <w:next w:val="BodyText"/>
    <w:semiHidden/>
    <w:rsid w:val="009C2AD2"/>
    <w:pPr>
      <w:spacing w:before="180" w:line="220" w:lineRule="exact"/>
      <w:jc w:val="right"/>
    </w:pPr>
    <w:rPr>
      <w:rFonts w:ascii="Arial" w:hAnsi="Arial"/>
      <w:sz w:val="18"/>
    </w:rPr>
  </w:style>
  <w:style w:type="paragraph" w:customStyle="1" w:styleId="BoxHeading1">
    <w:name w:val="Box Heading 1"/>
    <w:basedOn w:val="BodyText"/>
    <w:next w:val="Box"/>
    <w:rsid w:val="009C2AD2"/>
    <w:pPr>
      <w:keepNext/>
      <w:spacing w:before="200" w:line="280" w:lineRule="atLeast"/>
    </w:pPr>
    <w:rPr>
      <w:rFonts w:ascii="Arial" w:hAnsi="Arial"/>
      <w:b/>
      <w:sz w:val="22"/>
    </w:rPr>
  </w:style>
  <w:style w:type="paragraph" w:customStyle="1" w:styleId="BoxHeading2">
    <w:name w:val="Box Heading 2"/>
    <w:basedOn w:val="BoxHeading1"/>
    <w:next w:val="Normal"/>
    <w:rsid w:val="009C2AD2"/>
    <w:rPr>
      <w:b w:val="0"/>
      <w:i/>
    </w:rPr>
  </w:style>
  <w:style w:type="paragraph" w:customStyle="1" w:styleId="BoxListBullet">
    <w:name w:val="Box List Bullet"/>
    <w:basedOn w:val="BodyText"/>
    <w:rsid w:val="009C2AD2"/>
    <w:pPr>
      <w:keepNext/>
      <w:numPr>
        <w:numId w:val="6"/>
      </w:numPr>
      <w:spacing w:before="60" w:line="280" w:lineRule="atLeast"/>
    </w:pPr>
    <w:rPr>
      <w:rFonts w:ascii="Arial" w:hAnsi="Arial"/>
      <w:sz w:val="22"/>
    </w:rPr>
  </w:style>
  <w:style w:type="paragraph" w:customStyle="1" w:styleId="BoxListBullet2">
    <w:name w:val="Box List Bullet 2"/>
    <w:basedOn w:val="BodyText"/>
    <w:rsid w:val="009C2AD2"/>
    <w:pPr>
      <w:keepNext/>
      <w:numPr>
        <w:numId w:val="1"/>
      </w:numPr>
      <w:spacing w:before="60" w:line="280" w:lineRule="atLeast"/>
    </w:pPr>
    <w:rPr>
      <w:rFonts w:ascii="Arial" w:hAnsi="Arial"/>
      <w:sz w:val="22"/>
    </w:rPr>
  </w:style>
  <w:style w:type="paragraph" w:customStyle="1" w:styleId="BoxListNumber">
    <w:name w:val="Box List Number"/>
    <w:basedOn w:val="BodyText"/>
    <w:rsid w:val="009C2AD2"/>
    <w:pPr>
      <w:keepNext/>
      <w:numPr>
        <w:numId w:val="9"/>
      </w:numPr>
      <w:spacing w:before="60" w:line="280" w:lineRule="atLeast"/>
    </w:pPr>
    <w:rPr>
      <w:rFonts w:ascii="Arial" w:hAnsi="Arial"/>
      <w:sz w:val="22"/>
    </w:rPr>
  </w:style>
  <w:style w:type="paragraph" w:customStyle="1" w:styleId="BoxListNumber2">
    <w:name w:val="Box List Number 2"/>
    <w:basedOn w:val="BoxListNumber"/>
    <w:rsid w:val="009C2AD2"/>
    <w:pPr>
      <w:numPr>
        <w:ilvl w:val="1"/>
      </w:numPr>
    </w:pPr>
  </w:style>
  <w:style w:type="paragraph" w:customStyle="1" w:styleId="BoxQuote">
    <w:name w:val="Box Quote"/>
    <w:basedOn w:val="BodyText"/>
    <w:next w:val="Box"/>
    <w:rsid w:val="009C2AD2"/>
    <w:pPr>
      <w:keepNext/>
      <w:spacing w:before="60" w:line="260" w:lineRule="exact"/>
      <w:ind w:left="284"/>
    </w:pPr>
    <w:rPr>
      <w:rFonts w:ascii="Arial" w:hAnsi="Arial"/>
      <w:sz w:val="20"/>
    </w:rPr>
  </w:style>
  <w:style w:type="paragraph" w:customStyle="1" w:styleId="Note">
    <w:name w:val="Note"/>
    <w:basedOn w:val="BodyText"/>
    <w:next w:val="BodyText"/>
    <w:link w:val="NoteChar"/>
    <w:rsid w:val="009C2AD2"/>
    <w:pPr>
      <w:keepLines/>
      <w:spacing w:before="80" w:line="220" w:lineRule="exact"/>
    </w:pPr>
    <w:rPr>
      <w:rFonts w:ascii="Arial" w:hAnsi="Arial"/>
      <w:sz w:val="18"/>
    </w:rPr>
  </w:style>
  <w:style w:type="paragraph" w:customStyle="1" w:styleId="Source">
    <w:name w:val="Source"/>
    <w:basedOn w:val="Note"/>
    <w:next w:val="BodyText"/>
    <w:rsid w:val="009C2AD2"/>
    <w:pPr>
      <w:spacing w:after="120"/>
    </w:pPr>
  </w:style>
  <w:style w:type="paragraph" w:customStyle="1" w:styleId="BoxSource">
    <w:name w:val="Box Source"/>
    <w:basedOn w:val="Source"/>
    <w:next w:val="BodyText"/>
    <w:rsid w:val="009C2AD2"/>
    <w:pPr>
      <w:spacing w:before="180" w:after="0"/>
    </w:pPr>
  </w:style>
  <w:style w:type="paragraph" w:customStyle="1" w:styleId="BoxSpace">
    <w:name w:val="Box Space"/>
    <w:basedOn w:val="BodyText"/>
    <w:rsid w:val="00A17328"/>
    <w:pPr>
      <w:keepNext/>
      <w:spacing w:before="360" w:line="80" w:lineRule="exact"/>
      <w:jc w:val="left"/>
    </w:pPr>
  </w:style>
  <w:style w:type="paragraph" w:styleId="Caption">
    <w:name w:val="caption"/>
    <w:basedOn w:val="Normal"/>
    <w:next w:val="BodyText"/>
    <w:rsid w:val="009C2AD2"/>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C2AD2"/>
    <w:pPr>
      <w:spacing w:before="120" w:after="0"/>
      <w:ind w:left="1304" w:hanging="1304"/>
    </w:pPr>
    <w:rPr>
      <w:sz w:val="24"/>
    </w:rPr>
  </w:style>
  <w:style w:type="paragraph" w:customStyle="1" w:styleId="BoxSubtitle">
    <w:name w:val="Box Subtitle"/>
    <w:basedOn w:val="BoxTitle"/>
    <w:next w:val="Normal"/>
    <w:rsid w:val="009C2AD2"/>
    <w:pPr>
      <w:spacing w:after="80" w:line="200" w:lineRule="exact"/>
      <w:ind w:firstLine="0"/>
    </w:pPr>
    <w:rPr>
      <w:b w:val="0"/>
      <w:sz w:val="20"/>
    </w:rPr>
  </w:style>
  <w:style w:type="paragraph" w:customStyle="1" w:styleId="Chapter">
    <w:name w:val="Chapter"/>
    <w:basedOn w:val="Heading1"/>
    <w:next w:val="BodyText"/>
    <w:semiHidden/>
    <w:rsid w:val="009C2AD2"/>
    <w:pPr>
      <w:ind w:left="0" w:firstLine="0"/>
      <w:outlineLvl w:val="9"/>
    </w:pPr>
  </w:style>
  <w:style w:type="paragraph" w:customStyle="1" w:styleId="ChapterSummary">
    <w:name w:val="Chapter Summary"/>
    <w:basedOn w:val="BodyText"/>
    <w:rsid w:val="009C2AD2"/>
    <w:pPr>
      <w:ind w:left="907"/>
    </w:pPr>
    <w:rPr>
      <w:rFonts w:ascii="Arial" w:hAnsi="Arial"/>
      <w:b/>
      <w:sz w:val="22"/>
    </w:rPr>
  </w:style>
  <w:style w:type="character" w:styleId="CommentReference">
    <w:name w:val="annotation reference"/>
    <w:basedOn w:val="DefaultParagraphFont"/>
    <w:semiHidden/>
    <w:rsid w:val="009C2AD2"/>
    <w:rPr>
      <w:b/>
      <w:vanish/>
      <w:color w:val="FF00FF"/>
      <w:sz w:val="20"/>
    </w:rPr>
  </w:style>
  <w:style w:type="paragraph" w:styleId="CommentText">
    <w:name w:val="annotation text"/>
    <w:basedOn w:val="Normal"/>
    <w:link w:val="CommentTextChar"/>
    <w:semiHidden/>
    <w:rsid w:val="009C2AD2"/>
    <w:pPr>
      <w:spacing w:before="120" w:line="240" w:lineRule="atLeast"/>
      <w:ind w:left="567" w:hanging="567"/>
    </w:pPr>
    <w:rPr>
      <w:sz w:val="20"/>
    </w:rPr>
  </w:style>
  <w:style w:type="paragraph" w:customStyle="1" w:styleId="Continued">
    <w:name w:val="Continued"/>
    <w:basedOn w:val="BoxContinued"/>
    <w:next w:val="BodyText"/>
    <w:rsid w:val="009C2AD2"/>
  </w:style>
  <w:style w:type="character" w:customStyle="1" w:styleId="DocumentInfo">
    <w:name w:val="Document Info"/>
    <w:basedOn w:val="DefaultParagraphFont"/>
    <w:semiHidden/>
    <w:rsid w:val="009C2AD2"/>
    <w:rPr>
      <w:rFonts w:ascii="Arial" w:hAnsi="Arial"/>
      <w:sz w:val="14"/>
    </w:rPr>
  </w:style>
  <w:style w:type="character" w:customStyle="1" w:styleId="DraftingNote">
    <w:name w:val="Drafting Note"/>
    <w:basedOn w:val="DefaultParagraphFont"/>
    <w:rsid w:val="009C2AD2"/>
    <w:rPr>
      <w:b/>
      <w:color w:val="FF0000"/>
      <w:sz w:val="24"/>
      <w:u w:val="dotted"/>
    </w:rPr>
  </w:style>
  <w:style w:type="paragraph" w:customStyle="1" w:styleId="Figure">
    <w:name w:val="Figure"/>
    <w:basedOn w:val="BodyText"/>
    <w:rsid w:val="009C2AD2"/>
    <w:pPr>
      <w:keepNext/>
      <w:spacing w:before="120" w:after="120" w:line="240" w:lineRule="atLeast"/>
      <w:jc w:val="center"/>
    </w:pPr>
  </w:style>
  <w:style w:type="paragraph" w:customStyle="1" w:styleId="FigureTitle">
    <w:name w:val="Figure Title"/>
    <w:basedOn w:val="Caption"/>
    <w:next w:val="Subtitle"/>
    <w:link w:val="FigureTitleChar"/>
    <w:rsid w:val="009C2AD2"/>
    <w:rPr>
      <w:sz w:val="24"/>
    </w:rPr>
  </w:style>
  <w:style w:type="paragraph" w:styleId="Subtitle">
    <w:name w:val="Subtitle"/>
    <w:basedOn w:val="Caption"/>
    <w:link w:val="SubtitleChar"/>
    <w:rsid w:val="009C2AD2"/>
    <w:pPr>
      <w:spacing w:before="0" w:line="200" w:lineRule="exact"/>
      <w:ind w:firstLine="0"/>
    </w:pPr>
    <w:rPr>
      <w:b w:val="0"/>
      <w:sz w:val="20"/>
    </w:rPr>
  </w:style>
  <w:style w:type="paragraph" w:customStyle="1" w:styleId="Finding">
    <w:name w:val="Finding"/>
    <w:basedOn w:val="BodyText"/>
    <w:rsid w:val="009C2AD2"/>
    <w:pPr>
      <w:keepLines/>
      <w:spacing w:before="180"/>
    </w:pPr>
    <w:rPr>
      <w:i/>
    </w:rPr>
  </w:style>
  <w:style w:type="paragraph" w:customStyle="1" w:styleId="FindingBullet">
    <w:name w:val="Finding Bullet"/>
    <w:basedOn w:val="Finding"/>
    <w:rsid w:val="009C2AD2"/>
    <w:pPr>
      <w:numPr>
        <w:numId w:val="11"/>
      </w:numPr>
      <w:spacing w:before="80"/>
    </w:pPr>
  </w:style>
  <w:style w:type="paragraph" w:customStyle="1" w:styleId="FindingNoTitle">
    <w:name w:val="Finding NoTitle"/>
    <w:basedOn w:val="Finding"/>
    <w:rsid w:val="009C2AD2"/>
    <w:pPr>
      <w:spacing w:before="240"/>
    </w:pPr>
  </w:style>
  <w:style w:type="paragraph" w:customStyle="1" w:styleId="RecTitle">
    <w:name w:val="Rec Title"/>
    <w:basedOn w:val="BodyText"/>
    <w:next w:val="Normal"/>
    <w:rsid w:val="009C2AD2"/>
    <w:pPr>
      <w:keepNext/>
      <w:keepLines/>
    </w:pPr>
    <w:rPr>
      <w:caps/>
      <w:sz w:val="20"/>
    </w:rPr>
  </w:style>
  <w:style w:type="paragraph" w:customStyle="1" w:styleId="FindingTitle">
    <w:name w:val="Finding Title"/>
    <w:basedOn w:val="RecTitle"/>
    <w:next w:val="Finding"/>
    <w:rsid w:val="009C2AD2"/>
    <w:pPr>
      <w:framePr w:wrap="notBeside" w:hAnchor="text"/>
    </w:pPr>
  </w:style>
  <w:style w:type="character" w:styleId="FootnoteReference">
    <w:name w:val="footnote reference"/>
    <w:basedOn w:val="DefaultParagraphFont"/>
    <w:semiHidden/>
    <w:rsid w:val="009C2AD2"/>
    <w:rPr>
      <w:rFonts w:ascii="Times New Roman" w:hAnsi="Times New Roman"/>
      <w:position w:val="6"/>
      <w:sz w:val="22"/>
      <w:vertAlign w:val="baseline"/>
    </w:rPr>
  </w:style>
  <w:style w:type="paragraph" w:styleId="FootnoteText">
    <w:name w:val="footnote text"/>
    <w:basedOn w:val="BodyText"/>
    <w:link w:val="FootnoteTextChar"/>
    <w:rsid w:val="009C2AD2"/>
    <w:pPr>
      <w:tabs>
        <w:tab w:val="left" w:pos="284"/>
      </w:tabs>
      <w:spacing w:before="80" w:line="260" w:lineRule="exact"/>
      <w:ind w:left="284" w:hanging="284"/>
    </w:pPr>
    <w:rPr>
      <w:sz w:val="22"/>
    </w:rPr>
  </w:style>
  <w:style w:type="paragraph" w:customStyle="1" w:styleId="InformationRequest">
    <w:name w:val="Information Request"/>
    <w:basedOn w:val="Finding"/>
    <w:next w:val="BodyText"/>
    <w:rsid w:val="009C2AD2"/>
    <w:pPr>
      <w:spacing w:before="360" w:after="120"/>
    </w:pPr>
    <w:rPr>
      <w:rFonts w:ascii="Arial" w:hAnsi="Arial"/>
      <w:sz w:val="24"/>
    </w:rPr>
  </w:style>
  <w:style w:type="paragraph" w:customStyle="1" w:styleId="Jurisdictioncommentsbodytext">
    <w:name w:val="Jurisdiction comments body text"/>
    <w:rsid w:val="009C2AD2"/>
    <w:pPr>
      <w:spacing w:after="140"/>
      <w:jc w:val="both"/>
    </w:pPr>
    <w:rPr>
      <w:rFonts w:ascii="Arial" w:hAnsi="Arial"/>
      <w:sz w:val="24"/>
      <w:lang w:eastAsia="en-US"/>
    </w:rPr>
  </w:style>
  <w:style w:type="paragraph" w:customStyle="1" w:styleId="Jurisdictioncommentsheading">
    <w:name w:val="Jurisdiction comments heading"/>
    <w:rsid w:val="009C2AD2"/>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9C2AD2"/>
    <w:pPr>
      <w:numPr>
        <w:numId w:val="14"/>
      </w:numPr>
      <w:spacing w:after="140"/>
      <w:jc w:val="both"/>
    </w:pPr>
    <w:rPr>
      <w:rFonts w:ascii="Arial" w:hAnsi="Arial"/>
      <w:sz w:val="24"/>
      <w:lang w:eastAsia="en-US"/>
    </w:rPr>
  </w:style>
  <w:style w:type="paragraph" w:styleId="ListBullet">
    <w:name w:val="List Bullet"/>
    <w:basedOn w:val="BodyText"/>
    <w:link w:val="ListBulletChar"/>
    <w:rsid w:val="009C2AD2"/>
    <w:pPr>
      <w:numPr>
        <w:numId w:val="12"/>
      </w:numPr>
      <w:spacing w:before="120"/>
    </w:pPr>
  </w:style>
  <w:style w:type="paragraph" w:styleId="ListBullet2">
    <w:name w:val="List Bullet 2"/>
    <w:basedOn w:val="BodyText"/>
    <w:rsid w:val="009C2AD2"/>
    <w:pPr>
      <w:numPr>
        <w:numId w:val="15"/>
      </w:numPr>
      <w:spacing w:before="120"/>
    </w:pPr>
  </w:style>
  <w:style w:type="paragraph" w:styleId="ListBullet3">
    <w:name w:val="List Bullet 3"/>
    <w:basedOn w:val="BodyText"/>
    <w:rsid w:val="009C2AD2"/>
    <w:pPr>
      <w:numPr>
        <w:numId w:val="7"/>
      </w:numPr>
      <w:spacing w:before="120"/>
    </w:pPr>
  </w:style>
  <w:style w:type="paragraph" w:styleId="ListNumber">
    <w:name w:val="List Number"/>
    <w:basedOn w:val="BodyText"/>
    <w:rsid w:val="009C2AD2"/>
    <w:pPr>
      <w:numPr>
        <w:numId w:val="2"/>
      </w:numPr>
      <w:spacing w:before="120"/>
    </w:pPr>
  </w:style>
  <w:style w:type="paragraph" w:styleId="ListNumber2">
    <w:name w:val="List Number 2"/>
    <w:basedOn w:val="ListNumber"/>
    <w:rsid w:val="009C2AD2"/>
    <w:pPr>
      <w:numPr>
        <w:ilvl w:val="1"/>
      </w:numPr>
    </w:pPr>
  </w:style>
  <w:style w:type="paragraph" w:styleId="ListNumber3">
    <w:name w:val="List Number 3"/>
    <w:basedOn w:val="ListNumber2"/>
    <w:rsid w:val="009C2AD2"/>
    <w:pPr>
      <w:numPr>
        <w:ilvl w:val="2"/>
      </w:numPr>
    </w:pPr>
  </w:style>
  <w:style w:type="character" w:customStyle="1" w:styleId="NoteLabel">
    <w:name w:val="Note Label"/>
    <w:basedOn w:val="DefaultParagraphFont"/>
    <w:rsid w:val="009C2AD2"/>
    <w:rPr>
      <w:rFonts w:ascii="Arial" w:hAnsi="Arial"/>
      <w:b/>
      <w:position w:val="6"/>
      <w:sz w:val="18"/>
    </w:rPr>
  </w:style>
  <w:style w:type="paragraph" w:customStyle="1" w:styleId="PartDivider">
    <w:name w:val="Part Divider"/>
    <w:basedOn w:val="BodyText"/>
    <w:next w:val="BodyText"/>
    <w:semiHidden/>
    <w:rsid w:val="009C2AD2"/>
    <w:pPr>
      <w:spacing w:before="0" w:line="40" w:lineRule="exact"/>
      <w:jc w:val="right"/>
    </w:pPr>
    <w:rPr>
      <w:smallCaps/>
      <w:sz w:val="16"/>
    </w:rPr>
  </w:style>
  <w:style w:type="paragraph" w:customStyle="1" w:styleId="PartNumber">
    <w:name w:val="Part Number"/>
    <w:basedOn w:val="BodyText"/>
    <w:next w:val="BodyText"/>
    <w:semiHidden/>
    <w:rsid w:val="009C2AD2"/>
    <w:pPr>
      <w:spacing w:before="4000" w:line="320" w:lineRule="exact"/>
      <w:ind w:left="6634"/>
      <w:jc w:val="right"/>
    </w:pPr>
    <w:rPr>
      <w:smallCaps/>
      <w:spacing w:val="60"/>
      <w:sz w:val="32"/>
    </w:rPr>
  </w:style>
  <w:style w:type="paragraph" w:customStyle="1" w:styleId="PartTitle">
    <w:name w:val="Part Title"/>
    <w:basedOn w:val="BodyText"/>
    <w:semiHidden/>
    <w:rsid w:val="009C2AD2"/>
    <w:pPr>
      <w:spacing w:before="160" w:after="1360" w:line="520" w:lineRule="exact"/>
      <w:ind w:right="2381"/>
      <w:jc w:val="right"/>
    </w:pPr>
    <w:rPr>
      <w:smallCaps/>
      <w:sz w:val="52"/>
    </w:rPr>
  </w:style>
  <w:style w:type="paragraph" w:styleId="Quote">
    <w:name w:val="Quote"/>
    <w:basedOn w:val="BodyText"/>
    <w:next w:val="BodyText"/>
    <w:link w:val="QuoteChar"/>
    <w:qFormat/>
    <w:rsid w:val="009C2AD2"/>
    <w:pPr>
      <w:spacing w:before="120" w:line="280" w:lineRule="exact"/>
      <w:ind w:left="340"/>
    </w:pPr>
    <w:rPr>
      <w:sz w:val="24"/>
    </w:rPr>
  </w:style>
  <w:style w:type="paragraph" w:customStyle="1" w:styleId="QuoteBullet">
    <w:name w:val="Quote Bullet"/>
    <w:basedOn w:val="Quote"/>
    <w:rsid w:val="009C2AD2"/>
    <w:pPr>
      <w:numPr>
        <w:numId w:val="16"/>
      </w:numPr>
    </w:pPr>
  </w:style>
  <w:style w:type="paragraph" w:customStyle="1" w:styleId="Rec">
    <w:name w:val="Rec"/>
    <w:basedOn w:val="BodyText"/>
    <w:rsid w:val="009C2AD2"/>
    <w:pPr>
      <w:keepLines/>
      <w:spacing w:before="180"/>
    </w:pPr>
    <w:rPr>
      <w:b/>
      <w:i/>
    </w:rPr>
  </w:style>
  <w:style w:type="paragraph" w:customStyle="1" w:styleId="RecBullet">
    <w:name w:val="Rec Bullet"/>
    <w:basedOn w:val="Rec"/>
    <w:rsid w:val="009C2AD2"/>
    <w:pPr>
      <w:numPr>
        <w:numId w:val="17"/>
      </w:numPr>
      <w:spacing w:before="80"/>
    </w:pPr>
  </w:style>
  <w:style w:type="paragraph" w:customStyle="1" w:styleId="RecB">
    <w:name w:val="RecB"/>
    <w:basedOn w:val="Normal"/>
    <w:rsid w:val="009C2AD2"/>
    <w:pPr>
      <w:keepLines/>
      <w:pBdr>
        <w:left w:val="single" w:sz="24" w:space="12" w:color="C0C0C0"/>
      </w:pBdr>
      <w:spacing w:before="180" w:line="320" w:lineRule="atLeast"/>
      <w:jc w:val="both"/>
    </w:pPr>
    <w:rPr>
      <w:b/>
      <w:i/>
      <w:szCs w:val="20"/>
    </w:rPr>
  </w:style>
  <w:style w:type="paragraph" w:customStyle="1" w:styleId="RecBBullet">
    <w:name w:val="RecB Bullet"/>
    <w:basedOn w:val="RecB"/>
    <w:rsid w:val="009C2AD2"/>
    <w:pPr>
      <w:numPr>
        <w:numId w:val="18"/>
      </w:numPr>
      <w:spacing w:before="80"/>
    </w:pPr>
  </w:style>
  <w:style w:type="paragraph" w:customStyle="1" w:styleId="RecBNoTitle">
    <w:name w:val="RecB NoTitle"/>
    <w:basedOn w:val="RecB"/>
    <w:rsid w:val="009C2AD2"/>
    <w:pPr>
      <w:spacing w:before="240"/>
    </w:pPr>
  </w:style>
  <w:style w:type="paragraph" w:customStyle="1" w:styleId="Reference">
    <w:name w:val="Reference"/>
    <w:basedOn w:val="BodyText"/>
    <w:link w:val="ReferenceChar"/>
    <w:rsid w:val="009C2AD2"/>
    <w:pPr>
      <w:spacing w:before="120"/>
      <w:ind w:left="340" w:hanging="340"/>
    </w:pPr>
  </w:style>
  <w:style w:type="paragraph" w:customStyle="1" w:styleId="SequenceInfo">
    <w:name w:val="Sequence Info"/>
    <w:basedOn w:val="BodyText"/>
    <w:semiHidden/>
    <w:rsid w:val="009C2AD2"/>
    <w:rPr>
      <w:vanish/>
      <w:sz w:val="16"/>
    </w:rPr>
  </w:style>
  <w:style w:type="paragraph" w:customStyle="1" w:styleId="SideNote">
    <w:name w:val="Side Note"/>
    <w:basedOn w:val="BodyText"/>
    <w:next w:val="BodyText"/>
    <w:semiHidden/>
    <w:rsid w:val="009C2AD2"/>
    <w:pPr>
      <w:keepNext/>
      <w:keepLines/>
      <w:framePr w:w="2155" w:hSpace="227" w:vSpace="181" w:wrap="around" w:vAnchor="text" w:hAnchor="page" w:xAlign="outside" w:y="1"/>
      <w:jc w:val="left"/>
    </w:pPr>
    <w:rPr>
      <w:i/>
      <w:sz w:val="24"/>
    </w:rPr>
  </w:style>
  <w:style w:type="paragraph" w:customStyle="1" w:styleId="SideNoteBullet">
    <w:name w:val="Side Note Bullet"/>
    <w:basedOn w:val="SideNote"/>
    <w:next w:val="BodyText"/>
    <w:semiHidden/>
    <w:rsid w:val="009C2AD2"/>
    <w:pPr>
      <w:framePr w:wrap="around"/>
      <w:numPr>
        <w:numId w:val="19"/>
      </w:numPr>
      <w:tabs>
        <w:tab w:val="left" w:pos="227"/>
      </w:tabs>
    </w:pPr>
  </w:style>
  <w:style w:type="paragraph" w:customStyle="1" w:styleId="SideNoteGraphic">
    <w:name w:val="Side Note Graphic"/>
    <w:basedOn w:val="SideNote"/>
    <w:next w:val="BodyText"/>
    <w:semiHidden/>
    <w:rsid w:val="009C2AD2"/>
    <w:pPr>
      <w:framePr w:wrap="around"/>
    </w:pPr>
  </w:style>
  <w:style w:type="paragraph" w:customStyle="1" w:styleId="TableBodyText">
    <w:name w:val="Table Body Text"/>
    <w:basedOn w:val="BodyText"/>
    <w:link w:val="TableBodyTextChar"/>
    <w:rsid w:val="009C2AD2"/>
    <w:pPr>
      <w:keepNext/>
      <w:keepLines/>
      <w:spacing w:before="0" w:after="40" w:line="220" w:lineRule="atLeast"/>
      <w:ind w:left="6" w:right="113"/>
      <w:jc w:val="right"/>
    </w:pPr>
    <w:rPr>
      <w:rFonts w:ascii="Arial" w:hAnsi="Arial"/>
      <w:sz w:val="20"/>
    </w:rPr>
  </w:style>
  <w:style w:type="paragraph" w:customStyle="1" w:styleId="TableBullet">
    <w:name w:val="Table Bullet"/>
    <w:basedOn w:val="TableBodyText"/>
    <w:link w:val="TableBulletChar"/>
    <w:rsid w:val="009C2AD2"/>
    <w:pPr>
      <w:numPr>
        <w:numId w:val="20"/>
      </w:numPr>
      <w:jc w:val="left"/>
    </w:pPr>
  </w:style>
  <w:style w:type="paragraph" w:customStyle="1" w:styleId="TableColumnHeading">
    <w:name w:val="Table Column Heading"/>
    <w:basedOn w:val="TableBodyText"/>
    <w:rsid w:val="009C2AD2"/>
    <w:pPr>
      <w:spacing w:before="80" w:after="80"/>
    </w:pPr>
    <w:rPr>
      <w:i/>
    </w:rPr>
  </w:style>
  <w:style w:type="paragraph" w:styleId="TOC2">
    <w:name w:val="toc 2"/>
    <w:basedOn w:val="BodyText"/>
    <w:rsid w:val="009C2AD2"/>
    <w:pPr>
      <w:tabs>
        <w:tab w:val="right" w:pos="8789"/>
      </w:tabs>
      <w:ind w:left="510" w:right="851" w:hanging="510"/>
      <w:jc w:val="left"/>
    </w:pPr>
    <w:rPr>
      <w:b/>
    </w:rPr>
  </w:style>
  <w:style w:type="paragraph" w:styleId="TOC3">
    <w:name w:val="toc 3"/>
    <w:basedOn w:val="TOC2"/>
    <w:rsid w:val="009C2AD2"/>
    <w:pPr>
      <w:spacing w:before="60"/>
      <w:ind w:left="1190" w:hanging="680"/>
    </w:pPr>
    <w:rPr>
      <w:b w:val="0"/>
    </w:rPr>
  </w:style>
  <w:style w:type="paragraph" w:styleId="TableofFigures">
    <w:name w:val="table of figures"/>
    <w:basedOn w:val="TOC3"/>
    <w:next w:val="BodyText"/>
    <w:semiHidden/>
    <w:rsid w:val="009C2AD2"/>
    <w:pPr>
      <w:ind w:left="737" w:hanging="737"/>
    </w:pPr>
  </w:style>
  <w:style w:type="paragraph" w:customStyle="1" w:styleId="TableTitle">
    <w:name w:val="Table Title"/>
    <w:basedOn w:val="Caption"/>
    <w:next w:val="Subtitle"/>
    <w:rsid w:val="009C2AD2"/>
    <w:rPr>
      <w:sz w:val="24"/>
    </w:rPr>
  </w:style>
  <w:style w:type="paragraph" w:customStyle="1" w:styleId="TableUnitsRow">
    <w:name w:val="Table Units Row"/>
    <w:basedOn w:val="TableBodyText"/>
    <w:rsid w:val="009C2AD2"/>
    <w:pPr>
      <w:spacing w:before="80" w:after="80"/>
    </w:pPr>
  </w:style>
  <w:style w:type="paragraph" w:styleId="TOC1">
    <w:name w:val="toc 1"/>
    <w:basedOn w:val="Normal"/>
    <w:next w:val="TOC2"/>
    <w:link w:val="TOC1Char"/>
    <w:rsid w:val="009C2AD2"/>
    <w:pPr>
      <w:tabs>
        <w:tab w:val="right" w:pos="8789"/>
      </w:tabs>
      <w:spacing w:before="480" w:after="60" w:line="320" w:lineRule="exact"/>
      <w:ind w:left="1191" w:right="851" w:hanging="1191"/>
    </w:pPr>
    <w:rPr>
      <w:b/>
      <w:caps/>
    </w:rPr>
  </w:style>
  <w:style w:type="paragraph" w:styleId="TOC4">
    <w:name w:val="toc 4"/>
    <w:basedOn w:val="TOC3"/>
    <w:semiHidden/>
    <w:rsid w:val="009C2AD2"/>
    <w:pPr>
      <w:ind w:left="1191" w:firstLine="0"/>
    </w:pPr>
  </w:style>
  <w:style w:type="paragraph" w:customStyle="1" w:styleId="RecBBullet2">
    <w:name w:val="RecB Bullet 2"/>
    <w:basedOn w:val="ListBullet2"/>
    <w:rsid w:val="009C2AD2"/>
    <w:pPr>
      <w:numPr>
        <w:numId w:val="0"/>
      </w:numPr>
      <w:pBdr>
        <w:left w:val="single" w:sz="24" w:space="29" w:color="C0C0C0"/>
      </w:pBdr>
    </w:pPr>
    <w:rPr>
      <w:b/>
      <w:i/>
    </w:rPr>
  </w:style>
  <w:style w:type="paragraph" w:styleId="BalloonText">
    <w:name w:val="Balloon Text"/>
    <w:basedOn w:val="Normal"/>
    <w:link w:val="BalloonTextChar"/>
    <w:rsid w:val="009C2AD2"/>
    <w:rPr>
      <w:rFonts w:ascii="Tahoma" w:hAnsi="Tahoma" w:cs="Tahoma"/>
      <w:sz w:val="16"/>
      <w:szCs w:val="16"/>
    </w:rPr>
  </w:style>
  <w:style w:type="character" w:customStyle="1" w:styleId="BalloonTextChar">
    <w:name w:val="Balloon Text Char"/>
    <w:basedOn w:val="DefaultParagraphFont"/>
    <w:link w:val="BalloonText"/>
    <w:rsid w:val="009C2AD2"/>
    <w:rPr>
      <w:rFonts w:ascii="Tahoma" w:hAnsi="Tahoma" w:cs="Tahoma"/>
      <w:sz w:val="16"/>
      <w:szCs w:val="16"/>
    </w:rPr>
  </w:style>
  <w:style w:type="character" w:customStyle="1" w:styleId="SubtitleChar">
    <w:name w:val="Subtitle Char"/>
    <w:basedOn w:val="DefaultParagraphFont"/>
    <w:link w:val="Subtitle"/>
    <w:rsid w:val="009C2AD2"/>
    <w:rPr>
      <w:rFonts w:ascii="Arial" w:hAnsi="Arial"/>
      <w:szCs w:val="24"/>
    </w:rPr>
  </w:style>
  <w:style w:type="paragraph" w:customStyle="1" w:styleId="BoxListBullet3">
    <w:name w:val="Box List Bullet 3"/>
    <w:basedOn w:val="ListBullet3"/>
    <w:rsid w:val="009C2AD2"/>
    <w:pPr>
      <w:numPr>
        <w:numId w:val="8"/>
      </w:numPr>
      <w:tabs>
        <w:tab w:val="left" w:pos="907"/>
      </w:tabs>
      <w:spacing w:before="60" w:line="280" w:lineRule="atLeast"/>
    </w:pPr>
    <w:rPr>
      <w:rFonts w:ascii="Arial" w:hAnsi="Arial"/>
      <w:sz w:val="22"/>
    </w:rPr>
  </w:style>
  <w:style w:type="character" w:styleId="Emphasis">
    <w:name w:val="Emphasis"/>
    <w:basedOn w:val="DefaultParagraphFont"/>
    <w:rsid w:val="009C2AD2"/>
    <w:rPr>
      <w:i/>
      <w:iCs/>
    </w:rPr>
  </w:style>
  <w:style w:type="character" w:customStyle="1" w:styleId="BodyTextChar">
    <w:name w:val="Body Text Char"/>
    <w:basedOn w:val="DefaultParagraphFont"/>
    <w:link w:val="BodyText"/>
    <w:locked/>
    <w:rsid w:val="009C2AD2"/>
    <w:rPr>
      <w:sz w:val="26"/>
    </w:rPr>
  </w:style>
  <w:style w:type="character" w:customStyle="1" w:styleId="NoteChar">
    <w:name w:val="Note Char"/>
    <w:link w:val="Note"/>
    <w:locked/>
    <w:rsid w:val="0028355C"/>
    <w:rPr>
      <w:rFonts w:ascii="Arial" w:hAnsi="Arial"/>
      <w:sz w:val="18"/>
    </w:rPr>
  </w:style>
  <w:style w:type="character" w:customStyle="1" w:styleId="FigureTitleChar">
    <w:name w:val="Figure Title Char"/>
    <w:link w:val="FigureTitle"/>
    <w:locked/>
    <w:rsid w:val="0028355C"/>
    <w:rPr>
      <w:rFonts w:ascii="Arial" w:hAnsi="Arial"/>
      <w:b/>
      <w:sz w:val="24"/>
      <w:szCs w:val="24"/>
    </w:rPr>
  </w:style>
  <w:style w:type="character" w:customStyle="1" w:styleId="Heading2Char">
    <w:name w:val="Heading 2 Char"/>
    <w:basedOn w:val="DefaultParagraphFont"/>
    <w:link w:val="Heading2"/>
    <w:locked/>
    <w:rsid w:val="009C2AD2"/>
    <w:rPr>
      <w:rFonts w:ascii="Arial" w:hAnsi="Arial"/>
      <w:b/>
      <w:sz w:val="32"/>
    </w:rPr>
  </w:style>
  <w:style w:type="character" w:customStyle="1" w:styleId="ListBulletChar">
    <w:name w:val="List Bullet Char"/>
    <w:basedOn w:val="BodyTextChar"/>
    <w:link w:val="ListBullet"/>
    <w:locked/>
    <w:rsid w:val="00932359"/>
    <w:rPr>
      <w:sz w:val="26"/>
    </w:rPr>
  </w:style>
  <w:style w:type="character" w:customStyle="1" w:styleId="TableBodyTextChar">
    <w:name w:val="Table Body Text Char"/>
    <w:link w:val="TableBodyText"/>
    <w:locked/>
    <w:rsid w:val="00932359"/>
    <w:rPr>
      <w:rFonts w:ascii="Arial" w:hAnsi="Arial"/>
    </w:rPr>
  </w:style>
  <w:style w:type="character" w:customStyle="1" w:styleId="TableBulletChar">
    <w:name w:val="Table Bullet Char"/>
    <w:basedOn w:val="TableBodyTextChar"/>
    <w:link w:val="TableBullet"/>
    <w:locked/>
    <w:rsid w:val="00B0152F"/>
    <w:rPr>
      <w:rFonts w:ascii="Arial" w:hAnsi="Arial"/>
    </w:rPr>
  </w:style>
  <w:style w:type="character" w:styleId="Hyperlink">
    <w:name w:val="Hyperlink"/>
    <w:basedOn w:val="DefaultParagraphFont"/>
    <w:rsid w:val="00017EB5"/>
    <w:rPr>
      <w:color w:val="0000FF" w:themeColor="hyperlink"/>
      <w:u w:val="single"/>
    </w:rPr>
  </w:style>
  <w:style w:type="character" w:styleId="FollowedHyperlink">
    <w:name w:val="FollowedHyperlink"/>
    <w:basedOn w:val="DefaultParagraphFont"/>
    <w:rsid w:val="00D63D34"/>
    <w:rPr>
      <w:color w:val="800080" w:themeColor="followedHyperlink"/>
      <w:u w:val="single"/>
    </w:rPr>
  </w:style>
  <w:style w:type="character" w:customStyle="1" w:styleId="Heading3Char">
    <w:name w:val="Heading 3 Char"/>
    <w:basedOn w:val="DefaultParagraphFont"/>
    <w:link w:val="Heading3"/>
    <w:locked/>
    <w:rsid w:val="009C2AD2"/>
    <w:rPr>
      <w:rFonts w:ascii="Arial" w:hAnsi="Arial"/>
      <w:b/>
      <w:sz w:val="26"/>
    </w:rPr>
  </w:style>
  <w:style w:type="paragraph" w:styleId="CommentSubject">
    <w:name w:val="annotation subject"/>
    <w:basedOn w:val="CommentText"/>
    <w:next w:val="CommentText"/>
    <w:link w:val="CommentSubjectChar"/>
    <w:rsid w:val="008F5813"/>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9C2AD2"/>
    <w:rPr>
      <w:szCs w:val="24"/>
    </w:rPr>
  </w:style>
  <w:style w:type="character" w:customStyle="1" w:styleId="CommentSubjectChar">
    <w:name w:val="Comment Subject Char"/>
    <w:basedOn w:val="CommentTextChar"/>
    <w:link w:val="CommentSubject"/>
    <w:rsid w:val="008F5813"/>
    <w:rPr>
      <w:b/>
      <w:bCs/>
      <w:szCs w:val="24"/>
    </w:rPr>
  </w:style>
  <w:style w:type="table" w:styleId="TableGrid">
    <w:name w:val="Table Grid"/>
    <w:basedOn w:val="TableNormal"/>
    <w:rsid w:val="00BB47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9516C3"/>
    <w:pPr>
      <w:spacing w:after="115"/>
    </w:pPr>
    <w:rPr>
      <w:sz w:val="24"/>
    </w:rPr>
  </w:style>
  <w:style w:type="paragraph" w:customStyle="1" w:styleId="Tabletext">
    <w:name w:val="Table text"/>
    <w:next w:val="Normal"/>
    <w:rsid w:val="00311D2B"/>
    <w:pPr>
      <w:spacing w:before="80"/>
    </w:pPr>
    <w:rPr>
      <w:rFonts w:ascii="Arial" w:hAnsi="Arial"/>
      <w:sz w:val="16"/>
    </w:rPr>
  </w:style>
  <w:style w:type="paragraph" w:customStyle="1" w:styleId="MtgPaperDotpoint1">
    <w:name w:val="Mtg Paper Dotpoint1"/>
    <w:basedOn w:val="Normal"/>
    <w:rsid w:val="00941DB2"/>
    <w:pPr>
      <w:numPr>
        <w:numId w:val="4"/>
      </w:numPr>
      <w:tabs>
        <w:tab w:val="left" w:pos="1080"/>
      </w:tabs>
      <w:spacing w:after="80"/>
    </w:pPr>
    <w:rPr>
      <w:rFonts w:ascii="Verdana" w:hAnsi="Verdana" w:cs="Arial"/>
      <w:sz w:val="20"/>
      <w:szCs w:val="20"/>
      <w:lang w:val="en-US" w:eastAsia="en-US"/>
    </w:rPr>
  </w:style>
  <w:style w:type="paragraph" w:customStyle="1" w:styleId="Text">
    <w:name w:val="Text"/>
    <w:link w:val="TextChar"/>
    <w:rsid w:val="00941DB2"/>
    <w:pPr>
      <w:spacing w:before="200" w:line="260" w:lineRule="exact"/>
    </w:pPr>
    <w:rPr>
      <w:rFonts w:ascii="Garamond" w:hAnsi="Garamond"/>
      <w:sz w:val="22"/>
    </w:rPr>
  </w:style>
  <w:style w:type="character" w:customStyle="1" w:styleId="TextChar">
    <w:name w:val="Text Char"/>
    <w:basedOn w:val="DefaultParagraphFont"/>
    <w:link w:val="Text"/>
    <w:rsid w:val="00941DB2"/>
    <w:rPr>
      <w:rFonts w:ascii="Garamond" w:hAnsi="Garamond"/>
      <w:sz w:val="22"/>
    </w:rPr>
  </w:style>
  <w:style w:type="paragraph" w:customStyle="1" w:styleId="tabletitle0">
    <w:name w:val="tabletitle"/>
    <w:next w:val="Text"/>
    <w:rsid w:val="00941DB2"/>
    <w:pPr>
      <w:tabs>
        <w:tab w:val="left" w:pos="992"/>
      </w:tabs>
      <w:spacing w:before="360" w:after="80"/>
    </w:pPr>
    <w:rPr>
      <w:rFonts w:ascii="Arial" w:hAnsi="Arial"/>
      <w:b/>
      <w:sz w:val="17"/>
    </w:rPr>
  </w:style>
  <w:style w:type="paragraph" w:customStyle="1" w:styleId="Tablehead1">
    <w:name w:val="Tablehead1"/>
    <w:rsid w:val="00941DB2"/>
    <w:pPr>
      <w:spacing w:before="80" w:after="80"/>
    </w:pPr>
    <w:rPr>
      <w:rFonts w:ascii="Arial" w:hAnsi="Arial"/>
      <w:b/>
      <w:sz w:val="17"/>
    </w:rPr>
  </w:style>
  <w:style w:type="paragraph" w:customStyle="1" w:styleId="Tablehead2">
    <w:name w:val="Tablehead2"/>
    <w:basedOn w:val="Tablehead1"/>
    <w:rsid w:val="00941DB2"/>
    <w:pPr>
      <w:tabs>
        <w:tab w:val="left" w:pos="992"/>
      </w:tabs>
      <w:spacing w:before="20" w:after="20"/>
    </w:pPr>
    <w:rPr>
      <w:b w:val="0"/>
    </w:rPr>
  </w:style>
  <w:style w:type="paragraph" w:styleId="ListParagraph">
    <w:name w:val="List Paragraph"/>
    <w:basedOn w:val="Normal"/>
    <w:uiPriority w:val="34"/>
    <w:qFormat/>
    <w:rsid w:val="00941DB2"/>
    <w:pPr>
      <w:widowControl w:val="0"/>
      <w:spacing w:before="60" w:after="60"/>
      <w:ind w:left="720"/>
      <w:contextualSpacing/>
    </w:pPr>
    <w:rPr>
      <w:sz w:val="24"/>
      <w:szCs w:val="20"/>
      <w:lang w:eastAsia="en-US"/>
    </w:rPr>
  </w:style>
  <w:style w:type="paragraph" w:styleId="Revision">
    <w:name w:val="Revision"/>
    <w:hidden/>
    <w:uiPriority w:val="99"/>
    <w:semiHidden/>
    <w:rsid w:val="006D2F6A"/>
    <w:rPr>
      <w:sz w:val="26"/>
      <w:szCs w:val="24"/>
    </w:rPr>
  </w:style>
  <w:style w:type="character" w:customStyle="1" w:styleId="ReferenceChar">
    <w:name w:val="Reference Char"/>
    <w:basedOn w:val="DefaultParagraphFont"/>
    <w:link w:val="Reference"/>
    <w:rsid w:val="005239AE"/>
    <w:rPr>
      <w:sz w:val="26"/>
    </w:rPr>
  </w:style>
  <w:style w:type="paragraph" w:customStyle="1" w:styleId="Default">
    <w:name w:val="Default"/>
    <w:rsid w:val="00DA4676"/>
    <w:pPr>
      <w:autoSpaceDE w:val="0"/>
      <w:autoSpaceDN w:val="0"/>
      <w:adjustRightInd w:val="0"/>
    </w:pPr>
    <w:rPr>
      <w:rFonts w:ascii="Arial" w:hAnsi="Arial" w:cs="Arial"/>
      <w:color w:val="000000"/>
      <w:sz w:val="24"/>
      <w:szCs w:val="24"/>
    </w:rPr>
  </w:style>
  <w:style w:type="paragraph" w:customStyle="1" w:styleId="BoxQuoteBullet">
    <w:name w:val="Box Quote Bullet"/>
    <w:basedOn w:val="BoxQuote"/>
    <w:next w:val="Box"/>
    <w:rsid w:val="009C2AD2"/>
    <w:pPr>
      <w:numPr>
        <w:numId w:val="10"/>
      </w:numPr>
    </w:pPr>
  </w:style>
  <w:style w:type="paragraph" w:customStyle="1" w:styleId="BoxSpaceAbove">
    <w:name w:val="Box Space Above"/>
    <w:basedOn w:val="BodyText"/>
    <w:rsid w:val="009C2AD2"/>
    <w:pPr>
      <w:keepNext/>
      <w:spacing w:before="360" w:line="80" w:lineRule="exact"/>
      <w:jc w:val="left"/>
    </w:pPr>
  </w:style>
  <w:style w:type="paragraph" w:customStyle="1" w:styleId="BoxSpaceBelow">
    <w:name w:val="Box Space Below"/>
    <w:basedOn w:val="Box"/>
    <w:rsid w:val="009C2AD2"/>
    <w:pPr>
      <w:keepNext w:val="0"/>
      <w:spacing w:before="60" w:after="60" w:line="80" w:lineRule="exact"/>
    </w:pPr>
    <w:rPr>
      <w:sz w:val="14"/>
    </w:rPr>
  </w:style>
  <w:style w:type="character" w:customStyle="1" w:styleId="Heading1Char">
    <w:name w:val="Heading 1 Char"/>
    <w:basedOn w:val="DefaultParagraphFont"/>
    <w:link w:val="Heading1"/>
    <w:rsid w:val="009C2AD2"/>
    <w:rPr>
      <w:sz w:val="52"/>
    </w:rPr>
  </w:style>
  <w:style w:type="character" w:customStyle="1" w:styleId="FooterChar">
    <w:name w:val="Footer Char"/>
    <w:basedOn w:val="DefaultParagraphFont"/>
    <w:link w:val="Footer"/>
    <w:semiHidden/>
    <w:rsid w:val="009C2AD2"/>
    <w:rPr>
      <w:caps/>
      <w:spacing w:val="-4"/>
      <w:sz w:val="16"/>
    </w:rPr>
  </w:style>
  <w:style w:type="character" w:customStyle="1" w:styleId="FootnoteTextChar">
    <w:name w:val="Footnote Text Char"/>
    <w:basedOn w:val="DefaultParagraphFont"/>
    <w:link w:val="FootnoteText"/>
    <w:rsid w:val="009C2AD2"/>
    <w:rPr>
      <w:sz w:val="22"/>
    </w:rPr>
  </w:style>
  <w:style w:type="character" w:customStyle="1" w:styleId="HeaderChar">
    <w:name w:val="Header Char"/>
    <w:basedOn w:val="DefaultParagraphFont"/>
    <w:link w:val="Header"/>
    <w:rsid w:val="009C2AD2"/>
    <w:rPr>
      <w:rFonts w:ascii="Arial" w:hAnsi="Arial"/>
      <w:caps/>
      <w:sz w:val="26"/>
    </w:rPr>
  </w:style>
  <w:style w:type="character" w:customStyle="1" w:styleId="Heading4Char">
    <w:name w:val="Heading 4 Char"/>
    <w:basedOn w:val="DefaultParagraphFont"/>
    <w:link w:val="Heading4"/>
    <w:rsid w:val="009C2AD2"/>
    <w:rPr>
      <w:rFonts w:ascii="Arial" w:hAnsi="Arial"/>
      <w:i/>
      <w:sz w:val="24"/>
    </w:rPr>
  </w:style>
  <w:style w:type="character" w:customStyle="1" w:styleId="Heading5Char">
    <w:name w:val="Heading 5 Char"/>
    <w:basedOn w:val="DefaultParagraphFont"/>
    <w:link w:val="Heading5"/>
    <w:rsid w:val="009C2AD2"/>
    <w:rPr>
      <w:i/>
      <w:sz w:val="26"/>
    </w:rPr>
  </w:style>
  <w:style w:type="character" w:customStyle="1" w:styleId="Heading6Char">
    <w:name w:val="Heading 6 Char"/>
    <w:basedOn w:val="DefaultParagraphFont"/>
    <w:link w:val="Heading6"/>
    <w:rsid w:val="009C2AD2"/>
    <w:rPr>
      <w:i/>
      <w:sz w:val="22"/>
    </w:rPr>
  </w:style>
  <w:style w:type="character" w:customStyle="1" w:styleId="Heading7Char">
    <w:name w:val="Heading 7 Char"/>
    <w:basedOn w:val="DefaultParagraphFont"/>
    <w:link w:val="Heading7"/>
    <w:rsid w:val="009C2AD2"/>
    <w:rPr>
      <w:rFonts w:ascii="Arial" w:hAnsi="Arial"/>
    </w:rPr>
  </w:style>
  <w:style w:type="character" w:customStyle="1" w:styleId="Heading8Char">
    <w:name w:val="Heading 8 Char"/>
    <w:basedOn w:val="DefaultParagraphFont"/>
    <w:link w:val="Heading8"/>
    <w:rsid w:val="009C2AD2"/>
    <w:rPr>
      <w:rFonts w:ascii="Arial" w:hAnsi="Arial"/>
      <w:i/>
    </w:rPr>
  </w:style>
  <w:style w:type="character" w:customStyle="1" w:styleId="Heading9Char">
    <w:name w:val="Heading 9 Char"/>
    <w:basedOn w:val="DefaultParagraphFont"/>
    <w:link w:val="Heading9"/>
    <w:rsid w:val="009C2AD2"/>
    <w:rPr>
      <w:rFonts w:ascii="Arial" w:hAnsi="Arial"/>
      <w:b/>
      <w:i/>
      <w:sz w:val="18"/>
    </w:rPr>
  </w:style>
  <w:style w:type="paragraph" w:customStyle="1" w:styleId="InformationRequestBullet">
    <w:name w:val="Information Request Bullet"/>
    <w:basedOn w:val="ListBullet"/>
    <w:next w:val="BodyText"/>
    <w:rsid w:val="009C2AD2"/>
    <w:pPr>
      <w:numPr>
        <w:numId w:val="13"/>
      </w:numPr>
    </w:pPr>
    <w:rPr>
      <w:rFonts w:ascii="Arial" w:hAnsi="Arial"/>
      <w:i/>
      <w:sz w:val="24"/>
    </w:rPr>
  </w:style>
  <w:style w:type="character" w:customStyle="1" w:styleId="QuoteChar">
    <w:name w:val="Quote Char"/>
    <w:basedOn w:val="DefaultParagraphFont"/>
    <w:link w:val="Quote"/>
    <w:rsid w:val="009C2AD2"/>
    <w:rPr>
      <w:sz w:val="24"/>
    </w:rPr>
  </w:style>
  <w:style w:type="paragraph" w:customStyle="1" w:styleId="KeyPointsListBullet">
    <w:name w:val="Key Points List Bullet"/>
    <w:basedOn w:val="Normal"/>
    <w:qFormat/>
    <w:rsid w:val="00BB47C9"/>
    <w:pPr>
      <w:keepNext/>
      <w:numPr>
        <w:numId w:val="6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BB47C9"/>
    <w:pPr>
      <w:numPr>
        <w:numId w:val="61"/>
      </w:numPr>
      <w:ind w:left="568" w:hanging="284"/>
    </w:pPr>
  </w:style>
  <w:style w:type="paragraph" w:customStyle="1" w:styleId="InformationRequestTitle">
    <w:name w:val="Information Request Title"/>
    <w:basedOn w:val="FindingTitle"/>
    <w:next w:val="InformationRequest"/>
    <w:rsid w:val="00BB47C9"/>
    <w:pPr>
      <w:framePr w:wrap="notBeside"/>
    </w:pPr>
    <w:rPr>
      <w:i/>
    </w:rPr>
  </w:style>
  <w:style w:type="paragraph" w:customStyle="1" w:styleId="Space">
    <w:name w:val="Space"/>
    <w:basedOn w:val="Normal"/>
    <w:rsid w:val="00BB47C9"/>
    <w:pPr>
      <w:keepNext/>
      <w:spacing w:line="120" w:lineRule="exact"/>
      <w:jc w:val="both"/>
    </w:pPr>
    <w:rPr>
      <w:rFonts w:ascii="Arial" w:hAnsi="Arial"/>
      <w:sz w:val="20"/>
      <w:szCs w:val="20"/>
    </w:rPr>
  </w:style>
  <w:style w:type="paragraph" w:customStyle="1" w:styleId="Heading1nochapterno">
    <w:name w:val="Heading 1 (no chapter no.)"/>
    <w:basedOn w:val="Heading1"/>
    <w:rsid w:val="00BB47C9"/>
    <w:pPr>
      <w:spacing w:before="0"/>
      <w:ind w:left="0" w:firstLine="0"/>
    </w:pPr>
  </w:style>
  <w:style w:type="paragraph" w:customStyle="1" w:styleId="Heading2nosectionno">
    <w:name w:val="Heading 2 (no section no.)"/>
    <w:basedOn w:val="Heading2"/>
    <w:rsid w:val="00BB47C9"/>
    <w:pPr>
      <w:ind w:left="0" w:firstLine="0"/>
    </w:pPr>
  </w:style>
  <w:style w:type="paragraph" w:customStyle="1" w:styleId="Figurespace">
    <w:name w:val="Figure space"/>
    <w:basedOn w:val="Box"/>
    <w:rsid w:val="00BB47C9"/>
    <w:pPr>
      <w:spacing w:before="0" w:line="120" w:lineRule="exact"/>
    </w:pPr>
  </w:style>
  <w:style w:type="paragraph" w:customStyle="1" w:styleId="FooterDraftReport">
    <w:name w:val="FooterDraftReport"/>
    <w:basedOn w:val="Footer"/>
    <w:link w:val="FooterDraftReportChar"/>
    <w:rsid w:val="00BB47C9"/>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FooterDraftReportChar">
    <w:name w:val="FooterDraftReport Char"/>
    <w:basedOn w:val="FooterChar"/>
    <w:link w:val="FooterDraftReport"/>
    <w:rsid w:val="00BB47C9"/>
    <w:rPr>
      <w:rFonts w:cs="Arial"/>
      <w:caps/>
      <w:color w:val="808080"/>
      <w:spacing w:val="-4"/>
      <w:sz w:val="16"/>
      <w14:textFill>
        <w14:solidFill>
          <w14:srgbClr w14:val="808080">
            <w14:lumMod w14:val="50000"/>
            <w14:lumOff w14:val="50000"/>
            <w14:lumMod w14:val="50000"/>
            <w14:lumOff w14:val="50000"/>
            <w14:lumMod w14:val="50000"/>
          </w14:srgbClr>
        </w14:solidFill>
      </w14:textFill>
    </w:rPr>
  </w:style>
  <w:style w:type="character" w:customStyle="1" w:styleId="TOC1Char">
    <w:name w:val="TOC 1 Char"/>
    <w:basedOn w:val="DefaultParagraphFont"/>
    <w:link w:val="TOC1"/>
    <w:rsid w:val="00BB47C9"/>
    <w:rPr>
      <w:b/>
      <w:caps/>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qFormat="1"/>
    <w:lsdException w:name="heading 5" w:qFormat="1"/>
    <w:lsdException w:name="Default Paragraph Font" w:uiPriority="1"/>
    <w:lsdException w:name="Body Text" w:qFormat="1"/>
    <w:lsdException w:name="Subtitle" w:qFormat="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9C2AD2"/>
    <w:rPr>
      <w:sz w:val="26"/>
      <w:szCs w:val="24"/>
    </w:rPr>
  </w:style>
  <w:style w:type="paragraph" w:styleId="Heading1">
    <w:name w:val="heading 1"/>
    <w:basedOn w:val="BodyText"/>
    <w:next w:val="BodyText"/>
    <w:link w:val="Heading1Char"/>
    <w:rsid w:val="009C2AD2"/>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9C2AD2"/>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9C2AD2"/>
    <w:pPr>
      <w:spacing w:before="560" w:line="320" w:lineRule="exact"/>
      <w:ind w:left="0" w:firstLine="0"/>
      <w:outlineLvl w:val="2"/>
    </w:pPr>
    <w:rPr>
      <w:sz w:val="26"/>
    </w:rPr>
  </w:style>
  <w:style w:type="paragraph" w:styleId="Heading4">
    <w:name w:val="heading 4"/>
    <w:basedOn w:val="Heading3"/>
    <w:next w:val="BodyText"/>
    <w:link w:val="Heading4Char"/>
    <w:qFormat/>
    <w:rsid w:val="009C2AD2"/>
    <w:pPr>
      <w:spacing w:before="480"/>
      <w:outlineLvl w:val="3"/>
    </w:pPr>
    <w:rPr>
      <w:b w:val="0"/>
      <w:i/>
      <w:sz w:val="24"/>
    </w:rPr>
  </w:style>
  <w:style w:type="paragraph" w:styleId="Heading5">
    <w:name w:val="heading 5"/>
    <w:basedOn w:val="Heading4"/>
    <w:next w:val="BodyText"/>
    <w:link w:val="Heading5Char"/>
    <w:qFormat/>
    <w:rsid w:val="009C2AD2"/>
    <w:pPr>
      <w:outlineLvl w:val="4"/>
    </w:pPr>
    <w:rPr>
      <w:rFonts w:ascii="Times New Roman" w:hAnsi="Times New Roman"/>
      <w:sz w:val="26"/>
    </w:rPr>
  </w:style>
  <w:style w:type="paragraph" w:styleId="Heading6">
    <w:name w:val="heading 6"/>
    <w:basedOn w:val="BodyText"/>
    <w:next w:val="BodyText"/>
    <w:link w:val="Heading6Char"/>
    <w:rsid w:val="009C2AD2"/>
    <w:pPr>
      <w:spacing w:after="60"/>
      <w:jc w:val="left"/>
      <w:outlineLvl w:val="5"/>
    </w:pPr>
    <w:rPr>
      <w:i/>
      <w:sz w:val="22"/>
    </w:rPr>
  </w:style>
  <w:style w:type="paragraph" w:styleId="Heading7">
    <w:name w:val="heading 7"/>
    <w:basedOn w:val="BodyText"/>
    <w:next w:val="BodyText"/>
    <w:link w:val="Heading7Char"/>
    <w:rsid w:val="009C2AD2"/>
    <w:pPr>
      <w:spacing w:after="60" w:line="240" w:lineRule="auto"/>
      <w:jc w:val="left"/>
      <w:outlineLvl w:val="6"/>
    </w:pPr>
    <w:rPr>
      <w:rFonts w:ascii="Arial" w:hAnsi="Arial"/>
      <w:sz w:val="20"/>
    </w:rPr>
  </w:style>
  <w:style w:type="paragraph" w:styleId="Heading8">
    <w:name w:val="heading 8"/>
    <w:basedOn w:val="BodyText"/>
    <w:next w:val="BodyText"/>
    <w:link w:val="Heading8Char"/>
    <w:rsid w:val="009C2AD2"/>
    <w:pPr>
      <w:spacing w:after="60" w:line="240" w:lineRule="auto"/>
      <w:jc w:val="left"/>
      <w:outlineLvl w:val="7"/>
    </w:pPr>
    <w:rPr>
      <w:rFonts w:ascii="Arial" w:hAnsi="Arial"/>
      <w:i/>
      <w:sz w:val="20"/>
    </w:rPr>
  </w:style>
  <w:style w:type="paragraph" w:styleId="Heading9">
    <w:name w:val="heading 9"/>
    <w:basedOn w:val="BodyText"/>
    <w:next w:val="BodyText"/>
    <w:link w:val="Heading9Char"/>
    <w:rsid w:val="009C2AD2"/>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rsid w:val="009C2AD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C2AD2"/>
  </w:style>
  <w:style w:type="paragraph" w:styleId="BodyText">
    <w:name w:val="Body Text"/>
    <w:link w:val="BodyTextChar"/>
    <w:qFormat/>
    <w:rsid w:val="009C2AD2"/>
    <w:pPr>
      <w:spacing w:before="240" w:line="320" w:lineRule="atLeast"/>
      <w:jc w:val="both"/>
    </w:pPr>
    <w:rPr>
      <w:sz w:val="26"/>
    </w:rPr>
  </w:style>
  <w:style w:type="paragraph" w:styleId="Footer">
    <w:name w:val="footer"/>
    <w:basedOn w:val="BodyText"/>
    <w:link w:val="FooterChar"/>
    <w:semiHidden/>
    <w:rsid w:val="009C2AD2"/>
    <w:pPr>
      <w:spacing w:before="80" w:line="200" w:lineRule="exact"/>
      <w:ind w:right="6"/>
      <w:jc w:val="left"/>
    </w:pPr>
    <w:rPr>
      <w:caps/>
      <w:spacing w:val="-4"/>
      <w:sz w:val="16"/>
    </w:rPr>
  </w:style>
  <w:style w:type="paragraph" w:customStyle="1" w:styleId="FooterEnd">
    <w:name w:val="Footer End"/>
    <w:basedOn w:val="Footer"/>
    <w:rsid w:val="009C2AD2"/>
    <w:pPr>
      <w:spacing w:before="0" w:line="20" w:lineRule="exact"/>
    </w:pPr>
  </w:style>
  <w:style w:type="paragraph" w:styleId="Header">
    <w:name w:val="header"/>
    <w:basedOn w:val="BodyText"/>
    <w:link w:val="HeaderChar"/>
    <w:rsid w:val="009C2AD2"/>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C2AD2"/>
    <w:pPr>
      <w:spacing w:line="20" w:lineRule="exact"/>
    </w:pPr>
    <w:rPr>
      <w:sz w:val="16"/>
    </w:rPr>
  </w:style>
  <w:style w:type="paragraph" w:customStyle="1" w:styleId="HeaderEven">
    <w:name w:val="Header Even"/>
    <w:basedOn w:val="Header"/>
    <w:semiHidden/>
    <w:rsid w:val="009C2AD2"/>
  </w:style>
  <w:style w:type="paragraph" w:customStyle="1" w:styleId="HeaderOdd">
    <w:name w:val="Header Odd"/>
    <w:basedOn w:val="Header"/>
    <w:semiHidden/>
    <w:rsid w:val="009C2AD2"/>
  </w:style>
  <w:style w:type="character" w:styleId="PageNumber">
    <w:name w:val="page number"/>
    <w:basedOn w:val="DefaultParagraphFont"/>
    <w:rsid w:val="009C2AD2"/>
    <w:rPr>
      <w:rFonts w:ascii="Arial" w:hAnsi="Arial"/>
      <w:b/>
      <w:sz w:val="16"/>
    </w:rPr>
  </w:style>
  <w:style w:type="paragraph" w:customStyle="1" w:styleId="Abbreviation">
    <w:name w:val="Abbreviation"/>
    <w:basedOn w:val="BodyText"/>
    <w:rsid w:val="009C2AD2"/>
    <w:pPr>
      <w:spacing w:before="120"/>
      <w:ind w:left="2381" w:hanging="2381"/>
      <w:jc w:val="left"/>
    </w:pPr>
  </w:style>
  <w:style w:type="paragraph" w:customStyle="1" w:styleId="Box">
    <w:name w:val="Box"/>
    <w:basedOn w:val="BodyText"/>
    <w:qFormat/>
    <w:rsid w:val="009C2AD2"/>
    <w:pPr>
      <w:keepNext/>
      <w:spacing w:before="120" w:line="280" w:lineRule="atLeast"/>
    </w:pPr>
    <w:rPr>
      <w:rFonts w:ascii="Arial" w:hAnsi="Arial"/>
      <w:sz w:val="22"/>
    </w:rPr>
  </w:style>
  <w:style w:type="paragraph" w:customStyle="1" w:styleId="BoxContinued">
    <w:name w:val="Box Continued"/>
    <w:basedOn w:val="BodyText"/>
    <w:next w:val="BodyText"/>
    <w:semiHidden/>
    <w:rsid w:val="009C2AD2"/>
    <w:pPr>
      <w:spacing w:before="180" w:line="220" w:lineRule="exact"/>
      <w:jc w:val="right"/>
    </w:pPr>
    <w:rPr>
      <w:rFonts w:ascii="Arial" w:hAnsi="Arial"/>
      <w:sz w:val="18"/>
    </w:rPr>
  </w:style>
  <w:style w:type="paragraph" w:customStyle="1" w:styleId="BoxHeading1">
    <w:name w:val="Box Heading 1"/>
    <w:basedOn w:val="BodyText"/>
    <w:next w:val="Box"/>
    <w:rsid w:val="009C2AD2"/>
    <w:pPr>
      <w:keepNext/>
      <w:spacing w:before="200" w:line="280" w:lineRule="atLeast"/>
    </w:pPr>
    <w:rPr>
      <w:rFonts w:ascii="Arial" w:hAnsi="Arial"/>
      <w:b/>
      <w:sz w:val="22"/>
    </w:rPr>
  </w:style>
  <w:style w:type="paragraph" w:customStyle="1" w:styleId="BoxHeading2">
    <w:name w:val="Box Heading 2"/>
    <w:basedOn w:val="BoxHeading1"/>
    <w:next w:val="Normal"/>
    <w:rsid w:val="009C2AD2"/>
    <w:rPr>
      <w:b w:val="0"/>
      <w:i/>
    </w:rPr>
  </w:style>
  <w:style w:type="paragraph" w:customStyle="1" w:styleId="BoxListBullet">
    <w:name w:val="Box List Bullet"/>
    <w:basedOn w:val="BodyText"/>
    <w:rsid w:val="009C2AD2"/>
    <w:pPr>
      <w:keepNext/>
      <w:numPr>
        <w:numId w:val="6"/>
      </w:numPr>
      <w:spacing w:before="60" w:line="280" w:lineRule="atLeast"/>
    </w:pPr>
    <w:rPr>
      <w:rFonts w:ascii="Arial" w:hAnsi="Arial"/>
      <w:sz w:val="22"/>
    </w:rPr>
  </w:style>
  <w:style w:type="paragraph" w:customStyle="1" w:styleId="BoxListBullet2">
    <w:name w:val="Box List Bullet 2"/>
    <w:basedOn w:val="BodyText"/>
    <w:rsid w:val="009C2AD2"/>
    <w:pPr>
      <w:keepNext/>
      <w:numPr>
        <w:numId w:val="1"/>
      </w:numPr>
      <w:spacing w:before="60" w:line="280" w:lineRule="atLeast"/>
    </w:pPr>
    <w:rPr>
      <w:rFonts w:ascii="Arial" w:hAnsi="Arial"/>
      <w:sz w:val="22"/>
    </w:rPr>
  </w:style>
  <w:style w:type="paragraph" w:customStyle="1" w:styleId="BoxListNumber">
    <w:name w:val="Box List Number"/>
    <w:basedOn w:val="BodyText"/>
    <w:rsid w:val="009C2AD2"/>
    <w:pPr>
      <w:keepNext/>
      <w:numPr>
        <w:numId w:val="9"/>
      </w:numPr>
      <w:spacing w:before="60" w:line="280" w:lineRule="atLeast"/>
    </w:pPr>
    <w:rPr>
      <w:rFonts w:ascii="Arial" w:hAnsi="Arial"/>
      <w:sz w:val="22"/>
    </w:rPr>
  </w:style>
  <w:style w:type="paragraph" w:customStyle="1" w:styleId="BoxListNumber2">
    <w:name w:val="Box List Number 2"/>
    <w:basedOn w:val="BoxListNumber"/>
    <w:rsid w:val="009C2AD2"/>
    <w:pPr>
      <w:numPr>
        <w:ilvl w:val="1"/>
      </w:numPr>
    </w:pPr>
  </w:style>
  <w:style w:type="paragraph" w:customStyle="1" w:styleId="BoxQuote">
    <w:name w:val="Box Quote"/>
    <w:basedOn w:val="BodyText"/>
    <w:next w:val="Box"/>
    <w:rsid w:val="009C2AD2"/>
    <w:pPr>
      <w:keepNext/>
      <w:spacing w:before="60" w:line="260" w:lineRule="exact"/>
      <w:ind w:left="284"/>
    </w:pPr>
    <w:rPr>
      <w:rFonts w:ascii="Arial" w:hAnsi="Arial"/>
      <w:sz w:val="20"/>
    </w:rPr>
  </w:style>
  <w:style w:type="paragraph" w:customStyle="1" w:styleId="Note">
    <w:name w:val="Note"/>
    <w:basedOn w:val="BodyText"/>
    <w:next w:val="BodyText"/>
    <w:link w:val="NoteChar"/>
    <w:rsid w:val="009C2AD2"/>
    <w:pPr>
      <w:keepLines/>
      <w:spacing w:before="80" w:line="220" w:lineRule="exact"/>
    </w:pPr>
    <w:rPr>
      <w:rFonts w:ascii="Arial" w:hAnsi="Arial"/>
      <w:sz w:val="18"/>
    </w:rPr>
  </w:style>
  <w:style w:type="paragraph" w:customStyle="1" w:styleId="Source">
    <w:name w:val="Source"/>
    <w:basedOn w:val="Note"/>
    <w:next w:val="BodyText"/>
    <w:rsid w:val="009C2AD2"/>
    <w:pPr>
      <w:spacing w:after="120"/>
    </w:pPr>
  </w:style>
  <w:style w:type="paragraph" w:customStyle="1" w:styleId="BoxSource">
    <w:name w:val="Box Source"/>
    <w:basedOn w:val="Source"/>
    <w:next w:val="BodyText"/>
    <w:rsid w:val="009C2AD2"/>
    <w:pPr>
      <w:spacing w:before="180" w:after="0"/>
    </w:pPr>
  </w:style>
  <w:style w:type="paragraph" w:customStyle="1" w:styleId="BoxSpace">
    <w:name w:val="Box Space"/>
    <w:basedOn w:val="BodyText"/>
    <w:rsid w:val="00A17328"/>
    <w:pPr>
      <w:keepNext/>
      <w:spacing w:before="360" w:line="80" w:lineRule="exact"/>
      <w:jc w:val="left"/>
    </w:pPr>
  </w:style>
  <w:style w:type="paragraph" w:styleId="Caption">
    <w:name w:val="caption"/>
    <w:basedOn w:val="Normal"/>
    <w:next w:val="BodyText"/>
    <w:rsid w:val="009C2AD2"/>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C2AD2"/>
    <w:pPr>
      <w:spacing w:before="120" w:after="0"/>
      <w:ind w:left="1304" w:hanging="1304"/>
    </w:pPr>
    <w:rPr>
      <w:sz w:val="24"/>
    </w:rPr>
  </w:style>
  <w:style w:type="paragraph" w:customStyle="1" w:styleId="BoxSubtitle">
    <w:name w:val="Box Subtitle"/>
    <w:basedOn w:val="BoxTitle"/>
    <w:next w:val="Normal"/>
    <w:rsid w:val="009C2AD2"/>
    <w:pPr>
      <w:spacing w:after="80" w:line="200" w:lineRule="exact"/>
      <w:ind w:firstLine="0"/>
    </w:pPr>
    <w:rPr>
      <w:b w:val="0"/>
      <w:sz w:val="20"/>
    </w:rPr>
  </w:style>
  <w:style w:type="paragraph" w:customStyle="1" w:styleId="Chapter">
    <w:name w:val="Chapter"/>
    <w:basedOn w:val="Heading1"/>
    <w:next w:val="BodyText"/>
    <w:semiHidden/>
    <w:rsid w:val="009C2AD2"/>
    <w:pPr>
      <w:ind w:left="0" w:firstLine="0"/>
      <w:outlineLvl w:val="9"/>
    </w:pPr>
  </w:style>
  <w:style w:type="paragraph" w:customStyle="1" w:styleId="ChapterSummary">
    <w:name w:val="Chapter Summary"/>
    <w:basedOn w:val="BodyText"/>
    <w:rsid w:val="009C2AD2"/>
    <w:pPr>
      <w:ind w:left="907"/>
    </w:pPr>
    <w:rPr>
      <w:rFonts w:ascii="Arial" w:hAnsi="Arial"/>
      <w:b/>
      <w:sz w:val="22"/>
    </w:rPr>
  </w:style>
  <w:style w:type="character" w:styleId="CommentReference">
    <w:name w:val="annotation reference"/>
    <w:basedOn w:val="DefaultParagraphFont"/>
    <w:semiHidden/>
    <w:rsid w:val="009C2AD2"/>
    <w:rPr>
      <w:b/>
      <w:vanish/>
      <w:color w:val="FF00FF"/>
      <w:sz w:val="20"/>
    </w:rPr>
  </w:style>
  <w:style w:type="paragraph" w:styleId="CommentText">
    <w:name w:val="annotation text"/>
    <w:basedOn w:val="Normal"/>
    <w:link w:val="CommentTextChar"/>
    <w:semiHidden/>
    <w:rsid w:val="009C2AD2"/>
    <w:pPr>
      <w:spacing w:before="120" w:line="240" w:lineRule="atLeast"/>
      <w:ind w:left="567" w:hanging="567"/>
    </w:pPr>
    <w:rPr>
      <w:sz w:val="20"/>
    </w:rPr>
  </w:style>
  <w:style w:type="paragraph" w:customStyle="1" w:styleId="Continued">
    <w:name w:val="Continued"/>
    <w:basedOn w:val="BoxContinued"/>
    <w:next w:val="BodyText"/>
    <w:rsid w:val="009C2AD2"/>
  </w:style>
  <w:style w:type="character" w:customStyle="1" w:styleId="DocumentInfo">
    <w:name w:val="Document Info"/>
    <w:basedOn w:val="DefaultParagraphFont"/>
    <w:semiHidden/>
    <w:rsid w:val="009C2AD2"/>
    <w:rPr>
      <w:rFonts w:ascii="Arial" w:hAnsi="Arial"/>
      <w:sz w:val="14"/>
    </w:rPr>
  </w:style>
  <w:style w:type="character" w:customStyle="1" w:styleId="DraftingNote">
    <w:name w:val="Drafting Note"/>
    <w:basedOn w:val="DefaultParagraphFont"/>
    <w:rsid w:val="009C2AD2"/>
    <w:rPr>
      <w:b/>
      <w:color w:val="FF0000"/>
      <w:sz w:val="24"/>
      <w:u w:val="dotted"/>
    </w:rPr>
  </w:style>
  <w:style w:type="paragraph" w:customStyle="1" w:styleId="Figure">
    <w:name w:val="Figure"/>
    <w:basedOn w:val="BodyText"/>
    <w:rsid w:val="009C2AD2"/>
    <w:pPr>
      <w:keepNext/>
      <w:spacing w:before="120" w:after="120" w:line="240" w:lineRule="atLeast"/>
      <w:jc w:val="center"/>
    </w:pPr>
  </w:style>
  <w:style w:type="paragraph" w:customStyle="1" w:styleId="FigureTitle">
    <w:name w:val="Figure Title"/>
    <w:basedOn w:val="Caption"/>
    <w:next w:val="Subtitle"/>
    <w:link w:val="FigureTitleChar"/>
    <w:rsid w:val="009C2AD2"/>
    <w:rPr>
      <w:sz w:val="24"/>
    </w:rPr>
  </w:style>
  <w:style w:type="paragraph" w:styleId="Subtitle">
    <w:name w:val="Subtitle"/>
    <w:basedOn w:val="Caption"/>
    <w:link w:val="SubtitleChar"/>
    <w:rsid w:val="009C2AD2"/>
    <w:pPr>
      <w:spacing w:before="0" w:line="200" w:lineRule="exact"/>
      <w:ind w:firstLine="0"/>
    </w:pPr>
    <w:rPr>
      <w:b w:val="0"/>
      <w:sz w:val="20"/>
    </w:rPr>
  </w:style>
  <w:style w:type="paragraph" w:customStyle="1" w:styleId="Finding">
    <w:name w:val="Finding"/>
    <w:basedOn w:val="BodyText"/>
    <w:rsid w:val="009C2AD2"/>
    <w:pPr>
      <w:keepLines/>
      <w:spacing w:before="180"/>
    </w:pPr>
    <w:rPr>
      <w:i/>
    </w:rPr>
  </w:style>
  <w:style w:type="paragraph" w:customStyle="1" w:styleId="FindingBullet">
    <w:name w:val="Finding Bullet"/>
    <w:basedOn w:val="Finding"/>
    <w:rsid w:val="009C2AD2"/>
    <w:pPr>
      <w:numPr>
        <w:numId w:val="11"/>
      </w:numPr>
      <w:spacing w:before="80"/>
    </w:pPr>
  </w:style>
  <w:style w:type="paragraph" w:customStyle="1" w:styleId="FindingNoTitle">
    <w:name w:val="Finding NoTitle"/>
    <w:basedOn w:val="Finding"/>
    <w:rsid w:val="009C2AD2"/>
    <w:pPr>
      <w:spacing w:before="240"/>
    </w:pPr>
  </w:style>
  <w:style w:type="paragraph" w:customStyle="1" w:styleId="RecTitle">
    <w:name w:val="Rec Title"/>
    <w:basedOn w:val="BodyText"/>
    <w:next w:val="Normal"/>
    <w:rsid w:val="009C2AD2"/>
    <w:pPr>
      <w:keepNext/>
      <w:keepLines/>
    </w:pPr>
    <w:rPr>
      <w:caps/>
      <w:sz w:val="20"/>
    </w:rPr>
  </w:style>
  <w:style w:type="paragraph" w:customStyle="1" w:styleId="FindingTitle">
    <w:name w:val="Finding Title"/>
    <w:basedOn w:val="RecTitle"/>
    <w:next w:val="Finding"/>
    <w:rsid w:val="009C2AD2"/>
    <w:pPr>
      <w:framePr w:wrap="notBeside" w:hAnchor="text"/>
    </w:pPr>
  </w:style>
  <w:style w:type="character" w:styleId="FootnoteReference">
    <w:name w:val="footnote reference"/>
    <w:basedOn w:val="DefaultParagraphFont"/>
    <w:semiHidden/>
    <w:rsid w:val="009C2AD2"/>
    <w:rPr>
      <w:rFonts w:ascii="Times New Roman" w:hAnsi="Times New Roman"/>
      <w:position w:val="6"/>
      <w:sz w:val="22"/>
      <w:vertAlign w:val="baseline"/>
    </w:rPr>
  </w:style>
  <w:style w:type="paragraph" w:styleId="FootnoteText">
    <w:name w:val="footnote text"/>
    <w:basedOn w:val="BodyText"/>
    <w:link w:val="FootnoteTextChar"/>
    <w:rsid w:val="009C2AD2"/>
    <w:pPr>
      <w:tabs>
        <w:tab w:val="left" w:pos="284"/>
      </w:tabs>
      <w:spacing w:before="80" w:line="260" w:lineRule="exact"/>
      <w:ind w:left="284" w:hanging="284"/>
    </w:pPr>
    <w:rPr>
      <w:sz w:val="22"/>
    </w:rPr>
  </w:style>
  <w:style w:type="paragraph" w:customStyle="1" w:styleId="InformationRequest">
    <w:name w:val="Information Request"/>
    <w:basedOn w:val="Finding"/>
    <w:next w:val="BodyText"/>
    <w:rsid w:val="009C2AD2"/>
    <w:pPr>
      <w:spacing w:before="360" w:after="120"/>
    </w:pPr>
    <w:rPr>
      <w:rFonts w:ascii="Arial" w:hAnsi="Arial"/>
      <w:sz w:val="24"/>
    </w:rPr>
  </w:style>
  <w:style w:type="paragraph" w:customStyle="1" w:styleId="Jurisdictioncommentsbodytext">
    <w:name w:val="Jurisdiction comments body text"/>
    <w:rsid w:val="009C2AD2"/>
    <w:pPr>
      <w:spacing w:after="140"/>
      <w:jc w:val="both"/>
    </w:pPr>
    <w:rPr>
      <w:rFonts w:ascii="Arial" w:hAnsi="Arial"/>
      <w:sz w:val="24"/>
      <w:lang w:eastAsia="en-US"/>
    </w:rPr>
  </w:style>
  <w:style w:type="paragraph" w:customStyle="1" w:styleId="Jurisdictioncommentsheading">
    <w:name w:val="Jurisdiction comments heading"/>
    <w:rsid w:val="009C2AD2"/>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9C2AD2"/>
    <w:pPr>
      <w:numPr>
        <w:numId w:val="14"/>
      </w:numPr>
      <w:spacing w:after="140"/>
      <w:jc w:val="both"/>
    </w:pPr>
    <w:rPr>
      <w:rFonts w:ascii="Arial" w:hAnsi="Arial"/>
      <w:sz w:val="24"/>
      <w:lang w:eastAsia="en-US"/>
    </w:rPr>
  </w:style>
  <w:style w:type="paragraph" w:styleId="ListBullet">
    <w:name w:val="List Bullet"/>
    <w:basedOn w:val="BodyText"/>
    <w:link w:val="ListBulletChar"/>
    <w:rsid w:val="009C2AD2"/>
    <w:pPr>
      <w:numPr>
        <w:numId w:val="12"/>
      </w:numPr>
      <w:spacing w:before="120"/>
    </w:pPr>
  </w:style>
  <w:style w:type="paragraph" w:styleId="ListBullet2">
    <w:name w:val="List Bullet 2"/>
    <w:basedOn w:val="BodyText"/>
    <w:rsid w:val="009C2AD2"/>
    <w:pPr>
      <w:numPr>
        <w:numId w:val="15"/>
      </w:numPr>
      <w:spacing w:before="120"/>
    </w:pPr>
  </w:style>
  <w:style w:type="paragraph" w:styleId="ListBullet3">
    <w:name w:val="List Bullet 3"/>
    <w:basedOn w:val="BodyText"/>
    <w:rsid w:val="009C2AD2"/>
    <w:pPr>
      <w:numPr>
        <w:numId w:val="7"/>
      </w:numPr>
      <w:spacing w:before="120"/>
    </w:pPr>
  </w:style>
  <w:style w:type="paragraph" w:styleId="ListNumber">
    <w:name w:val="List Number"/>
    <w:basedOn w:val="BodyText"/>
    <w:rsid w:val="009C2AD2"/>
    <w:pPr>
      <w:numPr>
        <w:numId w:val="2"/>
      </w:numPr>
      <w:spacing w:before="120"/>
    </w:pPr>
  </w:style>
  <w:style w:type="paragraph" w:styleId="ListNumber2">
    <w:name w:val="List Number 2"/>
    <w:basedOn w:val="ListNumber"/>
    <w:rsid w:val="009C2AD2"/>
    <w:pPr>
      <w:numPr>
        <w:ilvl w:val="1"/>
      </w:numPr>
    </w:pPr>
  </w:style>
  <w:style w:type="paragraph" w:styleId="ListNumber3">
    <w:name w:val="List Number 3"/>
    <w:basedOn w:val="ListNumber2"/>
    <w:rsid w:val="009C2AD2"/>
    <w:pPr>
      <w:numPr>
        <w:ilvl w:val="2"/>
      </w:numPr>
    </w:pPr>
  </w:style>
  <w:style w:type="character" w:customStyle="1" w:styleId="NoteLabel">
    <w:name w:val="Note Label"/>
    <w:basedOn w:val="DefaultParagraphFont"/>
    <w:rsid w:val="009C2AD2"/>
    <w:rPr>
      <w:rFonts w:ascii="Arial" w:hAnsi="Arial"/>
      <w:b/>
      <w:position w:val="6"/>
      <w:sz w:val="18"/>
    </w:rPr>
  </w:style>
  <w:style w:type="paragraph" w:customStyle="1" w:styleId="PartDivider">
    <w:name w:val="Part Divider"/>
    <w:basedOn w:val="BodyText"/>
    <w:next w:val="BodyText"/>
    <w:semiHidden/>
    <w:rsid w:val="009C2AD2"/>
    <w:pPr>
      <w:spacing w:before="0" w:line="40" w:lineRule="exact"/>
      <w:jc w:val="right"/>
    </w:pPr>
    <w:rPr>
      <w:smallCaps/>
      <w:sz w:val="16"/>
    </w:rPr>
  </w:style>
  <w:style w:type="paragraph" w:customStyle="1" w:styleId="PartNumber">
    <w:name w:val="Part Number"/>
    <w:basedOn w:val="BodyText"/>
    <w:next w:val="BodyText"/>
    <w:semiHidden/>
    <w:rsid w:val="009C2AD2"/>
    <w:pPr>
      <w:spacing w:before="4000" w:line="320" w:lineRule="exact"/>
      <w:ind w:left="6634"/>
      <w:jc w:val="right"/>
    </w:pPr>
    <w:rPr>
      <w:smallCaps/>
      <w:spacing w:val="60"/>
      <w:sz w:val="32"/>
    </w:rPr>
  </w:style>
  <w:style w:type="paragraph" w:customStyle="1" w:styleId="PartTitle">
    <w:name w:val="Part Title"/>
    <w:basedOn w:val="BodyText"/>
    <w:semiHidden/>
    <w:rsid w:val="009C2AD2"/>
    <w:pPr>
      <w:spacing w:before="160" w:after="1360" w:line="520" w:lineRule="exact"/>
      <w:ind w:right="2381"/>
      <w:jc w:val="right"/>
    </w:pPr>
    <w:rPr>
      <w:smallCaps/>
      <w:sz w:val="52"/>
    </w:rPr>
  </w:style>
  <w:style w:type="paragraph" w:styleId="Quote">
    <w:name w:val="Quote"/>
    <w:basedOn w:val="BodyText"/>
    <w:next w:val="BodyText"/>
    <w:link w:val="QuoteChar"/>
    <w:qFormat/>
    <w:rsid w:val="009C2AD2"/>
    <w:pPr>
      <w:spacing w:before="120" w:line="280" w:lineRule="exact"/>
      <w:ind w:left="340"/>
    </w:pPr>
    <w:rPr>
      <w:sz w:val="24"/>
    </w:rPr>
  </w:style>
  <w:style w:type="paragraph" w:customStyle="1" w:styleId="QuoteBullet">
    <w:name w:val="Quote Bullet"/>
    <w:basedOn w:val="Quote"/>
    <w:rsid w:val="009C2AD2"/>
    <w:pPr>
      <w:numPr>
        <w:numId w:val="16"/>
      </w:numPr>
    </w:pPr>
  </w:style>
  <w:style w:type="paragraph" w:customStyle="1" w:styleId="Rec">
    <w:name w:val="Rec"/>
    <w:basedOn w:val="BodyText"/>
    <w:rsid w:val="009C2AD2"/>
    <w:pPr>
      <w:keepLines/>
      <w:spacing w:before="180"/>
    </w:pPr>
    <w:rPr>
      <w:b/>
      <w:i/>
    </w:rPr>
  </w:style>
  <w:style w:type="paragraph" w:customStyle="1" w:styleId="RecBullet">
    <w:name w:val="Rec Bullet"/>
    <w:basedOn w:val="Rec"/>
    <w:rsid w:val="009C2AD2"/>
    <w:pPr>
      <w:numPr>
        <w:numId w:val="17"/>
      </w:numPr>
      <w:spacing w:before="80"/>
    </w:pPr>
  </w:style>
  <w:style w:type="paragraph" w:customStyle="1" w:styleId="RecB">
    <w:name w:val="RecB"/>
    <w:basedOn w:val="Normal"/>
    <w:rsid w:val="009C2AD2"/>
    <w:pPr>
      <w:keepLines/>
      <w:pBdr>
        <w:left w:val="single" w:sz="24" w:space="12" w:color="C0C0C0"/>
      </w:pBdr>
      <w:spacing w:before="180" w:line="320" w:lineRule="atLeast"/>
      <w:jc w:val="both"/>
    </w:pPr>
    <w:rPr>
      <w:b/>
      <w:i/>
      <w:szCs w:val="20"/>
    </w:rPr>
  </w:style>
  <w:style w:type="paragraph" w:customStyle="1" w:styleId="RecBBullet">
    <w:name w:val="RecB Bullet"/>
    <w:basedOn w:val="RecB"/>
    <w:rsid w:val="009C2AD2"/>
    <w:pPr>
      <w:numPr>
        <w:numId w:val="18"/>
      </w:numPr>
      <w:spacing w:before="80"/>
    </w:pPr>
  </w:style>
  <w:style w:type="paragraph" w:customStyle="1" w:styleId="RecBNoTitle">
    <w:name w:val="RecB NoTitle"/>
    <w:basedOn w:val="RecB"/>
    <w:rsid w:val="009C2AD2"/>
    <w:pPr>
      <w:spacing w:before="240"/>
    </w:pPr>
  </w:style>
  <w:style w:type="paragraph" w:customStyle="1" w:styleId="Reference">
    <w:name w:val="Reference"/>
    <w:basedOn w:val="BodyText"/>
    <w:link w:val="ReferenceChar"/>
    <w:rsid w:val="009C2AD2"/>
    <w:pPr>
      <w:spacing w:before="120"/>
      <w:ind w:left="340" w:hanging="340"/>
    </w:pPr>
  </w:style>
  <w:style w:type="paragraph" w:customStyle="1" w:styleId="SequenceInfo">
    <w:name w:val="Sequence Info"/>
    <w:basedOn w:val="BodyText"/>
    <w:semiHidden/>
    <w:rsid w:val="009C2AD2"/>
    <w:rPr>
      <w:vanish/>
      <w:sz w:val="16"/>
    </w:rPr>
  </w:style>
  <w:style w:type="paragraph" w:customStyle="1" w:styleId="SideNote">
    <w:name w:val="Side Note"/>
    <w:basedOn w:val="BodyText"/>
    <w:next w:val="BodyText"/>
    <w:semiHidden/>
    <w:rsid w:val="009C2AD2"/>
    <w:pPr>
      <w:keepNext/>
      <w:keepLines/>
      <w:framePr w:w="2155" w:hSpace="227" w:vSpace="181" w:wrap="around" w:vAnchor="text" w:hAnchor="page" w:xAlign="outside" w:y="1"/>
      <w:jc w:val="left"/>
    </w:pPr>
    <w:rPr>
      <w:i/>
      <w:sz w:val="24"/>
    </w:rPr>
  </w:style>
  <w:style w:type="paragraph" w:customStyle="1" w:styleId="SideNoteBullet">
    <w:name w:val="Side Note Bullet"/>
    <w:basedOn w:val="SideNote"/>
    <w:next w:val="BodyText"/>
    <w:semiHidden/>
    <w:rsid w:val="009C2AD2"/>
    <w:pPr>
      <w:framePr w:wrap="around"/>
      <w:numPr>
        <w:numId w:val="19"/>
      </w:numPr>
      <w:tabs>
        <w:tab w:val="left" w:pos="227"/>
      </w:tabs>
    </w:pPr>
  </w:style>
  <w:style w:type="paragraph" w:customStyle="1" w:styleId="SideNoteGraphic">
    <w:name w:val="Side Note Graphic"/>
    <w:basedOn w:val="SideNote"/>
    <w:next w:val="BodyText"/>
    <w:semiHidden/>
    <w:rsid w:val="009C2AD2"/>
    <w:pPr>
      <w:framePr w:wrap="around"/>
    </w:pPr>
  </w:style>
  <w:style w:type="paragraph" w:customStyle="1" w:styleId="TableBodyText">
    <w:name w:val="Table Body Text"/>
    <w:basedOn w:val="BodyText"/>
    <w:link w:val="TableBodyTextChar"/>
    <w:rsid w:val="009C2AD2"/>
    <w:pPr>
      <w:keepNext/>
      <w:keepLines/>
      <w:spacing w:before="0" w:after="40" w:line="220" w:lineRule="atLeast"/>
      <w:ind w:left="6" w:right="113"/>
      <w:jc w:val="right"/>
    </w:pPr>
    <w:rPr>
      <w:rFonts w:ascii="Arial" w:hAnsi="Arial"/>
      <w:sz w:val="20"/>
    </w:rPr>
  </w:style>
  <w:style w:type="paragraph" w:customStyle="1" w:styleId="TableBullet">
    <w:name w:val="Table Bullet"/>
    <w:basedOn w:val="TableBodyText"/>
    <w:link w:val="TableBulletChar"/>
    <w:rsid w:val="009C2AD2"/>
    <w:pPr>
      <w:numPr>
        <w:numId w:val="20"/>
      </w:numPr>
      <w:jc w:val="left"/>
    </w:pPr>
  </w:style>
  <w:style w:type="paragraph" w:customStyle="1" w:styleId="TableColumnHeading">
    <w:name w:val="Table Column Heading"/>
    <w:basedOn w:val="TableBodyText"/>
    <w:rsid w:val="009C2AD2"/>
    <w:pPr>
      <w:spacing w:before="80" w:after="80"/>
    </w:pPr>
    <w:rPr>
      <w:i/>
    </w:rPr>
  </w:style>
  <w:style w:type="paragraph" w:styleId="TOC2">
    <w:name w:val="toc 2"/>
    <w:basedOn w:val="BodyText"/>
    <w:rsid w:val="009C2AD2"/>
    <w:pPr>
      <w:tabs>
        <w:tab w:val="right" w:pos="8789"/>
      </w:tabs>
      <w:ind w:left="510" w:right="851" w:hanging="510"/>
      <w:jc w:val="left"/>
    </w:pPr>
    <w:rPr>
      <w:b/>
    </w:rPr>
  </w:style>
  <w:style w:type="paragraph" w:styleId="TOC3">
    <w:name w:val="toc 3"/>
    <w:basedOn w:val="TOC2"/>
    <w:rsid w:val="009C2AD2"/>
    <w:pPr>
      <w:spacing w:before="60"/>
      <w:ind w:left="1190" w:hanging="680"/>
    </w:pPr>
    <w:rPr>
      <w:b w:val="0"/>
    </w:rPr>
  </w:style>
  <w:style w:type="paragraph" w:styleId="TableofFigures">
    <w:name w:val="table of figures"/>
    <w:basedOn w:val="TOC3"/>
    <w:next w:val="BodyText"/>
    <w:semiHidden/>
    <w:rsid w:val="009C2AD2"/>
    <w:pPr>
      <w:ind w:left="737" w:hanging="737"/>
    </w:pPr>
  </w:style>
  <w:style w:type="paragraph" w:customStyle="1" w:styleId="TableTitle">
    <w:name w:val="Table Title"/>
    <w:basedOn w:val="Caption"/>
    <w:next w:val="Subtitle"/>
    <w:rsid w:val="009C2AD2"/>
    <w:rPr>
      <w:sz w:val="24"/>
    </w:rPr>
  </w:style>
  <w:style w:type="paragraph" w:customStyle="1" w:styleId="TableUnitsRow">
    <w:name w:val="Table Units Row"/>
    <w:basedOn w:val="TableBodyText"/>
    <w:rsid w:val="009C2AD2"/>
    <w:pPr>
      <w:spacing w:before="80" w:after="80"/>
    </w:pPr>
  </w:style>
  <w:style w:type="paragraph" w:styleId="TOC1">
    <w:name w:val="toc 1"/>
    <w:basedOn w:val="Normal"/>
    <w:next w:val="TOC2"/>
    <w:link w:val="TOC1Char"/>
    <w:rsid w:val="009C2AD2"/>
    <w:pPr>
      <w:tabs>
        <w:tab w:val="right" w:pos="8789"/>
      </w:tabs>
      <w:spacing w:before="480" w:after="60" w:line="320" w:lineRule="exact"/>
      <w:ind w:left="1191" w:right="851" w:hanging="1191"/>
    </w:pPr>
    <w:rPr>
      <w:b/>
      <w:caps/>
    </w:rPr>
  </w:style>
  <w:style w:type="paragraph" w:styleId="TOC4">
    <w:name w:val="toc 4"/>
    <w:basedOn w:val="TOC3"/>
    <w:semiHidden/>
    <w:rsid w:val="009C2AD2"/>
    <w:pPr>
      <w:ind w:left="1191" w:firstLine="0"/>
    </w:pPr>
  </w:style>
  <w:style w:type="paragraph" w:customStyle="1" w:styleId="RecBBullet2">
    <w:name w:val="RecB Bullet 2"/>
    <w:basedOn w:val="ListBullet2"/>
    <w:rsid w:val="009C2AD2"/>
    <w:pPr>
      <w:numPr>
        <w:numId w:val="0"/>
      </w:numPr>
      <w:pBdr>
        <w:left w:val="single" w:sz="24" w:space="29" w:color="C0C0C0"/>
      </w:pBdr>
    </w:pPr>
    <w:rPr>
      <w:b/>
      <w:i/>
    </w:rPr>
  </w:style>
  <w:style w:type="paragraph" w:styleId="BalloonText">
    <w:name w:val="Balloon Text"/>
    <w:basedOn w:val="Normal"/>
    <w:link w:val="BalloonTextChar"/>
    <w:rsid w:val="009C2AD2"/>
    <w:rPr>
      <w:rFonts w:ascii="Tahoma" w:hAnsi="Tahoma" w:cs="Tahoma"/>
      <w:sz w:val="16"/>
      <w:szCs w:val="16"/>
    </w:rPr>
  </w:style>
  <w:style w:type="character" w:customStyle="1" w:styleId="BalloonTextChar">
    <w:name w:val="Balloon Text Char"/>
    <w:basedOn w:val="DefaultParagraphFont"/>
    <w:link w:val="BalloonText"/>
    <w:rsid w:val="009C2AD2"/>
    <w:rPr>
      <w:rFonts w:ascii="Tahoma" w:hAnsi="Tahoma" w:cs="Tahoma"/>
      <w:sz w:val="16"/>
      <w:szCs w:val="16"/>
    </w:rPr>
  </w:style>
  <w:style w:type="character" w:customStyle="1" w:styleId="SubtitleChar">
    <w:name w:val="Subtitle Char"/>
    <w:basedOn w:val="DefaultParagraphFont"/>
    <w:link w:val="Subtitle"/>
    <w:rsid w:val="009C2AD2"/>
    <w:rPr>
      <w:rFonts w:ascii="Arial" w:hAnsi="Arial"/>
      <w:szCs w:val="24"/>
    </w:rPr>
  </w:style>
  <w:style w:type="paragraph" w:customStyle="1" w:styleId="BoxListBullet3">
    <w:name w:val="Box List Bullet 3"/>
    <w:basedOn w:val="ListBullet3"/>
    <w:rsid w:val="009C2AD2"/>
    <w:pPr>
      <w:numPr>
        <w:numId w:val="8"/>
      </w:numPr>
      <w:tabs>
        <w:tab w:val="left" w:pos="907"/>
      </w:tabs>
      <w:spacing w:before="60" w:line="280" w:lineRule="atLeast"/>
    </w:pPr>
    <w:rPr>
      <w:rFonts w:ascii="Arial" w:hAnsi="Arial"/>
      <w:sz w:val="22"/>
    </w:rPr>
  </w:style>
  <w:style w:type="character" w:styleId="Emphasis">
    <w:name w:val="Emphasis"/>
    <w:basedOn w:val="DefaultParagraphFont"/>
    <w:rsid w:val="009C2AD2"/>
    <w:rPr>
      <w:i/>
      <w:iCs/>
    </w:rPr>
  </w:style>
  <w:style w:type="character" w:customStyle="1" w:styleId="BodyTextChar">
    <w:name w:val="Body Text Char"/>
    <w:basedOn w:val="DefaultParagraphFont"/>
    <w:link w:val="BodyText"/>
    <w:locked/>
    <w:rsid w:val="009C2AD2"/>
    <w:rPr>
      <w:sz w:val="26"/>
    </w:rPr>
  </w:style>
  <w:style w:type="character" w:customStyle="1" w:styleId="NoteChar">
    <w:name w:val="Note Char"/>
    <w:link w:val="Note"/>
    <w:locked/>
    <w:rsid w:val="0028355C"/>
    <w:rPr>
      <w:rFonts w:ascii="Arial" w:hAnsi="Arial"/>
      <w:sz w:val="18"/>
    </w:rPr>
  </w:style>
  <w:style w:type="character" w:customStyle="1" w:styleId="FigureTitleChar">
    <w:name w:val="Figure Title Char"/>
    <w:link w:val="FigureTitle"/>
    <w:locked/>
    <w:rsid w:val="0028355C"/>
    <w:rPr>
      <w:rFonts w:ascii="Arial" w:hAnsi="Arial"/>
      <w:b/>
      <w:sz w:val="24"/>
      <w:szCs w:val="24"/>
    </w:rPr>
  </w:style>
  <w:style w:type="character" w:customStyle="1" w:styleId="Heading2Char">
    <w:name w:val="Heading 2 Char"/>
    <w:basedOn w:val="DefaultParagraphFont"/>
    <w:link w:val="Heading2"/>
    <w:locked/>
    <w:rsid w:val="009C2AD2"/>
    <w:rPr>
      <w:rFonts w:ascii="Arial" w:hAnsi="Arial"/>
      <w:b/>
      <w:sz w:val="32"/>
    </w:rPr>
  </w:style>
  <w:style w:type="character" w:customStyle="1" w:styleId="ListBulletChar">
    <w:name w:val="List Bullet Char"/>
    <w:basedOn w:val="BodyTextChar"/>
    <w:link w:val="ListBullet"/>
    <w:locked/>
    <w:rsid w:val="00932359"/>
    <w:rPr>
      <w:sz w:val="26"/>
    </w:rPr>
  </w:style>
  <w:style w:type="character" w:customStyle="1" w:styleId="TableBodyTextChar">
    <w:name w:val="Table Body Text Char"/>
    <w:link w:val="TableBodyText"/>
    <w:locked/>
    <w:rsid w:val="00932359"/>
    <w:rPr>
      <w:rFonts w:ascii="Arial" w:hAnsi="Arial"/>
    </w:rPr>
  </w:style>
  <w:style w:type="character" w:customStyle="1" w:styleId="TableBulletChar">
    <w:name w:val="Table Bullet Char"/>
    <w:basedOn w:val="TableBodyTextChar"/>
    <w:link w:val="TableBullet"/>
    <w:locked/>
    <w:rsid w:val="00B0152F"/>
    <w:rPr>
      <w:rFonts w:ascii="Arial" w:hAnsi="Arial"/>
    </w:rPr>
  </w:style>
  <w:style w:type="character" w:styleId="Hyperlink">
    <w:name w:val="Hyperlink"/>
    <w:basedOn w:val="DefaultParagraphFont"/>
    <w:rsid w:val="00017EB5"/>
    <w:rPr>
      <w:color w:val="0000FF" w:themeColor="hyperlink"/>
      <w:u w:val="single"/>
    </w:rPr>
  </w:style>
  <w:style w:type="character" w:styleId="FollowedHyperlink">
    <w:name w:val="FollowedHyperlink"/>
    <w:basedOn w:val="DefaultParagraphFont"/>
    <w:rsid w:val="00D63D34"/>
    <w:rPr>
      <w:color w:val="800080" w:themeColor="followedHyperlink"/>
      <w:u w:val="single"/>
    </w:rPr>
  </w:style>
  <w:style w:type="character" w:customStyle="1" w:styleId="Heading3Char">
    <w:name w:val="Heading 3 Char"/>
    <w:basedOn w:val="DefaultParagraphFont"/>
    <w:link w:val="Heading3"/>
    <w:locked/>
    <w:rsid w:val="009C2AD2"/>
    <w:rPr>
      <w:rFonts w:ascii="Arial" w:hAnsi="Arial"/>
      <w:b/>
      <w:sz w:val="26"/>
    </w:rPr>
  </w:style>
  <w:style w:type="paragraph" w:styleId="CommentSubject">
    <w:name w:val="annotation subject"/>
    <w:basedOn w:val="CommentText"/>
    <w:next w:val="CommentText"/>
    <w:link w:val="CommentSubjectChar"/>
    <w:rsid w:val="008F5813"/>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9C2AD2"/>
    <w:rPr>
      <w:szCs w:val="24"/>
    </w:rPr>
  </w:style>
  <w:style w:type="character" w:customStyle="1" w:styleId="CommentSubjectChar">
    <w:name w:val="Comment Subject Char"/>
    <w:basedOn w:val="CommentTextChar"/>
    <w:link w:val="CommentSubject"/>
    <w:rsid w:val="008F5813"/>
    <w:rPr>
      <w:b/>
      <w:bCs/>
      <w:szCs w:val="24"/>
    </w:rPr>
  </w:style>
  <w:style w:type="table" w:styleId="TableGrid">
    <w:name w:val="Table Grid"/>
    <w:basedOn w:val="TableNormal"/>
    <w:rsid w:val="00BB47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9516C3"/>
    <w:pPr>
      <w:spacing w:after="115"/>
    </w:pPr>
    <w:rPr>
      <w:sz w:val="24"/>
    </w:rPr>
  </w:style>
  <w:style w:type="paragraph" w:customStyle="1" w:styleId="Tabletext">
    <w:name w:val="Table text"/>
    <w:next w:val="Normal"/>
    <w:rsid w:val="00311D2B"/>
    <w:pPr>
      <w:spacing w:before="80"/>
    </w:pPr>
    <w:rPr>
      <w:rFonts w:ascii="Arial" w:hAnsi="Arial"/>
      <w:sz w:val="16"/>
    </w:rPr>
  </w:style>
  <w:style w:type="paragraph" w:customStyle="1" w:styleId="MtgPaperDotpoint1">
    <w:name w:val="Mtg Paper Dotpoint1"/>
    <w:basedOn w:val="Normal"/>
    <w:rsid w:val="00941DB2"/>
    <w:pPr>
      <w:numPr>
        <w:numId w:val="4"/>
      </w:numPr>
      <w:tabs>
        <w:tab w:val="left" w:pos="1080"/>
      </w:tabs>
      <w:spacing w:after="80"/>
    </w:pPr>
    <w:rPr>
      <w:rFonts w:ascii="Verdana" w:hAnsi="Verdana" w:cs="Arial"/>
      <w:sz w:val="20"/>
      <w:szCs w:val="20"/>
      <w:lang w:val="en-US" w:eastAsia="en-US"/>
    </w:rPr>
  </w:style>
  <w:style w:type="paragraph" w:customStyle="1" w:styleId="Text">
    <w:name w:val="Text"/>
    <w:link w:val="TextChar"/>
    <w:rsid w:val="00941DB2"/>
    <w:pPr>
      <w:spacing w:before="200" w:line="260" w:lineRule="exact"/>
    </w:pPr>
    <w:rPr>
      <w:rFonts w:ascii="Garamond" w:hAnsi="Garamond"/>
      <w:sz w:val="22"/>
    </w:rPr>
  </w:style>
  <w:style w:type="character" w:customStyle="1" w:styleId="TextChar">
    <w:name w:val="Text Char"/>
    <w:basedOn w:val="DefaultParagraphFont"/>
    <w:link w:val="Text"/>
    <w:rsid w:val="00941DB2"/>
    <w:rPr>
      <w:rFonts w:ascii="Garamond" w:hAnsi="Garamond"/>
      <w:sz w:val="22"/>
    </w:rPr>
  </w:style>
  <w:style w:type="paragraph" w:customStyle="1" w:styleId="tabletitle0">
    <w:name w:val="tabletitle"/>
    <w:next w:val="Text"/>
    <w:rsid w:val="00941DB2"/>
    <w:pPr>
      <w:tabs>
        <w:tab w:val="left" w:pos="992"/>
      </w:tabs>
      <w:spacing w:before="360" w:after="80"/>
    </w:pPr>
    <w:rPr>
      <w:rFonts w:ascii="Arial" w:hAnsi="Arial"/>
      <w:b/>
      <w:sz w:val="17"/>
    </w:rPr>
  </w:style>
  <w:style w:type="paragraph" w:customStyle="1" w:styleId="Tablehead1">
    <w:name w:val="Tablehead1"/>
    <w:rsid w:val="00941DB2"/>
    <w:pPr>
      <w:spacing w:before="80" w:after="80"/>
    </w:pPr>
    <w:rPr>
      <w:rFonts w:ascii="Arial" w:hAnsi="Arial"/>
      <w:b/>
      <w:sz w:val="17"/>
    </w:rPr>
  </w:style>
  <w:style w:type="paragraph" w:customStyle="1" w:styleId="Tablehead2">
    <w:name w:val="Tablehead2"/>
    <w:basedOn w:val="Tablehead1"/>
    <w:rsid w:val="00941DB2"/>
    <w:pPr>
      <w:tabs>
        <w:tab w:val="left" w:pos="992"/>
      </w:tabs>
      <w:spacing w:before="20" w:after="20"/>
    </w:pPr>
    <w:rPr>
      <w:b w:val="0"/>
    </w:rPr>
  </w:style>
  <w:style w:type="paragraph" w:styleId="ListParagraph">
    <w:name w:val="List Paragraph"/>
    <w:basedOn w:val="Normal"/>
    <w:uiPriority w:val="34"/>
    <w:qFormat/>
    <w:rsid w:val="00941DB2"/>
    <w:pPr>
      <w:widowControl w:val="0"/>
      <w:spacing w:before="60" w:after="60"/>
      <w:ind w:left="720"/>
      <w:contextualSpacing/>
    </w:pPr>
    <w:rPr>
      <w:sz w:val="24"/>
      <w:szCs w:val="20"/>
      <w:lang w:eastAsia="en-US"/>
    </w:rPr>
  </w:style>
  <w:style w:type="paragraph" w:styleId="Revision">
    <w:name w:val="Revision"/>
    <w:hidden/>
    <w:uiPriority w:val="99"/>
    <w:semiHidden/>
    <w:rsid w:val="006D2F6A"/>
    <w:rPr>
      <w:sz w:val="26"/>
      <w:szCs w:val="24"/>
    </w:rPr>
  </w:style>
  <w:style w:type="character" w:customStyle="1" w:styleId="ReferenceChar">
    <w:name w:val="Reference Char"/>
    <w:basedOn w:val="DefaultParagraphFont"/>
    <w:link w:val="Reference"/>
    <w:rsid w:val="005239AE"/>
    <w:rPr>
      <w:sz w:val="26"/>
    </w:rPr>
  </w:style>
  <w:style w:type="paragraph" w:customStyle="1" w:styleId="Default">
    <w:name w:val="Default"/>
    <w:rsid w:val="00DA4676"/>
    <w:pPr>
      <w:autoSpaceDE w:val="0"/>
      <w:autoSpaceDN w:val="0"/>
      <w:adjustRightInd w:val="0"/>
    </w:pPr>
    <w:rPr>
      <w:rFonts w:ascii="Arial" w:hAnsi="Arial" w:cs="Arial"/>
      <w:color w:val="000000"/>
      <w:sz w:val="24"/>
      <w:szCs w:val="24"/>
    </w:rPr>
  </w:style>
  <w:style w:type="paragraph" w:customStyle="1" w:styleId="BoxQuoteBullet">
    <w:name w:val="Box Quote Bullet"/>
    <w:basedOn w:val="BoxQuote"/>
    <w:next w:val="Box"/>
    <w:rsid w:val="009C2AD2"/>
    <w:pPr>
      <w:numPr>
        <w:numId w:val="10"/>
      </w:numPr>
    </w:pPr>
  </w:style>
  <w:style w:type="paragraph" w:customStyle="1" w:styleId="BoxSpaceAbove">
    <w:name w:val="Box Space Above"/>
    <w:basedOn w:val="BodyText"/>
    <w:rsid w:val="009C2AD2"/>
    <w:pPr>
      <w:keepNext/>
      <w:spacing w:before="360" w:line="80" w:lineRule="exact"/>
      <w:jc w:val="left"/>
    </w:pPr>
  </w:style>
  <w:style w:type="paragraph" w:customStyle="1" w:styleId="BoxSpaceBelow">
    <w:name w:val="Box Space Below"/>
    <w:basedOn w:val="Box"/>
    <w:rsid w:val="009C2AD2"/>
    <w:pPr>
      <w:keepNext w:val="0"/>
      <w:spacing w:before="60" w:after="60" w:line="80" w:lineRule="exact"/>
    </w:pPr>
    <w:rPr>
      <w:sz w:val="14"/>
    </w:rPr>
  </w:style>
  <w:style w:type="character" w:customStyle="1" w:styleId="Heading1Char">
    <w:name w:val="Heading 1 Char"/>
    <w:basedOn w:val="DefaultParagraphFont"/>
    <w:link w:val="Heading1"/>
    <w:rsid w:val="009C2AD2"/>
    <w:rPr>
      <w:sz w:val="52"/>
    </w:rPr>
  </w:style>
  <w:style w:type="character" w:customStyle="1" w:styleId="FooterChar">
    <w:name w:val="Footer Char"/>
    <w:basedOn w:val="DefaultParagraphFont"/>
    <w:link w:val="Footer"/>
    <w:semiHidden/>
    <w:rsid w:val="009C2AD2"/>
    <w:rPr>
      <w:caps/>
      <w:spacing w:val="-4"/>
      <w:sz w:val="16"/>
    </w:rPr>
  </w:style>
  <w:style w:type="character" w:customStyle="1" w:styleId="FootnoteTextChar">
    <w:name w:val="Footnote Text Char"/>
    <w:basedOn w:val="DefaultParagraphFont"/>
    <w:link w:val="FootnoteText"/>
    <w:rsid w:val="009C2AD2"/>
    <w:rPr>
      <w:sz w:val="22"/>
    </w:rPr>
  </w:style>
  <w:style w:type="character" w:customStyle="1" w:styleId="HeaderChar">
    <w:name w:val="Header Char"/>
    <w:basedOn w:val="DefaultParagraphFont"/>
    <w:link w:val="Header"/>
    <w:rsid w:val="009C2AD2"/>
    <w:rPr>
      <w:rFonts w:ascii="Arial" w:hAnsi="Arial"/>
      <w:caps/>
      <w:sz w:val="26"/>
    </w:rPr>
  </w:style>
  <w:style w:type="character" w:customStyle="1" w:styleId="Heading4Char">
    <w:name w:val="Heading 4 Char"/>
    <w:basedOn w:val="DefaultParagraphFont"/>
    <w:link w:val="Heading4"/>
    <w:rsid w:val="009C2AD2"/>
    <w:rPr>
      <w:rFonts w:ascii="Arial" w:hAnsi="Arial"/>
      <w:i/>
      <w:sz w:val="24"/>
    </w:rPr>
  </w:style>
  <w:style w:type="character" w:customStyle="1" w:styleId="Heading5Char">
    <w:name w:val="Heading 5 Char"/>
    <w:basedOn w:val="DefaultParagraphFont"/>
    <w:link w:val="Heading5"/>
    <w:rsid w:val="009C2AD2"/>
    <w:rPr>
      <w:i/>
      <w:sz w:val="26"/>
    </w:rPr>
  </w:style>
  <w:style w:type="character" w:customStyle="1" w:styleId="Heading6Char">
    <w:name w:val="Heading 6 Char"/>
    <w:basedOn w:val="DefaultParagraphFont"/>
    <w:link w:val="Heading6"/>
    <w:rsid w:val="009C2AD2"/>
    <w:rPr>
      <w:i/>
      <w:sz w:val="22"/>
    </w:rPr>
  </w:style>
  <w:style w:type="character" w:customStyle="1" w:styleId="Heading7Char">
    <w:name w:val="Heading 7 Char"/>
    <w:basedOn w:val="DefaultParagraphFont"/>
    <w:link w:val="Heading7"/>
    <w:rsid w:val="009C2AD2"/>
    <w:rPr>
      <w:rFonts w:ascii="Arial" w:hAnsi="Arial"/>
    </w:rPr>
  </w:style>
  <w:style w:type="character" w:customStyle="1" w:styleId="Heading8Char">
    <w:name w:val="Heading 8 Char"/>
    <w:basedOn w:val="DefaultParagraphFont"/>
    <w:link w:val="Heading8"/>
    <w:rsid w:val="009C2AD2"/>
    <w:rPr>
      <w:rFonts w:ascii="Arial" w:hAnsi="Arial"/>
      <w:i/>
    </w:rPr>
  </w:style>
  <w:style w:type="character" w:customStyle="1" w:styleId="Heading9Char">
    <w:name w:val="Heading 9 Char"/>
    <w:basedOn w:val="DefaultParagraphFont"/>
    <w:link w:val="Heading9"/>
    <w:rsid w:val="009C2AD2"/>
    <w:rPr>
      <w:rFonts w:ascii="Arial" w:hAnsi="Arial"/>
      <w:b/>
      <w:i/>
      <w:sz w:val="18"/>
    </w:rPr>
  </w:style>
  <w:style w:type="paragraph" w:customStyle="1" w:styleId="InformationRequestBullet">
    <w:name w:val="Information Request Bullet"/>
    <w:basedOn w:val="ListBullet"/>
    <w:next w:val="BodyText"/>
    <w:rsid w:val="009C2AD2"/>
    <w:pPr>
      <w:numPr>
        <w:numId w:val="13"/>
      </w:numPr>
    </w:pPr>
    <w:rPr>
      <w:rFonts w:ascii="Arial" w:hAnsi="Arial"/>
      <w:i/>
      <w:sz w:val="24"/>
    </w:rPr>
  </w:style>
  <w:style w:type="character" w:customStyle="1" w:styleId="QuoteChar">
    <w:name w:val="Quote Char"/>
    <w:basedOn w:val="DefaultParagraphFont"/>
    <w:link w:val="Quote"/>
    <w:rsid w:val="009C2AD2"/>
    <w:rPr>
      <w:sz w:val="24"/>
    </w:rPr>
  </w:style>
  <w:style w:type="paragraph" w:customStyle="1" w:styleId="KeyPointsListBullet">
    <w:name w:val="Key Points List Bullet"/>
    <w:basedOn w:val="Normal"/>
    <w:qFormat/>
    <w:rsid w:val="00BB47C9"/>
    <w:pPr>
      <w:keepNext/>
      <w:numPr>
        <w:numId w:val="6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BB47C9"/>
    <w:pPr>
      <w:numPr>
        <w:numId w:val="61"/>
      </w:numPr>
      <w:ind w:left="568" w:hanging="284"/>
    </w:pPr>
  </w:style>
  <w:style w:type="paragraph" w:customStyle="1" w:styleId="InformationRequestTitle">
    <w:name w:val="Information Request Title"/>
    <w:basedOn w:val="FindingTitle"/>
    <w:next w:val="InformationRequest"/>
    <w:rsid w:val="00BB47C9"/>
    <w:pPr>
      <w:framePr w:wrap="notBeside"/>
    </w:pPr>
    <w:rPr>
      <w:i/>
    </w:rPr>
  </w:style>
  <w:style w:type="paragraph" w:customStyle="1" w:styleId="Space">
    <w:name w:val="Space"/>
    <w:basedOn w:val="Normal"/>
    <w:rsid w:val="00BB47C9"/>
    <w:pPr>
      <w:keepNext/>
      <w:spacing w:line="120" w:lineRule="exact"/>
      <w:jc w:val="both"/>
    </w:pPr>
    <w:rPr>
      <w:rFonts w:ascii="Arial" w:hAnsi="Arial"/>
      <w:sz w:val="20"/>
      <w:szCs w:val="20"/>
    </w:rPr>
  </w:style>
  <w:style w:type="paragraph" w:customStyle="1" w:styleId="Heading1nochapterno">
    <w:name w:val="Heading 1 (no chapter no.)"/>
    <w:basedOn w:val="Heading1"/>
    <w:rsid w:val="00BB47C9"/>
    <w:pPr>
      <w:spacing w:before="0"/>
      <w:ind w:left="0" w:firstLine="0"/>
    </w:pPr>
  </w:style>
  <w:style w:type="paragraph" w:customStyle="1" w:styleId="Heading2nosectionno">
    <w:name w:val="Heading 2 (no section no.)"/>
    <w:basedOn w:val="Heading2"/>
    <w:rsid w:val="00BB47C9"/>
    <w:pPr>
      <w:ind w:left="0" w:firstLine="0"/>
    </w:pPr>
  </w:style>
  <w:style w:type="paragraph" w:customStyle="1" w:styleId="Figurespace">
    <w:name w:val="Figure space"/>
    <w:basedOn w:val="Box"/>
    <w:rsid w:val="00BB47C9"/>
    <w:pPr>
      <w:spacing w:before="0" w:line="120" w:lineRule="exact"/>
    </w:pPr>
  </w:style>
  <w:style w:type="paragraph" w:customStyle="1" w:styleId="FooterDraftReport">
    <w:name w:val="FooterDraftReport"/>
    <w:basedOn w:val="Footer"/>
    <w:link w:val="FooterDraftReportChar"/>
    <w:rsid w:val="00BB47C9"/>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FooterDraftReportChar">
    <w:name w:val="FooterDraftReport Char"/>
    <w:basedOn w:val="FooterChar"/>
    <w:link w:val="FooterDraftReport"/>
    <w:rsid w:val="00BB47C9"/>
    <w:rPr>
      <w:rFonts w:cs="Arial"/>
      <w:caps/>
      <w:color w:val="808080"/>
      <w:spacing w:val="-4"/>
      <w:sz w:val="16"/>
      <w14:textFill>
        <w14:solidFill>
          <w14:srgbClr w14:val="808080">
            <w14:lumMod w14:val="50000"/>
            <w14:lumOff w14:val="50000"/>
            <w14:lumMod w14:val="50000"/>
            <w14:lumOff w14:val="50000"/>
            <w14:lumMod w14:val="50000"/>
          </w14:srgbClr>
        </w14:solidFill>
      </w14:textFill>
    </w:rPr>
  </w:style>
  <w:style w:type="character" w:customStyle="1" w:styleId="TOC1Char">
    <w:name w:val="TOC 1 Char"/>
    <w:basedOn w:val="DefaultParagraphFont"/>
    <w:link w:val="TOC1"/>
    <w:rsid w:val="00BB47C9"/>
    <w:rPr>
      <w:b/>
      <w:caps/>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440">
      <w:bodyDiv w:val="1"/>
      <w:marLeft w:val="0"/>
      <w:marRight w:val="0"/>
      <w:marTop w:val="0"/>
      <w:marBottom w:val="0"/>
      <w:divBdr>
        <w:top w:val="none" w:sz="0" w:space="0" w:color="auto"/>
        <w:left w:val="none" w:sz="0" w:space="0" w:color="auto"/>
        <w:bottom w:val="none" w:sz="0" w:space="0" w:color="auto"/>
        <w:right w:val="none" w:sz="0" w:space="0" w:color="auto"/>
      </w:divBdr>
    </w:div>
    <w:div w:id="20475272">
      <w:bodyDiv w:val="1"/>
      <w:marLeft w:val="0"/>
      <w:marRight w:val="0"/>
      <w:marTop w:val="0"/>
      <w:marBottom w:val="0"/>
      <w:divBdr>
        <w:top w:val="none" w:sz="0" w:space="0" w:color="auto"/>
        <w:left w:val="none" w:sz="0" w:space="0" w:color="auto"/>
        <w:bottom w:val="none" w:sz="0" w:space="0" w:color="auto"/>
        <w:right w:val="none" w:sz="0" w:space="0" w:color="auto"/>
      </w:divBdr>
    </w:div>
    <w:div w:id="31459891">
      <w:bodyDiv w:val="1"/>
      <w:marLeft w:val="0"/>
      <w:marRight w:val="0"/>
      <w:marTop w:val="0"/>
      <w:marBottom w:val="0"/>
      <w:divBdr>
        <w:top w:val="none" w:sz="0" w:space="0" w:color="auto"/>
        <w:left w:val="none" w:sz="0" w:space="0" w:color="auto"/>
        <w:bottom w:val="none" w:sz="0" w:space="0" w:color="auto"/>
        <w:right w:val="none" w:sz="0" w:space="0" w:color="auto"/>
      </w:divBdr>
    </w:div>
    <w:div w:id="276839551">
      <w:bodyDiv w:val="1"/>
      <w:marLeft w:val="0"/>
      <w:marRight w:val="0"/>
      <w:marTop w:val="0"/>
      <w:marBottom w:val="0"/>
      <w:divBdr>
        <w:top w:val="none" w:sz="0" w:space="0" w:color="auto"/>
        <w:left w:val="none" w:sz="0" w:space="0" w:color="auto"/>
        <w:bottom w:val="none" w:sz="0" w:space="0" w:color="auto"/>
        <w:right w:val="none" w:sz="0" w:space="0" w:color="auto"/>
      </w:divBdr>
    </w:div>
    <w:div w:id="340395694">
      <w:bodyDiv w:val="1"/>
      <w:marLeft w:val="0"/>
      <w:marRight w:val="0"/>
      <w:marTop w:val="0"/>
      <w:marBottom w:val="0"/>
      <w:divBdr>
        <w:top w:val="none" w:sz="0" w:space="0" w:color="auto"/>
        <w:left w:val="none" w:sz="0" w:space="0" w:color="auto"/>
        <w:bottom w:val="none" w:sz="0" w:space="0" w:color="auto"/>
        <w:right w:val="none" w:sz="0" w:space="0" w:color="auto"/>
      </w:divBdr>
    </w:div>
    <w:div w:id="363602866">
      <w:bodyDiv w:val="1"/>
      <w:marLeft w:val="0"/>
      <w:marRight w:val="0"/>
      <w:marTop w:val="0"/>
      <w:marBottom w:val="0"/>
      <w:divBdr>
        <w:top w:val="none" w:sz="0" w:space="0" w:color="auto"/>
        <w:left w:val="none" w:sz="0" w:space="0" w:color="auto"/>
        <w:bottom w:val="none" w:sz="0" w:space="0" w:color="auto"/>
        <w:right w:val="none" w:sz="0" w:space="0" w:color="auto"/>
      </w:divBdr>
    </w:div>
    <w:div w:id="370157643">
      <w:bodyDiv w:val="1"/>
      <w:marLeft w:val="0"/>
      <w:marRight w:val="0"/>
      <w:marTop w:val="0"/>
      <w:marBottom w:val="0"/>
      <w:divBdr>
        <w:top w:val="none" w:sz="0" w:space="0" w:color="auto"/>
        <w:left w:val="none" w:sz="0" w:space="0" w:color="auto"/>
        <w:bottom w:val="none" w:sz="0" w:space="0" w:color="auto"/>
        <w:right w:val="none" w:sz="0" w:space="0" w:color="auto"/>
      </w:divBdr>
    </w:div>
    <w:div w:id="383873711">
      <w:bodyDiv w:val="1"/>
      <w:marLeft w:val="0"/>
      <w:marRight w:val="0"/>
      <w:marTop w:val="0"/>
      <w:marBottom w:val="0"/>
      <w:divBdr>
        <w:top w:val="none" w:sz="0" w:space="0" w:color="auto"/>
        <w:left w:val="none" w:sz="0" w:space="0" w:color="auto"/>
        <w:bottom w:val="none" w:sz="0" w:space="0" w:color="auto"/>
        <w:right w:val="none" w:sz="0" w:space="0" w:color="auto"/>
      </w:divBdr>
    </w:div>
    <w:div w:id="435642148">
      <w:bodyDiv w:val="1"/>
      <w:marLeft w:val="0"/>
      <w:marRight w:val="0"/>
      <w:marTop w:val="0"/>
      <w:marBottom w:val="0"/>
      <w:divBdr>
        <w:top w:val="none" w:sz="0" w:space="0" w:color="auto"/>
        <w:left w:val="none" w:sz="0" w:space="0" w:color="auto"/>
        <w:bottom w:val="none" w:sz="0" w:space="0" w:color="auto"/>
        <w:right w:val="none" w:sz="0" w:space="0" w:color="auto"/>
      </w:divBdr>
    </w:div>
    <w:div w:id="456146599">
      <w:bodyDiv w:val="1"/>
      <w:marLeft w:val="0"/>
      <w:marRight w:val="0"/>
      <w:marTop w:val="0"/>
      <w:marBottom w:val="0"/>
      <w:divBdr>
        <w:top w:val="none" w:sz="0" w:space="0" w:color="auto"/>
        <w:left w:val="none" w:sz="0" w:space="0" w:color="auto"/>
        <w:bottom w:val="none" w:sz="0" w:space="0" w:color="auto"/>
        <w:right w:val="none" w:sz="0" w:space="0" w:color="auto"/>
      </w:divBdr>
    </w:div>
    <w:div w:id="538902874">
      <w:bodyDiv w:val="1"/>
      <w:marLeft w:val="0"/>
      <w:marRight w:val="0"/>
      <w:marTop w:val="0"/>
      <w:marBottom w:val="0"/>
      <w:divBdr>
        <w:top w:val="none" w:sz="0" w:space="0" w:color="auto"/>
        <w:left w:val="none" w:sz="0" w:space="0" w:color="auto"/>
        <w:bottom w:val="none" w:sz="0" w:space="0" w:color="auto"/>
        <w:right w:val="none" w:sz="0" w:space="0" w:color="auto"/>
      </w:divBdr>
    </w:div>
    <w:div w:id="589436902">
      <w:bodyDiv w:val="1"/>
      <w:marLeft w:val="0"/>
      <w:marRight w:val="0"/>
      <w:marTop w:val="0"/>
      <w:marBottom w:val="0"/>
      <w:divBdr>
        <w:top w:val="none" w:sz="0" w:space="0" w:color="auto"/>
        <w:left w:val="none" w:sz="0" w:space="0" w:color="auto"/>
        <w:bottom w:val="none" w:sz="0" w:space="0" w:color="auto"/>
        <w:right w:val="none" w:sz="0" w:space="0" w:color="auto"/>
      </w:divBdr>
    </w:div>
    <w:div w:id="681862735">
      <w:bodyDiv w:val="1"/>
      <w:marLeft w:val="0"/>
      <w:marRight w:val="0"/>
      <w:marTop w:val="0"/>
      <w:marBottom w:val="0"/>
      <w:divBdr>
        <w:top w:val="none" w:sz="0" w:space="0" w:color="auto"/>
        <w:left w:val="none" w:sz="0" w:space="0" w:color="auto"/>
        <w:bottom w:val="none" w:sz="0" w:space="0" w:color="auto"/>
        <w:right w:val="none" w:sz="0" w:space="0" w:color="auto"/>
      </w:divBdr>
    </w:div>
    <w:div w:id="825046438">
      <w:bodyDiv w:val="1"/>
      <w:marLeft w:val="0"/>
      <w:marRight w:val="0"/>
      <w:marTop w:val="0"/>
      <w:marBottom w:val="0"/>
      <w:divBdr>
        <w:top w:val="none" w:sz="0" w:space="0" w:color="auto"/>
        <w:left w:val="none" w:sz="0" w:space="0" w:color="auto"/>
        <w:bottom w:val="none" w:sz="0" w:space="0" w:color="auto"/>
        <w:right w:val="none" w:sz="0" w:space="0" w:color="auto"/>
      </w:divBdr>
    </w:div>
    <w:div w:id="908810061">
      <w:bodyDiv w:val="1"/>
      <w:marLeft w:val="0"/>
      <w:marRight w:val="0"/>
      <w:marTop w:val="0"/>
      <w:marBottom w:val="0"/>
      <w:divBdr>
        <w:top w:val="none" w:sz="0" w:space="0" w:color="auto"/>
        <w:left w:val="none" w:sz="0" w:space="0" w:color="auto"/>
        <w:bottom w:val="none" w:sz="0" w:space="0" w:color="auto"/>
        <w:right w:val="none" w:sz="0" w:space="0" w:color="auto"/>
      </w:divBdr>
    </w:div>
    <w:div w:id="946817872">
      <w:bodyDiv w:val="1"/>
      <w:marLeft w:val="0"/>
      <w:marRight w:val="0"/>
      <w:marTop w:val="0"/>
      <w:marBottom w:val="0"/>
      <w:divBdr>
        <w:top w:val="none" w:sz="0" w:space="0" w:color="auto"/>
        <w:left w:val="none" w:sz="0" w:space="0" w:color="auto"/>
        <w:bottom w:val="none" w:sz="0" w:space="0" w:color="auto"/>
        <w:right w:val="none" w:sz="0" w:space="0" w:color="auto"/>
      </w:divBdr>
    </w:div>
    <w:div w:id="987517011">
      <w:bodyDiv w:val="1"/>
      <w:marLeft w:val="0"/>
      <w:marRight w:val="0"/>
      <w:marTop w:val="0"/>
      <w:marBottom w:val="0"/>
      <w:divBdr>
        <w:top w:val="none" w:sz="0" w:space="0" w:color="auto"/>
        <w:left w:val="none" w:sz="0" w:space="0" w:color="auto"/>
        <w:bottom w:val="none" w:sz="0" w:space="0" w:color="auto"/>
        <w:right w:val="none" w:sz="0" w:space="0" w:color="auto"/>
      </w:divBdr>
    </w:div>
    <w:div w:id="1075861973">
      <w:bodyDiv w:val="1"/>
      <w:marLeft w:val="0"/>
      <w:marRight w:val="0"/>
      <w:marTop w:val="0"/>
      <w:marBottom w:val="0"/>
      <w:divBdr>
        <w:top w:val="none" w:sz="0" w:space="0" w:color="auto"/>
        <w:left w:val="none" w:sz="0" w:space="0" w:color="auto"/>
        <w:bottom w:val="none" w:sz="0" w:space="0" w:color="auto"/>
        <w:right w:val="none" w:sz="0" w:space="0" w:color="auto"/>
      </w:divBdr>
    </w:div>
    <w:div w:id="1122110224">
      <w:bodyDiv w:val="1"/>
      <w:marLeft w:val="0"/>
      <w:marRight w:val="0"/>
      <w:marTop w:val="0"/>
      <w:marBottom w:val="0"/>
      <w:divBdr>
        <w:top w:val="none" w:sz="0" w:space="0" w:color="auto"/>
        <w:left w:val="none" w:sz="0" w:space="0" w:color="auto"/>
        <w:bottom w:val="none" w:sz="0" w:space="0" w:color="auto"/>
        <w:right w:val="none" w:sz="0" w:space="0" w:color="auto"/>
      </w:divBdr>
    </w:div>
    <w:div w:id="1143740984">
      <w:bodyDiv w:val="1"/>
      <w:marLeft w:val="0"/>
      <w:marRight w:val="0"/>
      <w:marTop w:val="0"/>
      <w:marBottom w:val="0"/>
      <w:divBdr>
        <w:top w:val="none" w:sz="0" w:space="0" w:color="auto"/>
        <w:left w:val="none" w:sz="0" w:space="0" w:color="auto"/>
        <w:bottom w:val="none" w:sz="0" w:space="0" w:color="auto"/>
        <w:right w:val="none" w:sz="0" w:space="0" w:color="auto"/>
      </w:divBdr>
    </w:div>
    <w:div w:id="1296570719">
      <w:bodyDiv w:val="1"/>
      <w:marLeft w:val="0"/>
      <w:marRight w:val="0"/>
      <w:marTop w:val="0"/>
      <w:marBottom w:val="0"/>
      <w:divBdr>
        <w:top w:val="none" w:sz="0" w:space="0" w:color="auto"/>
        <w:left w:val="none" w:sz="0" w:space="0" w:color="auto"/>
        <w:bottom w:val="none" w:sz="0" w:space="0" w:color="auto"/>
        <w:right w:val="none" w:sz="0" w:space="0" w:color="auto"/>
      </w:divBdr>
    </w:div>
    <w:div w:id="1451122369">
      <w:bodyDiv w:val="1"/>
      <w:marLeft w:val="0"/>
      <w:marRight w:val="0"/>
      <w:marTop w:val="0"/>
      <w:marBottom w:val="0"/>
      <w:divBdr>
        <w:top w:val="none" w:sz="0" w:space="0" w:color="auto"/>
        <w:left w:val="none" w:sz="0" w:space="0" w:color="auto"/>
        <w:bottom w:val="none" w:sz="0" w:space="0" w:color="auto"/>
        <w:right w:val="none" w:sz="0" w:space="0" w:color="auto"/>
      </w:divBdr>
    </w:div>
    <w:div w:id="1496917235">
      <w:bodyDiv w:val="1"/>
      <w:marLeft w:val="0"/>
      <w:marRight w:val="0"/>
      <w:marTop w:val="0"/>
      <w:marBottom w:val="0"/>
      <w:divBdr>
        <w:top w:val="none" w:sz="0" w:space="0" w:color="auto"/>
        <w:left w:val="none" w:sz="0" w:space="0" w:color="auto"/>
        <w:bottom w:val="none" w:sz="0" w:space="0" w:color="auto"/>
        <w:right w:val="none" w:sz="0" w:space="0" w:color="auto"/>
      </w:divBdr>
    </w:div>
    <w:div w:id="1552688595">
      <w:bodyDiv w:val="1"/>
      <w:marLeft w:val="0"/>
      <w:marRight w:val="0"/>
      <w:marTop w:val="0"/>
      <w:marBottom w:val="0"/>
      <w:divBdr>
        <w:top w:val="none" w:sz="0" w:space="0" w:color="auto"/>
        <w:left w:val="none" w:sz="0" w:space="0" w:color="auto"/>
        <w:bottom w:val="none" w:sz="0" w:space="0" w:color="auto"/>
        <w:right w:val="none" w:sz="0" w:space="0" w:color="auto"/>
      </w:divBdr>
    </w:div>
    <w:div w:id="1617105009">
      <w:bodyDiv w:val="1"/>
      <w:marLeft w:val="0"/>
      <w:marRight w:val="0"/>
      <w:marTop w:val="0"/>
      <w:marBottom w:val="0"/>
      <w:divBdr>
        <w:top w:val="none" w:sz="0" w:space="0" w:color="auto"/>
        <w:left w:val="none" w:sz="0" w:space="0" w:color="auto"/>
        <w:bottom w:val="none" w:sz="0" w:space="0" w:color="auto"/>
        <w:right w:val="none" w:sz="0" w:space="0" w:color="auto"/>
      </w:divBdr>
    </w:div>
    <w:div w:id="1644853210">
      <w:bodyDiv w:val="1"/>
      <w:marLeft w:val="0"/>
      <w:marRight w:val="0"/>
      <w:marTop w:val="0"/>
      <w:marBottom w:val="0"/>
      <w:divBdr>
        <w:top w:val="none" w:sz="0" w:space="0" w:color="auto"/>
        <w:left w:val="none" w:sz="0" w:space="0" w:color="auto"/>
        <w:bottom w:val="none" w:sz="0" w:space="0" w:color="auto"/>
        <w:right w:val="none" w:sz="0" w:space="0" w:color="auto"/>
      </w:divBdr>
    </w:div>
    <w:div w:id="1687174263">
      <w:bodyDiv w:val="1"/>
      <w:marLeft w:val="0"/>
      <w:marRight w:val="0"/>
      <w:marTop w:val="0"/>
      <w:marBottom w:val="0"/>
      <w:divBdr>
        <w:top w:val="none" w:sz="0" w:space="0" w:color="auto"/>
        <w:left w:val="none" w:sz="0" w:space="0" w:color="auto"/>
        <w:bottom w:val="none" w:sz="0" w:space="0" w:color="auto"/>
        <w:right w:val="none" w:sz="0" w:space="0" w:color="auto"/>
      </w:divBdr>
      <w:divsChild>
        <w:div w:id="1537741060">
          <w:marLeft w:val="0"/>
          <w:marRight w:val="0"/>
          <w:marTop w:val="0"/>
          <w:marBottom w:val="0"/>
          <w:divBdr>
            <w:top w:val="none" w:sz="0" w:space="0" w:color="auto"/>
            <w:left w:val="none" w:sz="0" w:space="0" w:color="auto"/>
            <w:bottom w:val="none" w:sz="0" w:space="0" w:color="auto"/>
            <w:right w:val="none" w:sz="0" w:space="0" w:color="auto"/>
          </w:divBdr>
          <w:divsChild>
            <w:div w:id="1325738136">
              <w:marLeft w:val="0"/>
              <w:marRight w:val="0"/>
              <w:marTop w:val="0"/>
              <w:marBottom w:val="0"/>
              <w:divBdr>
                <w:top w:val="none" w:sz="0" w:space="0" w:color="auto"/>
                <w:left w:val="none" w:sz="0" w:space="0" w:color="auto"/>
                <w:bottom w:val="none" w:sz="0" w:space="0" w:color="auto"/>
                <w:right w:val="none" w:sz="0" w:space="0" w:color="auto"/>
              </w:divBdr>
              <w:divsChild>
                <w:div w:id="1657414340">
                  <w:marLeft w:val="0"/>
                  <w:marRight w:val="0"/>
                  <w:marTop w:val="0"/>
                  <w:marBottom w:val="0"/>
                  <w:divBdr>
                    <w:top w:val="none" w:sz="0" w:space="0" w:color="auto"/>
                    <w:left w:val="none" w:sz="0" w:space="0" w:color="auto"/>
                    <w:bottom w:val="none" w:sz="0" w:space="0" w:color="auto"/>
                    <w:right w:val="none" w:sz="0" w:space="0" w:color="auto"/>
                  </w:divBdr>
                  <w:divsChild>
                    <w:div w:id="1790391602">
                      <w:marLeft w:val="0"/>
                      <w:marRight w:val="0"/>
                      <w:marTop w:val="0"/>
                      <w:marBottom w:val="0"/>
                      <w:divBdr>
                        <w:top w:val="none" w:sz="0" w:space="0" w:color="auto"/>
                        <w:left w:val="none" w:sz="0" w:space="0" w:color="auto"/>
                        <w:bottom w:val="none" w:sz="0" w:space="0" w:color="auto"/>
                        <w:right w:val="none" w:sz="0" w:space="0" w:color="auto"/>
                      </w:divBdr>
                      <w:divsChild>
                        <w:div w:id="611785399">
                          <w:marLeft w:val="0"/>
                          <w:marRight w:val="0"/>
                          <w:marTop w:val="45"/>
                          <w:marBottom w:val="0"/>
                          <w:divBdr>
                            <w:top w:val="none" w:sz="0" w:space="0" w:color="auto"/>
                            <w:left w:val="none" w:sz="0" w:space="0" w:color="auto"/>
                            <w:bottom w:val="none" w:sz="0" w:space="0" w:color="auto"/>
                            <w:right w:val="none" w:sz="0" w:space="0" w:color="auto"/>
                          </w:divBdr>
                          <w:divsChild>
                            <w:div w:id="958416908">
                              <w:marLeft w:val="2070"/>
                              <w:marRight w:val="3810"/>
                              <w:marTop w:val="0"/>
                              <w:marBottom w:val="0"/>
                              <w:divBdr>
                                <w:top w:val="none" w:sz="0" w:space="0" w:color="auto"/>
                                <w:left w:val="none" w:sz="0" w:space="0" w:color="auto"/>
                                <w:bottom w:val="none" w:sz="0" w:space="0" w:color="auto"/>
                                <w:right w:val="none" w:sz="0" w:space="0" w:color="auto"/>
                              </w:divBdr>
                              <w:divsChild>
                                <w:div w:id="868955935">
                                  <w:marLeft w:val="0"/>
                                  <w:marRight w:val="0"/>
                                  <w:marTop w:val="0"/>
                                  <w:marBottom w:val="0"/>
                                  <w:divBdr>
                                    <w:top w:val="none" w:sz="0" w:space="0" w:color="auto"/>
                                    <w:left w:val="none" w:sz="0" w:space="0" w:color="auto"/>
                                    <w:bottom w:val="none" w:sz="0" w:space="0" w:color="auto"/>
                                    <w:right w:val="none" w:sz="0" w:space="0" w:color="auto"/>
                                  </w:divBdr>
                                  <w:divsChild>
                                    <w:div w:id="199560518">
                                      <w:marLeft w:val="0"/>
                                      <w:marRight w:val="0"/>
                                      <w:marTop w:val="0"/>
                                      <w:marBottom w:val="0"/>
                                      <w:divBdr>
                                        <w:top w:val="none" w:sz="0" w:space="0" w:color="auto"/>
                                        <w:left w:val="none" w:sz="0" w:space="0" w:color="auto"/>
                                        <w:bottom w:val="none" w:sz="0" w:space="0" w:color="auto"/>
                                        <w:right w:val="none" w:sz="0" w:space="0" w:color="auto"/>
                                      </w:divBdr>
                                      <w:divsChild>
                                        <w:div w:id="1209799338">
                                          <w:marLeft w:val="0"/>
                                          <w:marRight w:val="0"/>
                                          <w:marTop w:val="0"/>
                                          <w:marBottom w:val="0"/>
                                          <w:divBdr>
                                            <w:top w:val="none" w:sz="0" w:space="0" w:color="auto"/>
                                            <w:left w:val="none" w:sz="0" w:space="0" w:color="auto"/>
                                            <w:bottom w:val="none" w:sz="0" w:space="0" w:color="auto"/>
                                            <w:right w:val="none" w:sz="0" w:space="0" w:color="auto"/>
                                          </w:divBdr>
                                          <w:divsChild>
                                            <w:div w:id="2108456817">
                                              <w:marLeft w:val="0"/>
                                              <w:marRight w:val="0"/>
                                              <w:marTop w:val="0"/>
                                              <w:marBottom w:val="0"/>
                                              <w:divBdr>
                                                <w:top w:val="none" w:sz="0" w:space="0" w:color="auto"/>
                                                <w:left w:val="none" w:sz="0" w:space="0" w:color="auto"/>
                                                <w:bottom w:val="none" w:sz="0" w:space="0" w:color="auto"/>
                                                <w:right w:val="none" w:sz="0" w:space="0" w:color="auto"/>
                                              </w:divBdr>
                                              <w:divsChild>
                                                <w:div w:id="235366424">
                                                  <w:marLeft w:val="0"/>
                                                  <w:marRight w:val="0"/>
                                                  <w:marTop w:val="0"/>
                                                  <w:marBottom w:val="0"/>
                                                  <w:divBdr>
                                                    <w:top w:val="none" w:sz="0" w:space="0" w:color="auto"/>
                                                    <w:left w:val="none" w:sz="0" w:space="0" w:color="auto"/>
                                                    <w:bottom w:val="none" w:sz="0" w:space="0" w:color="auto"/>
                                                    <w:right w:val="none" w:sz="0" w:space="0" w:color="auto"/>
                                                  </w:divBdr>
                                                  <w:divsChild>
                                                    <w:div w:id="1960837194">
                                                      <w:marLeft w:val="0"/>
                                                      <w:marRight w:val="0"/>
                                                      <w:marTop w:val="0"/>
                                                      <w:marBottom w:val="0"/>
                                                      <w:divBdr>
                                                        <w:top w:val="none" w:sz="0" w:space="0" w:color="auto"/>
                                                        <w:left w:val="none" w:sz="0" w:space="0" w:color="auto"/>
                                                        <w:bottom w:val="none" w:sz="0" w:space="0" w:color="auto"/>
                                                        <w:right w:val="none" w:sz="0" w:space="0" w:color="auto"/>
                                                      </w:divBdr>
                                                      <w:divsChild>
                                                        <w:div w:id="146796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7629775">
      <w:bodyDiv w:val="1"/>
      <w:marLeft w:val="0"/>
      <w:marRight w:val="0"/>
      <w:marTop w:val="0"/>
      <w:marBottom w:val="0"/>
      <w:divBdr>
        <w:top w:val="none" w:sz="0" w:space="0" w:color="auto"/>
        <w:left w:val="none" w:sz="0" w:space="0" w:color="auto"/>
        <w:bottom w:val="none" w:sz="0" w:space="0" w:color="auto"/>
        <w:right w:val="none" w:sz="0" w:space="0" w:color="auto"/>
      </w:divBdr>
    </w:div>
    <w:div w:id="1799370296">
      <w:bodyDiv w:val="1"/>
      <w:marLeft w:val="0"/>
      <w:marRight w:val="0"/>
      <w:marTop w:val="0"/>
      <w:marBottom w:val="0"/>
      <w:divBdr>
        <w:top w:val="none" w:sz="0" w:space="0" w:color="auto"/>
        <w:left w:val="none" w:sz="0" w:space="0" w:color="auto"/>
        <w:bottom w:val="none" w:sz="0" w:space="0" w:color="auto"/>
        <w:right w:val="none" w:sz="0" w:space="0" w:color="auto"/>
      </w:divBdr>
    </w:div>
    <w:div w:id="1929384941">
      <w:bodyDiv w:val="1"/>
      <w:marLeft w:val="0"/>
      <w:marRight w:val="0"/>
      <w:marTop w:val="0"/>
      <w:marBottom w:val="0"/>
      <w:divBdr>
        <w:top w:val="none" w:sz="0" w:space="0" w:color="auto"/>
        <w:left w:val="none" w:sz="0" w:space="0" w:color="auto"/>
        <w:bottom w:val="none" w:sz="0" w:space="0" w:color="auto"/>
        <w:right w:val="none" w:sz="0" w:space="0" w:color="auto"/>
      </w:divBdr>
    </w:div>
    <w:div w:id="2006276152">
      <w:bodyDiv w:val="1"/>
      <w:marLeft w:val="0"/>
      <w:marRight w:val="0"/>
      <w:marTop w:val="0"/>
      <w:marBottom w:val="0"/>
      <w:divBdr>
        <w:top w:val="none" w:sz="0" w:space="0" w:color="auto"/>
        <w:left w:val="none" w:sz="0" w:space="0" w:color="auto"/>
        <w:bottom w:val="none" w:sz="0" w:space="0" w:color="auto"/>
        <w:right w:val="none" w:sz="0" w:space="0" w:color="auto"/>
      </w:divBdr>
    </w:div>
    <w:div w:id="2050563614">
      <w:bodyDiv w:val="1"/>
      <w:marLeft w:val="0"/>
      <w:marRight w:val="0"/>
      <w:marTop w:val="0"/>
      <w:marBottom w:val="0"/>
      <w:divBdr>
        <w:top w:val="none" w:sz="0" w:space="0" w:color="auto"/>
        <w:left w:val="none" w:sz="0" w:space="0" w:color="auto"/>
        <w:bottom w:val="none" w:sz="0" w:space="0" w:color="auto"/>
        <w:right w:val="none" w:sz="0" w:space="0" w:color="auto"/>
      </w:divBdr>
    </w:div>
    <w:div w:id="2056927887">
      <w:bodyDiv w:val="1"/>
      <w:marLeft w:val="0"/>
      <w:marRight w:val="0"/>
      <w:marTop w:val="0"/>
      <w:marBottom w:val="0"/>
      <w:divBdr>
        <w:top w:val="none" w:sz="0" w:space="0" w:color="auto"/>
        <w:left w:val="none" w:sz="0" w:space="0" w:color="auto"/>
        <w:bottom w:val="none" w:sz="0" w:space="0" w:color="auto"/>
        <w:right w:val="none" w:sz="0" w:space="0" w:color="auto"/>
      </w:divBdr>
    </w:div>
    <w:div w:id="2066755622">
      <w:bodyDiv w:val="1"/>
      <w:marLeft w:val="0"/>
      <w:marRight w:val="0"/>
      <w:marTop w:val="0"/>
      <w:marBottom w:val="0"/>
      <w:divBdr>
        <w:top w:val="none" w:sz="0" w:space="0" w:color="auto"/>
        <w:left w:val="none" w:sz="0" w:space="0" w:color="auto"/>
        <w:bottom w:val="none" w:sz="0" w:space="0" w:color="auto"/>
        <w:right w:val="none" w:sz="0" w:space="0" w:color="auto"/>
      </w:divBdr>
    </w:div>
    <w:div w:id="208105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4.xml"/><Relationship Id="rId18" Type="http://schemas.openxmlformats.org/officeDocument/2006/relationships/header" Target="header3.xml"/><Relationship Id="rId26" Type="http://schemas.openxmlformats.org/officeDocument/2006/relationships/hyperlink" Target="http://www.ncver.edu.au/statistic/21075.html" TargetMode="External"/><Relationship Id="rId3" Type="http://schemas.microsoft.com/office/2007/relationships/stylesWithEffects" Target="stylesWithEffects.xml"/><Relationship Id="rId21" Type="http://schemas.openxmlformats.org/officeDocument/2006/relationships/hyperlink" Target="http://www.ncver.edu.au/statistic/21075.html" TargetMode="External"/><Relationship Id="rId34" Type="http://schemas.openxmlformats.org/officeDocument/2006/relationships/hyperlink" Target="http://www.coag.gov.au/node/77" TargetMode="Externa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footer" Target="footer2.xml"/><Relationship Id="rId25" Type="http://schemas.openxmlformats.org/officeDocument/2006/relationships/hyperlink" Target="http://www.ncver.edu.au/avetmiss/21055.html" TargetMode="External"/><Relationship Id="rId33" Type="http://schemas.openxmlformats.org/officeDocument/2006/relationships/hyperlink" Target="http://www.skillsaustralia.gov.au/PDF_RTFs/Skills_demand_skills_formation_paper.pdf"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http://www.ncver.edu.au/aboutncver/who.html" TargetMode="External"/><Relationship Id="rId29" Type="http://schemas.openxmlformats.org/officeDocument/2006/relationships/hyperlink" Target="http://www.ncver.edu.au/aboutncver/who.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yperlink" Target="http://www.ncver.edu.au/aboutncver/who.html" TargetMode="External"/><Relationship Id="rId32" Type="http://schemas.openxmlformats.org/officeDocument/2006/relationships/hyperlink" Target="http://www.ncver.edu.au/statistic/21075.html"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www.ncver.edu.au/aboutncver/who.html" TargetMode="External"/><Relationship Id="rId28" Type="http://schemas.openxmlformats.org/officeDocument/2006/relationships/hyperlink" Target="http://www.ncver.edu.au/statistic/21075.html" TargetMode="External"/><Relationship Id="rId36"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footer" Target="footer3.xml"/><Relationship Id="rId31" Type="http://schemas.openxmlformats.org/officeDocument/2006/relationships/hyperlink" Target="http://www.ncver.edu.au/avetmiss/21055.html"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1.xml"/><Relationship Id="rId22" Type="http://schemas.openxmlformats.org/officeDocument/2006/relationships/hyperlink" Target="http://www.oecd.org" TargetMode="External"/><Relationship Id="rId27" Type="http://schemas.openxmlformats.org/officeDocument/2006/relationships/hyperlink" Target="http://www.ncver.edu.au/aboutncver/who.html" TargetMode="External"/><Relationship Id="rId30" Type="http://schemas.openxmlformats.org/officeDocument/2006/relationships/hyperlink" Target="http://www.ncver.edu.au/aboutncver/who.html" TargetMode="External"/><Relationship Id="rId35" Type="http://schemas.openxmlformats.org/officeDocument/2006/relationships/hyperlink" Target="http://www.ncver.edu.au/publications/2453.html"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903248388581548"/>
          <c:y val="0.19615384615384615"/>
          <c:w val="0.84587961658479049"/>
          <c:h val="0.63076923076923075"/>
        </c:manualLayout>
      </c:layout>
      <c:barChart>
        <c:barDir val="col"/>
        <c:grouping val="clustered"/>
        <c:varyColors val="0"/>
        <c:ser>
          <c:idx val="3"/>
          <c:order val="0"/>
          <c:tx>
            <c:strRef>
              <c:f>NASWDFig2data!$A$4:$F$4</c:f>
              <c:strCache>
                <c:ptCount val="1"/>
                <c:pt idx="0">
                  <c:v>Bachelor or above</c:v>
                </c:pt>
              </c:strCache>
            </c:strRef>
          </c:tx>
          <c:spPr>
            <a:pattFill prst="pct30">
              <a:fgClr>
                <a:srgbClr val="333333"/>
              </a:fgClr>
              <a:bgClr>
                <a:srgbClr val="FFFFFF"/>
              </a:bgClr>
            </a:pattFill>
            <a:ln w="3175">
              <a:solidFill>
                <a:srgbClr val="000000"/>
              </a:solidFill>
              <a:prstDash val="solid"/>
            </a:ln>
            <a:effectLst/>
          </c:spPr>
          <c:invertIfNegative val="0"/>
          <c:errBars>
            <c:errBarType val="both"/>
            <c:errValType val="cust"/>
            <c:noEndCap val="0"/>
            <c:plus>
              <c:numRef>
                <c:f>NASWDFig2data!$G$12:$O$12</c:f>
                <c:numCache>
                  <c:formatCode>General</c:formatCode>
                  <c:ptCount val="9"/>
                  <c:pt idx="0">
                    <c:v>1.6</c:v>
                  </c:pt>
                  <c:pt idx="1">
                    <c:v>1.6</c:v>
                  </c:pt>
                  <c:pt idx="2">
                    <c:v>2.1</c:v>
                  </c:pt>
                  <c:pt idx="3">
                    <c:v>2.1</c:v>
                  </c:pt>
                  <c:pt idx="4">
                    <c:v>2.1</c:v>
                  </c:pt>
                  <c:pt idx="5">
                    <c:v>5.0999999999999996</c:v>
                  </c:pt>
                  <c:pt idx="6">
                    <c:v>3.8</c:v>
                  </c:pt>
                  <c:pt idx="7">
                    <c:v>2.6</c:v>
                  </c:pt>
                  <c:pt idx="8">
                    <c:v>0.8</c:v>
                  </c:pt>
                </c:numCache>
              </c:numRef>
            </c:plus>
            <c:minus>
              <c:numRef>
                <c:f>NASWDFig2data!$G$12:$O$12</c:f>
                <c:numCache>
                  <c:formatCode>General</c:formatCode>
                  <c:ptCount val="9"/>
                  <c:pt idx="0">
                    <c:v>1.6</c:v>
                  </c:pt>
                  <c:pt idx="1">
                    <c:v>1.6</c:v>
                  </c:pt>
                  <c:pt idx="2">
                    <c:v>2.1</c:v>
                  </c:pt>
                  <c:pt idx="3">
                    <c:v>2.1</c:v>
                  </c:pt>
                  <c:pt idx="4">
                    <c:v>2.1</c:v>
                  </c:pt>
                  <c:pt idx="5">
                    <c:v>5.0999999999999996</c:v>
                  </c:pt>
                  <c:pt idx="6">
                    <c:v>3.8</c:v>
                  </c:pt>
                  <c:pt idx="7">
                    <c:v>2.6</c:v>
                  </c:pt>
                  <c:pt idx="8">
                    <c:v>0.8</c:v>
                  </c:pt>
                </c:numCache>
              </c:numRef>
            </c:minus>
            <c:spPr>
              <a:ln w="6350">
                <a:solidFill>
                  <a:srgbClr val="000000"/>
                </a:solidFill>
                <a:prstDash val="solid"/>
              </a:ln>
            </c:spPr>
          </c:errBars>
          <c:cat>
            <c:strRef>
              <c:f>NASWDFig2data!$G$2:$O$2</c:f>
              <c:strCache>
                <c:ptCount val="9"/>
                <c:pt idx="0">
                  <c:v>NSW</c:v>
                </c:pt>
                <c:pt idx="1">
                  <c:v>Vic</c:v>
                </c:pt>
                <c:pt idx="2">
                  <c:v>Qld</c:v>
                </c:pt>
                <c:pt idx="3">
                  <c:v>WA</c:v>
                </c:pt>
                <c:pt idx="4">
                  <c:v>SA</c:v>
                </c:pt>
                <c:pt idx="5">
                  <c:v>Tas</c:v>
                </c:pt>
                <c:pt idx="6">
                  <c:v>ACT</c:v>
                </c:pt>
                <c:pt idx="7">
                  <c:v>NT</c:v>
                </c:pt>
                <c:pt idx="8">
                  <c:v>Aust</c:v>
                </c:pt>
              </c:strCache>
            </c:strRef>
          </c:cat>
          <c:val>
            <c:numRef>
              <c:f>NASWDFig2data!$G$4:$O$4</c:f>
              <c:numCache>
                <c:formatCode>#\ ##0.0</c:formatCode>
                <c:ptCount val="9"/>
                <c:pt idx="0">
                  <c:v>85.3</c:v>
                </c:pt>
                <c:pt idx="1">
                  <c:v>83.6</c:v>
                </c:pt>
                <c:pt idx="2">
                  <c:v>85</c:v>
                </c:pt>
                <c:pt idx="3">
                  <c:v>85.9</c:v>
                </c:pt>
                <c:pt idx="4">
                  <c:v>83.4</c:v>
                </c:pt>
                <c:pt idx="5">
                  <c:v>81.599999999999994</c:v>
                </c:pt>
                <c:pt idx="6">
                  <c:v>88.1</c:v>
                </c:pt>
                <c:pt idx="7">
                  <c:v>91.5</c:v>
                </c:pt>
                <c:pt idx="8">
                  <c:v>84.8</c:v>
                </c:pt>
              </c:numCache>
            </c:numRef>
          </c:val>
        </c:ser>
        <c:ser>
          <c:idx val="0"/>
          <c:order val="1"/>
          <c:tx>
            <c:strRef>
              <c:f>NASWDFig2data!$A$5:$F$5</c:f>
              <c:strCache>
                <c:ptCount val="1"/>
                <c:pt idx="0">
                  <c:v>Certificate III or above (d)</c:v>
                </c:pt>
              </c:strCache>
            </c:strRef>
          </c:tx>
          <c:spPr>
            <a:pattFill prst="divot">
              <a:fgClr>
                <a:srgbClr val="000000"/>
              </a:fgClr>
              <a:bgClr>
                <a:srgbClr val="FFFFFF"/>
              </a:bgClr>
            </a:pattFill>
            <a:ln w="3175">
              <a:solidFill>
                <a:srgbClr val="000000"/>
              </a:solidFill>
              <a:prstDash val="solid"/>
            </a:ln>
            <a:effectLst/>
          </c:spPr>
          <c:invertIfNegative val="0"/>
          <c:errBars>
            <c:errBarType val="both"/>
            <c:errValType val="cust"/>
            <c:noEndCap val="0"/>
            <c:plus>
              <c:numRef>
                <c:f>NASWDFig2data!$G$13:$O$13</c:f>
                <c:numCache>
                  <c:formatCode>General</c:formatCode>
                  <c:ptCount val="9"/>
                  <c:pt idx="0">
                    <c:v>1.3</c:v>
                  </c:pt>
                  <c:pt idx="1">
                    <c:v>1.8</c:v>
                  </c:pt>
                  <c:pt idx="2">
                    <c:v>1.8</c:v>
                  </c:pt>
                  <c:pt idx="3">
                    <c:v>2</c:v>
                  </c:pt>
                  <c:pt idx="4">
                    <c:v>1.9</c:v>
                  </c:pt>
                  <c:pt idx="5">
                    <c:v>2.6</c:v>
                  </c:pt>
                  <c:pt idx="6">
                    <c:v>4</c:v>
                  </c:pt>
                  <c:pt idx="7">
                    <c:v>3.4</c:v>
                  </c:pt>
                  <c:pt idx="8">
                    <c:v>0.9</c:v>
                  </c:pt>
                </c:numCache>
              </c:numRef>
            </c:plus>
            <c:minus>
              <c:numRef>
                <c:f>NASWDFig2data!$G$13:$O$13</c:f>
                <c:numCache>
                  <c:formatCode>General</c:formatCode>
                  <c:ptCount val="9"/>
                  <c:pt idx="0">
                    <c:v>1.3</c:v>
                  </c:pt>
                  <c:pt idx="1">
                    <c:v>1.8</c:v>
                  </c:pt>
                  <c:pt idx="2">
                    <c:v>1.8</c:v>
                  </c:pt>
                  <c:pt idx="3">
                    <c:v>2</c:v>
                  </c:pt>
                  <c:pt idx="4">
                    <c:v>1.9</c:v>
                  </c:pt>
                  <c:pt idx="5">
                    <c:v>2.6</c:v>
                  </c:pt>
                  <c:pt idx="6">
                    <c:v>4</c:v>
                  </c:pt>
                  <c:pt idx="7">
                    <c:v>3.4</c:v>
                  </c:pt>
                  <c:pt idx="8">
                    <c:v>0.9</c:v>
                  </c:pt>
                </c:numCache>
              </c:numRef>
            </c:minus>
            <c:spPr>
              <a:ln w="6350">
                <a:solidFill>
                  <a:srgbClr val="000000"/>
                </a:solidFill>
                <a:prstDash val="solid"/>
              </a:ln>
            </c:spPr>
          </c:errBars>
          <c:cat>
            <c:strRef>
              <c:f>NASWDFig2data!$G$2:$O$2</c:f>
              <c:strCache>
                <c:ptCount val="9"/>
                <c:pt idx="0">
                  <c:v>NSW</c:v>
                </c:pt>
                <c:pt idx="1">
                  <c:v>Vic</c:v>
                </c:pt>
                <c:pt idx="2">
                  <c:v>Qld</c:v>
                </c:pt>
                <c:pt idx="3">
                  <c:v>WA</c:v>
                </c:pt>
                <c:pt idx="4">
                  <c:v>SA</c:v>
                </c:pt>
                <c:pt idx="5">
                  <c:v>Tas</c:v>
                </c:pt>
                <c:pt idx="6">
                  <c:v>ACT</c:v>
                </c:pt>
                <c:pt idx="7">
                  <c:v>NT</c:v>
                </c:pt>
                <c:pt idx="8">
                  <c:v>Aust</c:v>
                </c:pt>
              </c:strCache>
            </c:strRef>
          </c:cat>
          <c:val>
            <c:numRef>
              <c:f>NASWDFig2data!$G$5:$O$5</c:f>
              <c:numCache>
                <c:formatCode>#\ ##0.0</c:formatCode>
                <c:ptCount val="9"/>
                <c:pt idx="0">
                  <c:v>81.900000000000006</c:v>
                </c:pt>
                <c:pt idx="1">
                  <c:v>81.7</c:v>
                </c:pt>
                <c:pt idx="2">
                  <c:v>82.6</c:v>
                </c:pt>
                <c:pt idx="3">
                  <c:v>85.5</c:v>
                </c:pt>
                <c:pt idx="4">
                  <c:v>84.9</c:v>
                </c:pt>
                <c:pt idx="5">
                  <c:v>79.8</c:v>
                </c:pt>
                <c:pt idx="6">
                  <c:v>87.2</c:v>
                </c:pt>
                <c:pt idx="7">
                  <c:v>89.1</c:v>
                </c:pt>
                <c:pt idx="8">
                  <c:v>82.7</c:v>
                </c:pt>
              </c:numCache>
            </c:numRef>
          </c:val>
        </c:ser>
        <c:ser>
          <c:idx val="1"/>
          <c:order val="2"/>
          <c:tx>
            <c:strRef>
              <c:f>NASWDFig2data!$A$6:$F$6</c:f>
              <c:strCache>
                <c:ptCount val="1"/>
                <c:pt idx="0">
                  <c:v>Year 12 </c:v>
                </c:pt>
              </c:strCache>
            </c:strRef>
          </c:tx>
          <c:spPr>
            <a:pattFill prst="dkUpDiag">
              <a:fgClr>
                <a:srgbClr val="808080"/>
              </a:fgClr>
              <a:bgClr>
                <a:srgbClr val="FFFFFF"/>
              </a:bgClr>
            </a:pattFill>
            <a:ln w="3175">
              <a:solidFill>
                <a:srgbClr val="000000"/>
              </a:solidFill>
              <a:prstDash val="solid"/>
            </a:ln>
            <a:effectLst/>
          </c:spPr>
          <c:invertIfNegative val="0"/>
          <c:errBars>
            <c:errBarType val="both"/>
            <c:errValType val="cust"/>
            <c:noEndCap val="0"/>
            <c:plus>
              <c:numRef>
                <c:f>NASWDFig2chart!$G$14:$O$14</c:f>
                <c:numCache>
                  <c:formatCode>General</c:formatCode>
                  <c:ptCount val="9"/>
                </c:numCache>
              </c:numRef>
            </c:plus>
            <c:minus>
              <c:numRef>
                <c:f>NASWDFig2data!$G$14:$O$14</c:f>
                <c:numCache>
                  <c:formatCode>General</c:formatCode>
                  <c:ptCount val="9"/>
                  <c:pt idx="0">
                    <c:v>2</c:v>
                  </c:pt>
                  <c:pt idx="1">
                    <c:v>2.4</c:v>
                  </c:pt>
                  <c:pt idx="2">
                    <c:v>2.6</c:v>
                  </c:pt>
                  <c:pt idx="3">
                    <c:v>3.4</c:v>
                  </c:pt>
                  <c:pt idx="4">
                    <c:v>3.3</c:v>
                  </c:pt>
                  <c:pt idx="5">
                    <c:v>5.4</c:v>
                  </c:pt>
                  <c:pt idx="6">
                    <c:v>5.0999999999999996</c:v>
                  </c:pt>
                  <c:pt idx="7">
                    <c:v>6.4</c:v>
                  </c:pt>
                  <c:pt idx="8">
                    <c:v>1</c:v>
                  </c:pt>
                </c:numCache>
              </c:numRef>
            </c:minus>
            <c:spPr>
              <a:ln w="6350">
                <a:solidFill>
                  <a:srgbClr val="000000"/>
                </a:solidFill>
                <a:prstDash val="solid"/>
              </a:ln>
            </c:spPr>
          </c:errBars>
          <c:cat>
            <c:strRef>
              <c:f>NASWDFig2data!$G$2:$O$2</c:f>
              <c:strCache>
                <c:ptCount val="9"/>
                <c:pt idx="0">
                  <c:v>NSW</c:v>
                </c:pt>
                <c:pt idx="1">
                  <c:v>Vic</c:v>
                </c:pt>
                <c:pt idx="2">
                  <c:v>Qld</c:v>
                </c:pt>
                <c:pt idx="3">
                  <c:v>WA</c:v>
                </c:pt>
                <c:pt idx="4">
                  <c:v>SA</c:v>
                </c:pt>
                <c:pt idx="5">
                  <c:v>Tas</c:v>
                </c:pt>
                <c:pt idx="6">
                  <c:v>ACT</c:v>
                </c:pt>
                <c:pt idx="7">
                  <c:v>NT</c:v>
                </c:pt>
                <c:pt idx="8">
                  <c:v>Aust</c:v>
                </c:pt>
              </c:strCache>
            </c:strRef>
          </c:cat>
          <c:val>
            <c:numRef>
              <c:f>NASWDFig2data!$G$6:$O$6</c:f>
              <c:numCache>
                <c:formatCode>#\ ##0.0</c:formatCode>
                <c:ptCount val="9"/>
                <c:pt idx="0">
                  <c:v>69.099999999999994</c:v>
                </c:pt>
                <c:pt idx="1">
                  <c:v>70.599999999999994</c:v>
                </c:pt>
                <c:pt idx="2">
                  <c:v>71.2</c:v>
                </c:pt>
                <c:pt idx="3">
                  <c:v>73.3</c:v>
                </c:pt>
                <c:pt idx="4">
                  <c:v>70.2</c:v>
                </c:pt>
                <c:pt idx="5">
                  <c:v>67.2</c:v>
                </c:pt>
                <c:pt idx="6">
                  <c:v>74.2</c:v>
                </c:pt>
                <c:pt idx="7">
                  <c:v>78.099999999999994</c:v>
                </c:pt>
                <c:pt idx="8">
                  <c:v>70.599999999999994</c:v>
                </c:pt>
              </c:numCache>
            </c:numRef>
          </c:val>
        </c:ser>
        <c:ser>
          <c:idx val="4"/>
          <c:order val="3"/>
          <c:tx>
            <c:strRef>
              <c:f>NASWDFig2data!$A$7:$F$7</c:f>
              <c:strCache>
                <c:ptCount val="1"/>
                <c:pt idx="0">
                  <c:v>Year 10/11 </c:v>
                </c:pt>
              </c:strCache>
            </c:strRef>
          </c:tx>
          <c:spPr>
            <a:pattFill prst="pct10">
              <a:fgClr>
                <a:srgbClr val="000000"/>
              </a:fgClr>
              <a:bgClr>
                <a:srgbClr val="FFFFFF"/>
              </a:bgClr>
            </a:pattFill>
            <a:ln w="3175">
              <a:solidFill>
                <a:srgbClr val="000000"/>
              </a:solidFill>
              <a:prstDash val="solid"/>
            </a:ln>
            <a:effectLst/>
          </c:spPr>
          <c:invertIfNegative val="0"/>
          <c:errBars>
            <c:errBarType val="both"/>
            <c:errValType val="cust"/>
            <c:noEndCap val="0"/>
            <c:plus>
              <c:numRef>
                <c:f>NASWDFig2data!$G$15:$O$15</c:f>
                <c:numCache>
                  <c:formatCode>General</c:formatCode>
                  <c:ptCount val="9"/>
                  <c:pt idx="0">
                    <c:v>2.5</c:v>
                  </c:pt>
                  <c:pt idx="1">
                    <c:v>2.4</c:v>
                  </c:pt>
                  <c:pt idx="2">
                    <c:v>3.3</c:v>
                  </c:pt>
                  <c:pt idx="3">
                    <c:v>2.8</c:v>
                  </c:pt>
                  <c:pt idx="4">
                    <c:v>3.1</c:v>
                  </c:pt>
                  <c:pt idx="5">
                    <c:v>3.9</c:v>
                  </c:pt>
                  <c:pt idx="6">
                    <c:v>7.4</c:v>
                  </c:pt>
                  <c:pt idx="7">
                    <c:v>5.2</c:v>
                  </c:pt>
                  <c:pt idx="8">
                    <c:v>1.3</c:v>
                  </c:pt>
                </c:numCache>
              </c:numRef>
            </c:plus>
            <c:minus>
              <c:numRef>
                <c:f>NASWDFig2data!$G$15:$O$15</c:f>
                <c:numCache>
                  <c:formatCode>General</c:formatCode>
                  <c:ptCount val="9"/>
                  <c:pt idx="0">
                    <c:v>2.5</c:v>
                  </c:pt>
                  <c:pt idx="1">
                    <c:v>2.4</c:v>
                  </c:pt>
                  <c:pt idx="2">
                    <c:v>3.3</c:v>
                  </c:pt>
                  <c:pt idx="3">
                    <c:v>2.8</c:v>
                  </c:pt>
                  <c:pt idx="4">
                    <c:v>3.1</c:v>
                  </c:pt>
                  <c:pt idx="5">
                    <c:v>3.9</c:v>
                  </c:pt>
                  <c:pt idx="6">
                    <c:v>7.4</c:v>
                  </c:pt>
                  <c:pt idx="7">
                    <c:v>5.2</c:v>
                  </c:pt>
                  <c:pt idx="8">
                    <c:v>1.3</c:v>
                  </c:pt>
                </c:numCache>
              </c:numRef>
            </c:minus>
            <c:spPr>
              <a:ln w="6350">
                <a:solidFill>
                  <a:srgbClr val="000000"/>
                </a:solidFill>
                <a:prstDash val="solid"/>
              </a:ln>
            </c:spPr>
          </c:errBars>
          <c:cat>
            <c:strRef>
              <c:f>NASWDFig2data!$G$2:$O$2</c:f>
              <c:strCache>
                <c:ptCount val="9"/>
                <c:pt idx="0">
                  <c:v>NSW</c:v>
                </c:pt>
                <c:pt idx="1">
                  <c:v>Vic</c:v>
                </c:pt>
                <c:pt idx="2">
                  <c:v>Qld</c:v>
                </c:pt>
                <c:pt idx="3">
                  <c:v>WA</c:v>
                </c:pt>
                <c:pt idx="4">
                  <c:v>SA</c:v>
                </c:pt>
                <c:pt idx="5">
                  <c:v>Tas</c:v>
                </c:pt>
                <c:pt idx="6">
                  <c:v>ACT</c:v>
                </c:pt>
                <c:pt idx="7">
                  <c:v>NT</c:v>
                </c:pt>
                <c:pt idx="8">
                  <c:v>Aust</c:v>
                </c:pt>
              </c:strCache>
            </c:strRef>
          </c:cat>
          <c:val>
            <c:numRef>
              <c:f>NASWDFig2data!$G$7:$O$7</c:f>
              <c:numCache>
                <c:formatCode>#\ ##0.0</c:formatCode>
                <c:ptCount val="9"/>
                <c:pt idx="0">
                  <c:v>62.4</c:v>
                </c:pt>
                <c:pt idx="1">
                  <c:v>63.5</c:v>
                </c:pt>
                <c:pt idx="2">
                  <c:v>63</c:v>
                </c:pt>
                <c:pt idx="3">
                  <c:v>67.599999999999994</c:v>
                </c:pt>
                <c:pt idx="4">
                  <c:v>63</c:v>
                </c:pt>
                <c:pt idx="5">
                  <c:v>62.2</c:v>
                </c:pt>
                <c:pt idx="6">
                  <c:v>62.8</c:v>
                </c:pt>
                <c:pt idx="7">
                  <c:v>72.599999999999994</c:v>
                </c:pt>
                <c:pt idx="8">
                  <c:v>63.6</c:v>
                </c:pt>
              </c:numCache>
            </c:numRef>
          </c:val>
        </c:ser>
        <c:ser>
          <c:idx val="5"/>
          <c:order val="4"/>
          <c:tx>
            <c:strRef>
              <c:f>NASWDFig2data!$A$8:$F$8</c:f>
              <c:strCache>
                <c:ptCount val="1"/>
                <c:pt idx="0">
                  <c:v>Below Year 10 (e)</c:v>
                </c:pt>
              </c:strCache>
            </c:strRef>
          </c:tx>
          <c:spPr>
            <a:pattFill prst="dkDnDiag">
              <a:fgClr>
                <a:srgbClr val="000000"/>
              </a:fgClr>
              <a:bgClr>
                <a:srgbClr val="FFFFFF"/>
              </a:bgClr>
            </a:pattFill>
            <a:ln w="3175">
              <a:solidFill>
                <a:srgbClr val="000000"/>
              </a:solidFill>
              <a:prstDash val="solid"/>
            </a:ln>
            <a:effectLst/>
          </c:spPr>
          <c:invertIfNegative val="0"/>
          <c:errBars>
            <c:errBarType val="both"/>
            <c:errValType val="cust"/>
            <c:noEndCap val="0"/>
            <c:plus>
              <c:numRef>
                <c:f>NASWDFig2data!$G$16:$O$16</c:f>
                <c:numCache>
                  <c:formatCode>General</c:formatCode>
                  <c:ptCount val="9"/>
                  <c:pt idx="0">
                    <c:v>4.5</c:v>
                  </c:pt>
                  <c:pt idx="1">
                    <c:v>3.7</c:v>
                  </c:pt>
                  <c:pt idx="2">
                    <c:v>4.5999999999999996</c:v>
                  </c:pt>
                  <c:pt idx="3">
                    <c:v>5.9</c:v>
                  </c:pt>
                  <c:pt idx="4">
                    <c:v>5.0999999999999996</c:v>
                  </c:pt>
                  <c:pt idx="5">
                    <c:v>8</c:v>
                  </c:pt>
                  <c:pt idx="6">
                    <c:v>10.199999999999999</c:v>
                  </c:pt>
                  <c:pt idx="7">
                    <c:v>8.6999999999999993</c:v>
                  </c:pt>
                  <c:pt idx="8">
                    <c:v>2.2000000000000002</c:v>
                  </c:pt>
                </c:numCache>
              </c:numRef>
            </c:plus>
            <c:minus>
              <c:numRef>
                <c:f>NASWDFig2data!$G$16:$O$16</c:f>
                <c:numCache>
                  <c:formatCode>General</c:formatCode>
                  <c:ptCount val="9"/>
                  <c:pt idx="0">
                    <c:v>4.5</c:v>
                  </c:pt>
                  <c:pt idx="1">
                    <c:v>3.7</c:v>
                  </c:pt>
                  <c:pt idx="2">
                    <c:v>4.5999999999999996</c:v>
                  </c:pt>
                  <c:pt idx="3">
                    <c:v>5.9</c:v>
                  </c:pt>
                  <c:pt idx="4">
                    <c:v>5.0999999999999996</c:v>
                  </c:pt>
                  <c:pt idx="5">
                    <c:v>8</c:v>
                  </c:pt>
                  <c:pt idx="6">
                    <c:v>10.199999999999999</c:v>
                  </c:pt>
                  <c:pt idx="7">
                    <c:v>8.6999999999999993</c:v>
                  </c:pt>
                  <c:pt idx="8">
                    <c:v>2.2000000000000002</c:v>
                  </c:pt>
                </c:numCache>
              </c:numRef>
            </c:minus>
            <c:spPr>
              <a:ln w="6350">
                <a:solidFill>
                  <a:srgbClr val="000000"/>
                </a:solidFill>
                <a:prstDash val="solid"/>
              </a:ln>
            </c:spPr>
          </c:errBars>
          <c:cat>
            <c:strRef>
              <c:f>NASWDFig2data!$G$2:$O$2</c:f>
              <c:strCache>
                <c:ptCount val="9"/>
                <c:pt idx="0">
                  <c:v>NSW</c:v>
                </c:pt>
                <c:pt idx="1">
                  <c:v>Vic</c:v>
                </c:pt>
                <c:pt idx="2">
                  <c:v>Qld</c:v>
                </c:pt>
                <c:pt idx="3">
                  <c:v>WA</c:v>
                </c:pt>
                <c:pt idx="4">
                  <c:v>SA</c:v>
                </c:pt>
                <c:pt idx="5">
                  <c:v>Tas</c:v>
                </c:pt>
                <c:pt idx="6">
                  <c:v>ACT</c:v>
                </c:pt>
                <c:pt idx="7">
                  <c:v>NT</c:v>
                </c:pt>
                <c:pt idx="8">
                  <c:v>Aust</c:v>
                </c:pt>
              </c:strCache>
            </c:strRef>
          </c:cat>
          <c:val>
            <c:numRef>
              <c:f>NASWDFig2data!$G$8:$O$8</c:f>
              <c:numCache>
                <c:formatCode>#\ ##0.0</c:formatCode>
                <c:ptCount val="9"/>
                <c:pt idx="0">
                  <c:v>42.7</c:v>
                </c:pt>
                <c:pt idx="1">
                  <c:v>41.1</c:v>
                </c:pt>
                <c:pt idx="2">
                  <c:v>47.5</c:v>
                </c:pt>
                <c:pt idx="3">
                  <c:v>45.5</c:v>
                </c:pt>
                <c:pt idx="4">
                  <c:v>37.9</c:v>
                </c:pt>
                <c:pt idx="5">
                  <c:v>39.4</c:v>
                </c:pt>
                <c:pt idx="6">
                  <c:v>36.6</c:v>
                </c:pt>
                <c:pt idx="7">
                  <c:v>49.2</c:v>
                </c:pt>
                <c:pt idx="8">
                  <c:v>42.8</c:v>
                </c:pt>
              </c:numCache>
            </c:numRef>
          </c:val>
        </c:ser>
        <c:dLbls>
          <c:showLegendKey val="0"/>
          <c:showVal val="0"/>
          <c:showCatName val="0"/>
          <c:showSerName val="0"/>
          <c:showPercent val="0"/>
          <c:showBubbleSize val="0"/>
        </c:dLbls>
        <c:gapWidth val="150"/>
        <c:axId val="131649536"/>
        <c:axId val="131652608"/>
      </c:barChart>
      <c:catAx>
        <c:axId val="131649536"/>
        <c:scaling>
          <c:orientation val="minMax"/>
        </c:scaling>
        <c:delete val="0"/>
        <c:axPos val="b"/>
        <c:numFmt formatCode="###\ ###\ ##0;0###\ ###\ ##0;&quot;0&quot;" sourceLinked="0"/>
        <c:majorTickMark val="out"/>
        <c:minorTickMark val="none"/>
        <c:tickLblPos val="nextTo"/>
        <c:spPr>
          <a:ln w="3175">
            <a:solidFill>
              <a:srgbClr val="000000"/>
            </a:solidFill>
            <a:prstDash val="solid"/>
          </a:ln>
          <a:effectLst/>
        </c:spPr>
        <c:txPr>
          <a:bodyPr rot="0" vert="horz"/>
          <a:lstStyle/>
          <a:p>
            <a:pPr>
              <a:defRPr sz="1000" b="0" i="0" u="none" strike="noStrike" baseline="0">
                <a:solidFill>
                  <a:srgbClr val="000000"/>
                </a:solidFill>
                <a:latin typeface="Arial"/>
                <a:ea typeface="Arial"/>
                <a:cs typeface="Arial"/>
              </a:defRPr>
            </a:pPr>
            <a:endParaRPr lang="en-US"/>
          </a:p>
        </c:txPr>
        <c:crossAx val="131652608"/>
        <c:crosses val="autoZero"/>
        <c:auto val="1"/>
        <c:lblAlgn val="ctr"/>
        <c:lblOffset val="100"/>
        <c:tickLblSkip val="1"/>
        <c:tickMarkSkip val="1"/>
        <c:noMultiLvlLbl val="0"/>
      </c:catAx>
      <c:valAx>
        <c:axId val="131652608"/>
        <c:scaling>
          <c:orientation val="minMax"/>
        </c:scaling>
        <c:delete val="0"/>
        <c:axPos val="l"/>
        <c:majorGridlines>
          <c:spPr>
            <a:ln w="3175">
              <a:solidFill>
                <a:srgbClr val="000000"/>
              </a:solidFill>
              <a:prstDash val="solid"/>
            </a:ln>
          </c:spPr>
        </c:majorGridlines>
        <c:title>
          <c:tx>
            <c:rich>
              <a:bodyPr/>
              <a:lstStyle/>
              <a:p>
                <a:pPr>
                  <a:defRPr sz="900" b="1" i="0" u="none" strike="noStrike" baseline="0">
                    <a:solidFill>
                      <a:srgbClr val="000000"/>
                    </a:solidFill>
                    <a:latin typeface="Arial"/>
                    <a:ea typeface="Arial"/>
                    <a:cs typeface="Arial"/>
                  </a:defRPr>
                </a:pPr>
                <a:r>
                  <a:rPr lang="en-AU" sz="900" b="1" i="0" u="none" strike="noStrike" baseline="0">
                    <a:solidFill>
                      <a:srgbClr val="000000"/>
                    </a:solidFill>
                    <a:latin typeface="Arial"/>
                  </a:rPr>
                  <a:t>Employment to population ratio</a:t>
                </a:r>
              </a:p>
              <a:p>
                <a:pPr>
                  <a:defRPr sz="900" b="1" i="0" u="none" strike="noStrike" baseline="0">
                    <a:solidFill>
                      <a:srgbClr val="000000"/>
                    </a:solidFill>
                    <a:latin typeface="Arial"/>
                    <a:ea typeface="Arial"/>
                    <a:cs typeface="Arial"/>
                  </a:defRPr>
                </a:pPr>
                <a:r>
                  <a:rPr lang="en-AU" sz="900" b="1" i="0" u="none" strike="noStrike" baseline="0">
                    <a:solidFill>
                      <a:srgbClr val="000000"/>
                    </a:solidFill>
                    <a:latin typeface="Arial"/>
                  </a:rPr>
                  <a:t>(Per cent)</a:t>
                </a:r>
              </a:p>
            </c:rich>
          </c:tx>
          <c:layout>
            <c:manualLayout>
              <c:xMode val="edge"/>
              <c:yMode val="edge"/>
              <c:x val="7.1684587813620072E-3"/>
              <c:y val="0.1070769230769231"/>
            </c:manualLayout>
          </c:layout>
          <c:overlay val="0"/>
          <c:spPr>
            <a:noFill/>
            <a:ln w="25400">
              <a:noFill/>
            </a:ln>
          </c:spPr>
        </c:title>
        <c:numFmt formatCode="###\ ###\ ##0;0###\ ###\ ##0;&quot;0&quot;" sourceLinked="0"/>
        <c:majorTickMark val="out"/>
        <c:minorTickMark val="none"/>
        <c:tickLblPos val="nextTo"/>
        <c:spPr>
          <a:ln w="3175">
            <a:solidFill>
              <a:srgbClr val="000000"/>
            </a:solidFill>
            <a:prstDash val="solid"/>
          </a:ln>
          <a:effectLst/>
        </c:spPr>
        <c:txPr>
          <a:bodyPr rot="0" vert="horz"/>
          <a:lstStyle/>
          <a:p>
            <a:pPr>
              <a:defRPr sz="1000" b="0" i="0" u="none" strike="noStrike" baseline="0">
                <a:solidFill>
                  <a:srgbClr val="000000"/>
                </a:solidFill>
                <a:latin typeface="Arial"/>
                <a:ea typeface="Arial"/>
                <a:cs typeface="Arial"/>
              </a:defRPr>
            </a:pPr>
            <a:endParaRPr lang="en-US"/>
          </a:p>
        </c:txPr>
        <c:crossAx val="131649536"/>
        <c:crosses val="autoZero"/>
        <c:crossBetween val="between"/>
        <c:majorUnit val="20"/>
      </c:valAx>
      <c:spPr>
        <a:ln w="25400">
          <a:noFill/>
        </a:ln>
      </c:spPr>
    </c:plotArea>
    <c:legend>
      <c:legendPos val="t"/>
      <c:layout>
        <c:manualLayout>
          <c:xMode val="edge"/>
          <c:yMode val="edge"/>
          <c:x val="0.10755321390144988"/>
          <c:y val="2.5842923480718756E-5"/>
          <c:w val="0.78733572281959374"/>
          <c:h val="0.16731516252776096"/>
        </c:manualLayout>
      </c:layout>
      <c:overlay val="0"/>
      <c:spPr>
        <a:ln w="25400">
          <a:noFill/>
        </a:ln>
        <a:effectLst/>
      </c:spPr>
      <c:txPr>
        <a:bodyPr/>
        <a:lstStyle/>
        <a:p>
          <a:pPr>
            <a:defRPr sz="1000" b="0" i="0" u="none" strike="noStrike" baseline="0">
              <a:solidFill>
                <a:srgbClr val="000000"/>
              </a:solidFill>
              <a:latin typeface="Arial"/>
              <a:ea typeface="Arial"/>
              <a:cs typeface="Arial"/>
            </a:defRPr>
          </a:pPr>
          <a:endParaRPr lang="en-US"/>
        </a:p>
      </c:txPr>
    </c:legend>
    <c:plotVisOnly val="1"/>
    <c:dispBlanksAs val="gap"/>
    <c:showDLblsOverMax val="0"/>
  </c:chart>
  <c:spPr>
    <a:noFill/>
    <a:ln w="9525">
      <a:noFill/>
    </a:ln>
    <a:effectLst/>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1574976404742039E-2"/>
          <c:y val="0.27147531459753299"/>
          <c:w val="0.89255469637210971"/>
          <c:h val="0.62913987530214854"/>
        </c:manualLayout>
      </c:layout>
      <c:barChart>
        <c:barDir val="col"/>
        <c:grouping val="stacked"/>
        <c:varyColors val="0"/>
        <c:ser>
          <c:idx val="0"/>
          <c:order val="0"/>
          <c:tx>
            <c:strRef>
              <c:f>Sheet1!$A$4</c:f>
              <c:strCache>
                <c:ptCount val="1"/>
                <c:pt idx="0">
                  <c:v>AQF Certificate I, II or lower</c:v>
                </c:pt>
              </c:strCache>
            </c:strRef>
          </c:tx>
          <c:spPr>
            <a:pattFill prst="divot">
              <a:fgClr>
                <a:srgbClr val="000000"/>
              </a:fgClr>
              <a:bgClr>
                <a:srgbClr val="FFFFFF"/>
              </a:bgClr>
            </a:pattFill>
            <a:ln w="3175">
              <a:solidFill>
                <a:srgbClr val="000000"/>
              </a:solidFill>
              <a:prstDash val="solid"/>
            </a:ln>
            <a:effectLst/>
          </c:spPr>
          <c:invertIfNegative val="0"/>
          <c:cat>
            <c:strRef>
              <c:f>Sheet1!$B$2:$K$3</c:f>
              <c:strCache>
                <c:ptCount val="9"/>
                <c:pt idx="0">
                  <c:v>NSW</c:v>
                </c:pt>
                <c:pt idx="1">
                  <c:v>Vic</c:v>
                </c:pt>
                <c:pt idx="2">
                  <c:v>Qld</c:v>
                </c:pt>
                <c:pt idx="3">
                  <c:v>WA</c:v>
                </c:pt>
                <c:pt idx="4">
                  <c:v>SA</c:v>
                </c:pt>
                <c:pt idx="5">
                  <c:v>Tas</c:v>
                </c:pt>
                <c:pt idx="6">
                  <c:v>ACT</c:v>
                </c:pt>
                <c:pt idx="7">
                  <c:v>NT</c:v>
                </c:pt>
                <c:pt idx="8">
                  <c:v>Aust</c:v>
                </c:pt>
              </c:strCache>
            </c:strRef>
          </c:cat>
          <c:val>
            <c:numRef>
              <c:f>Sheet1!$B$4:$I$4</c:f>
              <c:numCache>
                <c:formatCode>###\ ###\ ##0.0;\-###\ ###\ ##0.0;"–"</c:formatCode>
                <c:ptCount val="8"/>
                <c:pt idx="0">
                  <c:v>22.283376944</c:v>
                </c:pt>
                <c:pt idx="1">
                  <c:v>17.825097177</c:v>
                </c:pt>
                <c:pt idx="2">
                  <c:v>17.913842296999999</c:v>
                </c:pt>
                <c:pt idx="3">
                  <c:v>27.404369297999999</c:v>
                </c:pt>
                <c:pt idx="4">
                  <c:v>22.634822154999998</c:v>
                </c:pt>
                <c:pt idx="5">
                  <c:v>27.194023598000001</c:v>
                </c:pt>
                <c:pt idx="6">
                  <c:v>8.2978581880999993</c:v>
                </c:pt>
                <c:pt idx="7">
                  <c:v>36.913941692999998</c:v>
                </c:pt>
              </c:numCache>
            </c:numRef>
          </c:val>
        </c:ser>
        <c:ser>
          <c:idx val="1"/>
          <c:order val="1"/>
          <c:tx>
            <c:strRef>
              <c:f>Sheet1!$A$5</c:f>
              <c:strCache>
                <c:ptCount val="1"/>
                <c:pt idx="0">
                  <c:v>AQF Certificate III or IV</c:v>
                </c:pt>
              </c:strCache>
            </c:strRef>
          </c:tx>
          <c:spPr>
            <a:pattFill prst="dkUpDiag">
              <a:fgClr>
                <a:srgbClr val="808080"/>
              </a:fgClr>
              <a:bgClr>
                <a:srgbClr val="FFFFFF"/>
              </a:bgClr>
            </a:pattFill>
            <a:ln w="3175">
              <a:solidFill>
                <a:srgbClr val="000000"/>
              </a:solidFill>
              <a:prstDash val="solid"/>
            </a:ln>
            <a:effectLst/>
          </c:spPr>
          <c:invertIfNegative val="0"/>
          <c:cat>
            <c:strRef>
              <c:f>Sheet1!$B$2:$K$3</c:f>
              <c:strCache>
                <c:ptCount val="9"/>
                <c:pt idx="0">
                  <c:v>NSW</c:v>
                </c:pt>
                <c:pt idx="1">
                  <c:v>Vic</c:v>
                </c:pt>
                <c:pt idx="2">
                  <c:v>Qld</c:v>
                </c:pt>
                <c:pt idx="3">
                  <c:v>WA</c:v>
                </c:pt>
                <c:pt idx="4">
                  <c:v>SA</c:v>
                </c:pt>
                <c:pt idx="5">
                  <c:v>Tas</c:v>
                </c:pt>
                <c:pt idx="6">
                  <c:v>ACT</c:v>
                </c:pt>
                <c:pt idx="7">
                  <c:v>NT</c:v>
                </c:pt>
                <c:pt idx="8">
                  <c:v>Aust</c:v>
                </c:pt>
              </c:strCache>
            </c:strRef>
          </c:cat>
          <c:val>
            <c:numRef>
              <c:f>Sheet1!$B$5:$I$5</c:f>
              <c:numCache>
                <c:formatCode>###\ ###\ ##0.0;\-###\ ###\ ##0.0;"–"</c:formatCode>
                <c:ptCount val="8"/>
                <c:pt idx="0">
                  <c:v>42.291163310000002</c:v>
                </c:pt>
                <c:pt idx="1">
                  <c:v>54.637542007</c:v>
                </c:pt>
                <c:pt idx="2">
                  <c:v>60.921449684999999</c:v>
                </c:pt>
                <c:pt idx="3">
                  <c:v>54.057802915000003</c:v>
                </c:pt>
                <c:pt idx="4">
                  <c:v>49.65890907</c:v>
                </c:pt>
                <c:pt idx="5">
                  <c:v>57.336684587000001</c:v>
                </c:pt>
                <c:pt idx="6">
                  <c:v>57.170413729000003</c:v>
                </c:pt>
                <c:pt idx="7">
                  <c:v>46.682611025999996</c:v>
                </c:pt>
              </c:numCache>
            </c:numRef>
          </c:val>
        </c:ser>
        <c:ser>
          <c:idx val="2"/>
          <c:order val="2"/>
          <c:tx>
            <c:strRef>
              <c:f>Sheet1!$A$6</c:f>
              <c:strCache>
                <c:ptCount val="1"/>
                <c:pt idx="0">
                  <c:v>Diploma or above</c:v>
                </c:pt>
              </c:strCache>
            </c:strRef>
          </c:tx>
          <c:spPr>
            <a:pattFill prst="pct10">
              <a:fgClr>
                <a:srgbClr val="000000"/>
              </a:fgClr>
              <a:bgClr>
                <a:srgbClr val="FFFFFF"/>
              </a:bgClr>
            </a:pattFill>
            <a:ln w="3175">
              <a:solidFill>
                <a:srgbClr val="000000"/>
              </a:solidFill>
              <a:prstDash val="solid"/>
            </a:ln>
            <a:effectLst/>
          </c:spPr>
          <c:invertIfNegative val="0"/>
          <c:cat>
            <c:strRef>
              <c:f>Sheet1!$B$2:$K$3</c:f>
              <c:strCache>
                <c:ptCount val="9"/>
                <c:pt idx="0">
                  <c:v>NSW</c:v>
                </c:pt>
                <c:pt idx="1">
                  <c:v>Vic</c:v>
                </c:pt>
                <c:pt idx="2">
                  <c:v>Qld</c:v>
                </c:pt>
                <c:pt idx="3">
                  <c:v>WA</c:v>
                </c:pt>
                <c:pt idx="4">
                  <c:v>SA</c:v>
                </c:pt>
                <c:pt idx="5">
                  <c:v>Tas</c:v>
                </c:pt>
                <c:pt idx="6">
                  <c:v>ACT</c:v>
                </c:pt>
                <c:pt idx="7">
                  <c:v>NT</c:v>
                </c:pt>
                <c:pt idx="8">
                  <c:v>Aust</c:v>
                </c:pt>
              </c:strCache>
            </c:strRef>
          </c:cat>
          <c:val>
            <c:numRef>
              <c:f>Sheet1!$B$6:$I$6</c:f>
              <c:numCache>
                <c:formatCode>###\ ###\ ##0.0;\-###\ ###\ ##0.0;"–"</c:formatCode>
                <c:ptCount val="8"/>
                <c:pt idx="0">
                  <c:v>13.149434737</c:v>
                </c:pt>
                <c:pt idx="1">
                  <c:v>15.071469499999999</c:v>
                </c:pt>
                <c:pt idx="2">
                  <c:v>14.457121523</c:v>
                </c:pt>
                <c:pt idx="3">
                  <c:v>11.515144268</c:v>
                </c:pt>
                <c:pt idx="4">
                  <c:v>13.155863114000001</c:v>
                </c:pt>
                <c:pt idx="5">
                  <c:v>11.487351346000001</c:v>
                </c:pt>
                <c:pt idx="6">
                  <c:v>20.343887189</c:v>
                </c:pt>
                <c:pt idx="7">
                  <c:v>4.1317883798999997</c:v>
                </c:pt>
              </c:numCache>
            </c:numRef>
          </c:val>
        </c:ser>
        <c:ser>
          <c:idx val="3"/>
          <c:order val="3"/>
          <c:tx>
            <c:strRef>
              <c:f>Sheet1!$A$7</c:f>
              <c:strCache>
                <c:ptCount val="1"/>
                <c:pt idx="0">
                  <c:v>Other</c:v>
                </c:pt>
              </c:strCache>
            </c:strRef>
          </c:tx>
          <c:spPr>
            <a:pattFill prst="dkDnDiag">
              <a:fgClr>
                <a:srgbClr val="000000"/>
              </a:fgClr>
              <a:bgClr>
                <a:srgbClr val="FFFFFF"/>
              </a:bgClr>
            </a:pattFill>
            <a:ln w="3175">
              <a:solidFill>
                <a:srgbClr val="000000"/>
              </a:solidFill>
              <a:prstDash val="solid"/>
            </a:ln>
            <a:effectLst/>
          </c:spPr>
          <c:invertIfNegative val="0"/>
          <c:cat>
            <c:strRef>
              <c:f>Sheet1!$B$2:$K$3</c:f>
              <c:strCache>
                <c:ptCount val="9"/>
                <c:pt idx="0">
                  <c:v>NSW</c:v>
                </c:pt>
                <c:pt idx="1">
                  <c:v>Vic</c:v>
                </c:pt>
                <c:pt idx="2">
                  <c:v>Qld</c:v>
                </c:pt>
                <c:pt idx="3">
                  <c:v>WA</c:v>
                </c:pt>
                <c:pt idx="4">
                  <c:v>SA</c:v>
                </c:pt>
                <c:pt idx="5">
                  <c:v>Tas</c:v>
                </c:pt>
                <c:pt idx="6">
                  <c:v>ACT</c:v>
                </c:pt>
                <c:pt idx="7">
                  <c:v>NT</c:v>
                </c:pt>
                <c:pt idx="8">
                  <c:v>Aust</c:v>
                </c:pt>
              </c:strCache>
            </c:strRef>
          </c:cat>
          <c:val>
            <c:numRef>
              <c:f>Sheet1!$B$7:$I$7</c:f>
              <c:numCache>
                <c:formatCode>###\ ###\ ##0.0;\-###\ ###\ ##0.0;"–"</c:formatCode>
                <c:ptCount val="8"/>
                <c:pt idx="0">
                  <c:v>22.276025010000001</c:v>
                </c:pt>
                <c:pt idx="1">
                  <c:v>12.465891317000001</c:v>
                </c:pt>
                <c:pt idx="2">
                  <c:v>6.7075864951000002</c:v>
                </c:pt>
                <c:pt idx="3">
                  <c:v>7.0226835189000001</c:v>
                </c:pt>
                <c:pt idx="4">
                  <c:v>14.550405659999999</c:v>
                </c:pt>
                <c:pt idx="5">
                  <c:v>3.9819404687</c:v>
                </c:pt>
                <c:pt idx="6">
                  <c:v>14.187840894000001</c:v>
                </c:pt>
                <c:pt idx="7">
                  <c:v>12.271658901</c:v>
                </c:pt>
              </c:numCache>
            </c:numRef>
          </c:val>
        </c:ser>
        <c:dLbls>
          <c:showLegendKey val="0"/>
          <c:showVal val="0"/>
          <c:showCatName val="0"/>
          <c:showSerName val="0"/>
          <c:showPercent val="0"/>
          <c:showBubbleSize val="0"/>
        </c:dLbls>
        <c:gapWidth val="150"/>
        <c:overlap val="100"/>
        <c:axId val="84429056"/>
        <c:axId val="84430848"/>
      </c:barChart>
      <c:catAx>
        <c:axId val="84429056"/>
        <c:scaling>
          <c:orientation val="minMax"/>
        </c:scaling>
        <c:delete val="0"/>
        <c:axPos val="b"/>
        <c:numFmt formatCode="###\ ###\ ##0;0###\ ###\ ##0;&quot;0&quot;" sourceLinked="0"/>
        <c:majorTickMark val="out"/>
        <c:minorTickMark val="none"/>
        <c:tickLblPos val="nextTo"/>
        <c:spPr>
          <a:ln w="3175">
            <a:solidFill>
              <a:srgbClr val="000000"/>
            </a:solidFill>
            <a:prstDash val="solid"/>
          </a:ln>
          <a:effectLst/>
        </c:spPr>
        <c:txPr>
          <a:bodyPr/>
          <a:lstStyle/>
          <a:p>
            <a:pPr>
              <a:defRPr sz="1000" b="0" i="0" u="none" strike="noStrike" baseline="0">
                <a:solidFill>
                  <a:srgbClr val="000000"/>
                </a:solidFill>
                <a:latin typeface="Arial"/>
                <a:ea typeface="Arial"/>
                <a:cs typeface="Arial"/>
              </a:defRPr>
            </a:pPr>
            <a:endParaRPr lang="en-US"/>
          </a:p>
        </c:txPr>
        <c:crossAx val="84430848"/>
        <c:crosses val="autoZero"/>
        <c:auto val="0"/>
        <c:lblAlgn val="ctr"/>
        <c:lblOffset val="100"/>
        <c:noMultiLvlLbl val="0"/>
      </c:catAx>
      <c:valAx>
        <c:axId val="84430848"/>
        <c:scaling>
          <c:orientation val="minMax"/>
          <c:max val="100"/>
          <c:min val="0"/>
        </c:scaling>
        <c:delete val="0"/>
        <c:axPos val="l"/>
        <c:majorGridlines>
          <c:spPr>
            <a:ln w="3175">
              <a:solidFill>
                <a:srgbClr val="000000"/>
              </a:solidFill>
              <a:prstDash val="solid"/>
            </a:ln>
          </c:spPr>
        </c:majorGridlines>
        <c:title>
          <c:tx>
            <c:rich>
              <a:bodyPr rot="-5400000" vert="horz"/>
              <a:lstStyle/>
              <a:p>
                <a:pPr>
                  <a:defRPr/>
                </a:pPr>
                <a:r>
                  <a:rPr lang="en-AU"/>
                  <a:t>Per cent</a:t>
                </a:r>
              </a:p>
            </c:rich>
          </c:tx>
          <c:layout>
            <c:manualLayout>
              <c:xMode val="edge"/>
              <c:yMode val="edge"/>
              <c:x val="2.3112991614970602E-3"/>
              <c:y val="0.39285342296639802"/>
            </c:manualLayout>
          </c:layout>
          <c:overlay val="0"/>
        </c:title>
        <c:numFmt formatCode="###\ ###\ ##0;0###\ ###\ ##0;&quot;0&quot;" sourceLinked="0"/>
        <c:majorTickMark val="out"/>
        <c:minorTickMark val="none"/>
        <c:tickLblPos val="nextTo"/>
        <c:spPr>
          <a:ln w="3175">
            <a:solidFill>
              <a:srgbClr val="000000"/>
            </a:solidFill>
            <a:prstDash val="solid"/>
          </a:ln>
          <a:effectLst/>
        </c:spPr>
        <c:txPr>
          <a:bodyPr/>
          <a:lstStyle/>
          <a:p>
            <a:pPr>
              <a:defRPr sz="1000" b="0" i="0" u="none" strike="noStrike" baseline="0">
                <a:solidFill>
                  <a:srgbClr val="000000"/>
                </a:solidFill>
                <a:latin typeface="Arial"/>
                <a:ea typeface="Arial"/>
                <a:cs typeface="Arial"/>
              </a:defRPr>
            </a:pPr>
            <a:endParaRPr lang="en-US"/>
          </a:p>
        </c:txPr>
        <c:crossAx val="84429056"/>
        <c:crosses val="autoZero"/>
        <c:crossBetween val="between"/>
        <c:majorUnit val="20"/>
        <c:minorUnit val="20"/>
      </c:valAx>
      <c:spPr>
        <a:ln w="25400">
          <a:noFill/>
        </a:ln>
      </c:spPr>
    </c:plotArea>
    <c:legend>
      <c:legendPos val="t"/>
      <c:layout>
        <c:manualLayout>
          <c:xMode val="edge"/>
          <c:yMode val="edge"/>
          <c:x val="1.0052237348093193E-2"/>
          <c:y val="1.7638888888888888E-2"/>
          <c:w val="0.98957576442980533"/>
          <c:h val="0.23254909069640198"/>
        </c:manualLayout>
      </c:layout>
      <c:overlay val="0"/>
      <c:spPr>
        <a:ln w="25400">
          <a:noFill/>
        </a:ln>
        <a:effectLst/>
      </c:spPr>
      <c:txPr>
        <a:bodyPr/>
        <a:lstStyle/>
        <a:p>
          <a:pPr>
            <a:defRPr sz="1000" b="0" i="0" u="none" strike="noStrike" baseline="0">
              <a:solidFill>
                <a:srgbClr val="000000"/>
              </a:solidFill>
              <a:latin typeface="Arial"/>
              <a:ea typeface="Arial"/>
              <a:cs typeface="Arial"/>
            </a:defRPr>
          </a:pPr>
          <a:endParaRPr lang="en-US"/>
        </a:p>
      </c:txPr>
    </c:legend>
    <c:plotVisOnly val="1"/>
    <c:dispBlanksAs val="gap"/>
    <c:showDLblsOverMax val="0"/>
  </c:chart>
  <c:spPr>
    <a:noFill/>
    <a:ln w="9525">
      <a:noFill/>
    </a:ln>
    <a:effectLst/>
  </c:spPr>
  <c:txPr>
    <a:bodyPr/>
    <a:lstStyle/>
    <a:p>
      <a:pPr>
        <a:defRPr baseline="0">
          <a:latin typeface="Arial" pitchFamily="34"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690657748793128"/>
          <c:y val="0.19767516683005856"/>
          <c:w val="0.85791442248835725"/>
          <c:h val="0.62790935346018595"/>
        </c:manualLayout>
      </c:layout>
      <c:barChart>
        <c:barDir val="col"/>
        <c:grouping val="clustered"/>
        <c:varyColors val="0"/>
        <c:ser>
          <c:idx val="3"/>
          <c:order val="0"/>
          <c:tx>
            <c:strRef>
              <c:f>'NASWDFig6data(b)'!$A$4</c:f>
              <c:strCache>
                <c:ptCount val="1"/>
                <c:pt idx="0">
                  <c:v>20–64 year olds</c:v>
                </c:pt>
              </c:strCache>
            </c:strRef>
          </c:tx>
          <c:spPr>
            <a:pattFill prst="dkUpDiag">
              <a:fgClr>
                <a:srgbClr val="808080"/>
              </a:fgClr>
              <a:bgClr>
                <a:srgbClr val="FFFFFF"/>
              </a:bgClr>
            </a:pattFill>
            <a:ln w="3175">
              <a:solidFill>
                <a:srgbClr val="000000"/>
              </a:solidFill>
              <a:prstDash val="solid"/>
            </a:ln>
            <a:effectLst/>
          </c:spPr>
          <c:invertIfNegative val="0"/>
          <c:cat>
            <c:strRef>
              <c:f>'NASWDFig6data(b)'!$B$2:$J$2</c:f>
              <c:strCache>
                <c:ptCount val="9"/>
                <c:pt idx="0">
                  <c:v>NSW</c:v>
                </c:pt>
                <c:pt idx="1">
                  <c:v>Vic</c:v>
                </c:pt>
                <c:pt idx="2">
                  <c:v>Qld</c:v>
                </c:pt>
                <c:pt idx="3">
                  <c:v>WA</c:v>
                </c:pt>
                <c:pt idx="4">
                  <c:v>SA</c:v>
                </c:pt>
                <c:pt idx="5">
                  <c:v>Tas</c:v>
                </c:pt>
                <c:pt idx="6">
                  <c:v>ACT</c:v>
                </c:pt>
                <c:pt idx="7">
                  <c:v>NT</c:v>
                </c:pt>
                <c:pt idx="8">
                  <c:v>Aust</c:v>
                </c:pt>
              </c:strCache>
            </c:strRef>
          </c:cat>
          <c:val>
            <c:numRef>
              <c:f>'NASWDFig6data(b)'!$B$4:$J$4</c:f>
              <c:numCache>
                <c:formatCode>###\ ###\ ###.0;\-###\ ###\ ###.0;\–</c:formatCode>
                <c:ptCount val="9"/>
                <c:pt idx="0">
                  <c:v>9.6050208359572089</c:v>
                </c:pt>
                <c:pt idx="1">
                  <c:v>14.006170503827459</c:v>
                </c:pt>
                <c:pt idx="2">
                  <c:v>7.4983863000884448</c:v>
                </c:pt>
                <c:pt idx="3">
                  <c:v>7.9</c:v>
                </c:pt>
                <c:pt idx="4">
                  <c:v>11.2</c:v>
                </c:pt>
                <c:pt idx="5">
                  <c:v>11.075961057322575</c:v>
                </c:pt>
                <c:pt idx="6">
                  <c:v>9.9</c:v>
                </c:pt>
                <c:pt idx="7">
                  <c:v>12.1</c:v>
                </c:pt>
                <c:pt idx="8">
                  <c:v>10.274921860323118</c:v>
                </c:pt>
              </c:numCache>
            </c:numRef>
          </c:val>
        </c:ser>
        <c:ser>
          <c:idx val="4"/>
          <c:order val="1"/>
          <c:tx>
            <c:strRef>
              <c:f>'NASWDFig6data(b)'!$A$5</c:f>
              <c:strCache>
                <c:ptCount val="1"/>
                <c:pt idx="0">
                  <c:v>15–64 year olds</c:v>
                </c:pt>
              </c:strCache>
            </c:strRef>
          </c:tx>
          <c:spPr>
            <a:pattFill prst="pct10">
              <a:fgClr>
                <a:srgbClr val="000000"/>
              </a:fgClr>
              <a:bgClr>
                <a:srgbClr val="FFFFFF"/>
              </a:bgClr>
            </a:pattFill>
            <a:ln w="3175">
              <a:solidFill>
                <a:srgbClr val="000000"/>
              </a:solidFill>
              <a:prstDash val="solid"/>
            </a:ln>
            <a:effectLst/>
          </c:spPr>
          <c:invertIfNegative val="0"/>
          <c:cat>
            <c:strRef>
              <c:f>'NASWDFig6data(b)'!$B$2:$J$2</c:f>
              <c:strCache>
                <c:ptCount val="9"/>
                <c:pt idx="0">
                  <c:v>NSW</c:v>
                </c:pt>
                <c:pt idx="1">
                  <c:v>Vic</c:v>
                </c:pt>
                <c:pt idx="2">
                  <c:v>Qld</c:v>
                </c:pt>
                <c:pt idx="3">
                  <c:v>WA</c:v>
                </c:pt>
                <c:pt idx="4">
                  <c:v>SA</c:v>
                </c:pt>
                <c:pt idx="5">
                  <c:v>Tas</c:v>
                </c:pt>
                <c:pt idx="6">
                  <c:v>ACT</c:v>
                </c:pt>
                <c:pt idx="7">
                  <c:v>NT</c:v>
                </c:pt>
                <c:pt idx="8">
                  <c:v>Aust</c:v>
                </c:pt>
              </c:strCache>
            </c:strRef>
          </c:cat>
          <c:val>
            <c:numRef>
              <c:f>'NASWDFig6data(b)'!$B$5:$J$5</c:f>
              <c:numCache>
                <c:formatCode>###\ ###\ ###.0;\-###\ ###\ ###.0;\–</c:formatCode>
                <c:ptCount val="9"/>
                <c:pt idx="0">
                  <c:v>12.027823714238465</c:v>
                </c:pt>
                <c:pt idx="1">
                  <c:v>16.722931849012195</c:v>
                </c:pt>
                <c:pt idx="2">
                  <c:v>9.348534693112251</c:v>
                </c:pt>
                <c:pt idx="3">
                  <c:v>9.9</c:v>
                </c:pt>
                <c:pt idx="4">
                  <c:v>12.7</c:v>
                </c:pt>
                <c:pt idx="5">
                  <c:v>12.781170368359945</c:v>
                </c:pt>
                <c:pt idx="6">
                  <c:v>11.2</c:v>
                </c:pt>
                <c:pt idx="7">
                  <c:v>14</c:v>
                </c:pt>
                <c:pt idx="8">
                  <c:v>12.498436283844836</c:v>
                </c:pt>
              </c:numCache>
            </c:numRef>
          </c:val>
        </c:ser>
        <c:ser>
          <c:idx val="2"/>
          <c:order val="2"/>
          <c:tx>
            <c:strRef>
              <c:f>'NASWDFig6data(b)'!$A$3</c:f>
              <c:strCache>
                <c:ptCount val="1"/>
                <c:pt idx="0">
                  <c:v>18–24 year olds</c:v>
                </c:pt>
              </c:strCache>
            </c:strRef>
          </c:tx>
          <c:spPr>
            <a:pattFill prst="dkDnDiag">
              <a:fgClr>
                <a:srgbClr val="000000"/>
              </a:fgClr>
              <a:bgClr>
                <a:srgbClr val="FFFFFF"/>
              </a:bgClr>
            </a:pattFill>
            <a:ln w="3175">
              <a:solidFill>
                <a:srgbClr val="000000"/>
              </a:solidFill>
              <a:prstDash val="solid"/>
            </a:ln>
            <a:effectLst/>
          </c:spPr>
          <c:invertIfNegative val="0"/>
          <c:cat>
            <c:strRef>
              <c:f>'NASWDFig6data(b)'!$B$2:$J$2</c:f>
              <c:strCache>
                <c:ptCount val="9"/>
                <c:pt idx="0">
                  <c:v>NSW</c:v>
                </c:pt>
                <c:pt idx="1">
                  <c:v>Vic</c:v>
                </c:pt>
                <c:pt idx="2">
                  <c:v>Qld</c:v>
                </c:pt>
                <c:pt idx="3">
                  <c:v>WA</c:v>
                </c:pt>
                <c:pt idx="4">
                  <c:v>SA</c:v>
                </c:pt>
                <c:pt idx="5">
                  <c:v>Tas</c:v>
                </c:pt>
                <c:pt idx="6">
                  <c:v>ACT</c:v>
                </c:pt>
                <c:pt idx="7">
                  <c:v>NT</c:v>
                </c:pt>
                <c:pt idx="8">
                  <c:v>Aust</c:v>
                </c:pt>
              </c:strCache>
            </c:strRef>
          </c:cat>
          <c:val>
            <c:numRef>
              <c:f>'NASWDFig6data(b)'!$B$3:$J$3</c:f>
              <c:numCache>
                <c:formatCode>###\ ###\ ###.0;\-###\ ###\ ###.0;\–</c:formatCode>
                <c:ptCount val="9"/>
                <c:pt idx="0">
                  <c:v>22.676153383087826</c:v>
                </c:pt>
                <c:pt idx="1">
                  <c:v>36.338557635270831</c:v>
                </c:pt>
                <c:pt idx="2">
                  <c:v>18.46635402429218</c:v>
                </c:pt>
                <c:pt idx="3">
                  <c:v>18.899999999999999</c:v>
                </c:pt>
                <c:pt idx="4">
                  <c:v>24.9</c:v>
                </c:pt>
                <c:pt idx="5">
                  <c:v>26.56347023862326</c:v>
                </c:pt>
                <c:pt idx="6">
                  <c:v>23.6</c:v>
                </c:pt>
                <c:pt idx="7">
                  <c:v>22.4</c:v>
                </c:pt>
                <c:pt idx="8">
                  <c:v>25.104310102444689</c:v>
                </c:pt>
              </c:numCache>
            </c:numRef>
          </c:val>
        </c:ser>
        <c:dLbls>
          <c:showLegendKey val="0"/>
          <c:showVal val="0"/>
          <c:showCatName val="0"/>
          <c:showSerName val="0"/>
          <c:showPercent val="0"/>
          <c:showBubbleSize val="0"/>
        </c:dLbls>
        <c:gapWidth val="150"/>
        <c:axId val="85419904"/>
        <c:axId val="85421440"/>
      </c:barChart>
      <c:catAx>
        <c:axId val="85419904"/>
        <c:scaling>
          <c:orientation val="minMax"/>
        </c:scaling>
        <c:delete val="0"/>
        <c:axPos val="b"/>
        <c:numFmt formatCode="###\ ###\ ##0;0###\ ###\ ##0;&quot;0&quot;" sourceLinked="0"/>
        <c:majorTickMark val="out"/>
        <c:minorTickMark val="none"/>
        <c:tickLblPos val="nextTo"/>
        <c:spPr>
          <a:ln w="3175">
            <a:solidFill>
              <a:srgbClr val="000000"/>
            </a:solidFill>
            <a:prstDash val="solid"/>
          </a:ln>
          <a:effectLst/>
        </c:spPr>
        <c:txPr>
          <a:bodyPr rot="0" vert="horz"/>
          <a:lstStyle/>
          <a:p>
            <a:pPr>
              <a:defRPr sz="1000" b="0" i="0" u="none" strike="noStrike" baseline="0">
                <a:solidFill>
                  <a:srgbClr val="000000"/>
                </a:solidFill>
                <a:latin typeface="Arial"/>
                <a:ea typeface="Arial"/>
                <a:cs typeface="Arial"/>
              </a:defRPr>
            </a:pPr>
            <a:endParaRPr lang="en-US"/>
          </a:p>
        </c:txPr>
        <c:crossAx val="85421440"/>
        <c:crosses val="autoZero"/>
        <c:auto val="1"/>
        <c:lblAlgn val="ctr"/>
        <c:lblOffset val="100"/>
        <c:tickLblSkip val="1"/>
        <c:tickMarkSkip val="1"/>
        <c:noMultiLvlLbl val="0"/>
      </c:catAx>
      <c:valAx>
        <c:axId val="85421440"/>
        <c:scaling>
          <c:orientation val="minMax"/>
          <c:max val="50"/>
          <c:min val="0"/>
        </c:scaling>
        <c:delete val="0"/>
        <c:axPos val="l"/>
        <c:majorGridlines>
          <c:spPr>
            <a:ln w="3175">
              <a:solidFill>
                <a:srgbClr val="000000"/>
              </a:solidFill>
              <a:prstDash val="solid"/>
            </a:ln>
          </c:spPr>
        </c:majorGridlines>
        <c:title>
          <c:tx>
            <c:rich>
              <a:bodyPr/>
              <a:lstStyle/>
              <a:p>
                <a:pPr>
                  <a:defRPr sz="1000" b="1" i="0" u="none" strike="noStrike" baseline="0">
                    <a:solidFill>
                      <a:srgbClr val="000000"/>
                    </a:solidFill>
                    <a:latin typeface="Arial"/>
                    <a:ea typeface="Arial"/>
                    <a:cs typeface="Arial"/>
                  </a:defRPr>
                </a:pPr>
                <a:r>
                  <a:rPr lang="en-AU" sz="1000" b="1" i="0" u="none" strike="noStrike" baseline="0">
                    <a:solidFill>
                      <a:srgbClr val="000000"/>
                    </a:solidFill>
                    <a:latin typeface="Arial"/>
                  </a:rPr>
                  <a:t>Per cent</a:t>
                </a:r>
              </a:p>
            </c:rich>
          </c:tx>
          <c:layout>
            <c:manualLayout>
              <c:xMode val="edge"/>
              <c:yMode val="edge"/>
              <c:x val="2.877700368933693E-2"/>
              <c:y val="0.40310230098678607"/>
            </c:manualLayout>
          </c:layout>
          <c:overlay val="0"/>
          <c:spPr>
            <a:noFill/>
            <a:ln w="25400">
              <a:noFill/>
            </a:ln>
          </c:spPr>
        </c:title>
        <c:numFmt formatCode="###\ ###\ ##0;0###\ ###\ ##0;&quot;0&quot;" sourceLinked="0"/>
        <c:majorTickMark val="out"/>
        <c:minorTickMark val="none"/>
        <c:tickLblPos val="nextTo"/>
        <c:spPr>
          <a:ln w="3175">
            <a:solidFill>
              <a:srgbClr val="000000"/>
            </a:solidFill>
            <a:prstDash val="solid"/>
          </a:ln>
          <a:effectLst/>
        </c:spPr>
        <c:txPr>
          <a:bodyPr rot="0" vert="horz"/>
          <a:lstStyle/>
          <a:p>
            <a:pPr>
              <a:defRPr sz="1000" b="0" i="0" u="none" strike="noStrike" baseline="0">
                <a:solidFill>
                  <a:srgbClr val="000000"/>
                </a:solidFill>
                <a:latin typeface="Arial"/>
                <a:ea typeface="Arial"/>
                <a:cs typeface="Arial"/>
              </a:defRPr>
            </a:pPr>
            <a:endParaRPr lang="en-US"/>
          </a:p>
        </c:txPr>
        <c:crossAx val="85419904"/>
        <c:crosses val="autoZero"/>
        <c:crossBetween val="between"/>
        <c:majorUnit val="10"/>
      </c:valAx>
      <c:spPr>
        <a:ln w="25400">
          <a:noFill/>
        </a:ln>
      </c:spPr>
    </c:plotArea>
    <c:legend>
      <c:legendPos val="t"/>
      <c:layout>
        <c:manualLayout>
          <c:xMode val="edge"/>
          <c:yMode val="edge"/>
          <c:x val="0"/>
          <c:y val="3.0998392314351361E-2"/>
          <c:w val="0.98886081685832439"/>
          <c:h val="0.16856128406568729"/>
        </c:manualLayout>
      </c:layout>
      <c:overlay val="0"/>
      <c:spPr>
        <a:ln w="25400">
          <a:noFill/>
        </a:ln>
        <a:effectLst/>
      </c:spPr>
      <c:txPr>
        <a:bodyPr/>
        <a:lstStyle/>
        <a:p>
          <a:pPr>
            <a:defRPr sz="1000" b="0" i="0" u="none" strike="noStrike" baseline="0">
              <a:solidFill>
                <a:srgbClr val="000000"/>
              </a:solidFill>
              <a:latin typeface="Arial"/>
              <a:ea typeface="Arial"/>
              <a:cs typeface="Arial"/>
            </a:defRPr>
          </a:pPr>
          <a:endParaRPr lang="en-US"/>
        </a:p>
      </c:txPr>
    </c:legend>
    <c:plotVisOnly val="1"/>
    <c:dispBlanksAs val="gap"/>
    <c:showDLblsOverMax val="0"/>
  </c:chart>
  <c:spPr>
    <a:noFill/>
    <a:ln w="9525">
      <a:noFill/>
    </a:ln>
    <a:effectLst/>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669658886894076"/>
          <c:y val="0.19691156813987115"/>
          <c:w val="0.85816876122082586"/>
          <c:h val="0.62934481581958823"/>
        </c:manualLayout>
      </c:layout>
      <c:barChart>
        <c:barDir val="col"/>
        <c:grouping val="clustered"/>
        <c:varyColors val="0"/>
        <c:ser>
          <c:idx val="2"/>
          <c:order val="0"/>
          <c:tx>
            <c:strRef>
              <c:f>NASWDFig7data!$A$4</c:f>
              <c:strCache>
                <c:ptCount val="1"/>
                <c:pt idx="0">
                  <c:v>All students 18-24 year olds</c:v>
                </c:pt>
              </c:strCache>
            </c:strRef>
          </c:tx>
          <c:spPr>
            <a:pattFill prst="pct10">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3175">
              <a:solidFill>
                <a:srgbClr val="000000"/>
              </a:solidFill>
              <a:prstDash val="solid"/>
            </a:ln>
          </c:spPr>
          <c:invertIfNegative val="0"/>
          <c:cat>
            <c:strRef>
              <c:f>NASWDFig7data!$B$2:$J$3</c:f>
              <c:strCache>
                <c:ptCount val="9"/>
                <c:pt idx="0">
                  <c:v>NSW</c:v>
                </c:pt>
                <c:pt idx="1">
                  <c:v>Vic</c:v>
                </c:pt>
                <c:pt idx="2">
                  <c:v>Qld</c:v>
                </c:pt>
                <c:pt idx="3">
                  <c:v>WA</c:v>
                </c:pt>
                <c:pt idx="4">
                  <c:v>SA</c:v>
                </c:pt>
                <c:pt idx="5">
                  <c:v>Tas</c:v>
                </c:pt>
                <c:pt idx="6">
                  <c:v>ACT</c:v>
                </c:pt>
                <c:pt idx="7">
                  <c:v>NT</c:v>
                </c:pt>
                <c:pt idx="8">
                  <c:v>Aust</c:v>
                </c:pt>
              </c:strCache>
            </c:strRef>
          </c:cat>
          <c:val>
            <c:numRef>
              <c:f>NASWDFig7data!$B$4:$J$4</c:f>
              <c:numCache>
                <c:formatCode>###\ ###\ ###.0;\-###\ ###\ ###.0;\–</c:formatCode>
                <c:ptCount val="9"/>
                <c:pt idx="0">
                  <c:v>22.676153383087826</c:v>
                </c:pt>
                <c:pt idx="1">
                  <c:v>36.338557635270831</c:v>
                </c:pt>
                <c:pt idx="2">
                  <c:v>18.46635402429218</c:v>
                </c:pt>
                <c:pt idx="3">
                  <c:v>18.899999999999999</c:v>
                </c:pt>
                <c:pt idx="4">
                  <c:v>24.9</c:v>
                </c:pt>
                <c:pt idx="5">
                  <c:v>26.56347023862326</c:v>
                </c:pt>
                <c:pt idx="6">
                  <c:v>23.6</c:v>
                </c:pt>
                <c:pt idx="7">
                  <c:v>22.4</c:v>
                </c:pt>
                <c:pt idx="8">
                  <c:v>25.104310102444689</c:v>
                </c:pt>
              </c:numCache>
            </c:numRef>
          </c:val>
        </c:ser>
        <c:ser>
          <c:idx val="3"/>
          <c:order val="1"/>
          <c:tx>
            <c:strRef>
              <c:f>NASWDFig7data!$A$5</c:f>
              <c:strCache>
                <c:ptCount val="1"/>
                <c:pt idx="0">
                  <c:v>Indigenous students 18-24 year olds </c:v>
                </c:pt>
              </c:strCache>
            </c:strRef>
          </c:tx>
          <c:spPr>
            <a:pattFill prst="dkDnDiag">
              <a:fgClr>
                <a:schemeClr val="tx1"/>
              </a:fgClr>
              <a:bgClr>
                <a:srgbClr xmlns:mc="http://schemas.openxmlformats.org/markup-compatibility/2006" xmlns:a14="http://schemas.microsoft.com/office/drawing/2010/main" val="FFFFFF" mc:Ignorable="a14" a14:legacySpreadsheetColorIndex="9"/>
              </a:bgClr>
            </a:pattFill>
            <a:ln w="3175">
              <a:solidFill>
                <a:srgbClr val="000000"/>
              </a:solidFill>
              <a:prstDash val="solid"/>
            </a:ln>
          </c:spPr>
          <c:invertIfNegative val="0"/>
          <c:cat>
            <c:strRef>
              <c:f>NASWDFig7data!$B$2:$J$3</c:f>
              <c:strCache>
                <c:ptCount val="9"/>
                <c:pt idx="0">
                  <c:v>NSW</c:v>
                </c:pt>
                <c:pt idx="1">
                  <c:v>Vic</c:v>
                </c:pt>
                <c:pt idx="2">
                  <c:v>Qld</c:v>
                </c:pt>
                <c:pt idx="3">
                  <c:v>WA</c:v>
                </c:pt>
                <c:pt idx="4">
                  <c:v>SA</c:v>
                </c:pt>
                <c:pt idx="5">
                  <c:v>Tas</c:v>
                </c:pt>
                <c:pt idx="6">
                  <c:v>ACT</c:v>
                </c:pt>
                <c:pt idx="7">
                  <c:v>NT</c:v>
                </c:pt>
                <c:pt idx="8">
                  <c:v>Aust</c:v>
                </c:pt>
              </c:strCache>
            </c:strRef>
          </c:cat>
          <c:val>
            <c:numRef>
              <c:f>NASWDFig7data!$B$5:$J$5</c:f>
              <c:numCache>
                <c:formatCode>General</c:formatCode>
                <c:ptCount val="9"/>
                <c:pt idx="0">
                  <c:v>36.326002587322122</c:v>
                </c:pt>
                <c:pt idx="1">
                  <c:v>40.910438908659543</c:v>
                </c:pt>
                <c:pt idx="2">
                  <c:v>21.379876796714576</c:v>
                </c:pt>
                <c:pt idx="3">
                  <c:v>30.461175280330494</c:v>
                </c:pt>
                <c:pt idx="4">
                  <c:v>36.78585308977847</c:v>
                </c:pt>
                <c:pt idx="5">
                  <c:v>22.76422764227642</c:v>
                </c:pt>
                <c:pt idx="6">
                  <c:v>27.868852459016392</c:v>
                </c:pt>
                <c:pt idx="7">
                  <c:v>35.338009252350396</c:v>
                </c:pt>
                <c:pt idx="8">
                  <c:v>30.992536533840958</c:v>
                </c:pt>
              </c:numCache>
            </c:numRef>
          </c:val>
        </c:ser>
        <c:dLbls>
          <c:showLegendKey val="0"/>
          <c:showVal val="0"/>
          <c:showCatName val="0"/>
          <c:showSerName val="0"/>
          <c:showPercent val="0"/>
          <c:showBubbleSize val="0"/>
        </c:dLbls>
        <c:gapWidth val="150"/>
        <c:axId val="86380928"/>
        <c:axId val="86382464"/>
      </c:barChart>
      <c:catAx>
        <c:axId val="86380928"/>
        <c:scaling>
          <c:orientation val="minMax"/>
        </c:scaling>
        <c:delete val="0"/>
        <c:axPos val="b"/>
        <c:numFmt formatCode="General" sourceLinked="1"/>
        <c:majorTickMark val="cross"/>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86382464"/>
        <c:crosses val="autoZero"/>
        <c:auto val="1"/>
        <c:lblAlgn val="ctr"/>
        <c:lblOffset val="100"/>
        <c:tickLblSkip val="1"/>
        <c:tickMarkSkip val="1"/>
        <c:noMultiLvlLbl val="0"/>
      </c:catAx>
      <c:valAx>
        <c:axId val="86382464"/>
        <c:scaling>
          <c:orientation val="minMax"/>
          <c:max val="50"/>
        </c:scaling>
        <c:delete val="0"/>
        <c:axPos val="l"/>
        <c:majorGridlines>
          <c:spPr>
            <a:ln w="3175">
              <a:solidFill>
                <a:srgbClr val="000000"/>
              </a:solidFill>
              <a:prstDash val="solid"/>
            </a:ln>
          </c:spPr>
        </c:majorGridlines>
        <c:title>
          <c:tx>
            <c:rich>
              <a:bodyPr/>
              <a:lstStyle/>
              <a:p>
                <a:pPr>
                  <a:defRPr sz="1000" b="1" i="0" u="none" strike="noStrike" baseline="0">
                    <a:solidFill>
                      <a:srgbClr val="000000"/>
                    </a:solidFill>
                    <a:latin typeface="Arial"/>
                    <a:ea typeface="Arial"/>
                    <a:cs typeface="Arial"/>
                  </a:defRPr>
                </a:pPr>
                <a:r>
                  <a:rPr lang="en-AU"/>
                  <a:t>Per cent</a:t>
                </a:r>
              </a:p>
            </c:rich>
          </c:tx>
          <c:layout>
            <c:manualLayout>
              <c:xMode val="edge"/>
              <c:yMode val="edge"/>
              <c:x val="2.8725314183123879E-2"/>
              <c:y val="0.40154515855973727"/>
            </c:manualLayout>
          </c:layout>
          <c:overlay val="0"/>
          <c:spPr>
            <a:noFill/>
            <a:ln w="25400">
              <a:noFill/>
            </a:ln>
          </c:spPr>
        </c:title>
        <c:numFmt formatCode="0" sourceLinked="0"/>
        <c:majorTickMark val="cross"/>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86380928"/>
        <c:crosses val="autoZero"/>
        <c:crossBetween val="between"/>
        <c:majorUnit val="10"/>
      </c:valAx>
      <c:spPr>
        <a:noFill/>
        <a:ln w="25400">
          <a:noFill/>
        </a:ln>
      </c:spPr>
    </c:plotArea>
    <c:legend>
      <c:legendPos val="t"/>
      <c:layout>
        <c:manualLayout>
          <c:xMode val="edge"/>
          <c:yMode val="edge"/>
          <c:x val="0.17594254937163376"/>
          <c:y val="3.0888089119979791E-2"/>
          <c:w val="0.73967684021543989"/>
          <c:h val="8.4942245079944426E-2"/>
        </c:manualLayout>
      </c:layout>
      <c:overlay val="0"/>
      <c:spPr>
        <a:solidFill>
          <a:srgbClr val="FFFFFF"/>
        </a:solidFill>
        <a:ln w="25400">
          <a:noFill/>
        </a:ln>
      </c:spPr>
      <c:txPr>
        <a:bodyPr/>
        <a:lstStyle/>
        <a:p>
          <a:pPr>
            <a:defRPr sz="920" b="0" i="0" u="none" strike="noStrike" baseline="0">
              <a:solidFill>
                <a:srgbClr val="000000"/>
              </a:solidFill>
              <a:latin typeface="Arial"/>
              <a:ea typeface="Arial"/>
              <a:cs typeface="Arial"/>
            </a:defRPr>
          </a:pPr>
          <a:endParaRPr lang="en-US"/>
        </a:p>
      </c:txPr>
    </c:legend>
    <c:plotVisOnly val="1"/>
    <c:dispBlanksAs val="gap"/>
    <c:showDLblsOverMax val="0"/>
  </c:chart>
  <c:spPr>
    <a:noFill/>
    <a:ln w="9525">
      <a:noFill/>
    </a:ln>
  </c:spPr>
  <c:txPr>
    <a:bodyPr/>
    <a:lstStyle/>
    <a:p>
      <a:pPr>
        <a:defRPr sz="1000" b="0" i="0" u="none" strike="noStrike" baseline="0">
          <a:solidFill>
            <a:srgbClr val="000000"/>
          </a:solidFill>
          <a:latin typeface="Arial"/>
          <a:ea typeface="Arial"/>
          <a:cs typeface="Arial"/>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0</TotalTime>
  <Pages>111</Pages>
  <Words>32110</Words>
  <Characters>186140</Characters>
  <Application>Microsoft Office Word</Application>
  <DocSecurity>0</DocSecurity>
  <Lines>1551</Lines>
  <Paragraphs>435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217815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2014-10-23T04:16:00Z</dcterms:created>
  <dcterms:modified xsi:type="dcterms:W3CDTF">2014-10-24T00:03:00Z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