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F2E6C" w:rsidP="008D7E65">
      <w:pPr>
        <w:pStyle w:val="Heading1"/>
        <w:spacing w:before="0"/>
      </w:pPr>
      <w:bookmarkStart w:id="0" w:name="ChapterTitle"/>
      <w:r>
        <w:t>Key findings</w:t>
      </w:r>
      <w:bookmarkStart w:id="1" w:name="_GoBack"/>
      <w:bookmarkEnd w:id="0"/>
      <w:bookmarkEnd w:id="1"/>
    </w:p>
    <w:p w:rsidR="00D62824" w:rsidRPr="00FA41E6" w:rsidRDefault="00D62824" w:rsidP="00D62824">
      <w:pPr>
        <w:pStyle w:val="Heading3"/>
      </w:pPr>
      <w:r w:rsidRPr="00FA41E6">
        <w:t xml:space="preserve">All State and Territory governments </w:t>
      </w:r>
      <w:r w:rsidR="005147E6" w:rsidRPr="00FA41E6">
        <w:t xml:space="preserve">are eligible for reward payments </w:t>
      </w:r>
    </w:p>
    <w:p w:rsidR="00D62824" w:rsidRDefault="00D62824" w:rsidP="00D62824">
      <w:pPr>
        <w:pStyle w:val="BodyText"/>
      </w:pPr>
      <w:r>
        <w:t xml:space="preserve">Under the National Partnership Agreement on Essential Vaccines (the NP), State and Territory governments are </w:t>
      </w:r>
      <w:r w:rsidRPr="00416C39">
        <w:rPr>
          <w:i/>
        </w:rPr>
        <w:t>eligible for reward payments if they achieve at least two of the four benchmarks</w:t>
      </w:r>
      <w:r>
        <w:t xml:space="preserve"> listed in the NP. </w:t>
      </w:r>
      <w:r w:rsidR="005147E6" w:rsidRPr="005147E6">
        <w:t>All State and Territory governments</w:t>
      </w:r>
      <w:r w:rsidR="005147E6">
        <w:t xml:space="preserve"> met this requirement.</w:t>
      </w:r>
    </w:p>
    <w:p w:rsidR="00D62824" w:rsidRDefault="00D62824" w:rsidP="00D62824">
      <w:pPr>
        <w:pStyle w:val="BodyText"/>
      </w:pPr>
      <w:r>
        <w:t>The four benchmarks are:</w:t>
      </w:r>
    </w:p>
    <w:p w:rsidR="00D62824" w:rsidRDefault="00D62824" w:rsidP="00486801">
      <w:pPr>
        <w:pStyle w:val="ListBullet"/>
        <w:tabs>
          <w:tab w:val="clear" w:pos="340"/>
          <w:tab w:val="left" w:pos="284"/>
          <w:tab w:val="num" w:pos="1843"/>
        </w:tabs>
        <w:ind w:left="1843" w:hanging="1843"/>
      </w:pPr>
      <w:r>
        <w:t>Benchmark 1:</w:t>
      </w:r>
      <w:r w:rsidR="005147E6">
        <w:tab/>
      </w:r>
      <w:r>
        <w:t>maintaining or increasing vaccine coverage for Indigenous Australians</w:t>
      </w:r>
    </w:p>
    <w:p w:rsidR="00D62824" w:rsidRDefault="00D62824" w:rsidP="00486801">
      <w:pPr>
        <w:pStyle w:val="ListBullet"/>
        <w:tabs>
          <w:tab w:val="clear" w:pos="340"/>
          <w:tab w:val="left" w:pos="284"/>
          <w:tab w:val="num" w:pos="1843"/>
        </w:tabs>
        <w:ind w:left="1843" w:hanging="1843"/>
      </w:pPr>
      <w:r>
        <w:t>Benchmark 2:</w:t>
      </w:r>
      <w:r w:rsidR="005147E6">
        <w:tab/>
      </w:r>
      <w:r>
        <w:t>maintaining or increasing coverage in agreed areas of low immunisation coverage</w:t>
      </w:r>
    </w:p>
    <w:p w:rsidR="00D62824" w:rsidRDefault="00D62824" w:rsidP="00486801">
      <w:pPr>
        <w:pStyle w:val="ListBullet"/>
        <w:tabs>
          <w:tab w:val="clear" w:pos="340"/>
          <w:tab w:val="left" w:pos="284"/>
          <w:tab w:val="num" w:pos="1843"/>
        </w:tabs>
        <w:ind w:left="1843" w:hanging="1843"/>
      </w:pPr>
      <w:r>
        <w:t>Benchmark 3:</w:t>
      </w:r>
      <w:r w:rsidR="005147E6">
        <w:tab/>
      </w:r>
      <w:r>
        <w:t>maintaining or decreasing wastage and leakage</w:t>
      </w:r>
    </w:p>
    <w:p w:rsidR="00D62824" w:rsidRDefault="00D62824" w:rsidP="00486801">
      <w:pPr>
        <w:pStyle w:val="ListBullet"/>
        <w:tabs>
          <w:tab w:val="clear" w:pos="340"/>
          <w:tab w:val="left" w:pos="284"/>
          <w:tab w:val="num" w:pos="1843"/>
        </w:tabs>
        <w:ind w:left="1843" w:hanging="1843"/>
      </w:pPr>
      <w:r>
        <w:t>Benchmark 4:</w:t>
      </w:r>
      <w:r w:rsidR="005147E6">
        <w:tab/>
      </w:r>
      <w:r>
        <w:t>maintaining or increasing vaccination coverage for four year olds</w:t>
      </w:r>
      <w:r w:rsidR="005147E6">
        <w:t>.</w:t>
      </w:r>
    </w:p>
    <w:p w:rsidR="00750922" w:rsidRPr="006A3E3B" w:rsidRDefault="005147E6" w:rsidP="00FB3A52">
      <w:pPr>
        <w:pStyle w:val="BodyText"/>
      </w:pPr>
      <w:r w:rsidRPr="006A3E3B">
        <w:t xml:space="preserve">As illustrated in </w:t>
      </w:r>
      <w:r w:rsidR="00652280" w:rsidRPr="006A3E3B">
        <w:t>table</w:t>
      </w:r>
      <w:r w:rsidR="00750922" w:rsidRPr="006A3E3B">
        <w:t xml:space="preserve"> 1:</w:t>
      </w:r>
    </w:p>
    <w:p w:rsidR="009C2DB6" w:rsidRPr="00FA41E6" w:rsidRDefault="005147E6" w:rsidP="00526319">
      <w:pPr>
        <w:pStyle w:val="ListBullet"/>
      </w:pPr>
      <w:r w:rsidRPr="00FA41E6">
        <w:t xml:space="preserve">all </w:t>
      </w:r>
      <w:r w:rsidR="006E552C" w:rsidRPr="00FA41E6">
        <w:t>jurisdictions</w:t>
      </w:r>
      <w:r w:rsidR="009C2DB6" w:rsidRPr="00FA41E6">
        <w:t xml:space="preserve"> </w:t>
      </w:r>
      <w:r w:rsidR="00C721DE" w:rsidRPr="00FA41E6">
        <w:t xml:space="preserve">except Tasmania </w:t>
      </w:r>
      <w:r w:rsidR="009C2DB6" w:rsidRPr="00FA41E6">
        <w:t xml:space="preserve">met </w:t>
      </w:r>
      <w:r w:rsidR="00241307" w:rsidRPr="00FA41E6">
        <w:t>benchmark 1</w:t>
      </w:r>
    </w:p>
    <w:p w:rsidR="005147E6" w:rsidRPr="006A3E3B" w:rsidRDefault="00246294" w:rsidP="00526319">
      <w:pPr>
        <w:pStyle w:val="ListBullet"/>
      </w:pPr>
      <w:r w:rsidRPr="006A3E3B">
        <w:t>all</w:t>
      </w:r>
      <w:r w:rsidR="000A71AB" w:rsidRPr="006A3E3B">
        <w:t xml:space="preserve"> </w:t>
      </w:r>
      <w:r w:rsidR="005147E6" w:rsidRPr="006A3E3B">
        <w:t xml:space="preserve">jurisdictions </w:t>
      </w:r>
      <w:r w:rsidRPr="006A3E3B">
        <w:t>met benchmark 2</w:t>
      </w:r>
    </w:p>
    <w:p w:rsidR="002668F7" w:rsidRPr="006A3E3B" w:rsidRDefault="0031422A" w:rsidP="00526319">
      <w:pPr>
        <w:pStyle w:val="ListBullet2"/>
      </w:pPr>
      <w:r w:rsidRPr="006A3E3B">
        <w:t>NSW and WA</w:t>
      </w:r>
      <w:r w:rsidR="005147E6" w:rsidRPr="006A3E3B">
        <w:t xml:space="preserve"> </w:t>
      </w:r>
      <w:r w:rsidR="002668F7" w:rsidRPr="006A3E3B">
        <w:t xml:space="preserve">had agreed areas of low coverage and </w:t>
      </w:r>
      <w:r w:rsidR="005147E6" w:rsidRPr="006A3E3B">
        <w:t>achieved benchmark 2</w:t>
      </w:r>
    </w:p>
    <w:p w:rsidR="002668F7" w:rsidRDefault="006A3E3B" w:rsidP="00526319">
      <w:pPr>
        <w:pStyle w:val="ListBullet2"/>
      </w:pPr>
      <w:r w:rsidRPr="006A3E3B">
        <w:t xml:space="preserve">Victoria, </w:t>
      </w:r>
      <w:r w:rsidR="005147E6" w:rsidRPr="006A3E3B">
        <w:t>Queensland, SA, Tasmania, the ACT and the NT</w:t>
      </w:r>
      <w:r w:rsidR="002668F7" w:rsidRPr="006A3E3B">
        <w:t xml:space="preserve"> had no areas of low </w:t>
      </w:r>
      <w:r w:rsidR="00F24030">
        <w:t xml:space="preserve">immunisation </w:t>
      </w:r>
      <w:r w:rsidR="002668F7" w:rsidRPr="006A3E3B">
        <w:t>coverage and have been assessed to have achieved</w:t>
      </w:r>
      <w:r w:rsidR="00241307" w:rsidRPr="006A3E3B">
        <w:t xml:space="preserve"> benchmark 2</w:t>
      </w:r>
      <w:r w:rsidR="005147E6" w:rsidRPr="006A3E3B">
        <w:t>.</w:t>
      </w:r>
      <w:r w:rsidR="00241307" w:rsidRPr="006A3E3B">
        <w:rPr>
          <w:rStyle w:val="FootnoteReference"/>
        </w:rPr>
        <w:footnoteReference w:id="1"/>
      </w:r>
      <w:r w:rsidR="006E552C" w:rsidRPr="006A3E3B">
        <w:t xml:space="preserve"> </w:t>
      </w:r>
    </w:p>
    <w:p w:rsidR="001822EB" w:rsidRPr="006A3E3B" w:rsidRDefault="001822EB" w:rsidP="00526319">
      <w:pPr>
        <w:pStyle w:val="ListBullet"/>
      </w:pPr>
      <w:r>
        <w:t>All jurisdictions met benchmarks 3 and 4.</w:t>
      </w:r>
    </w:p>
    <w:p w:rsidR="00652280" w:rsidRDefault="00652280"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52280" w:rsidTr="00D27860">
        <w:tc>
          <w:tcPr>
            <w:tcW w:w="8771" w:type="dxa"/>
            <w:tcBorders>
              <w:top w:val="single" w:sz="6" w:space="0" w:color="78A22F"/>
              <w:left w:val="nil"/>
              <w:bottom w:val="nil"/>
              <w:right w:val="nil"/>
            </w:tcBorders>
            <w:shd w:val="clear" w:color="auto" w:fill="auto"/>
          </w:tcPr>
          <w:p w:rsidR="00652280" w:rsidRPr="006A3E3B" w:rsidRDefault="00652280" w:rsidP="00CF2305">
            <w:pPr>
              <w:pStyle w:val="TableTitle"/>
            </w:pPr>
            <w:r w:rsidRPr="006A3E3B">
              <w:rPr>
                <w:b w:val="0"/>
              </w:rPr>
              <w:t xml:space="preserve">Table </w:t>
            </w:r>
            <w:r w:rsidR="00EF2E6C" w:rsidRPr="006A3E3B">
              <w:rPr>
                <w:b w:val="0"/>
              </w:rPr>
              <w:t>1</w:t>
            </w:r>
            <w:r w:rsidRPr="006A3E3B">
              <w:tab/>
              <w:t>Performance against essential vaccines benchmarks, by jurisdiction, 1 April 201</w:t>
            </w:r>
            <w:r w:rsidR="00CF2305" w:rsidRPr="006A3E3B">
              <w:t>4</w:t>
            </w:r>
            <w:r w:rsidRPr="006A3E3B">
              <w:t>–31 March 201</w:t>
            </w:r>
            <w:r w:rsidR="00CF2305" w:rsidRPr="006A3E3B">
              <w:t>5</w:t>
            </w:r>
          </w:p>
        </w:tc>
      </w:tr>
      <w:tr w:rsidR="00652280"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97"/>
              <w:gridCol w:w="1701"/>
              <w:gridCol w:w="1697"/>
              <w:gridCol w:w="1696"/>
              <w:gridCol w:w="1696"/>
            </w:tblGrid>
            <w:tr w:rsidR="006A3E3B" w:rsidRPr="006A3E3B" w:rsidTr="00652280">
              <w:tc>
                <w:tcPr>
                  <w:tcW w:w="1000"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jc w:val="left"/>
                  </w:pPr>
                </w:p>
              </w:tc>
              <w:tc>
                <w:tcPr>
                  <w:tcW w:w="1002"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pPr>
                  <w:r w:rsidRPr="006A3E3B">
                    <w:t xml:space="preserve">Benchmark 1: </w:t>
                  </w:r>
                </w:p>
                <w:p w:rsidR="00652280" w:rsidRPr="006A3E3B" w:rsidRDefault="00652280" w:rsidP="00652280">
                  <w:pPr>
                    <w:pStyle w:val="TableColumnHeading"/>
                  </w:pPr>
                  <w:r w:rsidRPr="006A3E3B">
                    <w:t>Vaccine coverage for Indigenous Australians</w:t>
                  </w:r>
                </w:p>
              </w:tc>
              <w:tc>
                <w:tcPr>
                  <w:tcW w:w="1000" w:type="pct"/>
                  <w:tcBorders>
                    <w:top w:val="single" w:sz="6" w:space="0" w:color="BFBFBF"/>
                    <w:bottom w:val="single" w:sz="6" w:space="0" w:color="BFBFBF"/>
                  </w:tcBorders>
                </w:tcPr>
                <w:p w:rsidR="00652280" w:rsidRPr="006A3E3B" w:rsidRDefault="00652280" w:rsidP="00846637">
                  <w:pPr>
                    <w:pStyle w:val="TableColumnHeading"/>
                    <w:ind w:right="28"/>
                  </w:pPr>
                  <w:r w:rsidRPr="006A3E3B">
                    <w:t>Benchmark 2:</w:t>
                  </w:r>
                </w:p>
                <w:p w:rsidR="00652280" w:rsidRPr="006A3E3B" w:rsidRDefault="00652280" w:rsidP="00846637">
                  <w:pPr>
                    <w:pStyle w:val="TableColumnHeading"/>
                    <w:ind w:right="28"/>
                  </w:pPr>
                  <w:r w:rsidRPr="006A3E3B">
                    <w:t>Coverage in low immunisation areas</w:t>
                  </w:r>
                </w:p>
              </w:tc>
              <w:tc>
                <w:tcPr>
                  <w:tcW w:w="999" w:type="pct"/>
                  <w:tcBorders>
                    <w:top w:val="single" w:sz="6" w:space="0" w:color="BFBFBF"/>
                    <w:bottom w:val="single" w:sz="6" w:space="0" w:color="BFBFBF"/>
                  </w:tcBorders>
                </w:tcPr>
                <w:p w:rsidR="00652280" w:rsidRPr="006A3E3B" w:rsidRDefault="00652280" w:rsidP="00846637">
                  <w:pPr>
                    <w:pStyle w:val="TableColumnHeading"/>
                    <w:ind w:right="28"/>
                  </w:pPr>
                  <w:r w:rsidRPr="006A3E3B">
                    <w:t>Benchmark 3:</w:t>
                  </w:r>
                </w:p>
                <w:p w:rsidR="00652280" w:rsidRPr="006A3E3B" w:rsidRDefault="00652280" w:rsidP="00846637">
                  <w:pPr>
                    <w:pStyle w:val="TableColumnHeading"/>
                    <w:ind w:right="28"/>
                  </w:pPr>
                  <w:r w:rsidRPr="006A3E3B">
                    <w:t>Maintaining or decreasing wastage and leakage</w:t>
                  </w:r>
                </w:p>
              </w:tc>
              <w:tc>
                <w:tcPr>
                  <w:tcW w:w="999" w:type="pct"/>
                  <w:tcBorders>
                    <w:top w:val="single" w:sz="6" w:space="0" w:color="BFBFBF"/>
                    <w:bottom w:val="single" w:sz="6" w:space="0" w:color="BFBFBF"/>
                  </w:tcBorders>
                  <w:shd w:val="clear" w:color="auto" w:fill="auto"/>
                  <w:tcMar>
                    <w:top w:w="28" w:type="dxa"/>
                  </w:tcMar>
                </w:tcPr>
                <w:p w:rsidR="00652280" w:rsidRPr="006A3E3B" w:rsidRDefault="00652280" w:rsidP="00846637">
                  <w:pPr>
                    <w:pStyle w:val="TableColumnHeading"/>
                    <w:ind w:right="28"/>
                  </w:pPr>
                  <w:r w:rsidRPr="006A3E3B">
                    <w:t>Benchmark 4:</w:t>
                  </w:r>
                </w:p>
                <w:p w:rsidR="00652280" w:rsidRPr="006A3E3B" w:rsidRDefault="00652280" w:rsidP="00846637">
                  <w:pPr>
                    <w:pStyle w:val="TableColumnHeading"/>
                    <w:ind w:right="28"/>
                  </w:pPr>
                  <w:r w:rsidRPr="006A3E3B">
                    <w:t>Vaccination coverage for four year olds</w:t>
                  </w:r>
                </w:p>
              </w:tc>
            </w:tr>
            <w:tr w:rsidR="006A3E3B" w:rsidRPr="006A3E3B" w:rsidTr="00FB3A52">
              <w:tc>
                <w:tcPr>
                  <w:tcW w:w="1000" w:type="pct"/>
                  <w:tcBorders>
                    <w:top w:val="single" w:sz="6" w:space="0" w:color="BFBFBF"/>
                  </w:tcBorders>
                </w:tcPr>
                <w:p w:rsidR="00652280" w:rsidRPr="006A3E3B" w:rsidRDefault="00652280" w:rsidP="00846637">
                  <w:pPr>
                    <w:pStyle w:val="TableUnitsRow"/>
                    <w:jc w:val="left"/>
                    <w:rPr>
                      <w:sz w:val="22"/>
                      <w:szCs w:val="22"/>
                    </w:rPr>
                  </w:pPr>
                  <w:r w:rsidRPr="006A3E3B">
                    <w:rPr>
                      <w:sz w:val="22"/>
                      <w:szCs w:val="22"/>
                    </w:rPr>
                    <w:t>NSW</w:t>
                  </w:r>
                </w:p>
              </w:tc>
              <w:tc>
                <w:tcPr>
                  <w:tcW w:w="1002" w:type="pct"/>
                  <w:tcBorders>
                    <w:top w:val="single" w:sz="6" w:space="0" w:color="BFBFBF"/>
                  </w:tcBorders>
                </w:tcPr>
                <w:p w:rsidR="00652280" w:rsidRPr="006A3E3B" w:rsidRDefault="00652280" w:rsidP="00846637">
                  <w:pPr>
                    <w:pStyle w:val="TableUnitsRow"/>
                    <w:rPr>
                      <w:b/>
                    </w:rPr>
                  </w:pPr>
                  <w:r w:rsidRPr="006A3E3B">
                    <w:rPr>
                      <w:b/>
                      <w:sz w:val="32"/>
                      <w:szCs w:val="32"/>
                    </w:rPr>
                    <w:sym w:font="Wingdings" w:char="F0FC"/>
                  </w:r>
                </w:p>
              </w:tc>
              <w:tc>
                <w:tcPr>
                  <w:tcW w:w="1000" w:type="pct"/>
                  <w:tcBorders>
                    <w:top w:val="single" w:sz="6" w:space="0" w:color="BFBFBF"/>
                  </w:tcBorders>
                </w:tcPr>
                <w:p w:rsidR="00652280" w:rsidRPr="006A3E3B" w:rsidRDefault="0031422A" w:rsidP="00846637">
                  <w:pPr>
                    <w:pStyle w:val="TableUnitsRow"/>
                    <w:ind w:right="28"/>
                    <w:rPr>
                      <w:b/>
                    </w:rPr>
                  </w:pPr>
                  <w:r w:rsidRPr="006A3E3B">
                    <w:rPr>
                      <w:b/>
                      <w:sz w:val="32"/>
                      <w:szCs w:val="32"/>
                    </w:rPr>
                    <w:sym w:font="Wingdings" w:char="F0FC"/>
                  </w:r>
                </w:p>
              </w:tc>
              <w:tc>
                <w:tcPr>
                  <w:tcW w:w="999" w:type="pct"/>
                  <w:tcBorders>
                    <w:top w:val="single" w:sz="6" w:space="0" w:color="BFBFBF"/>
                  </w:tcBorders>
                </w:tcPr>
                <w:p w:rsidR="00652280" w:rsidRPr="006A3E3B" w:rsidRDefault="00652280" w:rsidP="00846637">
                  <w:pPr>
                    <w:pStyle w:val="TableUnitsRow"/>
                    <w:ind w:right="28"/>
                    <w:rPr>
                      <w:b/>
                    </w:rPr>
                  </w:pPr>
                  <w:r w:rsidRPr="006A3E3B">
                    <w:rPr>
                      <w:b/>
                      <w:sz w:val="32"/>
                      <w:szCs w:val="32"/>
                    </w:rPr>
                    <w:sym w:font="Wingdings" w:char="F0FC"/>
                  </w:r>
                </w:p>
              </w:tc>
              <w:tc>
                <w:tcPr>
                  <w:tcW w:w="999" w:type="pct"/>
                  <w:tcBorders>
                    <w:top w:val="single" w:sz="6" w:space="0" w:color="BFBFBF"/>
                  </w:tcBorders>
                </w:tcPr>
                <w:p w:rsidR="00652280" w:rsidRPr="006A3E3B" w:rsidRDefault="00652280" w:rsidP="00846637">
                  <w:pPr>
                    <w:pStyle w:val="TableUnitsRow"/>
                    <w:ind w:right="28"/>
                    <w:rPr>
                      <w:b/>
                    </w:rPr>
                  </w:pPr>
                  <w:r w:rsidRPr="006A3E3B">
                    <w:rPr>
                      <w:b/>
                      <w:sz w:val="32"/>
                      <w:szCs w:val="32"/>
                    </w:rPr>
                    <w:sym w:font="Wingdings" w:char="F0FC"/>
                  </w:r>
                </w:p>
              </w:tc>
            </w:tr>
            <w:tr w:rsidR="006A3E3B" w:rsidRPr="006A3E3B" w:rsidTr="00FB3A52">
              <w:tc>
                <w:tcPr>
                  <w:tcW w:w="1000" w:type="pct"/>
                </w:tcPr>
                <w:p w:rsidR="00652280" w:rsidRPr="006A3E3B" w:rsidRDefault="00652280" w:rsidP="00846637">
                  <w:pPr>
                    <w:pStyle w:val="TableBodyText"/>
                    <w:jc w:val="left"/>
                    <w:rPr>
                      <w:sz w:val="22"/>
                      <w:szCs w:val="22"/>
                    </w:rPr>
                  </w:pPr>
                  <w:r w:rsidRPr="006A3E3B">
                    <w:rPr>
                      <w:sz w:val="22"/>
                      <w:szCs w:val="22"/>
                    </w:rPr>
                    <w:t>Victoria</w:t>
                  </w:r>
                </w:p>
              </w:tc>
              <w:tc>
                <w:tcPr>
                  <w:tcW w:w="1002" w:type="pct"/>
                </w:tcPr>
                <w:p w:rsidR="00652280" w:rsidRPr="006A3E3B" w:rsidRDefault="00652280" w:rsidP="00846637">
                  <w:pPr>
                    <w:pStyle w:val="TableBodyText"/>
                    <w:rPr>
                      <w:b/>
                    </w:rPr>
                  </w:pPr>
                  <w:r w:rsidRPr="006A3E3B">
                    <w:rPr>
                      <w:b/>
                      <w:sz w:val="32"/>
                      <w:szCs w:val="32"/>
                    </w:rPr>
                    <w:sym w:font="Wingdings" w:char="F0FC"/>
                  </w:r>
                </w:p>
              </w:tc>
              <w:tc>
                <w:tcPr>
                  <w:tcW w:w="1000" w:type="pct"/>
                </w:tcPr>
                <w:p w:rsidR="00652280" w:rsidRPr="006A3E3B" w:rsidRDefault="00446232" w:rsidP="00846637">
                  <w:pPr>
                    <w:pStyle w:val="TableBodyText"/>
                    <w:ind w:right="28"/>
                    <w:rPr>
                      <w:b/>
                    </w:rPr>
                  </w:pPr>
                  <w:r w:rsidRPr="006A3E3B">
                    <w:rPr>
                      <w:b/>
                      <w:sz w:val="32"/>
                      <w:szCs w:val="32"/>
                    </w:rPr>
                    <w:sym w:font="Wingdings" w:char="F0FC"/>
                  </w:r>
                  <w:r w:rsidRPr="006A3E3B">
                    <w:rPr>
                      <w:b/>
                      <w:sz w:val="20"/>
                    </w:rPr>
                    <w:t>(a)</w:t>
                  </w:r>
                </w:p>
              </w:tc>
              <w:tc>
                <w:tcPr>
                  <w:tcW w:w="999" w:type="pct"/>
                  <w:tcBorders>
                    <w:left w:val="nil"/>
                  </w:tcBorders>
                </w:tcPr>
                <w:p w:rsidR="00652280" w:rsidRPr="006A3E3B" w:rsidRDefault="00652280" w:rsidP="00846637">
                  <w:pPr>
                    <w:pStyle w:val="TableBodyText"/>
                    <w:ind w:right="28"/>
                    <w:rPr>
                      <w:b/>
                    </w:rPr>
                  </w:pPr>
                  <w:r w:rsidRPr="006A3E3B">
                    <w:rPr>
                      <w:b/>
                      <w:sz w:val="32"/>
                      <w:szCs w:val="32"/>
                    </w:rPr>
                    <w:sym w:font="Wingdings" w:char="F0FC"/>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Queensland</w:t>
                  </w:r>
                </w:p>
              </w:tc>
              <w:tc>
                <w:tcPr>
                  <w:tcW w:w="1002" w:type="pct"/>
                </w:tcPr>
                <w:p w:rsidR="00652280" w:rsidRPr="006A3E3B" w:rsidRDefault="00652280" w:rsidP="00846637">
                  <w:pPr>
                    <w:pStyle w:val="TableBodyText"/>
                    <w:rPr>
                      <w:b/>
                    </w:rPr>
                  </w:pPr>
                  <w:r w:rsidRPr="006A3E3B">
                    <w:rPr>
                      <w:b/>
                      <w:sz w:val="32"/>
                      <w:szCs w:val="32"/>
                    </w:rPr>
                    <w:sym w:font="Wingdings" w:char="F0FC"/>
                  </w:r>
                </w:p>
              </w:tc>
              <w:tc>
                <w:tcPr>
                  <w:tcW w:w="1000" w:type="pct"/>
                </w:tcPr>
                <w:p w:rsidR="00652280" w:rsidRPr="006A3E3B" w:rsidRDefault="00246294" w:rsidP="00846637">
                  <w:pPr>
                    <w:pStyle w:val="TableBodyText"/>
                    <w:ind w:right="28"/>
                    <w:rPr>
                      <w:b/>
                    </w:rPr>
                  </w:pPr>
                  <w:r w:rsidRPr="006A3E3B">
                    <w:rPr>
                      <w:b/>
                      <w:sz w:val="32"/>
                      <w:szCs w:val="32"/>
                    </w:rPr>
                    <w:sym w:font="Wingdings" w:char="F0FC"/>
                  </w:r>
                  <w:r w:rsidR="00446232" w:rsidRPr="006A3E3B">
                    <w:rPr>
                      <w:b/>
                      <w:sz w:val="20"/>
                    </w:rPr>
                    <w:t>(a)</w:t>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WA</w:t>
                  </w:r>
                </w:p>
              </w:tc>
              <w:tc>
                <w:tcPr>
                  <w:tcW w:w="1002" w:type="pct"/>
                </w:tcPr>
                <w:p w:rsidR="00652280" w:rsidRPr="006A3E3B" w:rsidRDefault="00207F73" w:rsidP="00846637">
                  <w:pPr>
                    <w:pStyle w:val="TableBodyText"/>
                    <w:rPr>
                      <w:b/>
                    </w:rPr>
                  </w:pPr>
                  <w:r w:rsidRPr="006A3E3B">
                    <w:rPr>
                      <w:b/>
                      <w:sz w:val="32"/>
                      <w:szCs w:val="32"/>
                    </w:rPr>
                    <w:sym w:font="Wingdings" w:char="F0FC"/>
                  </w:r>
                </w:p>
              </w:tc>
              <w:tc>
                <w:tcPr>
                  <w:tcW w:w="1000" w:type="pct"/>
                </w:tcPr>
                <w:p w:rsidR="00652280" w:rsidRPr="006A3E3B" w:rsidRDefault="00207F73" w:rsidP="00846637">
                  <w:pPr>
                    <w:pStyle w:val="TableBodyText"/>
                    <w:ind w:right="28"/>
                    <w:rPr>
                      <w:b/>
                    </w:rPr>
                  </w:pPr>
                  <w:r w:rsidRPr="006A3E3B">
                    <w:rPr>
                      <w:b/>
                      <w:sz w:val="32"/>
                      <w:szCs w:val="32"/>
                    </w:rPr>
                    <w:sym w:font="Wingdings" w:char="F0FC"/>
                  </w:r>
                </w:p>
              </w:tc>
              <w:tc>
                <w:tcPr>
                  <w:tcW w:w="999" w:type="pct"/>
                </w:tcPr>
                <w:p w:rsidR="00652280" w:rsidRPr="006A3E3B" w:rsidRDefault="00207F73" w:rsidP="00846637">
                  <w:pPr>
                    <w:pStyle w:val="TableBodyText"/>
                    <w:ind w:right="28"/>
                    <w:rPr>
                      <w:b/>
                    </w:rPr>
                  </w:pPr>
                  <w:r w:rsidRPr="006A3E3B">
                    <w:rPr>
                      <w:b/>
                      <w:sz w:val="32"/>
                      <w:szCs w:val="32"/>
                    </w:rPr>
                    <w:sym w:font="Wingdings" w:char="F0FC"/>
                  </w:r>
                </w:p>
              </w:tc>
              <w:tc>
                <w:tcPr>
                  <w:tcW w:w="999" w:type="pct"/>
                </w:tcPr>
                <w:p w:rsidR="00652280" w:rsidRPr="006A3E3B" w:rsidRDefault="00207F73" w:rsidP="00846637">
                  <w:pPr>
                    <w:pStyle w:val="TableBodyText"/>
                    <w:ind w:right="28"/>
                    <w:rPr>
                      <w:b/>
                    </w:rPr>
                  </w:pPr>
                  <w:r w:rsidRPr="006A3E3B">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SA</w:t>
                  </w:r>
                </w:p>
              </w:tc>
              <w:tc>
                <w:tcPr>
                  <w:tcW w:w="1002" w:type="pct"/>
                </w:tcPr>
                <w:p w:rsidR="00652280" w:rsidRPr="006A3E3B" w:rsidRDefault="00652280" w:rsidP="00846637">
                  <w:pPr>
                    <w:pStyle w:val="TableBodyText"/>
                    <w:rPr>
                      <w:b/>
                    </w:rPr>
                  </w:pPr>
                  <w:r w:rsidRPr="006A3E3B">
                    <w:rPr>
                      <w:b/>
                      <w:sz w:val="32"/>
                      <w:szCs w:val="32"/>
                    </w:rPr>
                    <w:sym w:font="Wingdings" w:char="F0FC"/>
                  </w:r>
                </w:p>
              </w:tc>
              <w:tc>
                <w:tcPr>
                  <w:tcW w:w="1000" w:type="pct"/>
                </w:tcPr>
                <w:p w:rsidR="00652280" w:rsidRPr="006A3E3B" w:rsidRDefault="00246294" w:rsidP="00246294">
                  <w:pPr>
                    <w:pStyle w:val="TableBodyText"/>
                    <w:ind w:right="28"/>
                    <w:rPr>
                      <w:b/>
                    </w:rPr>
                  </w:pPr>
                  <w:r w:rsidRPr="006A3E3B">
                    <w:rPr>
                      <w:b/>
                      <w:sz w:val="32"/>
                      <w:szCs w:val="32"/>
                    </w:rPr>
                    <w:sym w:font="Wingdings" w:char="F0FC"/>
                  </w:r>
                  <w:r w:rsidR="00446232" w:rsidRPr="006A3E3B">
                    <w:rPr>
                      <w:b/>
                      <w:sz w:val="20"/>
                    </w:rPr>
                    <w:t>(a)</w:t>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Tasmania</w:t>
                  </w:r>
                </w:p>
              </w:tc>
              <w:tc>
                <w:tcPr>
                  <w:tcW w:w="1002" w:type="pct"/>
                </w:tcPr>
                <w:p w:rsidR="00652280" w:rsidRPr="006A3E3B" w:rsidRDefault="00246294" w:rsidP="00846637">
                  <w:pPr>
                    <w:pStyle w:val="TableBodyText"/>
                    <w:rPr>
                      <w:b/>
                    </w:rPr>
                  </w:pPr>
                  <w:r w:rsidRPr="006A3E3B">
                    <w:rPr>
                      <w:b/>
                      <w:sz w:val="32"/>
                      <w:szCs w:val="32"/>
                    </w:rPr>
                    <w:sym w:font="Wingdings" w:char="F0FB"/>
                  </w:r>
                </w:p>
              </w:tc>
              <w:tc>
                <w:tcPr>
                  <w:tcW w:w="1000" w:type="pct"/>
                </w:tcPr>
                <w:p w:rsidR="00652280" w:rsidRPr="006A3E3B" w:rsidRDefault="00246294" w:rsidP="00846637">
                  <w:pPr>
                    <w:pStyle w:val="TableBodyText"/>
                    <w:ind w:right="28"/>
                    <w:rPr>
                      <w:b/>
                    </w:rPr>
                  </w:pPr>
                  <w:r w:rsidRPr="006A3E3B">
                    <w:rPr>
                      <w:b/>
                      <w:sz w:val="32"/>
                      <w:szCs w:val="32"/>
                    </w:rPr>
                    <w:sym w:font="Wingdings" w:char="F0FC"/>
                  </w:r>
                  <w:r w:rsidR="00446232" w:rsidRPr="006A3E3B">
                    <w:rPr>
                      <w:b/>
                      <w:sz w:val="20"/>
                    </w:rPr>
                    <w:t>(a)</w:t>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r>
            <w:tr w:rsidR="006A3E3B" w:rsidRPr="006A3E3B" w:rsidTr="00652280">
              <w:tc>
                <w:tcPr>
                  <w:tcW w:w="1000" w:type="pct"/>
                </w:tcPr>
                <w:p w:rsidR="00652280" w:rsidRPr="006A3E3B" w:rsidRDefault="00652280" w:rsidP="00846637">
                  <w:pPr>
                    <w:pStyle w:val="TableBodyText"/>
                    <w:jc w:val="left"/>
                    <w:rPr>
                      <w:sz w:val="22"/>
                      <w:szCs w:val="22"/>
                    </w:rPr>
                  </w:pPr>
                  <w:r w:rsidRPr="006A3E3B">
                    <w:rPr>
                      <w:sz w:val="22"/>
                      <w:szCs w:val="22"/>
                    </w:rPr>
                    <w:t>ACT</w:t>
                  </w:r>
                </w:p>
              </w:tc>
              <w:tc>
                <w:tcPr>
                  <w:tcW w:w="1002" w:type="pct"/>
                </w:tcPr>
                <w:p w:rsidR="00652280" w:rsidRPr="006A3E3B" w:rsidRDefault="00652280" w:rsidP="00846637">
                  <w:pPr>
                    <w:pStyle w:val="TableBodyText"/>
                    <w:rPr>
                      <w:b/>
                    </w:rPr>
                  </w:pPr>
                  <w:r w:rsidRPr="006A3E3B">
                    <w:rPr>
                      <w:b/>
                      <w:sz w:val="32"/>
                      <w:szCs w:val="32"/>
                    </w:rPr>
                    <w:sym w:font="Wingdings" w:char="F0FC"/>
                  </w:r>
                </w:p>
              </w:tc>
              <w:tc>
                <w:tcPr>
                  <w:tcW w:w="1000" w:type="pct"/>
                </w:tcPr>
                <w:p w:rsidR="00652280" w:rsidRPr="006A3E3B" w:rsidRDefault="00246294" w:rsidP="00846637">
                  <w:pPr>
                    <w:pStyle w:val="TableBodyText"/>
                    <w:ind w:right="28"/>
                    <w:rPr>
                      <w:b/>
                    </w:rPr>
                  </w:pPr>
                  <w:r w:rsidRPr="006A3E3B">
                    <w:rPr>
                      <w:b/>
                      <w:sz w:val="32"/>
                      <w:szCs w:val="32"/>
                    </w:rPr>
                    <w:sym w:font="Wingdings" w:char="F0FC"/>
                  </w:r>
                  <w:r w:rsidR="00446232" w:rsidRPr="006A3E3B">
                    <w:rPr>
                      <w:b/>
                      <w:sz w:val="20"/>
                    </w:rPr>
                    <w:t>(a)</w:t>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c>
                <w:tcPr>
                  <w:tcW w:w="999" w:type="pct"/>
                </w:tcPr>
                <w:p w:rsidR="00652280" w:rsidRPr="006A3E3B" w:rsidRDefault="00652280" w:rsidP="00846637">
                  <w:pPr>
                    <w:pStyle w:val="TableBodyText"/>
                    <w:ind w:right="28"/>
                    <w:rPr>
                      <w:b/>
                    </w:rPr>
                  </w:pPr>
                  <w:r w:rsidRPr="006A3E3B">
                    <w:rPr>
                      <w:b/>
                      <w:sz w:val="32"/>
                      <w:szCs w:val="32"/>
                    </w:rPr>
                    <w:sym w:font="Wingdings" w:char="F0FC"/>
                  </w:r>
                </w:p>
              </w:tc>
            </w:tr>
            <w:tr w:rsidR="006A3E3B" w:rsidRPr="006A3E3B" w:rsidTr="00652280">
              <w:tc>
                <w:tcPr>
                  <w:tcW w:w="1000" w:type="pct"/>
                  <w:tcBorders>
                    <w:bottom w:val="single" w:sz="6" w:space="0" w:color="BFBFBF"/>
                  </w:tcBorders>
                  <w:shd w:val="clear" w:color="auto" w:fill="auto"/>
                </w:tcPr>
                <w:p w:rsidR="00652280" w:rsidRPr="006A3E3B" w:rsidRDefault="00652280" w:rsidP="00846637">
                  <w:pPr>
                    <w:pStyle w:val="TableBodyText"/>
                    <w:jc w:val="left"/>
                    <w:rPr>
                      <w:sz w:val="22"/>
                      <w:szCs w:val="22"/>
                    </w:rPr>
                  </w:pPr>
                  <w:r w:rsidRPr="006A3E3B">
                    <w:rPr>
                      <w:sz w:val="22"/>
                      <w:szCs w:val="22"/>
                    </w:rPr>
                    <w:t>NT</w:t>
                  </w:r>
                </w:p>
              </w:tc>
              <w:tc>
                <w:tcPr>
                  <w:tcW w:w="1002" w:type="pct"/>
                  <w:tcBorders>
                    <w:bottom w:val="single" w:sz="6" w:space="0" w:color="BFBFBF"/>
                  </w:tcBorders>
                  <w:shd w:val="clear" w:color="auto" w:fill="auto"/>
                </w:tcPr>
                <w:p w:rsidR="00652280" w:rsidRPr="006A3E3B" w:rsidRDefault="00850B3D" w:rsidP="00846637">
                  <w:pPr>
                    <w:pStyle w:val="TableBodyText"/>
                    <w:rPr>
                      <w:b/>
                    </w:rPr>
                  </w:pPr>
                  <w:r w:rsidRPr="006A3E3B">
                    <w:rPr>
                      <w:b/>
                      <w:sz w:val="32"/>
                      <w:szCs w:val="32"/>
                    </w:rPr>
                    <w:sym w:font="Wingdings" w:char="F0FC"/>
                  </w:r>
                </w:p>
              </w:tc>
              <w:tc>
                <w:tcPr>
                  <w:tcW w:w="1000" w:type="pct"/>
                  <w:tcBorders>
                    <w:bottom w:val="single" w:sz="6" w:space="0" w:color="BFBFBF"/>
                  </w:tcBorders>
                </w:tcPr>
                <w:p w:rsidR="00652280" w:rsidRPr="006A3E3B" w:rsidRDefault="00246294" w:rsidP="00846637">
                  <w:pPr>
                    <w:pStyle w:val="TableBodyText"/>
                    <w:ind w:right="28"/>
                    <w:rPr>
                      <w:b/>
                    </w:rPr>
                  </w:pPr>
                  <w:r w:rsidRPr="006A3E3B">
                    <w:rPr>
                      <w:b/>
                      <w:sz w:val="32"/>
                      <w:szCs w:val="32"/>
                    </w:rPr>
                    <w:sym w:font="Wingdings" w:char="F0FC"/>
                  </w:r>
                  <w:r w:rsidR="00446232" w:rsidRPr="006A3E3B">
                    <w:rPr>
                      <w:b/>
                      <w:sz w:val="20"/>
                    </w:rPr>
                    <w:t>(a)</w:t>
                  </w:r>
                </w:p>
              </w:tc>
              <w:tc>
                <w:tcPr>
                  <w:tcW w:w="999" w:type="pct"/>
                  <w:tcBorders>
                    <w:bottom w:val="single" w:sz="6" w:space="0" w:color="BFBFBF"/>
                  </w:tcBorders>
                </w:tcPr>
                <w:p w:rsidR="00652280" w:rsidRPr="006A3E3B" w:rsidRDefault="00652280" w:rsidP="00846637">
                  <w:pPr>
                    <w:pStyle w:val="TableBodyText"/>
                    <w:ind w:right="28"/>
                    <w:rPr>
                      <w:b/>
                    </w:rPr>
                  </w:pPr>
                  <w:r w:rsidRPr="006A3E3B">
                    <w:rPr>
                      <w:b/>
                      <w:sz w:val="32"/>
                      <w:szCs w:val="32"/>
                    </w:rPr>
                    <w:sym w:font="Wingdings" w:char="F0FC"/>
                  </w:r>
                </w:p>
              </w:tc>
              <w:tc>
                <w:tcPr>
                  <w:tcW w:w="999" w:type="pct"/>
                  <w:tcBorders>
                    <w:bottom w:val="single" w:sz="6" w:space="0" w:color="BFBFBF"/>
                  </w:tcBorders>
                  <w:shd w:val="clear" w:color="auto" w:fill="auto"/>
                </w:tcPr>
                <w:p w:rsidR="00652280" w:rsidRPr="006A3E3B" w:rsidRDefault="00652280" w:rsidP="00846637">
                  <w:pPr>
                    <w:pStyle w:val="TableBodyText"/>
                    <w:ind w:right="28"/>
                    <w:rPr>
                      <w:b/>
                    </w:rPr>
                  </w:pPr>
                  <w:r w:rsidRPr="006A3E3B">
                    <w:rPr>
                      <w:b/>
                      <w:sz w:val="32"/>
                      <w:szCs w:val="32"/>
                    </w:rPr>
                    <w:sym w:font="Wingdings" w:char="F0FC"/>
                  </w:r>
                </w:p>
              </w:tc>
            </w:tr>
          </w:tbl>
          <w:p w:rsidR="00652280" w:rsidRPr="006A3E3B" w:rsidRDefault="00652280" w:rsidP="00846637">
            <w:pPr>
              <w:pStyle w:val="Box"/>
            </w:pPr>
          </w:p>
        </w:tc>
      </w:tr>
      <w:tr w:rsidR="00652280" w:rsidTr="00F95957">
        <w:trPr>
          <w:cantSplit/>
        </w:trPr>
        <w:tc>
          <w:tcPr>
            <w:tcW w:w="8771" w:type="dxa"/>
            <w:tcBorders>
              <w:top w:val="nil"/>
              <w:left w:val="nil"/>
              <w:bottom w:val="nil"/>
              <w:right w:val="nil"/>
            </w:tcBorders>
            <w:shd w:val="clear" w:color="auto" w:fill="auto"/>
          </w:tcPr>
          <w:p w:rsidR="00652280" w:rsidRPr="006A3E3B" w:rsidRDefault="00446232" w:rsidP="006A3E3B">
            <w:pPr>
              <w:pStyle w:val="Note"/>
            </w:pPr>
            <w:r w:rsidRPr="006A3E3B">
              <w:t xml:space="preserve">(a) Jurisdiction had no agreed low coverage areas </w:t>
            </w:r>
            <w:r w:rsidR="006A3E3B" w:rsidRPr="006A3E3B">
              <w:t>as per</w:t>
            </w:r>
            <w:r w:rsidRPr="006A3E3B">
              <w:t xml:space="preserve"> the specifications for this benchmark </w:t>
            </w:r>
            <w:r w:rsidR="006A3E3B" w:rsidRPr="006A3E3B">
              <w:t>(see</w:t>
            </w:r>
            <w:r w:rsidRPr="006A3E3B">
              <w:t xml:space="preserve"> Appendix A</w:t>
            </w:r>
            <w:r w:rsidR="006A3E3B" w:rsidRPr="006A3E3B">
              <w:t xml:space="preserve"> for specifications)</w:t>
            </w:r>
            <w:r w:rsidRPr="006A3E3B">
              <w:t>.</w:t>
            </w:r>
          </w:p>
        </w:tc>
      </w:tr>
      <w:tr w:rsidR="00652280" w:rsidTr="00D27860">
        <w:trPr>
          <w:cantSplit/>
        </w:trPr>
        <w:tc>
          <w:tcPr>
            <w:tcW w:w="8771" w:type="dxa"/>
            <w:tcBorders>
              <w:top w:val="nil"/>
              <w:left w:val="nil"/>
              <w:bottom w:val="nil"/>
              <w:right w:val="nil"/>
            </w:tcBorders>
            <w:shd w:val="clear" w:color="auto" w:fill="auto"/>
          </w:tcPr>
          <w:p w:rsidR="00652280" w:rsidRPr="006A3E3B" w:rsidRDefault="00652280" w:rsidP="00652280">
            <w:pPr>
              <w:pStyle w:val="Source"/>
              <w:spacing w:before="120" w:after="80"/>
              <w:jc w:val="center"/>
              <w:rPr>
                <w:b/>
                <w:sz w:val="24"/>
                <w:szCs w:val="24"/>
              </w:rPr>
            </w:pPr>
            <w:r w:rsidRPr="006A3E3B">
              <w:rPr>
                <w:b/>
                <w:sz w:val="24"/>
                <w:szCs w:val="24"/>
              </w:rPr>
              <w:t>Key</w:t>
            </w:r>
          </w:p>
        </w:tc>
      </w:tr>
      <w:tr w:rsidR="00652280" w:rsidTr="00D27860">
        <w:trPr>
          <w:cantSplit/>
        </w:trPr>
        <w:tc>
          <w:tcPr>
            <w:tcW w:w="8771"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4372"/>
              <w:gridCol w:w="4111"/>
            </w:tblGrid>
            <w:tr w:rsidR="006A3E3B" w:rsidTr="006A3E3B">
              <w:tc>
                <w:tcPr>
                  <w:tcW w:w="2577" w:type="pct"/>
                  <w:tcBorders>
                    <w:top w:val="single" w:sz="6" w:space="0" w:color="BFBFBF"/>
                    <w:bottom w:val="single" w:sz="6" w:space="0" w:color="BFBFBF"/>
                  </w:tcBorders>
                  <w:shd w:val="clear" w:color="auto" w:fill="auto"/>
                  <w:tcMar>
                    <w:top w:w="28" w:type="dxa"/>
                  </w:tcMar>
                </w:tcPr>
                <w:p w:rsidR="006A3E3B" w:rsidRPr="00652280" w:rsidRDefault="006A3E3B" w:rsidP="00652280">
                  <w:pPr>
                    <w:pStyle w:val="TableColumnHeading"/>
                    <w:jc w:val="center"/>
                    <w:rPr>
                      <w:b/>
                      <w:i w:val="0"/>
                      <w:sz w:val="20"/>
                    </w:rPr>
                  </w:pPr>
                  <w:r w:rsidRPr="00652280">
                    <w:rPr>
                      <w:b/>
                      <w:i w:val="0"/>
                      <w:sz w:val="20"/>
                    </w:rPr>
                    <w:t>Benchmark met</w:t>
                  </w:r>
                </w:p>
              </w:tc>
              <w:tc>
                <w:tcPr>
                  <w:tcW w:w="2423" w:type="pct"/>
                  <w:tcBorders>
                    <w:top w:val="single" w:sz="6" w:space="0" w:color="BFBFBF"/>
                    <w:bottom w:val="single" w:sz="6" w:space="0" w:color="BFBFBF"/>
                  </w:tcBorders>
                </w:tcPr>
                <w:p w:rsidR="006A3E3B" w:rsidRPr="00652280" w:rsidRDefault="006A3E3B" w:rsidP="009914FF">
                  <w:pPr>
                    <w:pStyle w:val="TableColumnHeading"/>
                    <w:ind w:right="28"/>
                    <w:jc w:val="center"/>
                    <w:rPr>
                      <w:b/>
                      <w:i w:val="0"/>
                      <w:sz w:val="20"/>
                    </w:rPr>
                  </w:pPr>
                  <w:r w:rsidRPr="00652280">
                    <w:rPr>
                      <w:b/>
                      <w:i w:val="0"/>
                      <w:sz w:val="20"/>
                    </w:rPr>
                    <w:t>Benchmark not met</w:t>
                  </w:r>
                </w:p>
              </w:tc>
            </w:tr>
            <w:tr w:rsidR="006A3E3B" w:rsidTr="006A3E3B">
              <w:tc>
                <w:tcPr>
                  <w:tcW w:w="2577" w:type="pct"/>
                  <w:tcBorders>
                    <w:top w:val="single" w:sz="6" w:space="0" w:color="BFBFBF"/>
                    <w:bottom w:val="single" w:sz="6" w:space="0" w:color="BFBFBF"/>
                  </w:tcBorders>
                  <w:shd w:val="clear" w:color="auto" w:fill="auto"/>
                  <w:tcMar>
                    <w:top w:w="28" w:type="dxa"/>
                  </w:tcMar>
                </w:tcPr>
                <w:p w:rsidR="006A3E3B" w:rsidRPr="00652280" w:rsidRDefault="006A3E3B" w:rsidP="00652280">
                  <w:pPr>
                    <w:pStyle w:val="TableColumnHeading"/>
                    <w:jc w:val="center"/>
                    <w:rPr>
                      <w:b/>
                      <w:i w:val="0"/>
                      <w:sz w:val="32"/>
                      <w:szCs w:val="32"/>
                    </w:rPr>
                  </w:pPr>
                  <w:r w:rsidRPr="00652280">
                    <w:rPr>
                      <w:b/>
                      <w:i w:val="0"/>
                      <w:sz w:val="32"/>
                      <w:szCs w:val="32"/>
                    </w:rPr>
                    <w:sym w:font="Wingdings" w:char="F0FC"/>
                  </w:r>
                </w:p>
              </w:tc>
              <w:tc>
                <w:tcPr>
                  <w:tcW w:w="2423" w:type="pct"/>
                  <w:tcBorders>
                    <w:top w:val="single" w:sz="6" w:space="0" w:color="BFBFBF"/>
                    <w:bottom w:val="single" w:sz="6" w:space="0" w:color="BFBFBF"/>
                  </w:tcBorders>
                </w:tcPr>
                <w:p w:rsidR="006A3E3B" w:rsidRPr="00652280" w:rsidRDefault="006A3E3B" w:rsidP="009914FF">
                  <w:pPr>
                    <w:pStyle w:val="TableColumnHeading"/>
                    <w:ind w:right="28"/>
                    <w:jc w:val="center"/>
                    <w:rPr>
                      <w:b/>
                      <w:i w:val="0"/>
                      <w:sz w:val="32"/>
                      <w:szCs w:val="32"/>
                    </w:rPr>
                  </w:pPr>
                  <w:r w:rsidRPr="00652280">
                    <w:rPr>
                      <w:b/>
                      <w:i w:val="0"/>
                      <w:sz w:val="32"/>
                      <w:szCs w:val="32"/>
                    </w:rPr>
                    <w:sym w:font="Wingdings" w:char="F0FB"/>
                  </w:r>
                </w:p>
              </w:tc>
            </w:tr>
          </w:tbl>
          <w:p w:rsidR="00652280" w:rsidRDefault="00652280" w:rsidP="004267DB">
            <w:pPr>
              <w:pStyle w:val="Source"/>
            </w:pPr>
          </w:p>
        </w:tc>
      </w:tr>
      <w:tr w:rsidR="00652280" w:rsidTr="00D27860">
        <w:trPr>
          <w:cantSplit/>
        </w:trPr>
        <w:tc>
          <w:tcPr>
            <w:tcW w:w="8771" w:type="dxa"/>
            <w:tcBorders>
              <w:top w:val="nil"/>
              <w:left w:val="nil"/>
              <w:bottom w:val="single" w:sz="6" w:space="0" w:color="78A22F"/>
              <w:right w:val="nil"/>
            </w:tcBorders>
            <w:shd w:val="clear" w:color="auto" w:fill="auto"/>
          </w:tcPr>
          <w:p w:rsidR="00652280" w:rsidRDefault="00652280" w:rsidP="00846637">
            <w:pPr>
              <w:pStyle w:val="Box"/>
              <w:spacing w:before="0" w:line="120" w:lineRule="exact"/>
            </w:pPr>
          </w:p>
        </w:tc>
      </w:tr>
      <w:tr w:rsidR="00652280" w:rsidRPr="000863A5" w:rsidTr="00D27860">
        <w:tc>
          <w:tcPr>
            <w:tcW w:w="8771" w:type="dxa"/>
            <w:tcBorders>
              <w:top w:val="single" w:sz="6" w:space="0" w:color="78A22F"/>
              <w:left w:val="nil"/>
              <w:bottom w:val="nil"/>
              <w:right w:val="nil"/>
            </w:tcBorders>
          </w:tcPr>
          <w:p w:rsidR="00652280" w:rsidRPr="00626D32" w:rsidRDefault="00652280" w:rsidP="00784A05">
            <w:pPr>
              <w:pStyle w:val="BoxSpaceBelow"/>
            </w:pPr>
          </w:p>
        </w:tc>
      </w:tr>
    </w:tbl>
    <w:p w:rsidR="00D62824" w:rsidRDefault="00D62824" w:rsidP="00D62824">
      <w:pPr>
        <w:pStyle w:val="Rec"/>
      </w:pPr>
    </w:p>
    <w:p w:rsidR="001C0AED" w:rsidRDefault="001C0AED" w:rsidP="00120072">
      <w:pPr>
        <w:pStyle w:val="BodyText"/>
      </w:pPr>
      <w:bookmarkStart w:id="2" w:name="begin"/>
      <w:bookmarkEnd w:id="2"/>
    </w:p>
    <w:p w:rsidR="00D434A0" w:rsidRDefault="00D434A0" w:rsidP="00120072">
      <w:pPr>
        <w:pStyle w:val="BodyText"/>
      </w:pPr>
    </w:p>
    <w:sectPr w:rsidR="00D434A0"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65" w:rsidRDefault="008D7E65">
      <w:r>
        <w:separator/>
      </w:r>
    </w:p>
  </w:endnote>
  <w:endnote w:type="continuationSeparator" w:id="0">
    <w:p w:rsidR="008D7E65" w:rsidRDefault="008D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77EAF">
            <w:rPr>
              <w:rStyle w:val="PageNumber"/>
              <w:caps w:val="0"/>
              <w:noProof/>
            </w:rPr>
            <w:t>2</w:t>
          </w:r>
          <w:r w:rsidRPr="00A24443">
            <w:rPr>
              <w:rStyle w:val="PageNumber"/>
              <w:caps w:val="0"/>
            </w:rPr>
            <w:fldChar w:fldCharType="end"/>
          </w:r>
        </w:p>
      </w:tc>
      <w:tc>
        <w:tcPr>
          <w:tcW w:w="7767" w:type="dxa"/>
        </w:tcPr>
        <w:p w:rsidR="00772909" w:rsidRPr="0013739A" w:rsidRDefault="00F51D06" w:rsidP="0013739A">
          <w:pPr>
            <w:pStyle w:val="Footer"/>
            <w:rPr>
              <w:rFonts w:cs="Arial"/>
            </w:rPr>
          </w:pPr>
          <w:r>
            <w:rPr>
              <w:rFonts w:cs="Arial"/>
            </w:rPr>
            <w:t xml:space="preserve">National partnership agreement </w:t>
          </w:r>
          <w:r w:rsidR="00D1146E">
            <w:rPr>
              <w:rFonts w:cs="Arial"/>
            </w:rPr>
            <w:t>on Essential Vaccines</w:t>
          </w:r>
          <w:bookmarkStart w:id="3" w:name="DraftReportEven"/>
          <w:bookmarkEnd w:id="3"/>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D1146E" w:rsidP="0013739A">
          <w:pPr>
            <w:pStyle w:val="Footer"/>
            <w:jc w:val="right"/>
            <w:rPr>
              <w:rFonts w:cs="Arial"/>
            </w:rPr>
          </w:pPr>
          <w:r>
            <w:rPr>
              <w:rFonts w:cs="Arial"/>
            </w:rPr>
            <w:t>Key findings</w:t>
          </w:r>
          <w:bookmarkStart w:id="4" w:name="DraftReportOdd"/>
          <w:bookmarkEnd w:id="4"/>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5378">
            <w:rPr>
              <w:rStyle w:val="PageNumber"/>
              <w:caps w:val="0"/>
              <w:noProof/>
            </w:rPr>
            <w:t>1</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65" w:rsidRDefault="008D7E65">
      <w:r>
        <w:separator/>
      </w:r>
    </w:p>
  </w:footnote>
  <w:footnote w:type="continuationSeparator" w:id="0">
    <w:p w:rsidR="008D7E65" w:rsidRDefault="008D7E65">
      <w:r>
        <w:continuationSeparator/>
      </w:r>
    </w:p>
  </w:footnote>
  <w:footnote w:id="1">
    <w:p w:rsidR="00241307" w:rsidRPr="006A3E3B" w:rsidRDefault="00241307" w:rsidP="00F24030">
      <w:pPr>
        <w:pStyle w:val="FootnoteText"/>
      </w:pPr>
      <w:r>
        <w:rPr>
          <w:rStyle w:val="FootnoteReference"/>
        </w:rPr>
        <w:footnoteRef/>
      </w:r>
      <w:r>
        <w:tab/>
      </w:r>
      <w:r w:rsidR="00F24030" w:rsidRPr="00216A57">
        <w:t xml:space="preserve">Areas of low immunisation coverage are specified as areas with coverage rates 5 per cent or lower than the national </w:t>
      </w:r>
      <w:r w:rsidR="00F24030">
        <w:t xml:space="preserve">average </w:t>
      </w:r>
      <w:r w:rsidR="00F24030" w:rsidRPr="00216A57">
        <w:t>rate and with at least 2 per cent of the State population for the relevant age group (see Appendix A). The specification for benchmark 2 does not state how to assess jurisdictions which have no low coverage areas. For this cycle of reporting, the Productivity Commission has taken the approach whereby a jurisdiction that has no low coverage areas for both age groups (and for which this has been independently verified by the Commonwealth Department of Health) is assessed as having met the benchmark. The intent of the benchmark is to improve coverage in low coverage areas, therefore a result of no low coverage areas indicates the intent has been met.</w:t>
      </w:r>
      <w:r w:rsidR="00F24030">
        <w:t xml:space="preserve"> This approach differs to that used for the previous cycle of reporting, </w:t>
      </w:r>
      <w:r w:rsidR="00FA41E6">
        <w:t>where</w:t>
      </w:r>
      <w:r w:rsidR="00F24030">
        <w:t xml:space="preserve"> independent verification of the low coverage areas was not available within the required timeframes for reporting (this did not impact on the </w:t>
      </w:r>
      <w:r w:rsidR="002A5140">
        <w:t>eligibility of jurisdictions for reward payments).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5C6434E"/>
    <w:multiLevelType w:val="hybridMultilevel"/>
    <w:tmpl w:val="879E175A"/>
    <w:lvl w:ilvl="0" w:tplc="68E6993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1"/>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4"/>
  </w:num>
  <w:num w:numId="23">
    <w:abstractNumId w:val="14"/>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findings"/>
    <w:docVar w:name="ShortReportTitle" w:val="NP on Essential Vaccines"/>
  </w:docVars>
  <w:rsids>
    <w:rsidRoot w:val="008D7E65"/>
    <w:rsid w:val="00004FF3"/>
    <w:rsid w:val="000227D5"/>
    <w:rsid w:val="000245AA"/>
    <w:rsid w:val="0003664B"/>
    <w:rsid w:val="0004111F"/>
    <w:rsid w:val="000431CA"/>
    <w:rsid w:val="00055077"/>
    <w:rsid w:val="000565B3"/>
    <w:rsid w:val="0007150B"/>
    <w:rsid w:val="000750AA"/>
    <w:rsid w:val="000938F5"/>
    <w:rsid w:val="00095663"/>
    <w:rsid w:val="00096E55"/>
    <w:rsid w:val="0009783E"/>
    <w:rsid w:val="000A71AB"/>
    <w:rsid w:val="000B1022"/>
    <w:rsid w:val="000B601B"/>
    <w:rsid w:val="000C207E"/>
    <w:rsid w:val="000D41E9"/>
    <w:rsid w:val="000F0035"/>
    <w:rsid w:val="000F04E7"/>
    <w:rsid w:val="000F060A"/>
    <w:rsid w:val="000F420B"/>
    <w:rsid w:val="00110116"/>
    <w:rsid w:val="00120072"/>
    <w:rsid w:val="00126EB8"/>
    <w:rsid w:val="001274D4"/>
    <w:rsid w:val="00132B5D"/>
    <w:rsid w:val="001363AA"/>
    <w:rsid w:val="0013739A"/>
    <w:rsid w:val="00142165"/>
    <w:rsid w:val="00143B31"/>
    <w:rsid w:val="00162434"/>
    <w:rsid w:val="001822EB"/>
    <w:rsid w:val="00182F98"/>
    <w:rsid w:val="00183E82"/>
    <w:rsid w:val="001878BB"/>
    <w:rsid w:val="00191AE0"/>
    <w:rsid w:val="0019293B"/>
    <w:rsid w:val="0019426B"/>
    <w:rsid w:val="001A6A4B"/>
    <w:rsid w:val="001B0C9E"/>
    <w:rsid w:val="001C0865"/>
    <w:rsid w:val="001C0AED"/>
    <w:rsid w:val="001C3ABA"/>
    <w:rsid w:val="001C5111"/>
    <w:rsid w:val="001E7BE8"/>
    <w:rsid w:val="001F0248"/>
    <w:rsid w:val="001F3EB3"/>
    <w:rsid w:val="001F4F86"/>
    <w:rsid w:val="00202C2C"/>
    <w:rsid w:val="00203050"/>
    <w:rsid w:val="00207F73"/>
    <w:rsid w:val="002135AB"/>
    <w:rsid w:val="002144BE"/>
    <w:rsid w:val="00241307"/>
    <w:rsid w:val="00242279"/>
    <w:rsid w:val="00243997"/>
    <w:rsid w:val="0024516C"/>
    <w:rsid w:val="00245C82"/>
    <w:rsid w:val="00246294"/>
    <w:rsid w:val="00251352"/>
    <w:rsid w:val="002668F7"/>
    <w:rsid w:val="002724BA"/>
    <w:rsid w:val="00291B40"/>
    <w:rsid w:val="002A5140"/>
    <w:rsid w:val="002B4008"/>
    <w:rsid w:val="002C439F"/>
    <w:rsid w:val="002D0C42"/>
    <w:rsid w:val="002D0E8E"/>
    <w:rsid w:val="00301189"/>
    <w:rsid w:val="00301E4A"/>
    <w:rsid w:val="0031422A"/>
    <w:rsid w:val="003168B8"/>
    <w:rsid w:val="00322D64"/>
    <w:rsid w:val="00323E09"/>
    <w:rsid w:val="00333932"/>
    <w:rsid w:val="003518AA"/>
    <w:rsid w:val="00352165"/>
    <w:rsid w:val="00353182"/>
    <w:rsid w:val="003565D9"/>
    <w:rsid w:val="003602E1"/>
    <w:rsid w:val="0037026F"/>
    <w:rsid w:val="00370E7E"/>
    <w:rsid w:val="00371240"/>
    <w:rsid w:val="00374731"/>
    <w:rsid w:val="00376E59"/>
    <w:rsid w:val="00377EC1"/>
    <w:rsid w:val="00380340"/>
    <w:rsid w:val="003919F9"/>
    <w:rsid w:val="003920CF"/>
    <w:rsid w:val="003B23C2"/>
    <w:rsid w:val="003C38B5"/>
    <w:rsid w:val="003C5D99"/>
    <w:rsid w:val="003D1087"/>
    <w:rsid w:val="003E2F59"/>
    <w:rsid w:val="003E4803"/>
    <w:rsid w:val="003E746B"/>
    <w:rsid w:val="003F0789"/>
    <w:rsid w:val="003F7802"/>
    <w:rsid w:val="00401882"/>
    <w:rsid w:val="004100C8"/>
    <w:rsid w:val="00411DBD"/>
    <w:rsid w:val="00412ACE"/>
    <w:rsid w:val="004145D2"/>
    <w:rsid w:val="00416C39"/>
    <w:rsid w:val="00426CB4"/>
    <w:rsid w:val="00431249"/>
    <w:rsid w:val="00434C19"/>
    <w:rsid w:val="00446232"/>
    <w:rsid w:val="00450810"/>
    <w:rsid w:val="00462C59"/>
    <w:rsid w:val="00470737"/>
    <w:rsid w:val="00477144"/>
    <w:rsid w:val="00486801"/>
    <w:rsid w:val="00491380"/>
    <w:rsid w:val="0049459F"/>
    <w:rsid w:val="004A38DD"/>
    <w:rsid w:val="004B43AE"/>
    <w:rsid w:val="004C30ED"/>
    <w:rsid w:val="004D430C"/>
    <w:rsid w:val="004D5675"/>
    <w:rsid w:val="005147E6"/>
    <w:rsid w:val="00517795"/>
    <w:rsid w:val="00523639"/>
    <w:rsid w:val="00526319"/>
    <w:rsid w:val="00531FE5"/>
    <w:rsid w:val="0053728C"/>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2280"/>
    <w:rsid w:val="00654D42"/>
    <w:rsid w:val="00666E02"/>
    <w:rsid w:val="00671B63"/>
    <w:rsid w:val="006A3E3B"/>
    <w:rsid w:val="006A4655"/>
    <w:rsid w:val="006B2B3C"/>
    <w:rsid w:val="006B5378"/>
    <w:rsid w:val="006C1D81"/>
    <w:rsid w:val="006C7038"/>
    <w:rsid w:val="006E552C"/>
    <w:rsid w:val="006E73EF"/>
    <w:rsid w:val="007079C9"/>
    <w:rsid w:val="00714D4D"/>
    <w:rsid w:val="007266D3"/>
    <w:rsid w:val="00732029"/>
    <w:rsid w:val="00750922"/>
    <w:rsid w:val="007604BB"/>
    <w:rsid w:val="00772909"/>
    <w:rsid w:val="00777EAF"/>
    <w:rsid w:val="00785232"/>
    <w:rsid w:val="0079701E"/>
    <w:rsid w:val="007A21EB"/>
    <w:rsid w:val="007B1A93"/>
    <w:rsid w:val="007C36C9"/>
    <w:rsid w:val="007D6401"/>
    <w:rsid w:val="007E01E4"/>
    <w:rsid w:val="007E11CB"/>
    <w:rsid w:val="007E7A12"/>
    <w:rsid w:val="007F7107"/>
    <w:rsid w:val="00800D4C"/>
    <w:rsid w:val="0081030F"/>
    <w:rsid w:val="00812F4A"/>
    <w:rsid w:val="0082087D"/>
    <w:rsid w:val="00835771"/>
    <w:rsid w:val="00842933"/>
    <w:rsid w:val="00850B3D"/>
    <w:rsid w:val="0086082C"/>
    <w:rsid w:val="00864ADC"/>
    <w:rsid w:val="00880153"/>
    <w:rsid w:val="00880F97"/>
    <w:rsid w:val="0088133A"/>
    <w:rsid w:val="0089285E"/>
    <w:rsid w:val="0089436C"/>
    <w:rsid w:val="008D365C"/>
    <w:rsid w:val="008D7622"/>
    <w:rsid w:val="008D7E65"/>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C2DB6"/>
    <w:rsid w:val="009D5B5C"/>
    <w:rsid w:val="009E1844"/>
    <w:rsid w:val="009F0D1B"/>
    <w:rsid w:val="009F5BBD"/>
    <w:rsid w:val="009F696D"/>
    <w:rsid w:val="009F6BC6"/>
    <w:rsid w:val="009F74EF"/>
    <w:rsid w:val="00A02826"/>
    <w:rsid w:val="00A15D5A"/>
    <w:rsid w:val="00A17328"/>
    <w:rsid w:val="00A23A20"/>
    <w:rsid w:val="00A24443"/>
    <w:rsid w:val="00A268B9"/>
    <w:rsid w:val="00A2703A"/>
    <w:rsid w:val="00A30AD0"/>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10FF"/>
    <w:rsid w:val="00AE3BCC"/>
    <w:rsid w:val="00B425C3"/>
    <w:rsid w:val="00B440AD"/>
    <w:rsid w:val="00B479BB"/>
    <w:rsid w:val="00B52BA3"/>
    <w:rsid w:val="00B53E7E"/>
    <w:rsid w:val="00B6342E"/>
    <w:rsid w:val="00B7113F"/>
    <w:rsid w:val="00BA2BCF"/>
    <w:rsid w:val="00BA5B14"/>
    <w:rsid w:val="00BA73B6"/>
    <w:rsid w:val="00BA7E27"/>
    <w:rsid w:val="00BB2603"/>
    <w:rsid w:val="00BB4FCD"/>
    <w:rsid w:val="00BC04E9"/>
    <w:rsid w:val="00BD13EA"/>
    <w:rsid w:val="00BD55DD"/>
    <w:rsid w:val="00BE3808"/>
    <w:rsid w:val="00C03B88"/>
    <w:rsid w:val="00C062E9"/>
    <w:rsid w:val="00C07B64"/>
    <w:rsid w:val="00C13721"/>
    <w:rsid w:val="00C14FE4"/>
    <w:rsid w:val="00C3066D"/>
    <w:rsid w:val="00C52416"/>
    <w:rsid w:val="00C543F4"/>
    <w:rsid w:val="00C6291C"/>
    <w:rsid w:val="00C633CB"/>
    <w:rsid w:val="00C664CD"/>
    <w:rsid w:val="00C721DE"/>
    <w:rsid w:val="00C736B7"/>
    <w:rsid w:val="00C81D4A"/>
    <w:rsid w:val="00C8762C"/>
    <w:rsid w:val="00CA00F9"/>
    <w:rsid w:val="00CA2961"/>
    <w:rsid w:val="00CB50D7"/>
    <w:rsid w:val="00CB7177"/>
    <w:rsid w:val="00CB7CED"/>
    <w:rsid w:val="00CC070F"/>
    <w:rsid w:val="00CC1998"/>
    <w:rsid w:val="00CC4946"/>
    <w:rsid w:val="00CC64A1"/>
    <w:rsid w:val="00CF2305"/>
    <w:rsid w:val="00CF3B11"/>
    <w:rsid w:val="00CF54FC"/>
    <w:rsid w:val="00D1146E"/>
    <w:rsid w:val="00D270A4"/>
    <w:rsid w:val="00D31FE9"/>
    <w:rsid w:val="00D34E1B"/>
    <w:rsid w:val="00D376BA"/>
    <w:rsid w:val="00D434A0"/>
    <w:rsid w:val="00D45634"/>
    <w:rsid w:val="00D5568A"/>
    <w:rsid w:val="00D62824"/>
    <w:rsid w:val="00D63D73"/>
    <w:rsid w:val="00D64452"/>
    <w:rsid w:val="00D66E1E"/>
    <w:rsid w:val="00D70696"/>
    <w:rsid w:val="00D728C4"/>
    <w:rsid w:val="00D75722"/>
    <w:rsid w:val="00D80CF5"/>
    <w:rsid w:val="00D92BF4"/>
    <w:rsid w:val="00DA5BBA"/>
    <w:rsid w:val="00DB1A97"/>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2E6C"/>
    <w:rsid w:val="00EF6719"/>
    <w:rsid w:val="00EF6C6C"/>
    <w:rsid w:val="00F056FC"/>
    <w:rsid w:val="00F0632F"/>
    <w:rsid w:val="00F069AE"/>
    <w:rsid w:val="00F10476"/>
    <w:rsid w:val="00F135D8"/>
    <w:rsid w:val="00F24030"/>
    <w:rsid w:val="00F31299"/>
    <w:rsid w:val="00F3534A"/>
    <w:rsid w:val="00F35BFB"/>
    <w:rsid w:val="00F36ACC"/>
    <w:rsid w:val="00F51609"/>
    <w:rsid w:val="00F51D06"/>
    <w:rsid w:val="00F55C25"/>
    <w:rsid w:val="00F73727"/>
    <w:rsid w:val="00F766A7"/>
    <w:rsid w:val="00F81006"/>
    <w:rsid w:val="00F85325"/>
    <w:rsid w:val="00FA41E6"/>
    <w:rsid w:val="00FB2D10"/>
    <w:rsid w:val="00FB3A52"/>
    <w:rsid w:val="00FD22B1"/>
    <w:rsid w:val="00FD33F1"/>
    <w:rsid w:val="00FD3566"/>
    <w:rsid w:val="00FE5397"/>
    <w:rsid w:val="00FE7B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2513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51352"/>
    <w:rPr>
      <w:szCs w:val="24"/>
    </w:rPr>
  </w:style>
  <w:style w:type="character" w:customStyle="1" w:styleId="CommentSubjectChar">
    <w:name w:val="Comment Subject Char"/>
    <w:basedOn w:val="CommentTextChar"/>
    <w:link w:val="CommentSubject"/>
    <w:rsid w:val="00251352"/>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2513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51352"/>
    <w:rPr>
      <w:szCs w:val="24"/>
    </w:rPr>
  </w:style>
  <w:style w:type="character" w:customStyle="1" w:styleId="CommentSubjectChar">
    <w:name w:val="Comment Subject Char"/>
    <w:basedOn w:val="CommentTextChar"/>
    <w:link w:val="CommentSubject"/>
    <w:rsid w:val="0025135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5C2A-14EC-4071-8413-9E7D0595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116</TotalTime>
  <Pages>2</Pages>
  <Words>274</Words>
  <Characters>1417</Characters>
  <Application>Microsoft Office Word</Application>
  <DocSecurity>0</DocSecurity>
  <Lines>91</Lines>
  <Paragraphs>69</Paragraphs>
  <ScaleCrop>false</ScaleCrop>
  <HeadingPairs>
    <vt:vector size="2" baseType="variant">
      <vt:variant>
        <vt:lpstr>Title</vt:lpstr>
      </vt:variant>
      <vt:variant>
        <vt:i4>1</vt:i4>
      </vt:variant>
    </vt:vector>
  </HeadingPairs>
  <TitlesOfParts>
    <vt:vector size="1" baseType="lpstr">
      <vt:lpstr>National Partnership Agreement on Essential Vaccines: Performance Report 1 April 2014 - 31 March 2015 - Key Findings</vt:lpstr>
    </vt:vector>
  </TitlesOfParts>
  <Company>Productivity Commission</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Agreement on Essential Vaccines: Performance Report 1 April 2014 - 31 March 2015 - Key Findings</dc:title>
  <dc:subject/>
  <dc:creator>Productivity Commission</dc:creator>
  <dc:description/>
  <cp:lastModifiedBy>Frech, Tanya</cp:lastModifiedBy>
  <cp:revision>21</cp:revision>
  <cp:lastPrinted>2015-08-06T01:58:00Z</cp:lastPrinted>
  <dcterms:created xsi:type="dcterms:W3CDTF">2015-04-27T03:35:00Z</dcterms:created>
  <dcterms:modified xsi:type="dcterms:W3CDTF">2015-09-02T01:50:00Z</dcterms:modified>
</cp:coreProperties>
</file>