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7B9" w:rsidRDefault="00F867B9">
      <w:pPr>
        <w:rPr>
          <w:sz w:val="52"/>
          <w:szCs w:val="20"/>
        </w:rPr>
      </w:pPr>
      <w:bookmarkStart w:id="0" w:name="ChapterTitle"/>
    </w:p>
    <w:p w:rsidR="00A33DFF" w:rsidRDefault="00E32E65" w:rsidP="00680B8E">
      <w:pPr>
        <w:pStyle w:val="Heading1"/>
        <w:spacing w:before="0"/>
      </w:pPr>
      <w:r>
        <w:t>Appendix A</w:t>
      </w:r>
      <w:bookmarkEnd w:id="0"/>
      <w:r w:rsidR="00CC00B1">
        <w:t xml:space="preserve"> — Measures of improvement</w:t>
      </w:r>
    </w:p>
    <w:p w:rsidR="00CC00B1" w:rsidRDefault="00CC00B1" w:rsidP="00CC00B1">
      <w:pPr>
        <w:pStyle w:val="Rec"/>
      </w:pPr>
      <w:r>
        <w:t>This appendix includes the specifications for the measures for each of the four benchmarks in the NP.</w:t>
      </w:r>
    </w:p>
    <w:p w:rsidR="001A4E6D" w:rsidRDefault="001A4E6D"/>
    <w:p w:rsidR="001A4E6D" w:rsidRDefault="001A4E6D">
      <w:r>
        <w:br w:type="page"/>
      </w:r>
      <w:bookmarkStart w:id="1" w:name="_GoBack"/>
      <w:bookmarkEnd w:id="1"/>
    </w:p>
    <w:p w:rsidR="001A4E6D" w:rsidRPr="004F7D0D" w:rsidRDefault="001A4E6D" w:rsidP="001A4E6D">
      <w:pPr>
        <w:pStyle w:val="Heading3"/>
      </w:pPr>
      <w:r w:rsidRPr="004F7D0D">
        <w:lastRenderedPageBreak/>
        <w:t>Performance benchmark 1 — Maintaining or increasing vaccine coverage for Indigenous Australians</w:t>
      </w:r>
    </w:p>
    <w:p w:rsidR="001A4E6D" w:rsidRPr="004F7D0D" w:rsidRDefault="001A4E6D" w:rsidP="001A4E6D">
      <w:pPr>
        <w:pStyle w:val="BoxSpace"/>
      </w:pPr>
    </w:p>
    <w:tbl>
      <w:tblPr>
        <w:tblW w:w="0" w:type="auto"/>
        <w:tblInd w:w="108" w:type="dxa"/>
        <w:tblLook w:val="01E0" w:firstRow="1" w:lastRow="1" w:firstColumn="1" w:lastColumn="1" w:noHBand="0" w:noVBand="0"/>
      </w:tblPr>
      <w:tblGrid>
        <w:gridCol w:w="1769"/>
        <w:gridCol w:w="7020"/>
      </w:tblGrid>
      <w:tr w:rsidR="001A4E6D" w:rsidRPr="004F7D0D" w:rsidTr="00B7510B">
        <w:tc>
          <w:tcPr>
            <w:tcW w:w="1769" w:type="dxa"/>
            <w:shd w:val="clear" w:color="auto" w:fill="auto"/>
          </w:tcPr>
          <w:p w:rsidR="001A4E6D" w:rsidRPr="004F7D0D" w:rsidRDefault="001A4E6D" w:rsidP="00B7510B">
            <w:pPr>
              <w:pStyle w:val="TableBodyText"/>
              <w:jc w:val="left"/>
            </w:pPr>
            <w:r w:rsidRPr="004F7D0D">
              <w:t>Performance benchmark:</w:t>
            </w:r>
          </w:p>
          <w:p w:rsidR="001A4E6D" w:rsidRPr="004F7D0D" w:rsidRDefault="001A4E6D" w:rsidP="00B7510B">
            <w:pPr>
              <w:pStyle w:val="TableBodyText"/>
              <w:jc w:val="left"/>
            </w:pPr>
          </w:p>
        </w:tc>
        <w:tc>
          <w:tcPr>
            <w:tcW w:w="7020" w:type="dxa"/>
            <w:shd w:val="clear" w:color="auto" w:fill="auto"/>
          </w:tcPr>
          <w:p w:rsidR="001A4E6D" w:rsidRPr="004F7D0D" w:rsidRDefault="001A4E6D" w:rsidP="00B7510B">
            <w:pPr>
              <w:pStyle w:val="TableBodyText"/>
              <w:jc w:val="left"/>
            </w:pPr>
            <w:r w:rsidRPr="004F7D0D">
              <w:t>Maintaining or increasing vaccine coverage for Indigenous Australians</w:t>
            </w:r>
          </w:p>
        </w:tc>
      </w:tr>
      <w:tr w:rsidR="001A4E6D" w:rsidRPr="004F7D0D" w:rsidTr="00B7510B">
        <w:tc>
          <w:tcPr>
            <w:tcW w:w="1769" w:type="dxa"/>
            <w:shd w:val="clear" w:color="auto" w:fill="auto"/>
          </w:tcPr>
          <w:p w:rsidR="001A4E6D" w:rsidRPr="004F7D0D" w:rsidRDefault="001A4E6D" w:rsidP="00B7510B">
            <w:pPr>
              <w:pStyle w:val="TableBodyText"/>
              <w:jc w:val="left"/>
            </w:pPr>
            <w:r w:rsidRPr="004F7D0D">
              <w:t>Measure:</w:t>
            </w:r>
          </w:p>
          <w:p w:rsidR="001A4E6D" w:rsidRPr="004F7D0D" w:rsidRDefault="001A4E6D" w:rsidP="00B7510B">
            <w:pPr>
              <w:pStyle w:val="TableBodyText"/>
              <w:jc w:val="left"/>
            </w:pPr>
          </w:p>
        </w:tc>
        <w:tc>
          <w:tcPr>
            <w:tcW w:w="7020" w:type="dxa"/>
            <w:shd w:val="clear" w:color="auto" w:fill="auto"/>
          </w:tcPr>
          <w:p w:rsidR="001A4E6D" w:rsidRPr="004F7D0D" w:rsidRDefault="001A4E6D" w:rsidP="00B7510B">
            <w:pPr>
              <w:pStyle w:val="TableBodyText"/>
              <w:framePr w:w="2155" w:hSpace="227" w:vSpace="181" w:wrap="around" w:vAnchor="text" w:hAnchor="page" w:xAlign="outside" w:y="1"/>
              <w:jc w:val="left"/>
            </w:pPr>
            <w:r w:rsidRPr="004F7D0D">
              <w:t xml:space="preserve">The proportion of Indigenous Australian children who are fully vaccinated, as defined in the </w:t>
            </w:r>
            <w:r w:rsidRPr="004F7D0D">
              <w:rPr>
                <w:u w:val="single"/>
              </w:rPr>
              <w:t>Australian Childhood Immunisation Register</w:t>
            </w:r>
            <w:r w:rsidRPr="004F7D0D">
              <w:t xml:space="preserve"> (</w:t>
            </w:r>
            <w:proofErr w:type="spellStart"/>
            <w:r w:rsidRPr="004F7D0D">
              <w:t>ACIR</w:t>
            </w:r>
            <w:proofErr w:type="spellEnd"/>
            <w:r w:rsidRPr="004F7D0D">
              <w:t>).</w:t>
            </w:r>
          </w:p>
          <w:p w:rsidR="001A4E6D" w:rsidRPr="004F7D0D" w:rsidRDefault="001A4E6D" w:rsidP="00B7510B">
            <w:pPr>
              <w:pStyle w:val="TableBodyText"/>
              <w:jc w:val="left"/>
            </w:pPr>
          </w:p>
          <w:p w:rsidR="001A4E6D" w:rsidRPr="004F7D0D" w:rsidRDefault="001A4E6D" w:rsidP="00B7510B">
            <w:pPr>
              <w:pStyle w:val="TableBodyText"/>
              <w:jc w:val="left"/>
            </w:pPr>
            <w:r w:rsidRPr="004F7D0D">
              <w:t>The measure is defined as:</w:t>
            </w:r>
          </w:p>
          <w:p w:rsidR="001A4E6D" w:rsidRPr="004F7D0D" w:rsidRDefault="001A4E6D" w:rsidP="001A4E6D">
            <w:pPr>
              <w:pStyle w:val="TableBullet"/>
              <w:spacing w:line="220" w:lineRule="atLeast"/>
            </w:pPr>
            <w:r w:rsidRPr="004F7D0D">
              <w:rPr>
                <w:i/>
              </w:rPr>
              <w:t>Numerator</w:t>
            </w:r>
            <w:r w:rsidRPr="004F7D0D">
              <w:t xml:space="preserve"> — the number of Indigenous Australian children reported as fully immunised as defined in the </w:t>
            </w:r>
            <w:proofErr w:type="spellStart"/>
            <w:r w:rsidRPr="004F7D0D">
              <w:t>ACIR</w:t>
            </w:r>
            <w:proofErr w:type="spellEnd"/>
            <w:r w:rsidRPr="004F7D0D">
              <w:t xml:space="preserve"> at 12 </w:t>
            </w:r>
            <w:r w:rsidRPr="004F7D0D">
              <w:rPr>
                <w:rFonts w:cs="Arial"/>
                <w:u w:val="single"/>
              </w:rPr>
              <w:t>&lt;</w:t>
            </w:r>
            <w:r w:rsidRPr="004F7D0D">
              <w:rPr>
                <w:rFonts w:cs="Arial"/>
              </w:rPr>
              <w:t xml:space="preserve"> </w:t>
            </w:r>
            <w:r w:rsidRPr="004F7D0D">
              <w:t xml:space="preserve">15 months, 24 </w:t>
            </w:r>
            <w:r w:rsidRPr="004F7D0D">
              <w:rPr>
                <w:rFonts w:cs="Arial"/>
                <w:u w:val="single"/>
              </w:rPr>
              <w:t>&lt;</w:t>
            </w:r>
            <w:r w:rsidRPr="004F7D0D">
              <w:rPr>
                <w:rFonts w:cs="Arial"/>
              </w:rPr>
              <w:t xml:space="preserve"> </w:t>
            </w:r>
            <w:r w:rsidRPr="004F7D0D">
              <w:t xml:space="preserve">27 months and 60 </w:t>
            </w:r>
            <w:r w:rsidRPr="004F7D0D">
              <w:rPr>
                <w:rFonts w:cs="Arial"/>
                <w:u w:val="single"/>
              </w:rPr>
              <w:t>&lt;</w:t>
            </w:r>
            <w:r w:rsidRPr="004F7D0D">
              <w:rPr>
                <w:rFonts w:cs="Arial"/>
              </w:rPr>
              <w:t xml:space="preserve"> </w:t>
            </w:r>
            <w:r w:rsidRPr="004F7D0D">
              <w:t>63 months</w:t>
            </w:r>
          </w:p>
          <w:p w:rsidR="001A4E6D" w:rsidRPr="004F7D0D" w:rsidRDefault="001A4E6D" w:rsidP="001A4E6D">
            <w:pPr>
              <w:pStyle w:val="TableBullet"/>
              <w:spacing w:line="220" w:lineRule="atLeast"/>
            </w:pPr>
            <w:r w:rsidRPr="004F7D0D">
              <w:rPr>
                <w:i/>
              </w:rPr>
              <w:t>Denominator</w:t>
            </w:r>
            <w:r w:rsidRPr="004F7D0D">
              <w:t xml:space="preserve"> — total number of Indigenous Australian children as registered in </w:t>
            </w:r>
            <w:proofErr w:type="spellStart"/>
            <w:r w:rsidRPr="004F7D0D">
              <w:t>ACIR</w:t>
            </w:r>
            <w:proofErr w:type="spellEnd"/>
            <w:r w:rsidRPr="004F7D0D">
              <w:t xml:space="preserve"> aged 12 </w:t>
            </w:r>
            <w:r w:rsidRPr="004F7D0D">
              <w:rPr>
                <w:rFonts w:cs="Arial"/>
                <w:u w:val="single"/>
              </w:rPr>
              <w:t>&lt;</w:t>
            </w:r>
            <w:r w:rsidRPr="004F7D0D">
              <w:t xml:space="preserve"> 15 months, 24 </w:t>
            </w:r>
            <w:r w:rsidRPr="004F7D0D">
              <w:rPr>
                <w:rFonts w:cs="Arial"/>
                <w:u w:val="single"/>
              </w:rPr>
              <w:t>&lt;</w:t>
            </w:r>
            <w:r w:rsidRPr="004F7D0D">
              <w:t xml:space="preserve"> 27 months and 60 </w:t>
            </w:r>
            <w:r w:rsidRPr="004F7D0D">
              <w:rPr>
                <w:rFonts w:cs="Arial"/>
                <w:u w:val="single"/>
              </w:rPr>
              <w:t>&lt;</w:t>
            </w:r>
            <w:r w:rsidRPr="004F7D0D">
              <w:t xml:space="preserve"> 63 months registered on the </w:t>
            </w:r>
            <w:proofErr w:type="spellStart"/>
            <w:r w:rsidRPr="004F7D0D">
              <w:t>ACIR</w:t>
            </w:r>
            <w:proofErr w:type="spellEnd"/>
          </w:p>
          <w:p w:rsidR="001A4E6D" w:rsidRPr="004F7D0D" w:rsidRDefault="001A4E6D" w:rsidP="00B7510B">
            <w:pPr>
              <w:pStyle w:val="TableBodyText"/>
              <w:jc w:val="left"/>
              <w:rPr>
                <w:i/>
              </w:rPr>
            </w:pPr>
            <w:r w:rsidRPr="004F7D0D">
              <w:t xml:space="preserve">and is expressed as a </w:t>
            </w:r>
            <w:r w:rsidRPr="004F7D0D">
              <w:rPr>
                <w:i/>
              </w:rPr>
              <w:t>percentage</w:t>
            </w:r>
          </w:p>
          <w:p w:rsidR="001A4E6D" w:rsidRPr="004F7D0D" w:rsidRDefault="001A4E6D" w:rsidP="00B7510B">
            <w:pPr>
              <w:pStyle w:val="TableBodyText"/>
              <w:jc w:val="left"/>
            </w:pPr>
          </w:p>
          <w:p w:rsidR="00244753" w:rsidRDefault="001A4E6D" w:rsidP="00B7510B">
            <w:pPr>
              <w:pStyle w:val="TableBodyText"/>
              <w:jc w:val="left"/>
            </w:pPr>
            <w:r w:rsidRPr="004F7D0D">
              <w:t>‘Maintaining or increasing’ is defined as the coverage rate for at least two of the three age cohorts being equal to or greater than</w:t>
            </w:r>
            <w:r w:rsidR="00244753">
              <w:t xml:space="preserve"> the baseline or 92.5 per cent.</w:t>
            </w:r>
          </w:p>
          <w:p w:rsidR="00244753" w:rsidRDefault="00244753" w:rsidP="00B7510B">
            <w:pPr>
              <w:pStyle w:val="TableBodyText"/>
              <w:jc w:val="left"/>
            </w:pPr>
          </w:p>
          <w:p w:rsidR="001A4E6D" w:rsidRPr="004F7D0D" w:rsidRDefault="00244753" w:rsidP="00B7510B">
            <w:pPr>
              <w:pStyle w:val="TableBodyText"/>
              <w:jc w:val="left"/>
            </w:pPr>
            <w:r>
              <w:t>The baseline is the higher of</w:t>
            </w:r>
            <w:r w:rsidR="001A4E6D" w:rsidRPr="004F7D0D">
              <w:t>:</w:t>
            </w:r>
          </w:p>
          <w:p w:rsidR="001A4E6D" w:rsidRPr="004F7D0D" w:rsidRDefault="001A4E6D" w:rsidP="001A4E6D">
            <w:pPr>
              <w:pStyle w:val="TableBullet"/>
              <w:spacing w:line="220" w:lineRule="atLeast"/>
            </w:pPr>
            <w:r w:rsidRPr="004F7D0D">
              <w:t xml:space="preserve">the baseline for the </w:t>
            </w:r>
            <w:r w:rsidR="00244753">
              <w:t>previous assessment period</w:t>
            </w:r>
            <w:r w:rsidRPr="004F7D0D">
              <w:t>, or</w:t>
            </w:r>
          </w:p>
          <w:p w:rsidR="001A4E6D" w:rsidRPr="004F7D0D" w:rsidRDefault="00244753" w:rsidP="001A4E6D">
            <w:pPr>
              <w:pStyle w:val="TableBullet"/>
              <w:spacing w:line="220" w:lineRule="atLeast"/>
            </w:pPr>
            <w:r>
              <w:t>the lowest coverage rate for the previous three assessment periods.</w:t>
            </w:r>
          </w:p>
          <w:p w:rsidR="001A4E6D" w:rsidRPr="004F7D0D" w:rsidRDefault="001A4E6D" w:rsidP="00B7510B">
            <w:pPr>
              <w:pStyle w:val="TableBodyText"/>
              <w:jc w:val="left"/>
            </w:pPr>
          </w:p>
          <w:p w:rsidR="001A4E6D" w:rsidRPr="004F7D0D" w:rsidRDefault="001A4E6D" w:rsidP="00B7510B">
            <w:pPr>
              <w:pStyle w:val="TableBodyText"/>
              <w:jc w:val="left"/>
              <w:rPr>
                <w:i/>
              </w:rPr>
            </w:pPr>
            <w:r w:rsidRPr="004F7D0D">
              <w:rPr>
                <w:i/>
              </w:rPr>
              <w:t xml:space="preserve">A child is fully immunised when they are up-to-date, and recorded in </w:t>
            </w:r>
            <w:proofErr w:type="spellStart"/>
            <w:r w:rsidRPr="004F7D0D">
              <w:rPr>
                <w:i/>
              </w:rPr>
              <w:t>ACIR</w:t>
            </w:r>
            <w:proofErr w:type="spellEnd"/>
            <w:r w:rsidRPr="004F7D0D">
              <w:rPr>
                <w:i/>
              </w:rPr>
              <w:t xml:space="preserve"> as having received the standard vaccination schedule for their age or are on a suitable catch-up program based on the National Immunisation Program (NIP) schedule.</w:t>
            </w:r>
          </w:p>
          <w:p w:rsidR="001A4E6D" w:rsidRPr="004F7D0D" w:rsidRDefault="001A4E6D" w:rsidP="00B7510B">
            <w:pPr>
              <w:pStyle w:val="TableBodyText"/>
              <w:jc w:val="left"/>
            </w:pPr>
          </w:p>
        </w:tc>
      </w:tr>
      <w:tr w:rsidR="001A4E6D" w:rsidRPr="004F7D0D" w:rsidTr="00B7510B">
        <w:tc>
          <w:tcPr>
            <w:tcW w:w="1769" w:type="dxa"/>
            <w:shd w:val="clear" w:color="auto" w:fill="auto"/>
          </w:tcPr>
          <w:p w:rsidR="001A4E6D" w:rsidRPr="004F7D0D" w:rsidRDefault="001A4E6D" w:rsidP="00B7510B">
            <w:pPr>
              <w:pStyle w:val="TableBodyText"/>
              <w:jc w:val="left"/>
            </w:pPr>
            <w:r w:rsidRPr="004F7D0D">
              <w:t>Data source:</w:t>
            </w:r>
          </w:p>
          <w:p w:rsidR="001A4E6D" w:rsidRPr="004F7D0D" w:rsidRDefault="001A4E6D" w:rsidP="00B7510B">
            <w:pPr>
              <w:pStyle w:val="TableBodyText"/>
              <w:jc w:val="left"/>
            </w:pPr>
          </w:p>
        </w:tc>
        <w:tc>
          <w:tcPr>
            <w:tcW w:w="7020" w:type="dxa"/>
            <w:shd w:val="clear" w:color="auto" w:fill="auto"/>
          </w:tcPr>
          <w:p w:rsidR="001A4E6D" w:rsidRPr="004F7D0D" w:rsidRDefault="001A4E6D" w:rsidP="00B7510B">
            <w:pPr>
              <w:pStyle w:val="TableBodyText"/>
              <w:framePr w:w="2155" w:hSpace="227" w:vSpace="181" w:wrap="around" w:vAnchor="text" w:hAnchor="page" w:xAlign="outside" w:y="1"/>
              <w:jc w:val="left"/>
            </w:pPr>
            <w:r w:rsidRPr="004F7D0D">
              <w:rPr>
                <w:i/>
              </w:rPr>
              <w:t xml:space="preserve">Numerator and denominator </w:t>
            </w:r>
            <w:r w:rsidRPr="004F7D0D">
              <w:t xml:space="preserve">— </w:t>
            </w:r>
            <w:r w:rsidRPr="004F7D0D">
              <w:rPr>
                <w:u w:val="single"/>
              </w:rPr>
              <w:t>Australian Childhood Immunisation Register</w:t>
            </w:r>
            <w:r w:rsidRPr="004F7D0D">
              <w:t xml:space="preserve"> (</w:t>
            </w:r>
            <w:proofErr w:type="spellStart"/>
            <w:r w:rsidRPr="004F7D0D">
              <w:t>ACIR</w:t>
            </w:r>
            <w:proofErr w:type="spellEnd"/>
            <w:r w:rsidRPr="004F7D0D">
              <w:t>)</w:t>
            </w:r>
          </w:p>
          <w:p w:rsidR="001A4E6D" w:rsidRPr="004F7D0D" w:rsidRDefault="001A4E6D" w:rsidP="00B7510B">
            <w:pPr>
              <w:pStyle w:val="TableBodyText"/>
              <w:framePr w:w="2155" w:hSpace="227" w:vSpace="181" w:wrap="around" w:vAnchor="text" w:hAnchor="page" w:xAlign="outside" w:y="1"/>
              <w:jc w:val="left"/>
            </w:pPr>
          </w:p>
        </w:tc>
      </w:tr>
      <w:tr w:rsidR="001A4E6D" w:rsidRPr="004F7D0D" w:rsidTr="00B7510B">
        <w:tc>
          <w:tcPr>
            <w:tcW w:w="1769" w:type="dxa"/>
            <w:shd w:val="clear" w:color="auto" w:fill="auto"/>
          </w:tcPr>
          <w:p w:rsidR="001A4E6D" w:rsidRPr="004F7D0D" w:rsidRDefault="001A4E6D" w:rsidP="00B7510B">
            <w:pPr>
              <w:pStyle w:val="TableBodyText"/>
              <w:spacing w:before="40"/>
              <w:jc w:val="left"/>
            </w:pPr>
            <w:r w:rsidRPr="004F7D0D">
              <w:t>Data provider:</w:t>
            </w:r>
          </w:p>
          <w:p w:rsidR="001A4E6D" w:rsidRPr="004F7D0D" w:rsidRDefault="001A4E6D" w:rsidP="00B7510B">
            <w:pPr>
              <w:pStyle w:val="TableBodyText"/>
              <w:jc w:val="left"/>
            </w:pPr>
          </w:p>
        </w:tc>
        <w:tc>
          <w:tcPr>
            <w:tcW w:w="7020" w:type="dxa"/>
            <w:shd w:val="clear" w:color="auto" w:fill="auto"/>
          </w:tcPr>
          <w:p w:rsidR="001A4E6D" w:rsidRPr="004F7D0D" w:rsidRDefault="001A4E6D" w:rsidP="00B7510B">
            <w:pPr>
              <w:pStyle w:val="TableBodyText"/>
              <w:framePr w:w="2155" w:hSpace="227" w:vSpace="181" w:wrap="around" w:vAnchor="text" w:hAnchor="page" w:xAlign="outside" w:y="1"/>
              <w:jc w:val="left"/>
              <w:rPr>
                <w:i/>
              </w:rPr>
            </w:pPr>
            <w:r>
              <w:t>Department of Health</w:t>
            </w:r>
          </w:p>
        </w:tc>
      </w:tr>
      <w:tr w:rsidR="001A4E6D" w:rsidRPr="004F7D0D" w:rsidTr="00B7510B">
        <w:tc>
          <w:tcPr>
            <w:tcW w:w="1769" w:type="dxa"/>
            <w:shd w:val="clear" w:color="auto" w:fill="auto"/>
          </w:tcPr>
          <w:p w:rsidR="001A4E6D" w:rsidRPr="004F7D0D" w:rsidRDefault="001A4E6D" w:rsidP="00B7510B">
            <w:pPr>
              <w:pStyle w:val="TableBodyText"/>
              <w:spacing w:before="40"/>
              <w:jc w:val="left"/>
            </w:pPr>
            <w:r w:rsidRPr="004F7D0D">
              <w:t>Data availability</w:t>
            </w:r>
          </w:p>
        </w:tc>
        <w:tc>
          <w:tcPr>
            <w:tcW w:w="7020" w:type="dxa"/>
            <w:shd w:val="clear" w:color="auto" w:fill="auto"/>
          </w:tcPr>
          <w:p w:rsidR="001A4E6D" w:rsidRPr="004F7D0D" w:rsidRDefault="001A4E6D" w:rsidP="00B7510B">
            <w:pPr>
              <w:pStyle w:val="TableBodyText"/>
              <w:framePr w:w="2155" w:hSpace="227" w:vSpace="181" w:wrap="around" w:vAnchor="text" w:hAnchor="page" w:xAlign="outside" w:y="1"/>
              <w:jc w:val="left"/>
            </w:pPr>
            <w:r w:rsidRPr="004F7D0D">
              <w:t>1 April 201</w:t>
            </w:r>
            <w:r w:rsidR="00936233">
              <w:t>4</w:t>
            </w:r>
            <w:r>
              <w:t xml:space="preserve"> to 31 March 201</w:t>
            </w:r>
            <w:r w:rsidR="00936233">
              <w:t>5</w:t>
            </w:r>
          </w:p>
          <w:p w:rsidR="001A4E6D" w:rsidRPr="004F7D0D" w:rsidRDefault="001A4E6D" w:rsidP="00B7510B">
            <w:pPr>
              <w:pStyle w:val="TableBodyText"/>
              <w:framePr w:w="2155" w:hSpace="227" w:vSpace="181" w:wrap="around" w:vAnchor="text" w:hAnchor="page" w:xAlign="outside" w:y="1"/>
              <w:jc w:val="left"/>
            </w:pPr>
          </w:p>
        </w:tc>
      </w:tr>
      <w:tr w:rsidR="001A4E6D" w:rsidRPr="004F7D0D" w:rsidTr="00B7510B">
        <w:tc>
          <w:tcPr>
            <w:tcW w:w="1769" w:type="dxa"/>
            <w:shd w:val="clear" w:color="auto" w:fill="auto"/>
          </w:tcPr>
          <w:p w:rsidR="001A4E6D" w:rsidRPr="004F7D0D" w:rsidRDefault="001A4E6D" w:rsidP="00B7510B">
            <w:pPr>
              <w:pStyle w:val="TableBodyText"/>
              <w:spacing w:before="40"/>
              <w:jc w:val="left"/>
            </w:pPr>
            <w:r w:rsidRPr="004F7D0D">
              <w:t>Cross tabulations:</w:t>
            </w:r>
          </w:p>
          <w:p w:rsidR="001A4E6D" w:rsidRPr="004F7D0D" w:rsidRDefault="001A4E6D" w:rsidP="00B7510B">
            <w:pPr>
              <w:pStyle w:val="TableBodyText"/>
              <w:spacing w:before="40"/>
              <w:jc w:val="left"/>
            </w:pPr>
          </w:p>
        </w:tc>
        <w:tc>
          <w:tcPr>
            <w:tcW w:w="7020" w:type="dxa"/>
            <w:shd w:val="clear" w:color="auto" w:fill="auto"/>
          </w:tcPr>
          <w:p w:rsidR="001A4E6D" w:rsidRPr="004F7D0D" w:rsidRDefault="001A4E6D" w:rsidP="00B7510B">
            <w:pPr>
              <w:pStyle w:val="TableBodyText"/>
              <w:spacing w:before="40"/>
              <w:jc w:val="left"/>
            </w:pPr>
            <w:r w:rsidRPr="004F7D0D">
              <w:t>State and Territory, by:</w:t>
            </w:r>
          </w:p>
          <w:p w:rsidR="001A4E6D" w:rsidRPr="004F7D0D" w:rsidRDefault="001A4E6D" w:rsidP="001A4E6D">
            <w:pPr>
              <w:pStyle w:val="TableBullet"/>
              <w:spacing w:line="220" w:lineRule="atLeast"/>
            </w:pPr>
            <w:r w:rsidRPr="004F7D0D">
              <w:t xml:space="preserve">Age cohort (12 </w:t>
            </w:r>
            <w:r w:rsidRPr="004F7D0D">
              <w:rPr>
                <w:rFonts w:cs="Arial"/>
                <w:u w:val="single"/>
              </w:rPr>
              <w:t>&lt;</w:t>
            </w:r>
            <w:r w:rsidRPr="004F7D0D">
              <w:t xml:space="preserve"> 15 months, 24 </w:t>
            </w:r>
            <w:r w:rsidRPr="004F7D0D">
              <w:rPr>
                <w:rFonts w:cs="Arial"/>
                <w:u w:val="single"/>
              </w:rPr>
              <w:t>&lt;</w:t>
            </w:r>
            <w:r w:rsidRPr="004F7D0D">
              <w:t xml:space="preserve"> 27 months, 60 </w:t>
            </w:r>
            <w:r w:rsidRPr="004F7D0D">
              <w:rPr>
                <w:rFonts w:cs="Arial"/>
                <w:u w:val="single"/>
              </w:rPr>
              <w:t>&lt;</w:t>
            </w:r>
            <w:r w:rsidRPr="004F7D0D">
              <w:t xml:space="preserve"> 63 months)</w:t>
            </w:r>
          </w:p>
        </w:tc>
      </w:tr>
    </w:tbl>
    <w:p w:rsidR="001A4E6D" w:rsidRDefault="001A4E6D" w:rsidP="001A4E6D">
      <w:pPr>
        <w:pStyle w:val="BodyText"/>
      </w:pPr>
    </w:p>
    <w:p w:rsidR="001A4E6D" w:rsidRDefault="001A4E6D" w:rsidP="001A4E6D">
      <w:pPr>
        <w:pStyle w:val="BodyText"/>
      </w:pPr>
      <w:r>
        <w:br w:type="page"/>
      </w:r>
    </w:p>
    <w:p w:rsidR="001A4E6D" w:rsidRPr="004F7D0D" w:rsidRDefault="001A4E6D" w:rsidP="001A4E6D">
      <w:pPr>
        <w:pStyle w:val="Heading3"/>
      </w:pPr>
      <w:r w:rsidRPr="004F7D0D">
        <w:lastRenderedPageBreak/>
        <w:t>Performance benchmark 2 — Maintaining or increasing vaccine coverage in agreed areas of low immunisation coverage</w:t>
      </w:r>
    </w:p>
    <w:p w:rsidR="001A4E6D" w:rsidRPr="004F7D0D" w:rsidRDefault="001A4E6D" w:rsidP="001A4E6D">
      <w:pPr>
        <w:pStyle w:val="BoxSpace"/>
      </w:pPr>
    </w:p>
    <w:tbl>
      <w:tblPr>
        <w:tblW w:w="0" w:type="auto"/>
        <w:tblLook w:val="01E0" w:firstRow="1" w:lastRow="1" w:firstColumn="1" w:lastColumn="1" w:noHBand="0" w:noVBand="0"/>
      </w:tblPr>
      <w:tblGrid>
        <w:gridCol w:w="1877"/>
        <w:gridCol w:w="6946"/>
      </w:tblGrid>
      <w:tr w:rsidR="001A4E6D" w:rsidRPr="004F7D0D" w:rsidTr="00B7510B">
        <w:tc>
          <w:tcPr>
            <w:tcW w:w="1877" w:type="dxa"/>
            <w:shd w:val="clear" w:color="auto" w:fill="auto"/>
          </w:tcPr>
          <w:p w:rsidR="001A4E6D" w:rsidRPr="004F7D0D" w:rsidRDefault="001A4E6D" w:rsidP="00B7510B">
            <w:pPr>
              <w:pStyle w:val="TableBodyText"/>
              <w:jc w:val="left"/>
            </w:pPr>
            <w:r w:rsidRPr="004F7D0D">
              <w:t>Performance benchmark:</w:t>
            </w:r>
          </w:p>
          <w:p w:rsidR="001A4E6D" w:rsidRPr="004F7D0D" w:rsidRDefault="001A4E6D" w:rsidP="00B7510B">
            <w:pPr>
              <w:pStyle w:val="TableBodyText"/>
              <w:jc w:val="left"/>
            </w:pPr>
          </w:p>
        </w:tc>
        <w:tc>
          <w:tcPr>
            <w:tcW w:w="6946" w:type="dxa"/>
            <w:shd w:val="clear" w:color="auto" w:fill="auto"/>
          </w:tcPr>
          <w:p w:rsidR="001A4E6D" w:rsidRPr="004F7D0D" w:rsidRDefault="001A4E6D" w:rsidP="00B7510B">
            <w:pPr>
              <w:pStyle w:val="TableBodyText"/>
              <w:jc w:val="left"/>
            </w:pPr>
            <w:r w:rsidRPr="004F7D0D">
              <w:t>Maintaining or increasing coverage in agreed areas of low immunisation coverage</w:t>
            </w:r>
          </w:p>
        </w:tc>
      </w:tr>
      <w:tr w:rsidR="001A4E6D" w:rsidRPr="004F7D0D" w:rsidTr="00B7510B">
        <w:tc>
          <w:tcPr>
            <w:tcW w:w="1877" w:type="dxa"/>
            <w:shd w:val="clear" w:color="auto" w:fill="auto"/>
          </w:tcPr>
          <w:p w:rsidR="001A4E6D" w:rsidRPr="004F7D0D" w:rsidRDefault="001A4E6D" w:rsidP="00B7510B">
            <w:pPr>
              <w:pStyle w:val="TableBodyText"/>
              <w:jc w:val="left"/>
            </w:pPr>
            <w:r w:rsidRPr="004F7D0D">
              <w:t>Measure:</w:t>
            </w:r>
          </w:p>
          <w:p w:rsidR="001A4E6D" w:rsidRPr="004F7D0D" w:rsidRDefault="001A4E6D" w:rsidP="00B7510B">
            <w:pPr>
              <w:pStyle w:val="TableBodyText"/>
              <w:jc w:val="left"/>
            </w:pPr>
          </w:p>
        </w:tc>
        <w:tc>
          <w:tcPr>
            <w:tcW w:w="6946" w:type="dxa"/>
            <w:shd w:val="clear" w:color="auto" w:fill="auto"/>
          </w:tcPr>
          <w:p w:rsidR="001A4E6D" w:rsidRPr="004F7D0D" w:rsidRDefault="001A4E6D" w:rsidP="00B7510B">
            <w:pPr>
              <w:pStyle w:val="TableBodyText"/>
              <w:framePr w:w="2155" w:hSpace="227" w:vSpace="181" w:wrap="around" w:vAnchor="text" w:hAnchor="page" w:xAlign="outside" w:y="1"/>
              <w:jc w:val="left"/>
            </w:pPr>
            <w:r w:rsidRPr="004F7D0D">
              <w:t>Proportion of Australian children resident in an area of low immunisation coverage that are reported as fully immunised</w:t>
            </w:r>
          </w:p>
          <w:p w:rsidR="001A4E6D" w:rsidRPr="004F7D0D" w:rsidRDefault="001A4E6D" w:rsidP="00B7510B">
            <w:pPr>
              <w:pStyle w:val="TableBodyText"/>
              <w:jc w:val="left"/>
            </w:pPr>
          </w:p>
          <w:p w:rsidR="001A4E6D" w:rsidRPr="004F7D0D" w:rsidRDefault="001A4E6D" w:rsidP="00B7510B">
            <w:pPr>
              <w:pStyle w:val="TableBodyText"/>
              <w:jc w:val="left"/>
            </w:pPr>
            <w:r w:rsidRPr="004F7D0D">
              <w:t>The measure is defined as:</w:t>
            </w:r>
          </w:p>
          <w:p w:rsidR="001A4E6D" w:rsidRPr="004F7D0D" w:rsidRDefault="001A4E6D" w:rsidP="001A4E6D">
            <w:pPr>
              <w:pStyle w:val="TableBullet"/>
              <w:spacing w:line="220" w:lineRule="atLeast"/>
            </w:pPr>
            <w:r w:rsidRPr="004F7D0D">
              <w:rPr>
                <w:i/>
              </w:rPr>
              <w:t>Numerator</w:t>
            </w:r>
            <w:r w:rsidRPr="004F7D0D">
              <w:t xml:space="preserve"> — the number of children resident in nominated areas of low immunisation coverage reported as fully immunised in the </w:t>
            </w:r>
            <w:proofErr w:type="spellStart"/>
            <w:r w:rsidRPr="004F7D0D">
              <w:t>ACIR</w:t>
            </w:r>
            <w:proofErr w:type="spellEnd"/>
            <w:r w:rsidRPr="004F7D0D">
              <w:t xml:space="preserve"> aged 12 </w:t>
            </w:r>
            <w:r w:rsidRPr="004F7D0D">
              <w:rPr>
                <w:rFonts w:cs="Arial"/>
                <w:u w:val="single"/>
              </w:rPr>
              <w:t>&lt;</w:t>
            </w:r>
            <w:r w:rsidRPr="004F7D0D">
              <w:t xml:space="preserve"> 15 months and 60 </w:t>
            </w:r>
            <w:r w:rsidRPr="004F7D0D">
              <w:rPr>
                <w:rFonts w:cs="Arial"/>
                <w:u w:val="single"/>
              </w:rPr>
              <w:t>&lt;</w:t>
            </w:r>
            <w:r w:rsidRPr="004F7D0D">
              <w:t xml:space="preserve"> 63 months</w:t>
            </w:r>
          </w:p>
          <w:p w:rsidR="001A4E6D" w:rsidRPr="004F7D0D" w:rsidRDefault="001A4E6D" w:rsidP="001A4E6D">
            <w:pPr>
              <w:pStyle w:val="TableBullet"/>
              <w:spacing w:line="220" w:lineRule="atLeast"/>
            </w:pPr>
            <w:r w:rsidRPr="004F7D0D">
              <w:rPr>
                <w:i/>
              </w:rPr>
              <w:t>Denominator</w:t>
            </w:r>
            <w:r w:rsidRPr="004F7D0D">
              <w:t xml:space="preserve"> — total number of children resident in nominated areas of low immunisation coverage as registered in the </w:t>
            </w:r>
            <w:proofErr w:type="spellStart"/>
            <w:r w:rsidRPr="004F7D0D">
              <w:t>ACIR</w:t>
            </w:r>
            <w:proofErr w:type="spellEnd"/>
            <w:r w:rsidRPr="004F7D0D">
              <w:t xml:space="preserve"> aged 12 </w:t>
            </w:r>
            <w:r w:rsidRPr="004F7D0D">
              <w:rPr>
                <w:rFonts w:cs="Arial"/>
                <w:u w:val="single"/>
              </w:rPr>
              <w:t>&lt;</w:t>
            </w:r>
            <w:r w:rsidRPr="004F7D0D">
              <w:t xml:space="preserve"> 15 months and 60 </w:t>
            </w:r>
            <w:r w:rsidRPr="004F7D0D">
              <w:rPr>
                <w:rFonts w:cs="Arial"/>
                <w:u w:val="single"/>
              </w:rPr>
              <w:t>&lt;</w:t>
            </w:r>
            <w:r w:rsidRPr="004F7D0D">
              <w:t xml:space="preserve"> 63 months</w:t>
            </w:r>
          </w:p>
          <w:p w:rsidR="001A4E6D" w:rsidRPr="004F7D0D" w:rsidRDefault="001A4E6D" w:rsidP="00B7510B">
            <w:pPr>
              <w:pStyle w:val="TableBodyText"/>
              <w:jc w:val="left"/>
              <w:rPr>
                <w:i/>
              </w:rPr>
            </w:pPr>
            <w:r w:rsidRPr="004F7D0D">
              <w:t xml:space="preserve">and is expressed as a </w:t>
            </w:r>
            <w:r w:rsidRPr="004F7D0D">
              <w:rPr>
                <w:i/>
              </w:rPr>
              <w:t>percentage</w:t>
            </w:r>
          </w:p>
          <w:p w:rsidR="001A4E6D" w:rsidRPr="004F7D0D" w:rsidRDefault="001A4E6D" w:rsidP="00B7510B">
            <w:pPr>
              <w:pStyle w:val="TableBodyText"/>
              <w:jc w:val="left"/>
            </w:pPr>
          </w:p>
          <w:p w:rsidR="001A4E6D" w:rsidRPr="004F7D0D" w:rsidRDefault="001A4E6D" w:rsidP="00B7510B">
            <w:pPr>
              <w:pStyle w:val="TableBodyText"/>
              <w:jc w:val="left"/>
            </w:pPr>
            <w:r w:rsidRPr="004F7D0D">
              <w:t>‘Maintaining or increasing’ is defined as the average coverage rate (ie, the average across the identified low immunisation areas) for each age cohort being equal to or greater than the average coverage rate for the equivalent age cohort for the previous period.</w:t>
            </w:r>
          </w:p>
          <w:p w:rsidR="001A4E6D" w:rsidRPr="004F7D0D" w:rsidRDefault="001A4E6D" w:rsidP="00B7510B">
            <w:pPr>
              <w:pStyle w:val="TableBodyText"/>
              <w:jc w:val="left"/>
            </w:pPr>
          </w:p>
          <w:p w:rsidR="001A4E6D" w:rsidRPr="004F7D0D" w:rsidRDefault="001A4E6D" w:rsidP="00B7510B">
            <w:pPr>
              <w:pStyle w:val="TableBodyText"/>
              <w:jc w:val="left"/>
              <w:rPr>
                <w:i/>
              </w:rPr>
            </w:pPr>
            <w:r w:rsidRPr="004F7D0D">
              <w:rPr>
                <w:i/>
              </w:rPr>
              <w:t xml:space="preserve">A child is fully immunised when they are up-to-date, and recorded in </w:t>
            </w:r>
            <w:proofErr w:type="spellStart"/>
            <w:r w:rsidRPr="004F7D0D">
              <w:rPr>
                <w:i/>
              </w:rPr>
              <w:t>ACIR</w:t>
            </w:r>
            <w:proofErr w:type="spellEnd"/>
            <w:r w:rsidRPr="004F7D0D">
              <w:rPr>
                <w:i/>
              </w:rPr>
              <w:t xml:space="preserve"> as having received the standard vaccination schedule for their age or are on a suitable catch-up program based on the National Immu</w:t>
            </w:r>
            <w:r>
              <w:rPr>
                <w:i/>
              </w:rPr>
              <w:t>nisation Program (NIP) schedule.</w:t>
            </w:r>
          </w:p>
          <w:p w:rsidR="001A4E6D" w:rsidRPr="004F7D0D" w:rsidRDefault="001A4E6D" w:rsidP="00B7510B">
            <w:pPr>
              <w:pStyle w:val="TableBodyText"/>
              <w:jc w:val="left"/>
              <w:rPr>
                <w:i/>
              </w:rPr>
            </w:pPr>
          </w:p>
          <w:p w:rsidR="001A4E6D" w:rsidRDefault="007C128B" w:rsidP="00F96C9F">
            <w:pPr>
              <w:pStyle w:val="TableBodyText"/>
              <w:jc w:val="left"/>
              <w:rPr>
                <w:i/>
              </w:rPr>
            </w:pPr>
            <w:r w:rsidRPr="007C128B">
              <w:rPr>
                <w:i/>
              </w:rPr>
              <w:t>One or more low immunisation coverage areas will be nominated for each age cohort.</w:t>
            </w:r>
            <w:r>
              <w:rPr>
                <w:i/>
              </w:rPr>
              <w:t xml:space="preserve"> </w:t>
            </w:r>
            <w:r w:rsidR="001A4E6D" w:rsidRPr="004F7D0D">
              <w:rPr>
                <w:i/>
              </w:rPr>
              <w:t>Low immunisation coverage areas consist of local government areas (</w:t>
            </w:r>
            <w:proofErr w:type="spellStart"/>
            <w:r w:rsidR="001A4E6D" w:rsidRPr="004F7D0D">
              <w:rPr>
                <w:i/>
              </w:rPr>
              <w:t>LGAs</w:t>
            </w:r>
            <w:proofErr w:type="spellEnd"/>
            <w:r w:rsidR="001A4E6D" w:rsidRPr="004F7D0D">
              <w:rPr>
                <w:i/>
              </w:rPr>
              <w:t xml:space="preserve">) (or if </w:t>
            </w:r>
            <w:proofErr w:type="spellStart"/>
            <w:r w:rsidR="001A4E6D" w:rsidRPr="004F7D0D">
              <w:rPr>
                <w:i/>
              </w:rPr>
              <w:t>LGA</w:t>
            </w:r>
            <w:proofErr w:type="spellEnd"/>
            <w:r w:rsidR="001A4E6D" w:rsidRPr="004F7D0D">
              <w:rPr>
                <w:i/>
              </w:rPr>
              <w:t xml:space="preserve"> data is unavailable </w:t>
            </w:r>
            <w:r w:rsidR="009B02DA" w:rsidRPr="00F96C9F">
              <w:rPr>
                <w:i/>
              </w:rPr>
              <w:t>Medicare Local</w:t>
            </w:r>
            <w:r w:rsidR="001A4E6D" w:rsidRPr="00F96C9F">
              <w:rPr>
                <w:i/>
              </w:rPr>
              <w:t xml:space="preserve"> (</w:t>
            </w:r>
            <w:r w:rsidR="009B02DA" w:rsidRPr="00F96C9F">
              <w:rPr>
                <w:i/>
              </w:rPr>
              <w:t>ML</w:t>
            </w:r>
            <w:r w:rsidR="001A4E6D" w:rsidRPr="00F96C9F">
              <w:rPr>
                <w:i/>
              </w:rPr>
              <w:t>)</w:t>
            </w:r>
            <w:r w:rsidR="001A4E6D" w:rsidRPr="004F7D0D">
              <w:rPr>
                <w:i/>
              </w:rPr>
              <w:t xml:space="preserve">) that have an immunisation coverage rate that is more than </w:t>
            </w:r>
            <w:r w:rsidR="001A4E6D" w:rsidRPr="004F7D0D">
              <w:rPr>
                <w:i/>
                <w:u w:val="single"/>
              </w:rPr>
              <w:t xml:space="preserve">5 per cent </w:t>
            </w:r>
            <w:r w:rsidR="001A4E6D" w:rsidRPr="004F7D0D">
              <w:rPr>
                <w:i/>
              </w:rPr>
              <w:t>below the national average and, in combination (where applicable) contain a minimum of 2 per cent of the relevant age cohort for the State or Territory as a whole.</w:t>
            </w:r>
          </w:p>
          <w:p w:rsidR="007C128B" w:rsidRDefault="007C128B" w:rsidP="00B7510B">
            <w:pPr>
              <w:pStyle w:val="TableBodyText"/>
              <w:jc w:val="left"/>
              <w:rPr>
                <w:i/>
              </w:rPr>
            </w:pPr>
          </w:p>
          <w:p w:rsidR="007C128B" w:rsidRPr="004F7D0D" w:rsidRDefault="007C128B" w:rsidP="00B7510B">
            <w:pPr>
              <w:pStyle w:val="TableBodyText"/>
              <w:jc w:val="left"/>
              <w:rPr>
                <w:i/>
              </w:rPr>
            </w:pPr>
            <w:r w:rsidRPr="007C128B">
              <w:rPr>
                <w:i/>
              </w:rPr>
              <w:t>Areas of low immunisation coverage are to be agreed by each state and territory representative on Jurisdictional Immunisation Coordinators (</w:t>
            </w:r>
            <w:proofErr w:type="spellStart"/>
            <w:r w:rsidRPr="007C128B">
              <w:rPr>
                <w:i/>
              </w:rPr>
              <w:t>JIC</w:t>
            </w:r>
            <w:proofErr w:type="spellEnd"/>
            <w:r w:rsidRPr="007C128B">
              <w:rPr>
                <w:i/>
              </w:rPr>
              <w:t>) and the Commonwealth in May of each assessment period.</w:t>
            </w:r>
            <w:r>
              <w:t xml:space="preserve"> </w:t>
            </w:r>
            <w:r w:rsidRPr="007C128B">
              <w:rPr>
                <w:i/>
              </w:rPr>
              <w:t xml:space="preserve">Any issues relating to this decision will be resolved by the </w:t>
            </w:r>
            <w:proofErr w:type="spellStart"/>
            <w:r w:rsidRPr="007C128B">
              <w:rPr>
                <w:i/>
              </w:rPr>
              <w:t>JIC</w:t>
            </w:r>
            <w:proofErr w:type="spellEnd"/>
            <w:r w:rsidRPr="007C128B">
              <w:rPr>
                <w:i/>
              </w:rPr>
              <w:t xml:space="preserve"> chair.</w:t>
            </w:r>
          </w:p>
          <w:p w:rsidR="001A4E6D" w:rsidRPr="004F7D0D" w:rsidRDefault="001A4E6D" w:rsidP="00B7510B">
            <w:pPr>
              <w:pStyle w:val="TableBodyText"/>
              <w:jc w:val="left"/>
            </w:pPr>
          </w:p>
        </w:tc>
      </w:tr>
      <w:tr w:rsidR="001A4E6D" w:rsidRPr="004F7D0D" w:rsidTr="00B7510B">
        <w:tc>
          <w:tcPr>
            <w:tcW w:w="1877" w:type="dxa"/>
            <w:shd w:val="clear" w:color="auto" w:fill="auto"/>
          </w:tcPr>
          <w:p w:rsidR="001A4E6D" w:rsidRPr="004F7D0D" w:rsidRDefault="001A4E6D" w:rsidP="00B7510B">
            <w:pPr>
              <w:pStyle w:val="TableBodyText"/>
              <w:jc w:val="left"/>
            </w:pPr>
            <w:r w:rsidRPr="004F7D0D">
              <w:t>Data source</w:t>
            </w:r>
          </w:p>
        </w:tc>
        <w:tc>
          <w:tcPr>
            <w:tcW w:w="6946" w:type="dxa"/>
            <w:shd w:val="clear" w:color="auto" w:fill="auto"/>
          </w:tcPr>
          <w:p w:rsidR="001A4E6D" w:rsidRPr="004F7D0D" w:rsidRDefault="001A4E6D" w:rsidP="00B7510B">
            <w:pPr>
              <w:pStyle w:val="TableBodyText"/>
              <w:jc w:val="left"/>
            </w:pPr>
            <w:r w:rsidRPr="004F7D0D">
              <w:rPr>
                <w:i/>
              </w:rPr>
              <w:t xml:space="preserve">Numerator and denominator </w:t>
            </w:r>
            <w:r w:rsidRPr="004F7D0D">
              <w:t xml:space="preserve">— </w:t>
            </w:r>
            <w:r w:rsidRPr="004F7D0D">
              <w:rPr>
                <w:u w:val="single"/>
              </w:rPr>
              <w:t>Australian Childhood Immunisation Register</w:t>
            </w:r>
            <w:r w:rsidRPr="004F7D0D">
              <w:t xml:space="preserve"> (</w:t>
            </w:r>
            <w:proofErr w:type="spellStart"/>
            <w:r w:rsidRPr="004F7D0D">
              <w:t>ACIR</w:t>
            </w:r>
            <w:proofErr w:type="spellEnd"/>
            <w:r w:rsidRPr="004F7D0D">
              <w:t>)</w:t>
            </w:r>
          </w:p>
          <w:p w:rsidR="001A4E6D" w:rsidRPr="004F7D0D" w:rsidRDefault="001A4E6D" w:rsidP="00B7510B">
            <w:pPr>
              <w:pStyle w:val="TableBodyText"/>
              <w:framePr w:w="2155" w:hSpace="227" w:vSpace="181" w:wrap="around" w:vAnchor="text" w:hAnchor="page" w:xAlign="outside" w:y="1"/>
              <w:jc w:val="left"/>
            </w:pPr>
          </w:p>
        </w:tc>
      </w:tr>
      <w:tr w:rsidR="001A4E6D" w:rsidRPr="004F7D0D" w:rsidTr="00B7510B">
        <w:tc>
          <w:tcPr>
            <w:tcW w:w="1877" w:type="dxa"/>
            <w:shd w:val="clear" w:color="auto" w:fill="auto"/>
          </w:tcPr>
          <w:p w:rsidR="001A4E6D" w:rsidRPr="004F7D0D" w:rsidRDefault="001A4E6D" w:rsidP="00B7510B">
            <w:pPr>
              <w:pStyle w:val="TableBodyText"/>
              <w:jc w:val="left"/>
            </w:pPr>
            <w:r w:rsidRPr="004F7D0D">
              <w:t>Data provider:</w:t>
            </w:r>
          </w:p>
          <w:p w:rsidR="001A4E6D" w:rsidRPr="004F7D0D" w:rsidRDefault="001A4E6D" w:rsidP="00B7510B">
            <w:pPr>
              <w:pStyle w:val="TableBodyText"/>
              <w:jc w:val="left"/>
            </w:pPr>
          </w:p>
        </w:tc>
        <w:tc>
          <w:tcPr>
            <w:tcW w:w="6946" w:type="dxa"/>
            <w:shd w:val="clear" w:color="auto" w:fill="auto"/>
          </w:tcPr>
          <w:p w:rsidR="001A4E6D" w:rsidRPr="004F7D0D" w:rsidRDefault="001A4E6D" w:rsidP="00B7510B">
            <w:pPr>
              <w:pStyle w:val="TableBodyText"/>
              <w:framePr w:w="2155" w:hSpace="227" w:vSpace="181" w:wrap="around" w:vAnchor="text" w:hAnchor="page" w:xAlign="outside" w:y="1"/>
              <w:jc w:val="left"/>
            </w:pPr>
            <w:r>
              <w:t>Department of Health</w:t>
            </w:r>
          </w:p>
        </w:tc>
      </w:tr>
      <w:tr w:rsidR="001A4E6D" w:rsidRPr="004F7D0D" w:rsidTr="00B7510B">
        <w:tc>
          <w:tcPr>
            <w:tcW w:w="1877" w:type="dxa"/>
            <w:shd w:val="clear" w:color="auto" w:fill="auto"/>
          </w:tcPr>
          <w:p w:rsidR="001A4E6D" w:rsidRPr="004F7D0D" w:rsidRDefault="001A4E6D" w:rsidP="00B7510B">
            <w:pPr>
              <w:pStyle w:val="TableBodyText"/>
              <w:jc w:val="left"/>
            </w:pPr>
            <w:r w:rsidRPr="004F7D0D">
              <w:t>Data availability:</w:t>
            </w:r>
          </w:p>
          <w:p w:rsidR="001A4E6D" w:rsidRPr="004F7D0D" w:rsidRDefault="001A4E6D" w:rsidP="00B7510B">
            <w:pPr>
              <w:pStyle w:val="TableBodyText"/>
              <w:jc w:val="left"/>
            </w:pPr>
          </w:p>
        </w:tc>
        <w:tc>
          <w:tcPr>
            <w:tcW w:w="6946" w:type="dxa"/>
            <w:shd w:val="clear" w:color="auto" w:fill="auto"/>
          </w:tcPr>
          <w:p w:rsidR="001A4E6D" w:rsidRPr="004F7D0D" w:rsidRDefault="001A4E6D" w:rsidP="00936233">
            <w:pPr>
              <w:pStyle w:val="TableBodyText"/>
              <w:framePr w:w="2155" w:hSpace="227" w:vSpace="181" w:wrap="around" w:vAnchor="text" w:hAnchor="page" w:xAlign="outside" w:y="1"/>
              <w:jc w:val="left"/>
            </w:pPr>
            <w:r w:rsidRPr="004F7D0D">
              <w:t>1 April 201</w:t>
            </w:r>
            <w:r w:rsidR="00936233">
              <w:t>4</w:t>
            </w:r>
            <w:r w:rsidRPr="004F7D0D">
              <w:t xml:space="preserve"> to 31 March 201</w:t>
            </w:r>
            <w:r w:rsidR="00936233">
              <w:t>5</w:t>
            </w:r>
          </w:p>
        </w:tc>
      </w:tr>
      <w:tr w:rsidR="001A4E6D" w:rsidRPr="004F7D0D" w:rsidTr="00B7510B">
        <w:tc>
          <w:tcPr>
            <w:tcW w:w="1877" w:type="dxa"/>
            <w:shd w:val="clear" w:color="auto" w:fill="auto"/>
          </w:tcPr>
          <w:p w:rsidR="001A4E6D" w:rsidRPr="004F7D0D" w:rsidRDefault="001A4E6D" w:rsidP="00B7510B">
            <w:pPr>
              <w:pStyle w:val="TableBodyText"/>
              <w:jc w:val="left"/>
            </w:pPr>
            <w:r w:rsidRPr="004F7D0D">
              <w:t>Cross tabulations:</w:t>
            </w:r>
          </w:p>
          <w:p w:rsidR="001A4E6D" w:rsidRPr="004F7D0D" w:rsidRDefault="001A4E6D" w:rsidP="00B7510B">
            <w:pPr>
              <w:pStyle w:val="TableBodyText"/>
              <w:jc w:val="left"/>
            </w:pPr>
          </w:p>
        </w:tc>
        <w:tc>
          <w:tcPr>
            <w:tcW w:w="6946" w:type="dxa"/>
            <w:shd w:val="clear" w:color="auto" w:fill="auto"/>
          </w:tcPr>
          <w:p w:rsidR="001A4E6D" w:rsidRPr="004F7D0D" w:rsidRDefault="001A4E6D" w:rsidP="00B7510B">
            <w:pPr>
              <w:pStyle w:val="TableBodyText"/>
              <w:jc w:val="left"/>
            </w:pPr>
            <w:r w:rsidRPr="004F7D0D">
              <w:t>State and Territory, by:</w:t>
            </w:r>
          </w:p>
          <w:p w:rsidR="001A4E6D" w:rsidRPr="004F7D0D" w:rsidRDefault="001A4E6D" w:rsidP="001A4E6D">
            <w:pPr>
              <w:pStyle w:val="TableBullet"/>
              <w:spacing w:line="220" w:lineRule="atLeast"/>
            </w:pPr>
            <w:r w:rsidRPr="004F7D0D">
              <w:t xml:space="preserve">Age (12 </w:t>
            </w:r>
            <w:r w:rsidRPr="004F7D0D">
              <w:rPr>
                <w:rFonts w:cs="Arial"/>
                <w:u w:val="single"/>
              </w:rPr>
              <w:t>&lt;</w:t>
            </w:r>
            <w:r w:rsidRPr="004F7D0D">
              <w:t xml:space="preserve"> 15 months, 60</w:t>
            </w:r>
            <w:r w:rsidRPr="004F7D0D">
              <w:rPr>
                <w:rFonts w:cs="Arial"/>
                <w:u w:val="single"/>
              </w:rPr>
              <w:t>&lt;</w:t>
            </w:r>
            <w:r w:rsidRPr="004F7D0D">
              <w:t xml:space="preserve"> 63 months)</w:t>
            </w:r>
          </w:p>
        </w:tc>
      </w:tr>
    </w:tbl>
    <w:p w:rsidR="001A4E6D" w:rsidRDefault="001A4E6D" w:rsidP="001A4E6D">
      <w:pPr>
        <w:pStyle w:val="BodyText"/>
      </w:pPr>
    </w:p>
    <w:p w:rsidR="001A4E6D" w:rsidRDefault="001A4E6D" w:rsidP="001A4E6D">
      <w:pPr>
        <w:pStyle w:val="BodyText"/>
      </w:pPr>
      <w:r>
        <w:br w:type="page"/>
      </w:r>
    </w:p>
    <w:p w:rsidR="001A4E6D" w:rsidRPr="004F7D0D" w:rsidRDefault="001A4E6D" w:rsidP="001A4E6D">
      <w:pPr>
        <w:pStyle w:val="Heading3"/>
      </w:pPr>
      <w:r w:rsidRPr="004F7D0D">
        <w:lastRenderedPageBreak/>
        <w:t>Performance benchmark 3 — Maintaining or decreasing wastage and leakage</w:t>
      </w:r>
    </w:p>
    <w:p w:rsidR="001A4E6D" w:rsidRPr="004F7D0D" w:rsidRDefault="001A4E6D" w:rsidP="001A4E6D">
      <w:pPr>
        <w:pStyle w:val="BoxSpace"/>
      </w:pPr>
    </w:p>
    <w:tbl>
      <w:tblPr>
        <w:tblW w:w="0" w:type="auto"/>
        <w:tblLook w:val="01E0" w:firstRow="1" w:lastRow="1" w:firstColumn="1" w:lastColumn="1" w:noHBand="0" w:noVBand="0"/>
      </w:tblPr>
      <w:tblGrid>
        <w:gridCol w:w="1877"/>
        <w:gridCol w:w="6946"/>
      </w:tblGrid>
      <w:tr w:rsidR="001A4E6D" w:rsidRPr="004F7D0D" w:rsidTr="00B7510B">
        <w:tc>
          <w:tcPr>
            <w:tcW w:w="1877" w:type="dxa"/>
            <w:shd w:val="clear" w:color="auto" w:fill="auto"/>
          </w:tcPr>
          <w:p w:rsidR="001A4E6D" w:rsidRPr="004F7D0D" w:rsidRDefault="001A4E6D" w:rsidP="00B7510B">
            <w:pPr>
              <w:pStyle w:val="TableBodyText"/>
              <w:jc w:val="left"/>
            </w:pPr>
            <w:r w:rsidRPr="004F7D0D">
              <w:t>Performance benchmark:</w:t>
            </w:r>
          </w:p>
          <w:p w:rsidR="001A4E6D" w:rsidRPr="004F7D0D" w:rsidRDefault="001A4E6D" w:rsidP="00B7510B">
            <w:pPr>
              <w:pStyle w:val="TableBodyText"/>
              <w:jc w:val="left"/>
            </w:pPr>
          </w:p>
        </w:tc>
        <w:tc>
          <w:tcPr>
            <w:tcW w:w="6946" w:type="dxa"/>
            <w:shd w:val="clear" w:color="auto" w:fill="auto"/>
          </w:tcPr>
          <w:p w:rsidR="001A4E6D" w:rsidRPr="004F7D0D" w:rsidRDefault="001A4E6D" w:rsidP="00B7510B">
            <w:pPr>
              <w:pStyle w:val="TableBodyText"/>
              <w:jc w:val="left"/>
            </w:pPr>
            <w:r w:rsidRPr="004F7D0D">
              <w:t>Maintaining or decreasing wastage and leakage</w:t>
            </w:r>
          </w:p>
        </w:tc>
      </w:tr>
      <w:tr w:rsidR="001A4E6D" w:rsidRPr="004F7D0D" w:rsidTr="00B7510B">
        <w:tc>
          <w:tcPr>
            <w:tcW w:w="1877" w:type="dxa"/>
            <w:shd w:val="clear" w:color="auto" w:fill="auto"/>
          </w:tcPr>
          <w:p w:rsidR="001A4E6D" w:rsidRPr="004F7D0D" w:rsidRDefault="001A4E6D" w:rsidP="00B7510B">
            <w:pPr>
              <w:pStyle w:val="TableBodyText"/>
              <w:jc w:val="left"/>
            </w:pPr>
            <w:r w:rsidRPr="004F7D0D">
              <w:t>Measure:</w:t>
            </w:r>
          </w:p>
          <w:p w:rsidR="001A4E6D" w:rsidRPr="004F7D0D" w:rsidRDefault="001A4E6D" w:rsidP="00B7510B">
            <w:pPr>
              <w:pStyle w:val="TableBodyText"/>
              <w:jc w:val="left"/>
            </w:pPr>
          </w:p>
        </w:tc>
        <w:tc>
          <w:tcPr>
            <w:tcW w:w="6946" w:type="dxa"/>
            <w:shd w:val="clear" w:color="auto" w:fill="auto"/>
          </w:tcPr>
          <w:p w:rsidR="001A4E6D" w:rsidRPr="004F7D0D" w:rsidRDefault="001A4E6D" w:rsidP="00B7510B">
            <w:pPr>
              <w:pStyle w:val="TableBodyText"/>
              <w:framePr w:w="2155" w:hSpace="227" w:vSpace="181" w:wrap="around" w:vAnchor="text" w:hAnchor="page" w:xAlign="outside" w:y="1"/>
              <w:jc w:val="left"/>
            </w:pPr>
            <w:r w:rsidRPr="004F7D0D">
              <w:t>The proportion of selected National Immunisation Program (NIP) vaccines lost to wastage and leakage</w:t>
            </w:r>
          </w:p>
          <w:p w:rsidR="001A4E6D" w:rsidRPr="004F7D0D" w:rsidRDefault="001A4E6D" w:rsidP="00B7510B">
            <w:pPr>
              <w:pStyle w:val="TableBodyText"/>
              <w:jc w:val="left"/>
            </w:pPr>
          </w:p>
          <w:p w:rsidR="001A4E6D" w:rsidRPr="004F7D0D" w:rsidRDefault="001A4E6D" w:rsidP="00B7510B">
            <w:pPr>
              <w:pStyle w:val="TableBodyText"/>
              <w:jc w:val="left"/>
            </w:pPr>
            <w:r w:rsidRPr="004F7D0D">
              <w:t>The measure is defined as:</w:t>
            </w:r>
          </w:p>
          <w:p w:rsidR="001A4E6D" w:rsidRPr="004F7D0D" w:rsidRDefault="001A4E6D" w:rsidP="001A4E6D">
            <w:pPr>
              <w:pStyle w:val="TableBullet"/>
              <w:spacing w:line="220" w:lineRule="atLeast"/>
            </w:pPr>
            <w:r w:rsidRPr="004F7D0D">
              <w:rPr>
                <w:i/>
              </w:rPr>
              <w:t>Numerator</w:t>
            </w:r>
            <w:r w:rsidRPr="004F7D0D">
              <w:t xml:space="preserve"> — the number of NIP vaccines lost to w</w:t>
            </w:r>
            <w:r w:rsidR="00881311">
              <w:t xml:space="preserve">astage and leakage (defined as </w:t>
            </w:r>
            <w:r w:rsidRPr="004F7D0D">
              <w:t>total distributed doses</w:t>
            </w:r>
            <w:r w:rsidR="00881311">
              <w:t xml:space="preserve"> (</w:t>
            </w:r>
            <w:r w:rsidRPr="004F7D0D">
              <w:t>administered vaccine doses multiplied by 1.03</w:t>
            </w:r>
            <w:r w:rsidR="00881311">
              <w:t>)</w:t>
            </w:r>
            <w:r w:rsidRPr="004F7D0D">
              <w:t xml:space="preserve"> less vaccines lost due to uncontrollable events)</w:t>
            </w:r>
          </w:p>
          <w:p w:rsidR="001A4E6D" w:rsidRPr="004F7D0D" w:rsidRDefault="001A4E6D" w:rsidP="001A4E6D">
            <w:pPr>
              <w:pStyle w:val="TableBullet"/>
              <w:spacing w:line="220" w:lineRule="atLeast"/>
            </w:pPr>
            <w:r w:rsidRPr="004F7D0D">
              <w:rPr>
                <w:i/>
              </w:rPr>
              <w:t>Denominator</w:t>
            </w:r>
            <w:r w:rsidRPr="004F7D0D">
              <w:t xml:space="preserve"> — total number of NIP vaccines distributed</w:t>
            </w:r>
          </w:p>
          <w:p w:rsidR="001A4E6D" w:rsidRPr="004F7D0D" w:rsidRDefault="001A4E6D" w:rsidP="00B7510B">
            <w:pPr>
              <w:pStyle w:val="TableBullet"/>
              <w:numPr>
                <w:ilvl w:val="0"/>
                <w:numId w:val="0"/>
              </w:numPr>
              <w:rPr>
                <w:i/>
              </w:rPr>
            </w:pPr>
            <w:r w:rsidRPr="004F7D0D">
              <w:t xml:space="preserve">and is expressed as a </w:t>
            </w:r>
            <w:r w:rsidRPr="004F7D0D">
              <w:rPr>
                <w:i/>
              </w:rPr>
              <w:t>percentage</w:t>
            </w:r>
          </w:p>
          <w:p w:rsidR="001A4E6D" w:rsidRPr="004F7D0D" w:rsidRDefault="001A4E6D" w:rsidP="00B7510B">
            <w:pPr>
              <w:pStyle w:val="TableBullet"/>
              <w:numPr>
                <w:ilvl w:val="0"/>
                <w:numId w:val="0"/>
              </w:numPr>
              <w:rPr>
                <w:i/>
              </w:rPr>
            </w:pPr>
          </w:p>
          <w:p w:rsidR="001A4E6D" w:rsidRPr="004F7D0D" w:rsidRDefault="001A4E6D" w:rsidP="00B7510B">
            <w:pPr>
              <w:pStyle w:val="TableBodyText"/>
              <w:jc w:val="left"/>
              <w:rPr>
                <w:i/>
              </w:rPr>
            </w:pPr>
            <w:r w:rsidRPr="004F7D0D">
              <w:t>‘Maintaining or decreasing’ is defined as wastage or leakage of 10 per cent or less.</w:t>
            </w:r>
          </w:p>
          <w:p w:rsidR="001A4E6D" w:rsidRPr="004F7D0D" w:rsidRDefault="001A4E6D" w:rsidP="00B7510B">
            <w:pPr>
              <w:pStyle w:val="TableBodyText"/>
              <w:jc w:val="left"/>
            </w:pPr>
          </w:p>
          <w:p w:rsidR="001A4E6D" w:rsidRPr="004F7D0D" w:rsidRDefault="007C128B" w:rsidP="00B7510B">
            <w:pPr>
              <w:pStyle w:val="TableBodyText"/>
              <w:jc w:val="left"/>
              <w:rPr>
                <w:i/>
              </w:rPr>
            </w:pPr>
            <w:r w:rsidRPr="007C128B">
              <w:rPr>
                <w:i/>
              </w:rPr>
              <w:t>Jurisdictions, through a consultative process led by the Jurisdictional Immunisation Coordinators, are to select the group of NIP vaccines to be assessed for all jurisdictions for this performance benchmark prior to the commencement of the reporting period.</w:t>
            </w:r>
          </w:p>
          <w:p w:rsidR="001A4E6D" w:rsidRPr="004F7D0D" w:rsidRDefault="001A4E6D" w:rsidP="00B7510B">
            <w:pPr>
              <w:pStyle w:val="TableBodyText"/>
              <w:jc w:val="left"/>
            </w:pPr>
          </w:p>
          <w:p w:rsidR="001A4E6D" w:rsidRPr="004F7D0D" w:rsidRDefault="001A4E6D" w:rsidP="00B7510B">
            <w:pPr>
              <w:pStyle w:val="TableBodyText"/>
              <w:jc w:val="left"/>
              <w:rPr>
                <w:i/>
              </w:rPr>
            </w:pPr>
            <w:r w:rsidRPr="004F7D0D">
              <w:rPr>
                <w:i/>
              </w:rPr>
              <w:t>Total distributed doses is the total stock held by a jurisdiction at the start of the reporting period, plus the number of vaccines purchased during the reporting period, minus the vaccines held by jurisdictions at the end of the period.</w:t>
            </w:r>
          </w:p>
          <w:p w:rsidR="001A4E6D" w:rsidRPr="004F7D0D" w:rsidRDefault="001A4E6D" w:rsidP="00B7510B">
            <w:pPr>
              <w:pStyle w:val="TableBodyText"/>
              <w:jc w:val="left"/>
              <w:rPr>
                <w:i/>
              </w:rPr>
            </w:pPr>
          </w:p>
          <w:p w:rsidR="001A4E6D" w:rsidRPr="004F7D0D" w:rsidRDefault="001A4E6D" w:rsidP="00B7510B">
            <w:pPr>
              <w:pStyle w:val="TableBodyText"/>
              <w:jc w:val="left"/>
              <w:rPr>
                <w:i/>
              </w:rPr>
            </w:pPr>
            <w:r w:rsidRPr="004F7D0D">
              <w:rPr>
                <w:i/>
              </w:rPr>
              <w:t xml:space="preserve">Uncontrollable events are vaccines lost to natural disasters, power outages or refrigeration failure. </w:t>
            </w:r>
          </w:p>
          <w:p w:rsidR="001A4E6D" w:rsidRPr="004F7D0D" w:rsidRDefault="001A4E6D" w:rsidP="00B7510B">
            <w:pPr>
              <w:pStyle w:val="TableBodyText"/>
              <w:jc w:val="left"/>
            </w:pPr>
          </w:p>
        </w:tc>
      </w:tr>
      <w:tr w:rsidR="001A4E6D" w:rsidRPr="004F7D0D" w:rsidTr="00B7510B">
        <w:tc>
          <w:tcPr>
            <w:tcW w:w="1877" w:type="dxa"/>
            <w:shd w:val="clear" w:color="auto" w:fill="auto"/>
          </w:tcPr>
          <w:p w:rsidR="001A4E6D" w:rsidRPr="004F7D0D" w:rsidRDefault="001A4E6D" w:rsidP="00B7510B">
            <w:pPr>
              <w:pStyle w:val="TableBodyText"/>
              <w:jc w:val="left"/>
            </w:pPr>
            <w:r w:rsidRPr="004F7D0D">
              <w:t>Data source:</w:t>
            </w:r>
          </w:p>
          <w:p w:rsidR="001A4E6D" w:rsidRPr="004F7D0D" w:rsidRDefault="001A4E6D" w:rsidP="00B7510B">
            <w:pPr>
              <w:pStyle w:val="TableBodyText"/>
              <w:jc w:val="left"/>
            </w:pPr>
          </w:p>
        </w:tc>
        <w:tc>
          <w:tcPr>
            <w:tcW w:w="6946" w:type="dxa"/>
            <w:shd w:val="clear" w:color="auto" w:fill="auto"/>
          </w:tcPr>
          <w:p w:rsidR="001A4E6D" w:rsidRPr="004F7D0D" w:rsidRDefault="001A4E6D" w:rsidP="00B7510B">
            <w:pPr>
              <w:pStyle w:val="TableBodyText"/>
              <w:jc w:val="left"/>
              <w:rPr>
                <w:u w:val="single"/>
              </w:rPr>
            </w:pPr>
            <w:r w:rsidRPr="004F7D0D">
              <w:rPr>
                <w:i/>
              </w:rPr>
              <w:t xml:space="preserve">Numerator — </w:t>
            </w:r>
            <w:r w:rsidRPr="004F7D0D">
              <w:rPr>
                <w:u w:val="single"/>
              </w:rPr>
              <w:t>Certified wastage and leakage reports from states and territories</w:t>
            </w:r>
            <w:r w:rsidRPr="004F7D0D">
              <w:rPr>
                <w:i/>
              </w:rPr>
              <w:t xml:space="preserve"> </w:t>
            </w:r>
            <w:r w:rsidRPr="004F7D0D">
              <w:t xml:space="preserve">for total distributed doses and vaccines lost to uncontrollable events and </w:t>
            </w:r>
            <w:proofErr w:type="spellStart"/>
            <w:r w:rsidRPr="004F7D0D">
              <w:rPr>
                <w:u w:val="single"/>
              </w:rPr>
              <w:t>ACIR</w:t>
            </w:r>
            <w:proofErr w:type="spellEnd"/>
            <w:r w:rsidRPr="004F7D0D">
              <w:rPr>
                <w:u w:val="single"/>
              </w:rPr>
              <w:t xml:space="preserve"> </w:t>
            </w:r>
            <w:r w:rsidRPr="004F7D0D">
              <w:t xml:space="preserve">for number of vaccine doses administered. </w:t>
            </w:r>
          </w:p>
          <w:p w:rsidR="001A4E6D" w:rsidRPr="004F7D0D" w:rsidRDefault="001A4E6D" w:rsidP="00B7510B">
            <w:pPr>
              <w:pStyle w:val="TableBodyText"/>
              <w:jc w:val="left"/>
            </w:pPr>
          </w:p>
          <w:p w:rsidR="001A4E6D" w:rsidRPr="004F7D0D" w:rsidRDefault="001A4E6D" w:rsidP="00B7510B">
            <w:pPr>
              <w:pStyle w:val="TableBodyText"/>
              <w:jc w:val="left"/>
              <w:rPr>
                <w:i/>
              </w:rPr>
            </w:pPr>
            <w:r w:rsidRPr="004F7D0D">
              <w:rPr>
                <w:i/>
              </w:rPr>
              <w:t xml:space="preserve">Denominator — </w:t>
            </w:r>
            <w:r w:rsidRPr="004F7D0D">
              <w:rPr>
                <w:u w:val="single"/>
              </w:rPr>
              <w:t>Certified wastage and leakage reports from states and territories.</w:t>
            </w:r>
            <w:r w:rsidRPr="004F7D0D">
              <w:rPr>
                <w:i/>
              </w:rPr>
              <w:t xml:space="preserve"> </w:t>
            </w:r>
          </w:p>
          <w:p w:rsidR="001A4E6D" w:rsidRPr="004F7D0D" w:rsidRDefault="001A4E6D" w:rsidP="00B7510B">
            <w:pPr>
              <w:pStyle w:val="TableBodyText"/>
              <w:framePr w:w="2155" w:hSpace="227" w:vSpace="181" w:wrap="around" w:vAnchor="text" w:hAnchor="page" w:xAlign="outside" w:y="1"/>
              <w:jc w:val="left"/>
            </w:pPr>
          </w:p>
        </w:tc>
      </w:tr>
      <w:tr w:rsidR="001A4E6D" w:rsidRPr="004F7D0D" w:rsidTr="00B7510B">
        <w:tc>
          <w:tcPr>
            <w:tcW w:w="1877" w:type="dxa"/>
            <w:shd w:val="clear" w:color="auto" w:fill="auto"/>
          </w:tcPr>
          <w:p w:rsidR="001A4E6D" w:rsidRPr="004F7D0D" w:rsidRDefault="001A4E6D" w:rsidP="00B7510B">
            <w:pPr>
              <w:pStyle w:val="TableBodyText"/>
              <w:spacing w:before="40"/>
              <w:jc w:val="left"/>
            </w:pPr>
            <w:r w:rsidRPr="004F7D0D">
              <w:t>Data provider:</w:t>
            </w:r>
          </w:p>
          <w:p w:rsidR="001A4E6D" w:rsidRPr="004F7D0D" w:rsidRDefault="001A4E6D" w:rsidP="00B7510B">
            <w:pPr>
              <w:pStyle w:val="TableBodyText"/>
              <w:jc w:val="left"/>
            </w:pPr>
          </w:p>
        </w:tc>
        <w:tc>
          <w:tcPr>
            <w:tcW w:w="6946" w:type="dxa"/>
            <w:shd w:val="clear" w:color="auto" w:fill="auto"/>
          </w:tcPr>
          <w:p w:rsidR="001A4E6D" w:rsidRPr="004F7D0D" w:rsidRDefault="001A4E6D" w:rsidP="00B7510B">
            <w:pPr>
              <w:pStyle w:val="TableBodyText"/>
              <w:spacing w:before="40"/>
              <w:jc w:val="left"/>
            </w:pPr>
            <w:r>
              <w:t xml:space="preserve">Department of Health </w:t>
            </w:r>
          </w:p>
          <w:p w:rsidR="001A4E6D" w:rsidRPr="004F7D0D" w:rsidRDefault="001A4E6D" w:rsidP="00B7510B">
            <w:pPr>
              <w:pStyle w:val="TableBodyText"/>
              <w:framePr w:w="2155" w:hSpace="227" w:vSpace="181" w:wrap="around" w:vAnchor="text" w:hAnchor="page" w:xAlign="outside" w:y="1"/>
              <w:jc w:val="left"/>
            </w:pPr>
          </w:p>
        </w:tc>
      </w:tr>
      <w:tr w:rsidR="001A4E6D" w:rsidRPr="004F7D0D" w:rsidTr="00B7510B">
        <w:tc>
          <w:tcPr>
            <w:tcW w:w="1877" w:type="dxa"/>
            <w:shd w:val="clear" w:color="auto" w:fill="auto"/>
          </w:tcPr>
          <w:p w:rsidR="001A4E6D" w:rsidRPr="004F7D0D" w:rsidRDefault="001A4E6D" w:rsidP="00B7510B">
            <w:pPr>
              <w:pStyle w:val="TableBodyText"/>
              <w:spacing w:before="40"/>
              <w:jc w:val="left"/>
            </w:pPr>
            <w:r w:rsidRPr="004F7D0D">
              <w:t>Data availability:</w:t>
            </w:r>
          </w:p>
          <w:p w:rsidR="001A4E6D" w:rsidRPr="004F7D0D" w:rsidRDefault="001A4E6D" w:rsidP="00B7510B">
            <w:pPr>
              <w:pStyle w:val="TableBodyText"/>
              <w:jc w:val="left"/>
            </w:pPr>
          </w:p>
        </w:tc>
        <w:tc>
          <w:tcPr>
            <w:tcW w:w="6946" w:type="dxa"/>
            <w:shd w:val="clear" w:color="auto" w:fill="auto"/>
          </w:tcPr>
          <w:p w:rsidR="001A4E6D" w:rsidRPr="004F7D0D" w:rsidRDefault="001A4E6D" w:rsidP="00936233">
            <w:pPr>
              <w:pStyle w:val="TableBodyText"/>
              <w:spacing w:before="40"/>
              <w:jc w:val="left"/>
            </w:pPr>
            <w:r w:rsidRPr="004F7D0D">
              <w:t>1 April 201</w:t>
            </w:r>
            <w:r w:rsidR="00936233">
              <w:t>4</w:t>
            </w:r>
            <w:r w:rsidRPr="004F7D0D">
              <w:t xml:space="preserve"> to 31 March 201</w:t>
            </w:r>
            <w:r w:rsidR="00936233">
              <w:t>5</w:t>
            </w:r>
          </w:p>
        </w:tc>
      </w:tr>
      <w:tr w:rsidR="001A4E6D" w:rsidRPr="004F7D0D" w:rsidTr="00B7510B">
        <w:tc>
          <w:tcPr>
            <w:tcW w:w="1877" w:type="dxa"/>
            <w:shd w:val="clear" w:color="auto" w:fill="auto"/>
          </w:tcPr>
          <w:p w:rsidR="001A4E6D" w:rsidRPr="004F7D0D" w:rsidRDefault="001A4E6D" w:rsidP="00B7510B">
            <w:pPr>
              <w:pStyle w:val="TableBodyText"/>
              <w:spacing w:before="40"/>
              <w:jc w:val="left"/>
            </w:pPr>
            <w:r w:rsidRPr="004F7D0D">
              <w:t>Cross tabulations:</w:t>
            </w:r>
          </w:p>
          <w:p w:rsidR="001A4E6D" w:rsidRPr="004F7D0D" w:rsidRDefault="001A4E6D" w:rsidP="00B7510B">
            <w:pPr>
              <w:pStyle w:val="TableBodyText"/>
              <w:jc w:val="left"/>
            </w:pPr>
          </w:p>
        </w:tc>
        <w:tc>
          <w:tcPr>
            <w:tcW w:w="6946" w:type="dxa"/>
            <w:shd w:val="clear" w:color="auto" w:fill="auto"/>
          </w:tcPr>
          <w:p w:rsidR="001A4E6D" w:rsidRPr="004F7D0D" w:rsidRDefault="001A4E6D" w:rsidP="00B7510B">
            <w:pPr>
              <w:pStyle w:val="TableBodyText"/>
              <w:spacing w:before="40"/>
              <w:jc w:val="left"/>
            </w:pPr>
            <w:r w:rsidRPr="004F7D0D">
              <w:t>State and Territory</w:t>
            </w:r>
          </w:p>
        </w:tc>
      </w:tr>
    </w:tbl>
    <w:p w:rsidR="001A4E6D" w:rsidRDefault="001A4E6D" w:rsidP="001A4E6D">
      <w:pPr>
        <w:pStyle w:val="BodyText"/>
      </w:pPr>
    </w:p>
    <w:p w:rsidR="001A4E6D" w:rsidRDefault="001A4E6D" w:rsidP="001A4E6D">
      <w:pPr>
        <w:pStyle w:val="BodyText"/>
      </w:pPr>
      <w:r>
        <w:br w:type="page"/>
      </w:r>
    </w:p>
    <w:p w:rsidR="001A4E6D" w:rsidRPr="004F7D0D" w:rsidRDefault="001A4E6D" w:rsidP="001A4E6D">
      <w:pPr>
        <w:pStyle w:val="Heading3"/>
      </w:pPr>
      <w:r w:rsidRPr="004F7D0D">
        <w:lastRenderedPageBreak/>
        <w:t>Performance benchmark 4 — Maintaining or increasing vaccination coverage for four year olds</w:t>
      </w:r>
    </w:p>
    <w:p w:rsidR="001A4E6D" w:rsidRPr="004F7D0D" w:rsidRDefault="001A4E6D" w:rsidP="001A4E6D">
      <w:pPr>
        <w:pStyle w:val="BoxSpace"/>
      </w:pPr>
    </w:p>
    <w:tbl>
      <w:tblPr>
        <w:tblW w:w="0" w:type="auto"/>
        <w:tblInd w:w="137" w:type="dxa"/>
        <w:tblLook w:val="01E0" w:firstRow="1" w:lastRow="1" w:firstColumn="1" w:lastColumn="1" w:noHBand="0" w:noVBand="0"/>
      </w:tblPr>
      <w:tblGrid>
        <w:gridCol w:w="1740"/>
        <w:gridCol w:w="7049"/>
      </w:tblGrid>
      <w:tr w:rsidR="001A4E6D" w:rsidRPr="004F7D0D" w:rsidTr="00B7510B">
        <w:tc>
          <w:tcPr>
            <w:tcW w:w="1740" w:type="dxa"/>
            <w:shd w:val="clear" w:color="auto" w:fill="auto"/>
          </w:tcPr>
          <w:p w:rsidR="001A4E6D" w:rsidRPr="004F7D0D" w:rsidRDefault="001A4E6D" w:rsidP="00B7510B">
            <w:pPr>
              <w:pStyle w:val="TableBodyText"/>
              <w:jc w:val="left"/>
            </w:pPr>
            <w:r w:rsidRPr="004F7D0D">
              <w:t>Performance benchmark:</w:t>
            </w:r>
          </w:p>
          <w:p w:rsidR="001A4E6D" w:rsidRPr="004F7D0D" w:rsidRDefault="001A4E6D" w:rsidP="00B7510B">
            <w:pPr>
              <w:pStyle w:val="TableBodyText"/>
              <w:jc w:val="left"/>
            </w:pPr>
          </w:p>
        </w:tc>
        <w:tc>
          <w:tcPr>
            <w:tcW w:w="7049" w:type="dxa"/>
            <w:shd w:val="clear" w:color="auto" w:fill="auto"/>
          </w:tcPr>
          <w:p w:rsidR="001A4E6D" w:rsidRPr="004F7D0D" w:rsidRDefault="001A4E6D" w:rsidP="00B7510B">
            <w:pPr>
              <w:pStyle w:val="TableBodyText"/>
              <w:jc w:val="left"/>
            </w:pPr>
            <w:r w:rsidRPr="004F7D0D">
              <w:t>Maintaining or increasing vaccination coverage for four year olds</w:t>
            </w:r>
          </w:p>
        </w:tc>
      </w:tr>
      <w:tr w:rsidR="001A4E6D" w:rsidRPr="004F7D0D" w:rsidTr="00B7510B">
        <w:tc>
          <w:tcPr>
            <w:tcW w:w="1740" w:type="dxa"/>
            <w:shd w:val="clear" w:color="auto" w:fill="auto"/>
          </w:tcPr>
          <w:p w:rsidR="001A4E6D" w:rsidRPr="004F7D0D" w:rsidRDefault="001A4E6D" w:rsidP="00B7510B">
            <w:pPr>
              <w:pStyle w:val="TableBodyText"/>
              <w:jc w:val="left"/>
            </w:pPr>
            <w:r w:rsidRPr="004F7D0D">
              <w:t>Measure</w:t>
            </w:r>
          </w:p>
          <w:p w:rsidR="001A4E6D" w:rsidRPr="004F7D0D" w:rsidRDefault="001A4E6D" w:rsidP="00B7510B">
            <w:pPr>
              <w:pStyle w:val="TableBodyText"/>
              <w:jc w:val="left"/>
            </w:pPr>
          </w:p>
        </w:tc>
        <w:tc>
          <w:tcPr>
            <w:tcW w:w="7049" w:type="dxa"/>
            <w:shd w:val="clear" w:color="auto" w:fill="auto"/>
          </w:tcPr>
          <w:p w:rsidR="001A4E6D" w:rsidRPr="004F7D0D" w:rsidRDefault="001A4E6D" w:rsidP="00B7510B">
            <w:pPr>
              <w:pStyle w:val="TableBodyText"/>
              <w:framePr w:w="2155" w:hSpace="227" w:vSpace="181" w:wrap="around" w:vAnchor="text" w:hAnchor="page" w:xAlign="outside" w:y="1"/>
              <w:jc w:val="left"/>
            </w:pPr>
            <w:r w:rsidRPr="004F7D0D">
              <w:t xml:space="preserve">The proportion of children, who are fully vaccinated, as defined in the </w:t>
            </w:r>
            <w:r w:rsidRPr="004F7D0D">
              <w:rPr>
                <w:u w:val="single"/>
              </w:rPr>
              <w:t>Australian Childhood Immunisation Register</w:t>
            </w:r>
            <w:r w:rsidRPr="004F7D0D">
              <w:t xml:space="preserve"> (</w:t>
            </w:r>
            <w:proofErr w:type="spellStart"/>
            <w:r w:rsidRPr="004F7D0D">
              <w:t>ACIR</w:t>
            </w:r>
            <w:proofErr w:type="spellEnd"/>
            <w:r w:rsidRPr="004F7D0D">
              <w:t>).</w:t>
            </w:r>
          </w:p>
          <w:p w:rsidR="001A4E6D" w:rsidRPr="004F7D0D" w:rsidRDefault="001A4E6D" w:rsidP="00B7510B">
            <w:pPr>
              <w:pStyle w:val="TableBodyText"/>
              <w:jc w:val="left"/>
            </w:pPr>
          </w:p>
          <w:p w:rsidR="001A4E6D" w:rsidRPr="004F7D0D" w:rsidRDefault="001A4E6D" w:rsidP="00B7510B">
            <w:pPr>
              <w:pStyle w:val="TableBodyText"/>
              <w:jc w:val="left"/>
            </w:pPr>
            <w:r w:rsidRPr="004F7D0D">
              <w:t>The measure is defined as:</w:t>
            </w:r>
          </w:p>
          <w:p w:rsidR="001A4E6D" w:rsidRPr="004F7D0D" w:rsidRDefault="001A4E6D" w:rsidP="001A4E6D">
            <w:pPr>
              <w:pStyle w:val="TableBullet"/>
              <w:spacing w:line="220" w:lineRule="atLeast"/>
            </w:pPr>
            <w:r w:rsidRPr="004F7D0D">
              <w:rPr>
                <w:i/>
              </w:rPr>
              <w:t>Numerator</w:t>
            </w:r>
            <w:r w:rsidRPr="004F7D0D">
              <w:t xml:space="preserve"> — the number of children reported as fully immunised as defined by the </w:t>
            </w:r>
            <w:proofErr w:type="spellStart"/>
            <w:r w:rsidRPr="004F7D0D">
              <w:t>ACIR</w:t>
            </w:r>
            <w:proofErr w:type="spellEnd"/>
            <w:r w:rsidRPr="004F7D0D">
              <w:t xml:space="preserve"> aged 60 months </w:t>
            </w:r>
            <w:r w:rsidRPr="004F7D0D">
              <w:rPr>
                <w:rFonts w:cs="Arial"/>
                <w:u w:val="single"/>
              </w:rPr>
              <w:t>&lt;</w:t>
            </w:r>
            <w:r w:rsidRPr="004F7D0D">
              <w:t xml:space="preserve"> 63 months</w:t>
            </w:r>
          </w:p>
          <w:p w:rsidR="001A4E6D" w:rsidRPr="004F7D0D" w:rsidRDefault="001A4E6D" w:rsidP="001A4E6D">
            <w:pPr>
              <w:pStyle w:val="TableBullet"/>
              <w:spacing w:line="220" w:lineRule="atLeast"/>
            </w:pPr>
            <w:r w:rsidRPr="004F7D0D">
              <w:rPr>
                <w:i/>
              </w:rPr>
              <w:t>Denominator</w:t>
            </w:r>
            <w:r w:rsidRPr="004F7D0D">
              <w:t xml:space="preserve"> — total number of children aged 60 months </w:t>
            </w:r>
            <w:r w:rsidRPr="004F7D0D">
              <w:rPr>
                <w:rFonts w:cs="Arial"/>
                <w:u w:val="single"/>
              </w:rPr>
              <w:t>&lt;</w:t>
            </w:r>
            <w:r w:rsidRPr="004F7D0D">
              <w:t xml:space="preserve"> 63 months registered on the </w:t>
            </w:r>
            <w:proofErr w:type="spellStart"/>
            <w:r w:rsidRPr="004F7D0D">
              <w:t>ACIR</w:t>
            </w:r>
            <w:proofErr w:type="spellEnd"/>
          </w:p>
          <w:p w:rsidR="001A4E6D" w:rsidRPr="004F7D0D" w:rsidRDefault="001A4E6D" w:rsidP="00B7510B">
            <w:pPr>
              <w:pStyle w:val="TableBodyText"/>
              <w:jc w:val="left"/>
              <w:rPr>
                <w:i/>
              </w:rPr>
            </w:pPr>
            <w:r w:rsidRPr="004F7D0D">
              <w:t xml:space="preserve">and is expressed as a </w:t>
            </w:r>
            <w:r w:rsidRPr="004F7D0D">
              <w:rPr>
                <w:i/>
              </w:rPr>
              <w:t>percentage</w:t>
            </w:r>
          </w:p>
          <w:p w:rsidR="001A4E6D" w:rsidRPr="004F7D0D" w:rsidRDefault="001A4E6D" w:rsidP="00B7510B">
            <w:pPr>
              <w:pStyle w:val="TableBodyText"/>
              <w:jc w:val="left"/>
            </w:pPr>
          </w:p>
          <w:p w:rsidR="001A4E6D" w:rsidRPr="004F7D0D" w:rsidRDefault="001A4E6D" w:rsidP="00B7510B">
            <w:pPr>
              <w:pStyle w:val="TableBodyText"/>
              <w:jc w:val="left"/>
            </w:pPr>
            <w:r w:rsidRPr="004F7D0D">
              <w:t>‘Maintaining or increasing’ is defined as the coverage rate being equal to or greater than:</w:t>
            </w:r>
          </w:p>
          <w:p w:rsidR="001A4E6D" w:rsidRPr="004F7D0D" w:rsidRDefault="001A4E6D" w:rsidP="001A4E6D">
            <w:pPr>
              <w:pStyle w:val="TableBullet"/>
              <w:spacing w:line="220" w:lineRule="atLeast"/>
            </w:pPr>
            <w:r w:rsidRPr="004F7D0D">
              <w:t>the baseline, or</w:t>
            </w:r>
          </w:p>
          <w:p w:rsidR="001A4E6D" w:rsidRDefault="001A4E6D" w:rsidP="00BB4FB8">
            <w:pPr>
              <w:pStyle w:val="TableBullet"/>
              <w:spacing w:line="220" w:lineRule="atLeast"/>
            </w:pPr>
            <w:r w:rsidRPr="004F7D0D">
              <w:t>92.5 per cent (even if the annual coverage rate has fallen from the previous year).</w:t>
            </w:r>
          </w:p>
          <w:p w:rsidR="00BB4FB8" w:rsidRDefault="00BB4FB8" w:rsidP="00BB4FB8">
            <w:pPr>
              <w:pStyle w:val="TableBullet"/>
              <w:numPr>
                <w:ilvl w:val="0"/>
                <w:numId w:val="0"/>
              </w:numPr>
              <w:spacing w:line="220" w:lineRule="atLeast"/>
              <w:ind w:left="170" w:hanging="170"/>
            </w:pPr>
          </w:p>
          <w:p w:rsidR="00BB4FB8" w:rsidRDefault="00BB4FB8" w:rsidP="00BB4FB8">
            <w:pPr>
              <w:pStyle w:val="TableBullet"/>
              <w:numPr>
                <w:ilvl w:val="0"/>
                <w:numId w:val="0"/>
              </w:numPr>
              <w:spacing w:line="220" w:lineRule="atLeast"/>
              <w:ind w:left="170" w:hanging="170"/>
            </w:pPr>
            <w:r>
              <w:t>The baseline is the higher of:</w:t>
            </w:r>
          </w:p>
          <w:p w:rsidR="00BB4FB8" w:rsidRPr="004F7D0D" w:rsidRDefault="00BB4FB8" w:rsidP="00BB4FB8">
            <w:pPr>
              <w:pStyle w:val="TableBullet"/>
              <w:spacing w:line="220" w:lineRule="atLeast"/>
            </w:pPr>
            <w:r w:rsidRPr="004F7D0D">
              <w:t xml:space="preserve">the baseline for the </w:t>
            </w:r>
            <w:r>
              <w:t>previous assessment period</w:t>
            </w:r>
            <w:r w:rsidRPr="004F7D0D">
              <w:t>, or</w:t>
            </w:r>
          </w:p>
          <w:p w:rsidR="00BB4FB8" w:rsidRDefault="00BB4FB8" w:rsidP="00BB4FB8">
            <w:pPr>
              <w:pStyle w:val="TableBullet"/>
            </w:pPr>
            <w:r>
              <w:t>the lowest coverage rate for the previous three assessment periods.</w:t>
            </w:r>
          </w:p>
          <w:p w:rsidR="00BB4FB8" w:rsidRPr="004F7D0D" w:rsidRDefault="00BB4FB8" w:rsidP="00B7510B">
            <w:pPr>
              <w:pStyle w:val="TableBullet"/>
              <w:numPr>
                <w:ilvl w:val="0"/>
                <w:numId w:val="0"/>
              </w:numPr>
              <w:ind w:left="170"/>
            </w:pPr>
          </w:p>
          <w:p w:rsidR="001A4E6D" w:rsidRPr="004F7D0D" w:rsidRDefault="001A4E6D" w:rsidP="00B7510B">
            <w:pPr>
              <w:pStyle w:val="TableBodyText"/>
              <w:jc w:val="left"/>
              <w:rPr>
                <w:i/>
              </w:rPr>
            </w:pPr>
            <w:r w:rsidRPr="004F7D0D">
              <w:rPr>
                <w:i/>
              </w:rPr>
              <w:t xml:space="preserve">A child is fully immunised when they are up-to-date, and recorded in </w:t>
            </w:r>
            <w:proofErr w:type="spellStart"/>
            <w:r w:rsidRPr="004F7D0D">
              <w:rPr>
                <w:i/>
              </w:rPr>
              <w:t>ACIR</w:t>
            </w:r>
            <w:proofErr w:type="spellEnd"/>
            <w:r w:rsidRPr="004F7D0D">
              <w:rPr>
                <w:i/>
              </w:rPr>
              <w:t xml:space="preserve"> as having received the standard vaccination schedule for their age or are on a suitable catch-up program based on the National Immunisation Program (NIP) schedule</w:t>
            </w:r>
            <w:r>
              <w:rPr>
                <w:i/>
              </w:rPr>
              <w:t>.</w:t>
            </w:r>
          </w:p>
          <w:p w:rsidR="001A4E6D" w:rsidRPr="004F7D0D" w:rsidRDefault="001A4E6D" w:rsidP="00B7510B">
            <w:pPr>
              <w:pStyle w:val="TableBodyText"/>
              <w:jc w:val="left"/>
            </w:pPr>
          </w:p>
        </w:tc>
      </w:tr>
      <w:tr w:rsidR="001A4E6D" w:rsidRPr="004F7D0D" w:rsidTr="00B7510B">
        <w:tc>
          <w:tcPr>
            <w:tcW w:w="1740" w:type="dxa"/>
            <w:shd w:val="clear" w:color="auto" w:fill="auto"/>
          </w:tcPr>
          <w:p w:rsidR="001A4E6D" w:rsidRPr="004F7D0D" w:rsidRDefault="001A4E6D" w:rsidP="00B7510B">
            <w:pPr>
              <w:pStyle w:val="TableBodyText"/>
              <w:jc w:val="left"/>
            </w:pPr>
            <w:r w:rsidRPr="004F7D0D">
              <w:t>Data source:</w:t>
            </w:r>
          </w:p>
          <w:p w:rsidR="001A4E6D" w:rsidRPr="004F7D0D" w:rsidRDefault="001A4E6D" w:rsidP="00B7510B">
            <w:pPr>
              <w:pStyle w:val="TableBodyText"/>
              <w:jc w:val="left"/>
            </w:pPr>
          </w:p>
        </w:tc>
        <w:tc>
          <w:tcPr>
            <w:tcW w:w="7049" w:type="dxa"/>
            <w:shd w:val="clear" w:color="auto" w:fill="auto"/>
          </w:tcPr>
          <w:p w:rsidR="001A4E6D" w:rsidRPr="004F7D0D" w:rsidRDefault="001A4E6D" w:rsidP="00B7510B">
            <w:pPr>
              <w:pStyle w:val="TableBodyText"/>
              <w:framePr w:w="2155" w:hSpace="227" w:vSpace="181" w:wrap="around" w:vAnchor="text" w:hAnchor="page" w:xAlign="outside" w:y="1"/>
              <w:jc w:val="left"/>
            </w:pPr>
            <w:r w:rsidRPr="004F7D0D">
              <w:rPr>
                <w:i/>
              </w:rPr>
              <w:t xml:space="preserve">Numerator and denominator </w:t>
            </w:r>
            <w:r w:rsidRPr="004F7D0D">
              <w:t xml:space="preserve">— </w:t>
            </w:r>
            <w:r w:rsidRPr="004F7D0D">
              <w:rPr>
                <w:u w:val="single"/>
              </w:rPr>
              <w:t>Australian Childhood Immunisation Register</w:t>
            </w:r>
            <w:r w:rsidRPr="004F7D0D">
              <w:t xml:space="preserve"> (</w:t>
            </w:r>
            <w:proofErr w:type="spellStart"/>
            <w:r w:rsidRPr="004F7D0D">
              <w:t>ACIR</w:t>
            </w:r>
            <w:proofErr w:type="spellEnd"/>
            <w:r w:rsidRPr="004F7D0D">
              <w:t>)</w:t>
            </w:r>
          </w:p>
          <w:p w:rsidR="001A4E6D" w:rsidRPr="004F7D0D" w:rsidRDefault="001A4E6D" w:rsidP="00B7510B">
            <w:pPr>
              <w:pStyle w:val="TableBodyText"/>
              <w:framePr w:w="2155" w:hSpace="227" w:vSpace="181" w:wrap="around" w:vAnchor="text" w:hAnchor="page" w:xAlign="outside" w:y="1"/>
              <w:jc w:val="left"/>
            </w:pPr>
          </w:p>
        </w:tc>
      </w:tr>
      <w:tr w:rsidR="001A4E6D" w:rsidRPr="004F7D0D" w:rsidTr="00B7510B">
        <w:tc>
          <w:tcPr>
            <w:tcW w:w="1740" w:type="dxa"/>
            <w:shd w:val="clear" w:color="auto" w:fill="auto"/>
          </w:tcPr>
          <w:p w:rsidR="001A4E6D" w:rsidRPr="004F7D0D" w:rsidRDefault="001A4E6D" w:rsidP="00B7510B">
            <w:pPr>
              <w:pStyle w:val="TableBodyText"/>
              <w:jc w:val="left"/>
            </w:pPr>
            <w:r w:rsidRPr="004F7D0D">
              <w:t>Data provider:</w:t>
            </w:r>
          </w:p>
          <w:p w:rsidR="001A4E6D" w:rsidRPr="004F7D0D" w:rsidRDefault="001A4E6D" w:rsidP="00B7510B">
            <w:pPr>
              <w:pStyle w:val="TableBodyText"/>
              <w:jc w:val="left"/>
            </w:pPr>
          </w:p>
        </w:tc>
        <w:tc>
          <w:tcPr>
            <w:tcW w:w="7049" w:type="dxa"/>
            <w:shd w:val="clear" w:color="auto" w:fill="auto"/>
          </w:tcPr>
          <w:p w:rsidR="001A4E6D" w:rsidRPr="004F7D0D" w:rsidRDefault="001A4E6D" w:rsidP="00B7510B">
            <w:pPr>
              <w:pStyle w:val="TableBodyText"/>
              <w:framePr w:w="2155" w:hSpace="227" w:vSpace="181" w:wrap="around" w:vAnchor="text" w:hAnchor="page" w:xAlign="outside" w:y="1"/>
              <w:jc w:val="left"/>
            </w:pPr>
            <w:r>
              <w:t>Department of Health</w:t>
            </w:r>
          </w:p>
        </w:tc>
      </w:tr>
      <w:tr w:rsidR="001A4E6D" w:rsidRPr="004F7D0D" w:rsidTr="00B7510B">
        <w:tc>
          <w:tcPr>
            <w:tcW w:w="1740" w:type="dxa"/>
            <w:shd w:val="clear" w:color="auto" w:fill="auto"/>
          </w:tcPr>
          <w:p w:rsidR="001A4E6D" w:rsidRPr="004F7D0D" w:rsidRDefault="001A4E6D" w:rsidP="00B7510B">
            <w:pPr>
              <w:pStyle w:val="TableBodyText"/>
              <w:jc w:val="left"/>
            </w:pPr>
            <w:r w:rsidRPr="004F7D0D">
              <w:t>Data availability:</w:t>
            </w:r>
          </w:p>
          <w:p w:rsidR="001A4E6D" w:rsidRPr="004F7D0D" w:rsidRDefault="001A4E6D" w:rsidP="00B7510B">
            <w:pPr>
              <w:pStyle w:val="TableBodyText"/>
              <w:jc w:val="left"/>
            </w:pPr>
          </w:p>
        </w:tc>
        <w:tc>
          <w:tcPr>
            <w:tcW w:w="7049" w:type="dxa"/>
            <w:shd w:val="clear" w:color="auto" w:fill="auto"/>
          </w:tcPr>
          <w:p w:rsidR="001A4E6D" w:rsidRPr="004F7D0D" w:rsidRDefault="001A4E6D" w:rsidP="00936233">
            <w:pPr>
              <w:pStyle w:val="TableBodyText"/>
              <w:framePr w:w="2155" w:hSpace="227" w:vSpace="181" w:wrap="around" w:vAnchor="text" w:hAnchor="page" w:xAlign="outside" w:y="1"/>
              <w:jc w:val="left"/>
            </w:pPr>
            <w:r>
              <w:t>1 April 201</w:t>
            </w:r>
            <w:r w:rsidR="00936233">
              <w:t>4</w:t>
            </w:r>
            <w:r w:rsidRPr="004F7D0D">
              <w:t xml:space="preserve"> to 31 March 201</w:t>
            </w:r>
            <w:r w:rsidR="00936233">
              <w:t>5</w:t>
            </w:r>
          </w:p>
        </w:tc>
      </w:tr>
      <w:tr w:rsidR="001A4E6D" w:rsidRPr="004F7D0D" w:rsidTr="00B7510B">
        <w:tc>
          <w:tcPr>
            <w:tcW w:w="1740" w:type="dxa"/>
            <w:shd w:val="clear" w:color="auto" w:fill="auto"/>
          </w:tcPr>
          <w:p w:rsidR="001A4E6D" w:rsidRPr="004F7D0D" w:rsidRDefault="001A4E6D" w:rsidP="00B7510B">
            <w:pPr>
              <w:pStyle w:val="TableBodyText"/>
              <w:jc w:val="left"/>
            </w:pPr>
            <w:r w:rsidRPr="004F7D0D">
              <w:t>Cross tabulations:</w:t>
            </w:r>
          </w:p>
        </w:tc>
        <w:tc>
          <w:tcPr>
            <w:tcW w:w="7049" w:type="dxa"/>
            <w:shd w:val="clear" w:color="auto" w:fill="auto"/>
          </w:tcPr>
          <w:p w:rsidR="001A4E6D" w:rsidRPr="004F7D0D" w:rsidRDefault="001A4E6D" w:rsidP="00B7510B">
            <w:pPr>
              <w:pStyle w:val="TableBodyText"/>
              <w:framePr w:w="2155" w:hSpace="227" w:vSpace="181" w:wrap="around" w:vAnchor="text" w:hAnchor="page" w:xAlign="outside" w:y="1"/>
              <w:jc w:val="left"/>
            </w:pPr>
            <w:r w:rsidRPr="004F7D0D">
              <w:t>State and Territory</w:t>
            </w:r>
          </w:p>
        </w:tc>
      </w:tr>
    </w:tbl>
    <w:p w:rsidR="001A4E6D" w:rsidRPr="004F7D0D" w:rsidRDefault="001A4E6D" w:rsidP="001A4E6D">
      <w:pPr>
        <w:pStyle w:val="TableTitle"/>
        <w:rPr>
          <w:b w:val="0"/>
        </w:rPr>
      </w:pPr>
    </w:p>
    <w:p w:rsidR="00D434A0" w:rsidRDefault="00D434A0" w:rsidP="009C5D8C">
      <w:bookmarkStart w:id="2" w:name="begin"/>
      <w:bookmarkEnd w:id="2"/>
    </w:p>
    <w:p w:rsidR="00D5387A" w:rsidRDefault="00D5387A"/>
    <w:sectPr w:rsidR="00D5387A" w:rsidSect="005E5E5A">
      <w:headerReference w:type="even" r:id="rId9"/>
      <w:headerReference w:type="default" r:id="rId10"/>
      <w:footerReference w:type="even" r:id="rId11"/>
      <w:footerReference w:type="default" r:id="rId12"/>
      <w:pgSz w:w="11907" w:h="16840" w:code="9"/>
      <w:pgMar w:top="1985" w:right="1304" w:bottom="1247" w:left="1814" w:header="1701" w:footer="397" w:gutter="0"/>
      <w:pgNumType w:start="2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B8E" w:rsidRDefault="00680B8E">
      <w:r>
        <w:separator/>
      </w:r>
    </w:p>
  </w:endnote>
  <w:endnote w:type="continuationSeparator" w:id="0">
    <w:p w:rsidR="00680B8E" w:rsidRDefault="00680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Pr="00A24443" w:rsidRDefault="00772909"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14934">
            <w:rPr>
              <w:rStyle w:val="PageNumber"/>
              <w:caps w:val="0"/>
              <w:noProof/>
            </w:rPr>
            <w:t>26</w:t>
          </w:r>
          <w:r w:rsidRPr="00A24443">
            <w:rPr>
              <w:rStyle w:val="PageNumber"/>
              <w:caps w:val="0"/>
            </w:rPr>
            <w:fldChar w:fldCharType="end"/>
          </w:r>
        </w:p>
      </w:tc>
      <w:tc>
        <w:tcPr>
          <w:tcW w:w="7767" w:type="dxa"/>
        </w:tcPr>
        <w:p w:rsidR="00772909" w:rsidRPr="0013739A" w:rsidRDefault="00C86BC2" w:rsidP="0013739A">
          <w:pPr>
            <w:pStyle w:val="Footer"/>
            <w:rPr>
              <w:rFonts w:cs="Arial"/>
            </w:rPr>
          </w:pPr>
          <w:r>
            <w:rPr>
              <w:rFonts w:cs="Arial"/>
            </w:rPr>
            <w:t>N</w:t>
          </w:r>
          <w:r w:rsidR="00CD58D0">
            <w:rPr>
              <w:rFonts w:cs="Arial"/>
            </w:rPr>
            <w:t xml:space="preserve">ational </w:t>
          </w:r>
          <w:r>
            <w:rPr>
              <w:rFonts w:cs="Arial"/>
            </w:rPr>
            <w:t>P</w:t>
          </w:r>
          <w:r w:rsidR="00CD58D0">
            <w:rPr>
              <w:rFonts w:cs="Arial"/>
            </w:rPr>
            <w:t>artnership agreement</w:t>
          </w:r>
          <w:r>
            <w:rPr>
              <w:rFonts w:cs="Arial"/>
            </w:rPr>
            <w:t xml:space="preserve"> on Essential Vaccines</w:t>
          </w:r>
          <w:bookmarkStart w:id="3" w:name="DraftReportEven"/>
          <w:bookmarkEnd w:id="3"/>
        </w:p>
      </w:tc>
      <w:tc>
        <w:tcPr>
          <w:tcW w:w="510" w:type="dxa"/>
        </w:tcPr>
        <w:p w:rsidR="00772909" w:rsidRDefault="00772909" w:rsidP="0019293B">
          <w:pPr>
            <w:pStyle w:val="Footer"/>
          </w:pPr>
        </w:p>
      </w:tc>
    </w:tr>
  </w:tbl>
  <w:p w:rsidR="00772909" w:rsidRDefault="0077290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Default="00772909">
          <w:pPr>
            <w:pStyle w:val="Footer"/>
            <w:ind w:right="360" w:firstLine="360"/>
          </w:pPr>
        </w:p>
      </w:tc>
      <w:tc>
        <w:tcPr>
          <w:tcW w:w="7767" w:type="dxa"/>
        </w:tcPr>
        <w:p w:rsidR="00772909" w:rsidRPr="00BA5B14" w:rsidRDefault="00C86BC2" w:rsidP="0013739A">
          <w:pPr>
            <w:pStyle w:val="Footer"/>
            <w:jc w:val="right"/>
            <w:rPr>
              <w:rFonts w:cs="Arial"/>
            </w:rPr>
          </w:pPr>
          <w:r>
            <w:rPr>
              <w:rFonts w:cs="Arial"/>
            </w:rPr>
            <w:t>Appendix A</w:t>
          </w:r>
          <w:bookmarkStart w:id="4" w:name="DraftReportOdd"/>
          <w:bookmarkEnd w:id="4"/>
        </w:p>
      </w:tc>
      <w:tc>
        <w:tcPr>
          <w:tcW w:w="510" w:type="dxa"/>
        </w:tcPr>
        <w:p w:rsidR="00772909" w:rsidRPr="00A24443" w:rsidRDefault="00772909" w:rsidP="00AE227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14934">
            <w:rPr>
              <w:rStyle w:val="PageNumber"/>
              <w:caps w:val="0"/>
              <w:noProof/>
            </w:rPr>
            <w:t>25</w:t>
          </w:r>
          <w:r w:rsidRPr="00A24443">
            <w:rPr>
              <w:rStyle w:val="PageNumber"/>
              <w:caps w:val="0"/>
            </w:rPr>
            <w:fldChar w:fldCharType="end"/>
          </w:r>
        </w:p>
      </w:tc>
    </w:tr>
  </w:tbl>
  <w:p w:rsidR="00772909" w:rsidRDefault="0077290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B8E" w:rsidRDefault="00680B8E">
      <w:r>
        <w:separator/>
      </w:r>
    </w:p>
  </w:footnote>
  <w:footnote w:type="continuationSeparator" w:id="0">
    <w:p w:rsidR="00680B8E" w:rsidRDefault="00680B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72909">
      <w:tc>
        <w:tcPr>
          <w:tcW w:w="2155" w:type="dxa"/>
          <w:tcBorders>
            <w:top w:val="single" w:sz="24" w:space="0" w:color="auto"/>
          </w:tcBorders>
        </w:tcPr>
        <w:p w:rsidR="00772909" w:rsidRDefault="00772909" w:rsidP="0019293B">
          <w:pPr>
            <w:pStyle w:val="HeaderEven"/>
          </w:pPr>
        </w:p>
      </w:tc>
      <w:tc>
        <w:tcPr>
          <w:tcW w:w="6634" w:type="dxa"/>
          <w:tcBorders>
            <w:top w:val="single" w:sz="6" w:space="0" w:color="auto"/>
          </w:tcBorders>
        </w:tcPr>
        <w:p w:rsidR="00772909" w:rsidRDefault="00772909" w:rsidP="0019293B">
          <w:pPr>
            <w:pStyle w:val="HeaderEven"/>
          </w:pPr>
        </w:p>
      </w:tc>
    </w:tr>
  </w:tbl>
  <w:p w:rsidR="00772909" w:rsidRDefault="0077290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72909">
      <w:tc>
        <w:tcPr>
          <w:tcW w:w="6634" w:type="dxa"/>
          <w:tcBorders>
            <w:top w:val="single" w:sz="6" w:space="0" w:color="auto"/>
          </w:tcBorders>
        </w:tcPr>
        <w:p w:rsidR="00772909" w:rsidRDefault="00772909" w:rsidP="00E669E2">
          <w:pPr>
            <w:pStyle w:val="HeaderOdd"/>
          </w:pPr>
        </w:p>
      </w:tc>
      <w:tc>
        <w:tcPr>
          <w:tcW w:w="2155" w:type="dxa"/>
          <w:tcBorders>
            <w:top w:val="single" w:sz="24" w:space="0" w:color="auto"/>
          </w:tcBorders>
        </w:tcPr>
        <w:p w:rsidR="00772909" w:rsidRDefault="00772909" w:rsidP="00E669E2">
          <w:pPr>
            <w:pStyle w:val="HeaderOdd"/>
          </w:pPr>
        </w:p>
      </w:tc>
    </w:tr>
  </w:tbl>
  <w:p w:rsidR="00772909" w:rsidRDefault="0077290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ppendix A"/>
    <w:docVar w:name="ShortReportTitle" w:val="NP on Essential Vaccines"/>
  </w:docVars>
  <w:rsids>
    <w:rsidRoot w:val="00680B8E"/>
    <w:rsid w:val="000227D5"/>
    <w:rsid w:val="000245AA"/>
    <w:rsid w:val="0003664B"/>
    <w:rsid w:val="0004111F"/>
    <w:rsid w:val="00055077"/>
    <w:rsid w:val="000565B3"/>
    <w:rsid w:val="0007150B"/>
    <w:rsid w:val="000938F5"/>
    <w:rsid w:val="00095663"/>
    <w:rsid w:val="00096E55"/>
    <w:rsid w:val="0009783E"/>
    <w:rsid w:val="000B1022"/>
    <w:rsid w:val="000B601B"/>
    <w:rsid w:val="000C207E"/>
    <w:rsid w:val="000D41E9"/>
    <w:rsid w:val="000F0035"/>
    <w:rsid w:val="000F04E7"/>
    <w:rsid w:val="000F060A"/>
    <w:rsid w:val="000F420B"/>
    <w:rsid w:val="00110116"/>
    <w:rsid w:val="00120072"/>
    <w:rsid w:val="00126EB8"/>
    <w:rsid w:val="001274D4"/>
    <w:rsid w:val="001363AA"/>
    <w:rsid w:val="0013739A"/>
    <w:rsid w:val="00142165"/>
    <w:rsid w:val="00162434"/>
    <w:rsid w:val="00183E82"/>
    <w:rsid w:val="001878BB"/>
    <w:rsid w:val="00191AE0"/>
    <w:rsid w:val="0019293B"/>
    <w:rsid w:val="0019426B"/>
    <w:rsid w:val="001A4E6D"/>
    <w:rsid w:val="001A6A4B"/>
    <w:rsid w:val="001C0865"/>
    <w:rsid w:val="001C0AED"/>
    <w:rsid w:val="001C3ABA"/>
    <w:rsid w:val="001C5111"/>
    <w:rsid w:val="001E7BE8"/>
    <w:rsid w:val="001F0248"/>
    <w:rsid w:val="001F3EB3"/>
    <w:rsid w:val="001F4F86"/>
    <w:rsid w:val="00202C2C"/>
    <w:rsid w:val="00203050"/>
    <w:rsid w:val="002135AB"/>
    <w:rsid w:val="002144BE"/>
    <w:rsid w:val="00242279"/>
    <w:rsid w:val="00243997"/>
    <w:rsid w:val="00244753"/>
    <w:rsid w:val="0024516C"/>
    <w:rsid w:val="00245C82"/>
    <w:rsid w:val="002724BA"/>
    <w:rsid w:val="00291B40"/>
    <w:rsid w:val="002B4008"/>
    <w:rsid w:val="002C439F"/>
    <w:rsid w:val="002D0C42"/>
    <w:rsid w:val="002D0E8E"/>
    <w:rsid w:val="00301189"/>
    <w:rsid w:val="00301E4A"/>
    <w:rsid w:val="003168B8"/>
    <w:rsid w:val="00322D64"/>
    <w:rsid w:val="00323E09"/>
    <w:rsid w:val="00333932"/>
    <w:rsid w:val="003518AA"/>
    <w:rsid w:val="00352165"/>
    <w:rsid w:val="00353182"/>
    <w:rsid w:val="003565D9"/>
    <w:rsid w:val="003602E1"/>
    <w:rsid w:val="0037026F"/>
    <w:rsid w:val="00371240"/>
    <w:rsid w:val="003722D3"/>
    <w:rsid w:val="00374731"/>
    <w:rsid w:val="00376E59"/>
    <w:rsid w:val="00377EC1"/>
    <w:rsid w:val="00380340"/>
    <w:rsid w:val="003919F9"/>
    <w:rsid w:val="003920CF"/>
    <w:rsid w:val="003B23C2"/>
    <w:rsid w:val="003C38B5"/>
    <w:rsid w:val="003C5D99"/>
    <w:rsid w:val="003D1087"/>
    <w:rsid w:val="003E2F59"/>
    <w:rsid w:val="003E746B"/>
    <w:rsid w:val="003F0789"/>
    <w:rsid w:val="00401882"/>
    <w:rsid w:val="004100C8"/>
    <w:rsid w:val="00411DBD"/>
    <w:rsid w:val="00412ACE"/>
    <w:rsid w:val="004145D2"/>
    <w:rsid w:val="00426CB4"/>
    <w:rsid w:val="00431249"/>
    <w:rsid w:val="00434C19"/>
    <w:rsid w:val="00450810"/>
    <w:rsid w:val="00462C59"/>
    <w:rsid w:val="00470737"/>
    <w:rsid w:val="00477144"/>
    <w:rsid w:val="00491380"/>
    <w:rsid w:val="0049459F"/>
    <w:rsid w:val="004A29EB"/>
    <w:rsid w:val="004A38DD"/>
    <w:rsid w:val="004B43AE"/>
    <w:rsid w:val="004C30ED"/>
    <w:rsid w:val="004D5675"/>
    <w:rsid w:val="00517795"/>
    <w:rsid w:val="00523639"/>
    <w:rsid w:val="00531FE5"/>
    <w:rsid w:val="005402FA"/>
    <w:rsid w:val="005729BD"/>
    <w:rsid w:val="00580154"/>
    <w:rsid w:val="00583C39"/>
    <w:rsid w:val="00586A90"/>
    <w:rsid w:val="00587F28"/>
    <w:rsid w:val="005909CF"/>
    <w:rsid w:val="00591E71"/>
    <w:rsid w:val="005A0D41"/>
    <w:rsid w:val="005D329F"/>
    <w:rsid w:val="005E5E5A"/>
    <w:rsid w:val="005F48ED"/>
    <w:rsid w:val="00606E78"/>
    <w:rsid w:val="00607BF1"/>
    <w:rsid w:val="00630D4D"/>
    <w:rsid w:val="00632A74"/>
    <w:rsid w:val="00654D42"/>
    <w:rsid w:val="00666E02"/>
    <w:rsid w:val="006772B0"/>
    <w:rsid w:val="00680B8E"/>
    <w:rsid w:val="006A4655"/>
    <w:rsid w:val="006B2B3C"/>
    <w:rsid w:val="006C1D81"/>
    <w:rsid w:val="006C7038"/>
    <w:rsid w:val="006E73EF"/>
    <w:rsid w:val="007079C9"/>
    <w:rsid w:val="00714D4D"/>
    <w:rsid w:val="007266D3"/>
    <w:rsid w:val="00732029"/>
    <w:rsid w:val="007604BB"/>
    <w:rsid w:val="00772909"/>
    <w:rsid w:val="00785232"/>
    <w:rsid w:val="0079701E"/>
    <w:rsid w:val="007A21EB"/>
    <w:rsid w:val="007B1A93"/>
    <w:rsid w:val="007C128B"/>
    <w:rsid w:val="007C36C9"/>
    <w:rsid w:val="007D6401"/>
    <w:rsid w:val="007E01E4"/>
    <w:rsid w:val="007E7A12"/>
    <w:rsid w:val="007F7107"/>
    <w:rsid w:val="00800D4C"/>
    <w:rsid w:val="0081030F"/>
    <w:rsid w:val="00812F4A"/>
    <w:rsid w:val="0082087D"/>
    <w:rsid w:val="00835771"/>
    <w:rsid w:val="00842933"/>
    <w:rsid w:val="0086082C"/>
    <w:rsid w:val="00864ADC"/>
    <w:rsid w:val="00880153"/>
    <w:rsid w:val="00880F97"/>
    <w:rsid w:val="00881311"/>
    <w:rsid w:val="0088133A"/>
    <w:rsid w:val="0089285E"/>
    <w:rsid w:val="0089436C"/>
    <w:rsid w:val="008D365C"/>
    <w:rsid w:val="008D7622"/>
    <w:rsid w:val="009021A6"/>
    <w:rsid w:val="009030BF"/>
    <w:rsid w:val="00903B52"/>
    <w:rsid w:val="0091032F"/>
    <w:rsid w:val="00914368"/>
    <w:rsid w:val="00931076"/>
    <w:rsid w:val="009345D9"/>
    <w:rsid w:val="00934B15"/>
    <w:rsid w:val="00936233"/>
    <w:rsid w:val="00940C87"/>
    <w:rsid w:val="00942B62"/>
    <w:rsid w:val="0095323B"/>
    <w:rsid w:val="00956A0C"/>
    <w:rsid w:val="00956BD9"/>
    <w:rsid w:val="00962489"/>
    <w:rsid w:val="00967CD3"/>
    <w:rsid w:val="00990C2C"/>
    <w:rsid w:val="009A5171"/>
    <w:rsid w:val="009B02DA"/>
    <w:rsid w:val="009C5D8C"/>
    <w:rsid w:val="009E1844"/>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554AB"/>
    <w:rsid w:val="00A57062"/>
    <w:rsid w:val="00A67781"/>
    <w:rsid w:val="00A761F9"/>
    <w:rsid w:val="00A92B53"/>
    <w:rsid w:val="00A94FA6"/>
    <w:rsid w:val="00AA49A0"/>
    <w:rsid w:val="00AA6710"/>
    <w:rsid w:val="00AB0681"/>
    <w:rsid w:val="00AC3A15"/>
    <w:rsid w:val="00AD520B"/>
    <w:rsid w:val="00AE2274"/>
    <w:rsid w:val="00AE3BCC"/>
    <w:rsid w:val="00B425C3"/>
    <w:rsid w:val="00B440AD"/>
    <w:rsid w:val="00B479BB"/>
    <w:rsid w:val="00B53E7E"/>
    <w:rsid w:val="00B6342E"/>
    <w:rsid w:val="00B7113F"/>
    <w:rsid w:val="00B82093"/>
    <w:rsid w:val="00BA2BCF"/>
    <w:rsid w:val="00BA5B14"/>
    <w:rsid w:val="00BA73B6"/>
    <w:rsid w:val="00BA7E27"/>
    <w:rsid w:val="00BB2603"/>
    <w:rsid w:val="00BB4FB8"/>
    <w:rsid w:val="00BB4FCD"/>
    <w:rsid w:val="00BC04E9"/>
    <w:rsid w:val="00BD13EA"/>
    <w:rsid w:val="00BE3808"/>
    <w:rsid w:val="00C03B88"/>
    <w:rsid w:val="00C062E9"/>
    <w:rsid w:val="00C07B64"/>
    <w:rsid w:val="00C13721"/>
    <w:rsid w:val="00C14FE4"/>
    <w:rsid w:val="00C3066D"/>
    <w:rsid w:val="00C52416"/>
    <w:rsid w:val="00C543F4"/>
    <w:rsid w:val="00C6291C"/>
    <w:rsid w:val="00C633CB"/>
    <w:rsid w:val="00C664CD"/>
    <w:rsid w:val="00C736B7"/>
    <w:rsid w:val="00C81D4A"/>
    <w:rsid w:val="00C86BC2"/>
    <w:rsid w:val="00C8762C"/>
    <w:rsid w:val="00CA00F9"/>
    <w:rsid w:val="00CA2961"/>
    <w:rsid w:val="00CB50D7"/>
    <w:rsid w:val="00CB7177"/>
    <w:rsid w:val="00CB7CED"/>
    <w:rsid w:val="00CC00B1"/>
    <w:rsid w:val="00CC070F"/>
    <w:rsid w:val="00CC1998"/>
    <w:rsid w:val="00CC4946"/>
    <w:rsid w:val="00CC64A1"/>
    <w:rsid w:val="00CD58D0"/>
    <w:rsid w:val="00CE3B00"/>
    <w:rsid w:val="00CF3B11"/>
    <w:rsid w:val="00D270A4"/>
    <w:rsid w:val="00D31FE9"/>
    <w:rsid w:val="00D34E1B"/>
    <w:rsid w:val="00D376BA"/>
    <w:rsid w:val="00D434A0"/>
    <w:rsid w:val="00D45634"/>
    <w:rsid w:val="00D5387A"/>
    <w:rsid w:val="00D5568A"/>
    <w:rsid w:val="00D63D73"/>
    <w:rsid w:val="00D64452"/>
    <w:rsid w:val="00D66E1E"/>
    <w:rsid w:val="00D70696"/>
    <w:rsid w:val="00D75722"/>
    <w:rsid w:val="00D75AB1"/>
    <w:rsid w:val="00D80CF5"/>
    <w:rsid w:val="00DA5BBA"/>
    <w:rsid w:val="00DB26D2"/>
    <w:rsid w:val="00DB67C9"/>
    <w:rsid w:val="00DC0C95"/>
    <w:rsid w:val="00DC4F0B"/>
    <w:rsid w:val="00DD6580"/>
    <w:rsid w:val="00E01D7F"/>
    <w:rsid w:val="00E05C03"/>
    <w:rsid w:val="00E14934"/>
    <w:rsid w:val="00E17C72"/>
    <w:rsid w:val="00E21FC6"/>
    <w:rsid w:val="00E32E65"/>
    <w:rsid w:val="00E431A9"/>
    <w:rsid w:val="00E669E2"/>
    <w:rsid w:val="00E76135"/>
    <w:rsid w:val="00E82F4F"/>
    <w:rsid w:val="00E864DF"/>
    <w:rsid w:val="00EB2CC3"/>
    <w:rsid w:val="00EC2844"/>
    <w:rsid w:val="00EC5500"/>
    <w:rsid w:val="00ED18F8"/>
    <w:rsid w:val="00EE6EDA"/>
    <w:rsid w:val="00EE778E"/>
    <w:rsid w:val="00EF6719"/>
    <w:rsid w:val="00EF6C6C"/>
    <w:rsid w:val="00F056FC"/>
    <w:rsid w:val="00F0632F"/>
    <w:rsid w:val="00F069AE"/>
    <w:rsid w:val="00F10476"/>
    <w:rsid w:val="00F135D8"/>
    <w:rsid w:val="00F31299"/>
    <w:rsid w:val="00F3534A"/>
    <w:rsid w:val="00F35BFB"/>
    <w:rsid w:val="00F36ACC"/>
    <w:rsid w:val="00F51609"/>
    <w:rsid w:val="00F55C25"/>
    <w:rsid w:val="00F73727"/>
    <w:rsid w:val="00F766A7"/>
    <w:rsid w:val="00F81006"/>
    <w:rsid w:val="00F85325"/>
    <w:rsid w:val="00F867B9"/>
    <w:rsid w:val="00F96C9F"/>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paragraph" w:customStyle="1" w:styleId="BoxSpace">
    <w:name w:val="Box Space"/>
    <w:basedOn w:val="BodyText"/>
    <w:rsid w:val="001A4E6D"/>
    <w:pPr>
      <w:keepNext/>
      <w:spacing w:before="360" w:line="80" w:lineRule="exact"/>
      <w:jc w:val="left"/>
    </w:pPr>
    <w:rPr>
      <w:sz w:val="26"/>
    </w:rPr>
  </w:style>
  <w:style w:type="character" w:customStyle="1" w:styleId="TableBodyTextChar">
    <w:name w:val="Table Body Text Char"/>
    <w:link w:val="TableBodyText"/>
    <w:rsid w:val="001A4E6D"/>
    <w:rPr>
      <w:rFonts w:ascii="Arial" w:hAnsi="Arial"/>
      <w:sz w:val="18"/>
    </w:rPr>
  </w:style>
  <w:style w:type="character" w:customStyle="1" w:styleId="TableBulletChar">
    <w:name w:val="Table Bullet Char"/>
    <w:basedOn w:val="TableBodyTextChar"/>
    <w:link w:val="TableBullet"/>
    <w:rsid w:val="001A4E6D"/>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paragraph" w:customStyle="1" w:styleId="BoxSpace">
    <w:name w:val="Box Space"/>
    <w:basedOn w:val="BodyText"/>
    <w:rsid w:val="001A4E6D"/>
    <w:pPr>
      <w:keepNext/>
      <w:spacing w:before="360" w:line="80" w:lineRule="exact"/>
      <w:jc w:val="left"/>
    </w:pPr>
    <w:rPr>
      <w:sz w:val="26"/>
    </w:rPr>
  </w:style>
  <w:style w:type="character" w:customStyle="1" w:styleId="TableBodyTextChar">
    <w:name w:val="Table Body Text Char"/>
    <w:link w:val="TableBodyText"/>
    <w:rsid w:val="001A4E6D"/>
    <w:rPr>
      <w:rFonts w:ascii="Arial" w:hAnsi="Arial"/>
      <w:sz w:val="18"/>
    </w:rPr>
  </w:style>
  <w:style w:type="character" w:customStyle="1" w:styleId="TableBulletChar">
    <w:name w:val="Table Bullet Char"/>
    <w:basedOn w:val="TableBodyTextChar"/>
    <w:link w:val="TableBullet"/>
    <w:rsid w:val="001A4E6D"/>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69531-4492-4594-960B-826DAE733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16</TotalTime>
  <Pages>5</Pages>
  <Words>1074</Words>
  <Characters>5963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National Partnership Agreement on Essential Vaccines: Performance Report 1 April 2014 - 31 March 2015 - Appendix A</vt:lpstr>
    </vt:vector>
  </TitlesOfParts>
  <Company>Productivity Commission</Company>
  <LinksUpToDate>false</LinksUpToDate>
  <CharactersWithSpaces>7023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Partnership Agreement on Essential Vaccines: Performance Report 1 April 2014 - 31 March 2015 - Appendix A</dc:title>
  <dc:subject/>
  <dc:creator>Productivity Commission</dc:creator>
  <dc:description/>
  <cp:lastModifiedBy>Frech, Tanya</cp:lastModifiedBy>
  <cp:revision>15</cp:revision>
  <cp:lastPrinted>2015-08-06T02:32:00Z</cp:lastPrinted>
  <dcterms:created xsi:type="dcterms:W3CDTF">2015-04-10T03:40:00Z</dcterms:created>
  <dcterms:modified xsi:type="dcterms:W3CDTF">2015-09-03T04:26:00Z</dcterms:modified>
</cp:coreProperties>
</file>