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AB5DBB" w:rsidP="00CD5E6B">
      <w:pPr>
        <w:pStyle w:val="BodyText"/>
        <w:rPr>
          <w:b/>
          <w:szCs w:val="26"/>
        </w:rPr>
      </w:pPr>
      <w:bookmarkStart w:id="0" w:name="_GoBack"/>
      <w:r>
        <w:rPr>
          <w:noProof/>
        </w:rPr>
        <w:drawing>
          <wp:anchor distT="0" distB="0" distL="114300" distR="114300" simplePos="0" relativeHeight="251660288" behindDoc="1" locked="0" layoutInCell="1" allowOverlap="1">
            <wp:simplePos x="1153297" y="980303"/>
            <wp:positionH relativeFrom="page">
              <wp:align>center</wp:align>
            </wp:positionH>
            <wp:positionV relativeFrom="page">
              <wp:align>bottom</wp:align>
            </wp:positionV>
            <wp:extent cx="7560000" cy="10684800"/>
            <wp:effectExtent l="0" t="0" r="3175" b="2540"/>
            <wp:wrapNone/>
            <wp:docPr id="4" name="Picture 4" descr="Cover of the National Partnership Agreement on Essential Vaccines: Performance Report 1 April 2015 - 31 March 2016&#10;&#10;Released Augus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Monitor\12 Productivity Commission Reports\01 Essential Vaccines NP report\03_Essential Vaccines NP Report 2015-16\5. Final report for COAG - 22 August 2016\01_Admin final documents\01_Covers\NPA-reporting--Essential-Vaccines---August-2016---web-cover.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60000" cy="10684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04D19">
        <w:br w:type="page"/>
      </w:r>
    </w:p>
    <w:bookmarkEnd w:id="0"/>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432828">
        <w:t>6</w:t>
      </w:r>
    </w:p>
    <w:p w:rsidR="008A3857" w:rsidRDefault="008A3857" w:rsidP="008E242D">
      <w:pPr>
        <w:pStyle w:val="BodyText"/>
        <w:spacing w:after="120"/>
      </w:pPr>
      <w:bookmarkStart w:id="1" w:name="ISSN"/>
      <w:bookmarkEnd w:id="1"/>
      <w:r w:rsidRPr="00862D8F">
        <w:rPr>
          <w:noProof/>
          <w:sz w:val="22"/>
          <w:szCs w:val="22"/>
        </w:rPr>
        <w:drawing>
          <wp:inline distT="0" distB="0" distL="0" distR="0" wp14:anchorId="49633799" wp14:editId="7E58C99C">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http://creativecommons.org/licenses/by/3.0/au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w:t>
      </w:r>
      <w:proofErr w:type="gramStart"/>
      <w:r w:rsidRPr="008A3857">
        <w:t>endorses</w:t>
      </w:r>
      <w:proofErr w:type="gramEnd"/>
      <w:r w:rsidRPr="008A3857">
        <w:t xml:space="preserve"> you or your use) and abide by the other licence terms.</w:t>
      </w:r>
    </w:p>
    <w:p w:rsidR="008A3857" w:rsidRPr="008A3857" w:rsidRDefault="008A3857" w:rsidP="008A3857">
      <w:pPr>
        <w:pStyle w:val="Copyrightsubtitle"/>
      </w:pPr>
      <w:r w:rsidRPr="008A3857">
        <w:t>Use of the Commonwealth Coat of Arms</w:t>
      </w:r>
    </w:p>
    <w:p w:rsidR="008A3857" w:rsidRPr="008A3857" w:rsidRDefault="008A3857" w:rsidP="00BA0B81">
      <w:pPr>
        <w:pStyle w:val="Copyrightbodytext"/>
      </w:pPr>
      <w:r w:rsidRPr="008A3857">
        <w:t>For terms of use of the Coat of Arms visit the ‘</w:t>
      </w:r>
      <w:r w:rsidRPr="00805FD7">
        <w:t>It’s an Honour</w:t>
      </w:r>
      <w:r w:rsidRPr="008A3857">
        <w:t>’ website</w:t>
      </w:r>
      <w:r w:rsidR="00122FE9" w:rsidRPr="00BA0B81">
        <w:t>:</w:t>
      </w:r>
      <w:r w:rsidRPr="00BA0B81">
        <w:t xml:space="preserve"> </w:t>
      </w:r>
      <w:r w:rsidR="00BA0B81" w:rsidRPr="00805FD7">
        <w:t>http://www.itsanhonour.gov.au</w:t>
      </w:r>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432828">
        <w:rPr>
          <w:i/>
        </w:rPr>
        <w:t>National Partnership Agreement on Essential Vaccines, Performance Report 1 April 2015 – 31 March 2016</w:t>
      </w:r>
      <w:r w:rsidRPr="008A3857">
        <w:t>.</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432828">
        <w:rPr>
          <w:i/>
        </w:rPr>
        <w:t>National Partnership Agreement on Essential Vaccines, Performance Report 1 April 2015 – 31 March 2016</w:t>
      </w:r>
      <w:r w:rsidRPr="008A3857">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432828" w:rsidRPr="000643DB" w:rsidRDefault="00432828" w:rsidP="00432828">
      <w:pPr>
        <w:pStyle w:val="Copyrightbodytext"/>
      </w:pPr>
      <w:bookmarkStart w:id="2" w:name="JEL"/>
      <w:bookmarkEnd w:id="2"/>
      <w:r>
        <w:t xml:space="preserve">Productivity Commission 2016, </w:t>
      </w:r>
      <w:r>
        <w:rPr>
          <w:i/>
        </w:rPr>
        <w:t>National Partnership Agreement on Essential Vaccines, Performance Report 1 April 2015 – 31 March 2016</w:t>
      </w:r>
      <w:r>
        <w:t>.</w:t>
      </w:r>
    </w:p>
    <w:p w:rsidR="008A3857" w:rsidRPr="008A3857" w:rsidRDefault="008A3857" w:rsidP="008A3857">
      <w:pPr>
        <w:pStyle w:val="Copyrightsubtitle"/>
      </w:pPr>
      <w:r w:rsidRPr="008A3857">
        <w:t>Publications enquiries</w:t>
      </w:r>
    </w:p>
    <w:p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maps@pc.gov.au</w:t>
      </w:r>
    </w:p>
    <w:p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rsidTr="002D5890">
        <w:tc>
          <w:tcPr>
            <w:tcW w:w="8771" w:type="dxa"/>
            <w:tcBorders>
              <w:top w:val="single" w:sz="6" w:space="0" w:color="78A22F"/>
              <w:left w:val="nil"/>
              <w:bottom w:val="nil"/>
              <w:right w:val="nil"/>
            </w:tcBorders>
            <w:shd w:val="clear" w:color="auto" w:fill="F2F2F2" w:themeFill="background1" w:themeFillShade="F2"/>
          </w:tcPr>
          <w:p w:rsidR="008A3857" w:rsidRPr="008A3857" w:rsidRDefault="008A3857" w:rsidP="002D5890">
            <w:pPr>
              <w:pStyle w:val="BoxTitle"/>
              <w:rPr>
                <w:sz w:val="22"/>
                <w:szCs w:val="22"/>
              </w:rPr>
            </w:pPr>
            <w:r w:rsidRPr="008A3857">
              <w:rPr>
                <w:sz w:val="22"/>
                <w:szCs w:val="22"/>
              </w:rPr>
              <w:t>The Productivity Commission</w:t>
            </w:r>
          </w:p>
        </w:tc>
      </w:tr>
      <w:tr w:rsidR="008A3857" w:rsidTr="002D5890">
        <w:trPr>
          <w:cantSplit/>
        </w:trPr>
        <w:tc>
          <w:tcPr>
            <w:tcW w:w="8771" w:type="dxa"/>
            <w:tcBorders>
              <w:top w:val="nil"/>
              <w:left w:val="nil"/>
              <w:bottom w:val="nil"/>
              <w:right w:val="nil"/>
            </w:tcBorders>
            <w:shd w:val="clear" w:color="auto" w:fill="F2F2F2" w:themeFill="background1" w:themeFillShade="F2"/>
          </w:tcPr>
          <w:p w:rsidR="008A3857" w:rsidRDefault="008A3857" w:rsidP="002D5890">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8A3857" w:rsidRDefault="008A3857" w:rsidP="002D5890">
            <w:pPr>
              <w:pStyle w:val="Box"/>
            </w:pPr>
            <w:r w:rsidRPr="00BB5DCF">
              <w:t>The Commission’s independence is underpinned by an Act of Parliament. Its processes and outputs are open to public scrutiny and are driven by concern for the wellbeing of the community as a whole.</w:t>
            </w:r>
          </w:p>
          <w:p w:rsidR="008A3857" w:rsidRDefault="008A3857" w:rsidP="00EC38C1">
            <w:pPr>
              <w:pStyle w:val="Box"/>
            </w:pPr>
            <w:r w:rsidRPr="00BB5DCF">
              <w:rPr>
                <w:szCs w:val="24"/>
              </w:rPr>
              <w:t>Further information on the Productivity Commission can be obtained from the Commission’s website (</w:t>
            </w:r>
            <w:r w:rsidRPr="00805FD7">
              <w:t>www.pc.gov.au</w:t>
            </w:r>
            <w:r w:rsidRPr="00BB5DCF">
              <w:rPr>
                <w:szCs w:val="24"/>
              </w:rPr>
              <w:t>)</w:t>
            </w:r>
            <w:r w:rsidR="00EC38C1">
              <w:rPr>
                <w:szCs w:val="24"/>
              </w:rPr>
              <w:t>.</w:t>
            </w:r>
          </w:p>
        </w:tc>
      </w:tr>
      <w:tr w:rsidR="008A3857" w:rsidTr="002D5890">
        <w:trPr>
          <w:cantSplit/>
        </w:trPr>
        <w:tc>
          <w:tcPr>
            <w:tcW w:w="8771" w:type="dxa"/>
            <w:tcBorders>
              <w:top w:val="nil"/>
              <w:left w:val="nil"/>
              <w:bottom w:val="single" w:sz="6" w:space="0" w:color="78A22F"/>
              <w:right w:val="nil"/>
            </w:tcBorders>
            <w:shd w:val="clear" w:color="auto" w:fill="F2F2F2" w:themeFill="background1" w:themeFillShade="F2"/>
          </w:tcPr>
          <w:p w:rsidR="008A3857" w:rsidRDefault="008A3857" w:rsidP="002D5890">
            <w:pPr>
              <w:pStyle w:val="Box"/>
              <w:spacing w:before="0" w:line="120" w:lineRule="exact"/>
            </w:pPr>
          </w:p>
        </w:tc>
      </w:tr>
    </w:tbl>
    <w:p w:rsidR="00432828" w:rsidRDefault="00432828">
      <w:pPr>
        <w:pStyle w:val="BodyText"/>
      </w:pPr>
      <w:bookmarkStart w:id="3" w:name="cov"/>
      <w:bookmarkEnd w:id="3"/>
    </w:p>
    <w:p w:rsidR="00432828" w:rsidRDefault="00432828" w:rsidP="00432828">
      <w:pPr>
        <w:pStyle w:val="BodyText"/>
      </w:pPr>
      <w:r>
        <w:br w:type="page"/>
      </w:r>
    </w:p>
    <w:p w:rsidR="00432828" w:rsidRPr="00C76C25" w:rsidRDefault="00432828" w:rsidP="00537BB4">
      <w:pPr>
        <w:pStyle w:val="LetterAddress"/>
      </w:pPr>
    </w:p>
    <w:p w:rsidR="00735FEA" w:rsidRDefault="00851A12">
      <w:pPr>
        <w:pStyle w:val="BodyText"/>
        <w:sectPr w:rsidR="00735FEA" w:rsidSect="00122FE9">
          <w:type w:val="oddPage"/>
          <w:pgSz w:w="11907" w:h="16840" w:code="9"/>
          <w:pgMar w:top="1304" w:right="1304" w:bottom="567" w:left="1814" w:header="1701" w:footer="397" w:gutter="0"/>
          <w:pgNumType w:fmt="lowerRoman" w:start="1"/>
          <w:cols w:space="720"/>
          <w:titlePg/>
        </w:sectPr>
      </w:pPr>
      <w:r>
        <w:rPr>
          <w:noProof/>
        </w:rPr>
        <w:drawing>
          <wp:anchor distT="0" distB="0" distL="114300" distR="114300" simplePos="0" relativeHeight="251661312" behindDoc="1" locked="0" layoutInCell="1" allowOverlap="1" wp14:anchorId="2F3B6E7E" wp14:editId="160AA52D">
            <wp:simplePos x="1156771" y="1156771"/>
            <wp:positionH relativeFrom="page">
              <wp:align>center</wp:align>
            </wp:positionH>
            <wp:positionV relativeFrom="page">
              <wp:align>bottom</wp:align>
            </wp:positionV>
            <wp:extent cx="7560000" cy="10699200"/>
            <wp:effectExtent l="0" t="0" r="3175" b="6985"/>
            <wp:wrapNone/>
            <wp:docPr id="3" name="Picture 3" descr="Letter of Transmission&#10;&#10;Sender:&#10;Australian Government, Productivity Commission&#10;Locked Bag 2, Collins St East, Melbourne Vic 8003&#10;Telephone 03 9653 2100&#10;Facsimile 03 9653 2199&#10;www.pc.gov.au&#10;&#10;From the Chairman's Office&#10;&#10;Dated 22 August 2016&#10;Addressed to The Hon Malcolm Turnbull MP&#10;Prime Minister&#10;Parliament House, Canberra ACT 2600&#10;&#10;Dear Prime Minister&#10;&#10;On behalf of the Productivity Commission, I am pleased to submit to you our report National Partnership Agreement on Essential Vaccines: Performance Report 1 April 2015 - 31 March 2016. &#10;&#10;This is the third annual report on the National Partnership Agreement on Essential Vaccines prepared by the Productivity Commission, following a request from COAG in February 2015. &#10;&#10;Our report shows that all governments have achieved the required minimum two out of four benchmarks necessary to be eligible for reward payments.&#10;&#10;Consistent with the request from COAG, the Productivity Commission will publicly release this report in September 2016. &#10;&#10;Yours sincerely&#10;&#10;Peter Harris AO&#10;Chairman&#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onitor\12 Productivity Commission Reports\01 Essential Vaccines NP report\03_Essential Vaccines NP Report 2015-16\6. Administration\03_Cover and prelims\Final Letter of Transmission signed.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32828" w:rsidRDefault="00432828" w:rsidP="0034770A">
      <w:pPr>
        <w:pStyle w:val="Heading1"/>
        <w:rPr>
          <w:noProof/>
          <w:lang w:eastAsia="en-AU"/>
        </w:rPr>
      </w:pPr>
      <w:bookmarkStart w:id="4" w:name="_Toc458586562"/>
      <w:bookmarkStart w:id="5" w:name="_Toc458586602"/>
      <w:r>
        <w:lastRenderedPageBreak/>
        <w:t>Letter of Direction</w:t>
      </w:r>
      <w:bookmarkEnd w:id="4"/>
      <w:bookmarkEnd w:id="5"/>
    </w:p>
    <w:p w:rsidR="0034770A" w:rsidRPr="0034770A" w:rsidRDefault="0034770A" w:rsidP="0034770A">
      <w:pPr>
        <w:pStyle w:val="BodyText"/>
      </w:pPr>
      <w:r>
        <w:rPr>
          <w:noProof/>
        </w:rPr>
        <w:drawing>
          <wp:inline distT="0" distB="0" distL="0" distR="0" wp14:anchorId="316F7B2D" wp14:editId="1CD5404C">
            <wp:extent cx="5459506" cy="7109012"/>
            <wp:effectExtent l="0" t="0" r="8255" b="0"/>
            <wp:docPr id="7" name="Picture 7" descr="Letter of Direction&#10;&#10;Sender: Australian Government, Department of the Prime Minister and Cabinet &#10;&#10;Dated: 4 February 2015&#10;Addressed to: Mr Daryl Quinlivan, Head of Office, Productivity Commission, GPO Box 1428, Canberra ACT 2601&#10;&#10;Dear Mr Quinlivan&#10;&#10;I am writing to formalise arrangements for the transfer of the performance assessment function under the National Partnership Agreement on Essential Vaccines (NP) to the Productivity Commission. &#10;&#10;With the agreement of all parties, the NP has been varied to allow the Productivity Commission to take on responsibility for assessing state and territory (state) achievement against four benchmarks and reporting to the Council of Australian Governments before reward payments can be made.&#10;&#10;Please find a signed copy of the agreement enclosed.&#10;&#10;I look forward to working with you and your colleagues on this matter. &#10;&#10;Yours sincerely&#10;&#10;Jo Laduzko&#10;Assistant Secretary&#10;Commonwealth-State Relations Branch&#10;Economic Div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Monitor\12 Productivity Commission Reports\01 Essential Vaccines NP report\03_Essential Vaccines NP Report 2015-16\6. Administration\03_Cover and prelims\FINAL Letter of Direction signed.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5594" r="1615" b="3880"/>
                    <a:stretch/>
                  </pic:blipFill>
                  <pic:spPr bwMode="auto">
                    <a:xfrm>
                      <a:off x="0" y="0"/>
                      <a:ext cx="5460556" cy="7110379"/>
                    </a:xfrm>
                    <a:prstGeom prst="rect">
                      <a:avLst/>
                    </a:prstGeom>
                    <a:noFill/>
                    <a:ln>
                      <a:noFill/>
                    </a:ln>
                    <a:extLst>
                      <a:ext uri="{53640926-AAD7-44D8-BBD7-CCE9431645EC}">
                        <a14:shadowObscured xmlns:a14="http://schemas.microsoft.com/office/drawing/2010/main"/>
                      </a:ext>
                    </a:extLst>
                  </pic:spPr>
                </pic:pic>
              </a:graphicData>
            </a:graphic>
          </wp:inline>
        </w:drawing>
      </w:r>
    </w:p>
    <w:p w:rsidR="00432828" w:rsidRDefault="00432828" w:rsidP="006817C9">
      <w:pPr>
        <w:pStyle w:val="BodyText"/>
      </w:pPr>
    </w:p>
    <w:p w:rsidR="00432828" w:rsidRDefault="0034770A" w:rsidP="008206EE">
      <w:pPr>
        <w:pStyle w:val="Heading1NotTOC"/>
        <w:rPr>
          <w:noProof/>
        </w:rPr>
      </w:pPr>
      <w:bookmarkStart w:id="6" w:name="Contents"/>
      <w:bookmarkEnd w:id="6"/>
      <w:r>
        <w:t>C</w:t>
      </w:r>
      <w:r w:rsidR="00735FEA" w:rsidRPr="00B153C3">
        <w:t>ontents</w:t>
      </w:r>
      <w:bookmarkStart w:id="7" w:name="InsertContents"/>
      <w:bookmarkEnd w:id="7"/>
    </w:p>
    <w:p w:rsidR="00432828" w:rsidRDefault="00432828">
      <w:pPr>
        <w:pStyle w:val="TOC1"/>
        <w:rPr>
          <w:rFonts w:asciiTheme="minorHAnsi" w:eastAsiaTheme="minorEastAsia" w:hAnsiTheme="minorHAnsi" w:cstheme="minorBidi"/>
          <w:b w:val="0"/>
          <w:noProof/>
          <w:sz w:val="22"/>
          <w:szCs w:val="22"/>
          <w:lang w:eastAsia="en-AU"/>
        </w:rPr>
      </w:pPr>
      <w:r>
        <w:rPr>
          <w:noProof/>
        </w:rPr>
        <w:t>Letter of Direction</w:t>
      </w:r>
      <w:r>
        <w:rPr>
          <w:noProof/>
        </w:rPr>
        <w:tab/>
        <w:t>iv</w:t>
      </w:r>
    </w:p>
    <w:p w:rsidR="00432828" w:rsidRPr="00432828" w:rsidRDefault="00AB5DBB">
      <w:pPr>
        <w:pStyle w:val="TOC1"/>
        <w:rPr>
          <w:rFonts w:asciiTheme="minorHAnsi" w:eastAsiaTheme="minorEastAsia" w:hAnsiTheme="minorHAnsi" w:cstheme="minorBidi"/>
          <w:b w:val="0"/>
          <w:noProof/>
          <w:sz w:val="22"/>
          <w:szCs w:val="22"/>
          <w:lang w:eastAsia="en-AU"/>
        </w:rPr>
      </w:pPr>
      <w:r>
        <w:rPr>
          <w:noProof/>
        </w:rPr>
        <w:t>Contents</w:t>
      </w:r>
      <w:r w:rsidR="00432828">
        <w:rPr>
          <w:noProof/>
        </w:rPr>
        <w:tab/>
      </w:r>
      <w:r w:rsidR="00F26B1A">
        <w:rPr>
          <w:noProof/>
        </w:rPr>
        <w:t>v</w:t>
      </w:r>
    </w:p>
    <w:p w:rsidR="00432828" w:rsidRDefault="00432828">
      <w:pPr>
        <w:pStyle w:val="TOC1"/>
        <w:rPr>
          <w:rFonts w:asciiTheme="minorHAnsi" w:eastAsiaTheme="minorEastAsia" w:hAnsiTheme="minorHAnsi" w:cstheme="minorBidi"/>
          <w:b w:val="0"/>
          <w:noProof/>
          <w:sz w:val="22"/>
          <w:szCs w:val="22"/>
          <w:lang w:eastAsia="en-AU"/>
        </w:rPr>
      </w:pPr>
      <w:r>
        <w:rPr>
          <w:noProof/>
        </w:rPr>
        <w:t>Key findings</w:t>
      </w:r>
      <w:r>
        <w:rPr>
          <w:noProof/>
        </w:rPr>
        <w:tab/>
        <w:t>1</w:t>
      </w:r>
    </w:p>
    <w:p w:rsidR="00432828" w:rsidRDefault="00432828">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this report</w:t>
      </w:r>
      <w:r>
        <w:rPr>
          <w:noProof/>
        </w:rPr>
        <w:tab/>
        <w:t>3</w:t>
      </w:r>
    </w:p>
    <w:p w:rsidR="00432828" w:rsidRDefault="00432828">
      <w:pPr>
        <w:pStyle w:val="TOC2"/>
        <w:rPr>
          <w:rFonts w:asciiTheme="minorHAnsi" w:eastAsiaTheme="minorEastAsia" w:hAnsiTheme="minorHAnsi" w:cstheme="minorBidi"/>
          <w:noProof/>
          <w:sz w:val="22"/>
          <w:szCs w:val="22"/>
          <w:lang w:eastAsia="en-AU"/>
        </w:rPr>
      </w:pPr>
      <w:r>
        <w:rPr>
          <w:noProof/>
        </w:rPr>
        <w:t>The National Partnership Agreement and the Productivity Commission’s role</w:t>
      </w:r>
      <w:r>
        <w:rPr>
          <w:noProof/>
        </w:rPr>
        <w:tab/>
        <w:t>3</w:t>
      </w:r>
    </w:p>
    <w:p w:rsidR="00432828" w:rsidRDefault="00432828">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Assessment against benchmarks</w:t>
      </w:r>
      <w:r>
        <w:rPr>
          <w:noProof/>
        </w:rPr>
        <w:tab/>
        <w:t>7</w:t>
      </w:r>
    </w:p>
    <w:p w:rsidR="00432828" w:rsidRDefault="00432828">
      <w:pPr>
        <w:pStyle w:val="TOC2"/>
        <w:rPr>
          <w:rFonts w:asciiTheme="minorHAnsi" w:eastAsiaTheme="minorEastAsia" w:hAnsiTheme="minorHAnsi" w:cstheme="minorBidi"/>
          <w:noProof/>
          <w:sz w:val="22"/>
          <w:szCs w:val="22"/>
          <w:lang w:eastAsia="en-AU"/>
        </w:rPr>
      </w:pPr>
      <w:r>
        <w:rPr>
          <w:noProof/>
        </w:rPr>
        <w:t>The results</w:t>
      </w:r>
      <w:r>
        <w:rPr>
          <w:noProof/>
        </w:rPr>
        <w:tab/>
        <w:t>7</w:t>
      </w:r>
    </w:p>
    <w:p w:rsidR="00432828" w:rsidRDefault="00432828">
      <w:pPr>
        <w:pStyle w:val="TOC2"/>
        <w:rPr>
          <w:rFonts w:asciiTheme="minorHAnsi" w:eastAsiaTheme="minorEastAsia" w:hAnsiTheme="minorHAnsi" w:cstheme="minorBidi"/>
          <w:noProof/>
          <w:sz w:val="22"/>
          <w:szCs w:val="22"/>
          <w:lang w:eastAsia="en-AU"/>
        </w:rPr>
      </w:pPr>
      <w:r>
        <w:rPr>
          <w:noProof/>
        </w:rPr>
        <w:t>New South Wales</w:t>
      </w:r>
      <w:r>
        <w:rPr>
          <w:noProof/>
        </w:rPr>
        <w:tab/>
        <w:t>8</w:t>
      </w:r>
    </w:p>
    <w:p w:rsidR="00432828" w:rsidRDefault="00432828">
      <w:pPr>
        <w:pStyle w:val="TOC2"/>
        <w:rPr>
          <w:rFonts w:asciiTheme="minorHAnsi" w:eastAsiaTheme="minorEastAsia" w:hAnsiTheme="minorHAnsi" w:cstheme="minorBidi"/>
          <w:noProof/>
          <w:sz w:val="22"/>
          <w:szCs w:val="22"/>
          <w:lang w:eastAsia="en-AU"/>
        </w:rPr>
      </w:pPr>
      <w:r>
        <w:rPr>
          <w:noProof/>
        </w:rPr>
        <w:t>Victoria</w:t>
      </w:r>
      <w:r>
        <w:rPr>
          <w:noProof/>
        </w:rPr>
        <w:tab/>
        <w:t>10</w:t>
      </w:r>
    </w:p>
    <w:p w:rsidR="00432828" w:rsidRDefault="00432828">
      <w:pPr>
        <w:pStyle w:val="TOC2"/>
        <w:rPr>
          <w:rFonts w:asciiTheme="minorHAnsi" w:eastAsiaTheme="minorEastAsia" w:hAnsiTheme="minorHAnsi" w:cstheme="minorBidi"/>
          <w:noProof/>
          <w:sz w:val="22"/>
          <w:szCs w:val="22"/>
          <w:lang w:eastAsia="en-AU"/>
        </w:rPr>
      </w:pPr>
      <w:r>
        <w:rPr>
          <w:noProof/>
        </w:rPr>
        <w:t>Queensland</w:t>
      </w:r>
      <w:r>
        <w:rPr>
          <w:noProof/>
        </w:rPr>
        <w:tab/>
        <w:t>12</w:t>
      </w:r>
    </w:p>
    <w:p w:rsidR="00432828" w:rsidRDefault="00432828">
      <w:pPr>
        <w:pStyle w:val="TOC2"/>
        <w:rPr>
          <w:rFonts w:asciiTheme="minorHAnsi" w:eastAsiaTheme="minorEastAsia" w:hAnsiTheme="minorHAnsi" w:cstheme="minorBidi"/>
          <w:noProof/>
          <w:sz w:val="22"/>
          <w:szCs w:val="22"/>
          <w:lang w:eastAsia="en-AU"/>
        </w:rPr>
      </w:pPr>
      <w:r>
        <w:rPr>
          <w:noProof/>
        </w:rPr>
        <w:t>Western Australia</w:t>
      </w:r>
      <w:r>
        <w:rPr>
          <w:noProof/>
        </w:rPr>
        <w:tab/>
        <w:t>14</w:t>
      </w:r>
    </w:p>
    <w:p w:rsidR="00432828" w:rsidRDefault="00432828">
      <w:pPr>
        <w:pStyle w:val="TOC2"/>
        <w:rPr>
          <w:rFonts w:asciiTheme="minorHAnsi" w:eastAsiaTheme="minorEastAsia" w:hAnsiTheme="minorHAnsi" w:cstheme="minorBidi"/>
          <w:noProof/>
          <w:sz w:val="22"/>
          <w:szCs w:val="22"/>
          <w:lang w:eastAsia="en-AU"/>
        </w:rPr>
      </w:pPr>
      <w:r>
        <w:rPr>
          <w:noProof/>
        </w:rPr>
        <w:t>South Australia</w:t>
      </w:r>
      <w:r>
        <w:rPr>
          <w:noProof/>
        </w:rPr>
        <w:tab/>
        <w:t>16</w:t>
      </w:r>
    </w:p>
    <w:p w:rsidR="00432828" w:rsidRDefault="00432828">
      <w:pPr>
        <w:pStyle w:val="TOC2"/>
        <w:rPr>
          <w:rFonts w:asciiTheme="minorHAnsi" w:eastAsiaTheme="minorEastAsia" w:hAnsiTheme="minorHAnsi" w:cstheme="minorBidi"/>
          <w:noProof/>
          <w:sz w:val="22"/>
          <w:szCs w:val="22"/>
          <w:lang w:eastAsia="en-AU"/>
        </w:rPr>
      </w:pPr>
      <w:r>
        <w:rPr>
          <w:noProof/>
        </w:rPr>
        <w:t>Tasmania</w:t>
      </w:r>
      <w:r>
        <w:rPr>
          <w:noProof/>
        </w:rPr>
        <w:tab/>
        <w:t>18</w:t>
      </w:r>
    </w:p>
    <w:p w:rsidR="00432828" w:rsidRDefault="00432828">
      <w:pPr>
        <w:pStyle w:val="TOC2"/>
        <w:rPr>
          <w:rFonts w:asciiTheme="minorHAnsi" w:eastAsiaTheme="minorEastAsia" w:hAnsiTheme="minorHAnsi" w:cstheme="minorBidi"/>
          <w:noProof/>
          <w:sz w:val="22"/>
          <w:szCs w:val="22"/>
          <w:lang w:eastAsia="en-AU"/>
        </w:rPr>
      </w:pPr>
      <w:r>
        <w:rPr>
          <w:noProof/>
        </w:rPr>
        <w:t>Australian Capital Territory</w:t>
      </w:r>
      <w:r>
        <w:rPr>
          <w:noProof/>
        </w:rPr>
        <w:tab/>
        <w:t>20</w:t>
      </w:r>
    </w:p>
    <w:p w:rsidR="00432828" w:rsidRDefault="00432828">
      <w:pPr>
        <w:pStyle w:val="TOC2"/>
        <w:rPr>
          <w:rFonts w:asciiTheme="minorHAnsi" w:eastAsiaTheme="minorEastAsia" w:hAnsiTheme="minorHAnsi" w:cstheme="minorBidi"/>
          <w:noProof/>
          <w:sz w:val="22"/>
          <w:szCs w:val="22"/>
          <w:lang w:eastAsia="en-AU"/>
        </w:rPr>
      </w:pPr>
      <w:r>
        <w:rPr>
          <w:noProof/>
        </w:rPr>
        <w:t>Northern Territory</w:t>
      </w:r>
      <w:r>
        <w:rPr>
          <w:noProof/>
        </w:rPr>
        <w:tab/>
        <w:t>22</w:t>
      </w:r>
    </w:p>
    <w:p w:rsidR="00432828" w:rsidRDefault="00432828" w:rsidP="00432828">
      <w:pPr>
        <w:pStyle w:val="TOC1"/>
      </w:pPr>
      <w:r>
        <w:rPr>
          <w:noProof/>
        </w:rPr>
        <w:t>Appendix A — Measures of improvement</w:t>
      </w:r>
      <w:r>
        <w:rPr>
          <w:noProof/>
        </w:rPr>
        <w:tab/>
        <w:t>25</w:t>
      </w:r>
    </w:p>
    <w:sectPr w:rsidR="00432828" w:rsidSect="00585B3F">
      <w:headerReference w:type="even" r:id="rId13"/>
      <w:headerReference w:type="default" r:id="rId14"/>
      <w:footerReference w:type="even" r:id="rId15"/>
      <w:footerReference w:type="default" r:id="rId16"/>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828" w:rsidRDefault="00432828">
      <w:r>
        <w:separator/>
      </w:r>
    </w:p>
    <w:p w:rsidR="00432828" w:rsidRDefault="00432828"/>
    <w:p w:rsidR="00432828" w:rsidRDefault="00432828"/>
  </w:endnote>
  <w:endnote w:type="continuationSeparator" w:id="0">
    <w:p w:rsidR="00432828" w:rsidRDefault="00432828">
      <w:r>
        <w:continuationSeparator/>
      </w:r>
    </w:p>
    <w:p w:rsidR="00432828" w:rsidRDefault="00432828"/>
    <w:p w:rsidR="00432828" w:rsidRDefault="004328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C7620C">
            <w:rPr>
              <w:rStyle w:val="PageNumber"/>
              <w:caps w:val="0"/>
              <w:noProof/>
            </w:rPr>
            <w:t>iv</w:t>
          </w:r>
          <w:r w:rsidRPr="007448F7">
            <w:rPr>
              <w:rStyle w:val="PageNumber"/>
              <w:caps w:val="0"/>
            </w:rPr>
            <w:fldChar w:fldCharType="end"/>
          </w:r>
        </w:p>
      </w:tc>
      <w:tc>
        <w:tcPr>
          <w:tcW w:w="7767" w:type="dxa"/>
        </w:tcPr>
        <w:p w:rsidR="007448F7" w:rsidRPr="0013739A" w:rsidRDefault="00432828" w:rsidP="00271B0C">
          <w:pPr>
            <w:pStyle w:val="Footer"/>
            <w:rPr>
              <w:rFonts w:cs="Arial"/>
            </w:rPr>
          </w:pPr>
          <w:r>
            <w:rPr>
              <w:rFonts w:cs="Arial"/>
            </w:rPr>
            <w:t>National Partnership Agreement on Essential Vaccines</w:t>
          </w:r>
        </w:p>
      </w:tc>
      <w:tc>
        <w:tcPr>
          <w:tcW w:w="510" w:type="dxa"/>
        </w:tcPr>
        <w:p w:rsidR="007448F7" w:rsidRDefault="007448F7" w:rsidP="0019293B">
          <w:pPr>
            <w:pStyle w:val="Footer"/>
          </w:pPr>
        </w:p>
      </w:tc>
    </w:tr>
  </w:tbl>
  <w:p w:rsidR="007448F7" w:rsidRDefault="007448F7" w:rsidP="0019293B">
    <w:pPr>
      <w:pStyle w:val="FooterEnd"/>
    </w:pPr>
  </w:p>
  <w:p w:rsidR="00D37AC2" w:rsidRDefault="00D37AC2">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rsidTr="005F48ED">
      <w:trPr>
        <w:trHeight w:hRule="exact" w:val="567"/>
      </w:trPr>
      <w:tc>
        <w:tcPr>
          <w:tcW w:w="510" w:type="dxa"/>
        </w:tcPr>
        <w:p w:rsidR="00340511" w:rsidRDefault="00340511">
          <w:pPr>
            <w:pStyle w:val="Footer"/>
            <w:ind w:right="360" w:firstLine="360"/>
          </w:pPr>
        </w:p>
      </w:tc>
      <w:tc>
        <w:tcPr>
          <w:tcW w:w="7767" w:type="dxa"/>
        </w:tcPr>
        <w:p w:rsidR="00340511" w:rsidRPr="00340511" w:rsidRDefault="00432828" w:rsidP="00340511">
          <w:pPr>
            <w:pStyle w:val="Footer"/>
            <w:jc w:val="right"/>
            <w:rPr>
              <w:rFonts w:cs="Arial"/>
            </w:rPr>
          </w:pPr>
          <w:r>
            <w:rPr>
              <w:noProof/>
            </w:rPr>
            <w:t>contents</w:t>
          </w:r>
        </w:p>
      </w:tc>
      <w:tc>
        <w:tcPr>
          <w:tcW w:w="510" w:type="dxa"/>
        </w:tcPr>
        <w:p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7620C">
            <w:rPr>
              <w:rStyle w:val="PageNumber"/>
              <w:caps w:val="0"/>
              <w:noProof/>
            </w:rPr>
            <w:t>v</w:t>
          </w:r>
          <w:r w:rsidRPr="00A24443">
            <w:rPr>
              <w:rStyle w:val="PageNumber"/>
              <w:caps w:val="0"/>
            </w:rPr>
            <w:fldChar w:fldCharType="end"/>
          </w:r>
        </w:p>
      </w:tc>
    </w:tr>
  </w:tbl>
  <w:p w:rsidR="00340511" w:rsidRDefault="00340511">
    <w:pPr>
      <w:pStyle w:val="FooterEnd"/>
    </w:pPr>
  </w:p>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828" w:rsidRDefault="00432828">
      <w:r>
        <w:separator/>
      </w:r>
    </w:p>
    <w:p w:rsidR="00432828" w:rsidRDefault="00432828"/>
    <w:p w:rsidR="00432828" w:rsidRDefault="00432828"/>
  </w:footnote>
  <w:footnote w:type="continuationSeparator" w:id="0">
    <w:p w:rsidR="00432828" w:rsidRDefault="00432828">
      <w:r>
        <w:continuationSeparator/>
      </w:r>
    </w:p>
    <w:p w:rsidR="00432828" w:rsidRDefault="00432828"/>
    <w:p w:rsidR="00432828" w:rsidRDefault="0043282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embedSystemFonts/>
  <w:mirrorMargins/>
  <w:proofState w:spelling="clean" w:grammar="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828"/>
    <w:rsid w:val="00017AFC"/>
    <w:rsid w:val="00025878"/>
    <w:rsid w:val="00026B38"/>
    <w:rsid w:val="000502D3"/>
    <w:rsid w:val="00052CB2"/>
    <w:rsid w:val="000623BF"/>
    <w:rsid w:val="000779EB"/>
    <w:rsid w:val="00095EEA"/>
    <w:rsid w:val="00097C15"/>
    <w:rsid w:val="000A0A0E"/>
    <w:rsid w:val="000A5E12"/>
    <w:rsid w:val="000B416E"/>
    <w:rsid w:val="000F185F"/>
    <w:rsid w:val="000F2F5F"/>
    <w:rsid w:val="00106041"/>
    <w:rsid w:val="0010611E"/>
    <w:rsid w:val="00122FE9"/>
    <w:rsid w:val="00131572"/>
    <w:rsid w:val="00131D4F"/>
    <w:rsid w:val="0013399B"/>
    <w:rsid w:val="00180515"/>
    <w:rsid w:val="00181F4B"/>
    <w:rsid w:val="00190919"/>
    <w:rsid w:val="00196FB3"/>
    <w:rsid w:val="001A5071"/>
    <w:rsid w:val="001B4E73"/>
    <w:rsid w:val="001B7F1E"/>
    <w:rsid w:val="001D4B1F"/>
    <w:rsid w:val="001D6629"/>
    <w:rsid w:val="001E3390"/>
    <w:rsid w:val="001F2270"/>
    <w:rsid w:val="00203B40"/>
    <w:rsid w:val="00205A82"/>
    <w:rsid w:val="00211BEE"/>
    <w:rsid w:val="002179C6"/>
    <w:rsid w:val="00261607"/>
    <w:rsid w:val="00263DD1"/>
    <w:rsid w:val="00264D3B"/>
    <w:rsid w:val="00265685"/>
    <w:rsid w:val="00271B0C"/>
    <w:rsid w:val="00281D5F"/>
    <w:rsid w:val="002923AD"/>
    <w:rsid w:val="00296592"/>
    <w:rsid w:val="002A0A4B"/>
    <w:rsid w:val="002A499E"/>
    <w:rsid w:val="002B636E"/>
    <w:rsid w:val="002B64D6"/>
    <w:rsid w:val="002C12F5"/>
    <w:rsid w:val="002D6FCE"/>
    <w:rsid w:val="00340511"/>
    <w:rsid w:val="0034770A"/>
    <w:rsid w:val="0038647D"/>
    <w:rsid w:val="00393A49"/>
    <w:rsid w:val="003B41E0"/>
    <w:rsid w:val="003C3D73"/>
    <w:rsid w:val="003D624D"/>
    <w:rsid w:val="003E7802"/>
    <w:rsid w:val="0042007A"/>
    <w:rsid w:val="00432828"/>
    <w:rsid w:val="00433C81"/>
    <w:rsid w:val="00446D6B"/>
    <w:rsid w:val="00457B3F"/>
    <w:rsid w:val="00463022"/>
    <w:rsid w:val="00481CF0"/>
    <w:rsid w:val="004B492A"/>
    <w:rsid w:val="004C0B0C"/>
    <w:rsid w:val="004D3F58"/>
    <w:rsid w:val="004E52E2"/>
    <w:rsid w:val="004E6BB4"/>
    <w:rsid w:val="004E7D3C"/>
    <w:rsid w:val="00515D43"/>
    <w:rsid w:val="0052544D"/>
    <w:rsid w:val="00526B19"/>
    <w:rsid w:val="00551FB8"/>
    <w:rsid w:val="005537F6"/>
    <w:rsid w:val="00560F43"/>
    <w:rsid w:val="005654D0"/>
    <w:rsid w:val="00585B3F"/>
    <w:rsid w:val="005B17AB"/>
    <w:rsid w:val="005C68FE"/>
    <w:rsid w:val="005F7D30"/>
    <w:rsid w:val="00602523"/>
    <w:rsid w:val="006040CB"/>
    <w:rsid w:val="00604351"/>
    <w:rsid w:val="00607D8A"/>
    <w:rsid w:val="0061590F"/>
    <w:rsid w:val="00636497"/>
    <w:rsid w:val="00641AE2"/>
    <w:rsid w:val="0064456A"/>
    <w:rsid w:val="00650DDA"/>
    <w:rsid w:val="0065126A"/>
    <w:rsid w:val="00653FA6"/>
    <w:rsid w:val="0067557D"/>
    <w:rsid w:val="006802D4"/>
    <w:rsid w:val="00683849"/>
    <w:rsid w:val="00691AB5"/>
    <w:rsid w:val="006B5AFC"/>
    <w:rsid w:val="006E1E6B"/>
    <w:rsid w:val="006F0EAC"/>
    <w:rsid w:val="006F6A85"/>
    <w:rsid w:val="00700886"/>
    <w:rsid w:val="0070328D"/>
    <w:rsid w:val="00731F96"/>
    <w:rsid w:val="00734127"/>
    <w:rsid w:val="00735FEA"/>
    <w:rsid w:val="00743460"/>
    <w:rsid w:val="00743A27"/>
    <w:rsid w:val="007448F7"/>
    <w:rsid w:val="00753DC6"/>
    <w:rsid w:val="0075578C"/>
    <w:rsid w:val="00766DFB"/>
    <w:rsid w:val="007734B5"/>
    <w:rsid w:val="007809B8"/>
    <w:rsid w:val="007813A6"/>
    <w:rsid w:val="007C56AD"/>
    <w:rsid w:val="00805FD7"/>
    <w:rsid w:val="00806E54"/>
    <w:rsid w:val="008206EE"/>
    <w:rsid w:val="008214B1"/>
    <w:rsid w:val="008273A9"/>
    <w:rsid w:val="00836ED7"/>
    <w:rsid w:val="0084355E"/>
    <w:rsid w:val="008453AC"/>
    <w:rsid w:val="00851A12"/>
    <w:rsid w:val="00860D09"/>
    <w:rsid w:val="00862044"/>
    <w:rsid w:val="00880BF7"/>
    <w:rsid w:val="0089269F"/>
    <w:rsid w:val="008A2133"/>
    <w:rsid w:val="008A3857"/>
    <w:rsid w:val="008B2205"/>
    <w:rsid w:val="008C305F"/>
    <w:rsid w:val="008C3AD2"/>
    <w:rsid w:val="008C7C3D"/>
    <w:rsid w:val="008D6F66"/>
    <w:rsid w:val="008E1BEA"/>
    <w:rsid w:val="008E242D"/>
    <w:rsid w:val="008E43D2"/>
    <w:rsid w:val="008E5248"/>
    <w:rsid w:val="008F04C9"/>
    <w:rsid w:val="008F7C50"/>
    <w:rsid w:val="008F7DB7"/>
    <w:rsid w:val="009064D3"/>
    <w:rsid w:val="00915300"/>
    <w:rsid w:val="00933B0C"/>
    <w:rsid w:val="00935676"/>
    <w:rsid w:val="0098401D"/>
    <w:rsid w:val="009843CA"/>
    <w:rsid w:val="009A789F"/>
    <w:rsid w:val="009B12EF"/>
    <w:rsid w:val="009B48F7"/>
    <w:rsid w:val="009B6185"/>
    <w:rsid w:val="009C6C6D"/>
    <w:rsid w:val="009E1E78"/>
    <w:rsid w:val="00A1597D"/>
    <w:rsid w:val="00A46989"/>
    <w:rsid w:val="00A469AA"/>
    <w:rsid w:val="00A71CE9"/>
    <w:rsid w:val="00A72A19"/>
    <w:rsid w:val="00A75A30"/>
    <w:rsid w:val="00A93C82"/>
    <w:rsid w:val="00AB2A48"/>
    <w:rsid w:val="00AB5DBB"/>
    <w:rsid w:val="00AC3236"/>
    <w:rsid w:val="00AD4874"/>
    <w:rsid w:val="00AE1F8A"/>
    <w:rsid w:val="00B036B2"/>
    <w:rsid w:val="00B04D19"/>
    <w:rsid w:val="00B153C3"/>
    <w:rsid w:val="00B22087"/>
    <w:rsid w:val="00B722F2"/>
    <w:rsid w:val="00B80355"/>
    <w:rsid w:val="00B90958"/>
    <w:rsid w:val="00B95339"/>
    <w:rsid w:val="00BA0B81"/>
    <w:rsid w:val="00BB334E"/>
    <w:rsid w:val="00BB5DCF"/>
    <w:rsid w:val="00BC2476"/>
    <w:rsid w:val="00BF59EA"/>
    <w:rsid w:val="00BF79CD"/>
    <w:rsid w:val="00C058AB"/>
    <w:rsid w:val="00C0721B"/>
    <w:rsid w:val="00C34C8C"/>
    <w:rsid w:val="00C50792"/>
    <w:rsid w:val="00C51371"/>
    <w:rsid w:val="00C55A45"/>
    <w:rsid w:val="00C7620C"/>
    <w:rsid w:val="00C904D9"/>
    <w:rsid w:val="00C94C06"/>
    <w:rsid w:val="00CA48BF"/>
    <w:rsid w:val="00CB3ACC"/>
    <w:rsid w:val="00CB4745"/>
    <w:rsid w:val="00CD2163"/>
    <w:rsid w:val="00CD4FE7"/>
    <w:rsid w:val="00CD5E6B"/>
    <w:rsid w:val="00CE4FBC"/>
    <w:rsid w:val="00CE5D96"/>
    <w:rsid w:val="00CE7344"/>
    <w:rsid w:val="00CF26EE"/>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F00FE"/>
    <w:rsid w:val="00DF4592"/>
    <w:rsid w:val="00E15FDC"/>
    <w:rsid w:val="00E2651B"/>
    <w:rsid w:val="00E30DDB"/>
    <w:rsid w:val="00E6632E"/>
    <w:rsid w:val="00E90CF2"/>
    <w:rsid w:val="00EC38C1"/>
    <w:rsid w:val="00EC628B"/>
    <w:rsid w:val="00ED0F61"/>
    <w:rsid w:val="00EE3F6D"/>
    <w:rsid w:val="00EE73E1"/>
    <w:rsid w:val="00F12107"/>
    <w:rsid w:val="00F13165"/>
    <w:rsid w:val="00F26B1A"/>
    <w:rsid w:val="00F4234E"/>
    <w:rsid w:val="00F61429"/>
    <w:rsid w:val="00F7477E"/>
    <w:rsid w:val="00F85393"/>
    <w:rsid w:val="00FA4A24"/>
    <w:rsid w:val="00FC41B4"/>
    <w:rsid w:val="00FC5A6B"/>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4328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432828"/>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4328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432828"/>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736D994-36D8-49DF-8FE8-00945BE4F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Template>
  <TotalTime>25</TotalTime>
  <Pages>5</Pages>
  <Words>396</Words>
  <Characters>2310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Preliminary pages - National Partnership Agreement on Essential Vaccines: Performance Report 1 April 2015 - 31 March 2016</vt:lpstr>
    </vt:vector>
  </TitlesOfParts>
  <Company>Productivity Commission</Company>
  <LinksUpToDate>false</LinksUpToDate>
  <CharactersWithSpaces>2701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Preliminary pages - National Partnership Agreement on Essential Vaccines: Performance Report 1 April 2015 - 31 March 2016</dc:title>
  <dc:creator>Productivity Commission</dc:creator>
  <cp:lastModifiedBy>Frech, Tanya</cp:lastModifiedBy>
  <cp:revision>6</cp:revision>
  <cp:lastPrinted>2009-07-15T23:41:00Z</cp:lastPrinted>
  <dcterms:created xsi:type="dcterms:W3CDTF">2016-08-15T05:12:00Z</dcterms:created>
  <dcterms:modified xsi:type="dcterms:W3CDTF">2016-08-29T02:05:00Z</dcterms:modified>
</cp:coreProperties>
</file>