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811442" w:rsidP="00811442">
      <w:pPr>
        <w:pStyle w:val="Heading1"/>
        <w:spacing w:before="0"/>
      </w:pPr>
      <w:bookmarkStart w:id="0" w:name="ChapterNumber"/>
      <w:bookmarkStart w:id="1" w:name="_GoBack"/>
      <w:bookmarkEnd w:id="1"/>
      <w:r>
        <w:t>2</w:t>
      </w:r>
      <w:bookmarkEnd w:id="0"/>
      <w:r>
        <w:tab/>
      </w:r>
      <w:bookmarkStart w:id="2" w:name="ChapterTitle"/>
      <w:r>
        <w:t>Assessment against benchmarks</w:t>
      </w:r>
      <w:bookmarkEnd w:id="2"/>
    </w:p>
    <w:p w:rsidR="00666E02" w:rsidRDefault="00811442" w:rsidP="00811442">
      <w:pPr>
        <w:pStyle w:val="Heading2"/>
      </w:pPr>
      <w:bookmarkStart w:id="3" w:name="begin"/>
      <w:bookmarkEnd w:id="3"/>
      <w:r>
        <w:t>The result</w:t>
      </w:r>
    </w:p>
    <w:p w:rsidR="00811442" w:rsidRDefault="00811442" w:rsidP="00811442">
      <w:pPr>
        <w:pStyle w:val="Rec"/>
      </w:pPr>
      <w:r>
        <w:t>This chapter reports the Productivity Commission’s assessment of each State’s and Territory’s achievement of the benchmarks in the NP.</w:t>
      </w: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BodyText"/>
      </w:pPr>
    </w:p>
    <w:p w:rsidR="00811442" w:rsidRDefault="00811442" w:rsidP="00811442">
      <w:pPr>
        <w:pStyle w:val="Heading2"/>
      </w:pPr>
      <w:r>
        <w:lastRenderedPageBreak/>
        <w:t>New South Wales</w:t>
      </w:r>
    </w:p>
    <w:p w:rsidR="00811442" w:rsidRPr="00F822AC" w:rsidRDefault="00811442" w:rsidP="00811442">
      <w:pPr>
        <w:pStyle w:val="Heading3"/>
      </w:pPr>
      <w:r w:rsidRPr="00F822AC">
        <w:t xml:space="preserve">NSW met </w:t>
      </w:r>
      <w:r>
        <w:t>all</w:t>
      </w:r>
      <w:r w:rsidRPr="00F822AC">
        <w:t xml:space="preserve"> four benchmarks</w:t>
      </w:r>
    </w:p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t>Benchmark 1:</w:t>
      </w:r>
      <w:r w:rsidRPr="00B564DE">
        <w:rPr>
          <w:b/>
        </w:rPr>
        <w:tab/>
        <w:t>maintaining or increasing vaccine coverage for Indigenous Australians</w:t>
      </w:r>
    </w:p>
    <w:p w:rsidR="00811442" w:rsidRPr="004B35BD" w:rsidRDefault="00811442" w:rsidP="00811442">
      <w:pPr>
        <w:pStyle w:val="BodyText"/>
      </w:pPr>
      <w:r w:rsidRPr="00503AF8">
        <w:t xml:space="preserve">Benchmark 1 </w:t>
      </w:r>
      <w:r w:rsidRPr="004B35BD">
        <w:t xml:space="preserve">was MET: Vaccination rates for Indigenous children were higher than the baseline for all three age groups (table 2.1). 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</w:t>
            </w:r>
            <w:r>
              <w:tab/>
              <w:t>Vaccination coverage rates among Indigenous children in NSW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UnitsRow"/>
                    <w:jc w:val="left"/>
                  </w:pPr>
                  <w:r w:rsidRPr="004B35BD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UnitsRow"/>
                  </w:pPr>
                  <w:r w:rsidRPr="004B35BD">
                    <w:t>85.</w:t>
                  </w:r>
                  <w:r>
                    <w:t>9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UnitsRow"/>
                    <w:ind w:right="156"/>
                  </w:pPr>
                  <w:r w:rsidRPr="004B35BD">
                    <w:t>92.0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UnitsRow"/>
                    <w:ind w:right="28"/>
                  </w:pPr>
                  <w:r w:rsidRPr="004B35B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4B35BD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4B35B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</w:tcPr>
                <w:p w:rsidR="00811442" w:rsidRPr="004B35BD" w:rsidRDefault="00811442" w:rsidP="00EF6EBA">
                  <w:pPr>
                    <w:pStyle w:val="TableBodyText"/>
                    <w:jc w:val="left"/>
                  </w:pPr>
                  <w:r w:rsidRPr="004B35BD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4B35BD" w:rsidRDefault="00811442" w:rsidP="00EF6EBA">
                  <w:pPr>
                    <w:pStyle w:val="TableBodyText"/>
                  </w:pPr>
                  <w:r w:rsidRPr="004B35BD">
                    <w:t>91.7</w:t>
                  </w:r>
                </w:p>
              </w:tc>
              <w:tc>
                <w:tcPr>
                  <w:tcW w:w="1000" w:type="pct"/>
                </w:tcPr>
                <w:p w:rsidR="00811442" w:rsidRPr="004B35BD" w:rsidRDefault="00811442" w:rsidP="00EF6EBA">
                  <w:pPr>
                    <w:pStyle w:val="TableBodyText"/>
                    <w:ind w:right="156"/>
                  </w:pPr>
                  <w:r w:rsidRPr="004B35BD">
                    <w:t>94.9</w:t>
                  </w:r>
                </w:p>
              </w:tc>
              <w:tc>
                <w:tcPr>
                  <w:tcW w:w="999" w:type="pct"/>
                </w:tcPr>
                <w:p w:rsidR="00811442" w:rsidRPr="004B35BD" w:rsidRDefault="00811442" w:rsidP="00EF6EBA">
                  <w:pPr>
                    <w:pStyle w:val="TableBodyText"/>
                    <w:ind w:right="28"/>
                  </w:pPr>
                  <w:r w:rsidRPr="004B35BD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4B35B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4B35B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4B35BD" w:rsidRDefault="00811442" w:rsidP="00EF6EBA">
                  <w:pPr>
                    <w:pStyle w:val="TableBodyText"/>
                    <w:jc w:val="left"/>
                  </w:pPr>
                  <w:r w:rsidRPr="004B35BD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4B35BD" w:rsidRDefault="00811442" w:rsidP="00EF6EBA">
                  <w:pPr>
                    <w:pStyle w:val="TableBodyText"/>
                  </w:pPr>
                  <w:r w:rsidRPr="004B35BD">
                    <w:t>91.4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BodyText"/>
                    <w:ind w:right="156"/>
                  </w:pPr>
                  <w:r w:rsidRPr="004B35BD">
                    <w:t>95.7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4B35BD" w:rsidRDefault="00811442" w:rsidP="00EF6EBA">
                  <w:pPr>
                    <w:pStyle w:val="TableBodyText"/>
                    <w:ind w:right="28"/>
                  </w:pPr>
                  <w:r w:rsidRPr="004B35B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4B35B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4B35B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E76FA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E76FA" w:rsidRDefault="00811442" w:rsidP="00EF6EBA">
            <w:pPr>
              <w:pStyle w:val="Note"/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E76FA" w:rsidRDefault="00811442" w:rsidP="00EF6EBA">
            <w:pPr>
              <w:pStyle w:val="Box"/>
              <w:jc w:val="center"/>
              <w:rPr>
                <w:b/>
              </w:rPr>
            </w:pPr>
            <w:r w:rsidRPr="004B35BD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t>Benchmark 2:</w:t>
      </w:r>
      <w:r w:rsidRPr="00B564DE">
        <w:rPr>
          <w:b/>
        </w:rPr>
        <w:tab/>
        <w:t>maintaining or increasing coverage in agreed areas of low immunisation coverage</w:t>
      </w:r>
    </w:p>
    <w:p w:rsidR="00811442" w:rsidRPr="00E9228A" w:rsidRDefault="00811442" w:rsidP="00811442">
      <w:pPr>
        <w:pStyle w:val="BodyText"/>
      </w:pPr>
      <w:r w:rsidRPr="00E9228A">
        <w:t>Benchmark 2 was</w:t>
      </w:r>
      <w:r>
        <w:t xml:space="preserve"> </w:t>
      </w:r>
      <w:r w:rsidRPr="00F822AC">
        <w:t xml:space="preserve">MET: </w:t>
      </w:r>
      <w:r w:rsidRPr="00B63DB3">
        <w:t>Vaccination rates were above the baseline for both age groups</w:t>
      </w:r>
      <w:r w:rsidRPr="00F822AC">
        <w:t xml:space="preserve"> (table </w:t>
      </w:r>
      <w:r w:rsidRPr="00E9228A">
        <w:t>2.2).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</w:t>
            </w:r>
            <w:r>
              <w:tab/>
              <w:t>Low vaccine coverage areas in NSW</w:t>
            </w:r>
          </w:p>
          <w:p w:rsidR="00811442" w:rsidRPr="007E6D4D" w:rsidRDefault="00811442" w:rsidP="00EF6EBA">
            <w:pPr>
              <w:pStyle w:val="Subtitle"/>
              <w:ind w:left="0"/>
              <w:rPr>
                <w:b/>
              </w:rPr>
            </w:pPr>
            <w:r w:rsidRPr="007E6D4D">
              <w:rPr>
                <w:b/>
              </w:rPr>
              <w:t>Benchmark 2: Maintaining or increasing vaccine coverage in agreed areas of low vaccine coverage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ind w:right="155"/>
                  </w:pPr>
                  <w:r w:rsidRPr="007E76FA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UnitsRow"/>
                    <w:jc w:val="left"/>
                  </w:pPr>
                  <w:r w:rsidRPr="007E76FA">
                    <w:t>12–15 months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</w:tcBorders>
                </w:tcPr>
                <w:p w:rsidR="00811442" w:rsidRPr="00F822AC" w:rsidRDefault="00811442" w:rsidP="00EF6EBA">
                  <w:pPr>
                    <w:pStyle w:val="TableUnitsRow"/>
                  </w:pPr>
                  <w:r>
                    <w:t>85.0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F822AC" w:rsidRDefault="00811442" w:rsidP="00EF6EBA">
                  <w:pPr>
                    <w:pStyle w:val="TableUnitsRow"/>
                    <w:ind w:right="155"/>
                  </w:pPr>
                  <w:r w:rsidRPr="00F822AC">
                    <w:t>88.8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F822AC" w:rsidRDefault="00811442" w:rsidP="00EF6EBA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F822AC">
                    <w:tab/>
                  </w:r>
                  <w:r w:rsidRPr="004B35B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F822AC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4B35B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E76FA" w:rsidRDefault="00811442" w:rsidP="00EF6EBA">
                  <w:pPr>
                    <w:pStyle w:val="TableBodyText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F822AC" w:rsidRDefault="00811442" w:rsidP="00EF6EBA">
                  <w:pPr>
                    <w:pStyle w:val="TableBodyText"/>
                  </w:pPr>
                  <w:r>
                    <w:t>85.9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F822AC" w:rsidRDefault="00811442" w:rsidP="00EF6EBA">
                  <w:pPr>
                    <w:pStyle w:val="TableBodyText"/>
                    <w:ind w:right="155"/>
                  </w:pPr>
                  <w:r w:rsidRPr="00F822AC">
                    <w:t>86.7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F822AC" w:rsidRDefault="00811442" w:rsidP="00EF6EBA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F822AC">
                    <w:tab/>
                  </w:r>
                  <w:r w:rsidRPr="004B35B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F822AC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4B35B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E76FA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E76FA" w:rsidRDefault="00811442" w:rsidP="00EF6EBA">
            <w:pPr>
              <w:pStyle w:val="Note"/>
              <w:ind w:left="687" w:hanging="687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The benchmark is met if coverage for both age groups is greater than or equal to the baseline.</w:t>
            </w:r>
          </w:p>
        </w:tc>
      </w:tr>
      <w:tr w:rsidR="00811442" w:rsidRPr="00E9228A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E76FA" w:rsidRDefault="00811442" w:rsidP="00EF6EBA">
            <w:pPr>
              <w:pStyle w:val="Box"/>
              <w:jc w:val="center"/>
              <w:rPr>
                <w:b/>
              </w:rPr>
            </w:pPr>
            <w:r w:rsidRPr="00F822AC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BodyText"/>
      </w:pPr>
    </w:p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Pr="003617E6" w:rsidRDefault="00811442" w:rsidP="00811442">
      <w:pPr>
        <w:pStyle w:val="BodyText"/>
      </w:pPr>
      <w:r>
        <w:t xml:space="preserve">Benchmark 3 </w:t>
      </w:r>
      <w:r w:rsidRPr="003617E6">
        <w:t>was MET: The rate of wastage or leakage was lower than the benchmark (table 2.3).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3</w:t>
            </w:r>
            <w:r>
              <w:tab/>
              <w:t>Vaccines lost to wastage or leakage in NSW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</w:t>
            </w:r>
            <w:r>
              <w:rPr>
                <w:b/>
              </w:rPr>
              <w:t>taining or decreasing wastage and</w:t>
            </w:r>
            <w:r w:rsidRPr="00B96CFC">
              <w:rPr>
                <w:b/>
              </w:rPr>
              <w:t xml:space="preserve">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</w:pPr>
                  <w:r w:rsidRPr="007E76FA">
                    <w:t>Benchmark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E76FA" w:rsidRDefault="00811442" w:rsidP="00EF6EBA">
                  <w:pPr>
                    <w:pStyle w:val="TableBodyText"/>
                    <w:spacing w:before="40"/>
                    <w:jc w:val="left"/>
                  </w:pPr>
                  <w:r w:rsidRPr="007E76FA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</w:pPr>
                  <w:r w:rsidRPr="003617E6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156"/>
                  </w:pPr>
                  <w:r>
                    <w:t>6.9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617E6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617E6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E76FA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E76FA" w:rsidRDefault="00811442" w:rsidP="00EF6EBA">
            <w:pPr>
              <w:pStyle w:val="Note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E76FA" w:rsidRDefault="00811442" w:rsidP="00EF6EBA">
            <w:pPr>
              <w:pStyle w:val="Box"/>
              <w:jc w:val="center"/>
              <w:rPr>
                <w:b/>
              </w:rPr>
            </w:pPr>
            <w:r w:rsidRPr="003617E6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  <w:t>maintaining o</w:t>
      </w:r>
      <w:r>
        <w:rPr>
          <w:b/>
        </w:rPr>
        <w:t>r</w:t>
      </w:r>
      <w:r w:rsidRPr="00B564DE">
        <w:rPr>
          <w:b/>
        </w:rPr>
        <w:t xml:space="preserve"> increasing vaccination coverage for four year olds</w:t>
      </w:r>
    </w:p>
    <w:p w:rsidR="00811442" w:rsidRPr="006D7415" w:rsidRDefault="00811442" w:rsidP="00811442">
      <w:pPr>
        <w:pStyle w:val="BodyText"/>
      </w:pPr>
      <w:r>
        <w:t xml:space="preserve">Benchmark 4 was </w:t>
      </w:r>
      <w:r w:rsidRPr="006D7415">
        <w:t>MET: Vaccination rates for four year old children were higher than the baseline (table 2.4).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4</w:t>
            </w:r>
            <w:r>
              <w:tab/>
              <w:t>Vaccination coverage among four year olds in NSW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7E76FA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E76FA" w:rsidRDefault="00811442" w:rsidP="00EF6EBA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ind w:right="155"/>
                  </w:pPr>
                  <w:r w:rsidRPr="007E76FA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E76FA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E76FA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E76FA" w:rsidRDefault="00811442" w:rsidP="00EF6EBA">
                  <w:pPr>
                    <w:pStyle w:val="TableBodyText"/>
                    <w:spacing w:before="40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6D7415" w:rsidRDefault="00811442" w:rsidP="00EF6EBA">
                  <w:pPr>
                    <w:pStyle w:val="TableBodyText"/>
                    <w:spacing w:before="40"/>
                  </w:pPr>
                  <w:r w:rsidRPr="006D7415">
                    <w:t>91.2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6D7415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6D7415">
                    <w:t>93.2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6D7415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6D7415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6D7415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6D7415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E76FA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E76FA" w:rsidRDefault="00811442" w:rsidP="00EF6EBA">
            <w:pPr>
              <w:pStyle w:val="Note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E76FA" w:rsidRDefault="00811442" w:rsidP="00EF6EBA">
            <w:pPr>
              <w:pStyle w:val="Box"/>
              <w:jc w:val="center"/>
              <w:rPr>
                <w:b/>
              </w:rPr>
            </w:pPr>
            <w:r w:rsidRPr="006D7415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Victoria</w:t>
      </w:r>
    </w:p>
    <w:p w:rsidR="00811442" w:rsidRPr="0055696A" w:rsidRDefault="00811442" w:rsidP="00811442">
      <w:pPr>
        <w:pStyle w:val="Heading3"/>
      </w:pPr>
      <w:r w:rsidRPr="0055696A">
        <w:t>Victoria met all four benchmarks</w:t>
      </w:r>
    </w:p>
    <w:p w:rsidR="00811442" w:rsidRPr="00D14789" w:rsidRDefault="00811442" w:rsidP="00811442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B552DD" w:rsidRDefault="00811442" w:rsidP="00811442">
      <w:pPr>
        <w:pStyle w:val="BodyText"/>
      </w:pPr>
      <w:r>
        <w:t xml:space="preserve">Benchmark 1 was </w:t>
      </w:r>
      <w:r w:rsidRPr="00B552DD">
        <w:t>MET: Vaccination rates for Indigenous children were higher than the baseline for all three age groups (table 2.5).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5</w:t>
            </w:r>
            <w:r>
              <w:tab/>
              <w:t>Vaccination coverage rates among Indigenous children in Victoria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316298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316298" w:rsidRDefault="00811442" w:rsidP="00EF6EBA">
                  <w:pPr>
                    <w:pStyle w:val="TableColumnHeading"/>
                    <w:jc w:val="left"/>
                  </w:pPr>
                  <w:r w:rsidRPr="00316298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316298" w:rsidRDefault="00811442" w:rsidP="00EF6EBA">
                  <w:pPr>
                    <w:pStyle w:val="TableColumnHeading"/>
                  </w:pPr>
                  <w:r w:rsidRPr="00316298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316298" w:rsidRDefault="00811442" w:rsidP="00EF6EBA">
                  <w:pPr>
                    <w:pStyle w:val="TableColumnHeading"/>
                    <w:ind w:right="156"/>
                  </w:pPr>
                  <w:r w:rsidRPr="00316298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316298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316298">
                    <w:t>Assessment</w:t>
                  </w:r>
                  <w:r w:rsidRPr="00316298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316298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316298" w:rsidRDefault="00811442" w:rsidP="00EF6EBA">
                  <w:pPr>
                    <w:pStyle w:val="TableUnitsRow"/>
                    <w:jc w:val="left"/>
                  </w:pPr>
                  <w:r w:rsidRPr="00316298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</w:pPr>
                  <w:r w:rsidRPr="00B552DD">
                    <w:t>85.5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  <w:ind w:right="156"/>
                  </w:pPr>
                  <w:r w:rsidRPr="00B552DD">
                    <w:t>89.0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B552DD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316298" w:rsidTr="00EF6EBA">
              <w:tc>
                <w:tcPr>
                  <w:tcW w:w="1000" w:type="pct"/>
                </w:tcPr>
                <w:p w:rsidR="00811442" w:rsidRPr="00316298" w:rsidRDefault="00811442" w:rsidP="00EF6EBA">
                  <w:pPr>
                    <w:pStyle w:val="TableBodyText"/>
                    <w:jc w:val="left"/>
                  </w:pPr>
                  <w:r w:rsidRPr="00316298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B552DD" w:rsidRDefault="00811442" w:rsidP="00EF6EBA">
                  <w:pPr>
                    <w:pStyle w:val="TableBodyText"/>
                  </w:pPr>
                  <w:r w:rsidRPr="00B552DD">
                    <w:t>91.7</w:t>
                  </w:r>
                </w:p>
              </w:tc>
              <w:tc>
                <w:tcPr>
                  <w:tcW w:w="1000" w:type="pct"/>
                </w:tcPr>
                <w:p w:rsidR="00811442" w:rsidRPr="00B552DD" w:rsidRDefault="00811442" w:rsidP="00EF6EBA">
                  <w:pPr>
                    <w:pStyle w:val="TableBodyText"/>
                    <w:ind w:right="156"/>
                  </w:pPr>
                  <w:r w:rsidRPr="00B552DD">
                    <w:t>92.7</w:t>
                  </w:r>
                </w:p>
              </w:tc>
              <w:tc>
                <w:tcPr>
                  <w:tcW w:w="999" w:type="pct"/>
                </w:tcPr>
                <w:p w:rsidR="00811442" w:rsidRPr="00B552DD" w:rsidRDefault="00811442" w:rsidP="00EF6EBA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B552D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316298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16298" w:rsidRDefault="00811442" w:rsidP="00EF6EBA">
                  <w:pPr>
                    <w:pStyle w:val="TableBodyText"/>
                    <w:jc w:val="left"/>
                  </w:pPr>
                  <w:r w:rsidRPr="00316298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B552DD" w:rsidRDefault="00811442" w:rsidP="00EF6EBA">
                  <w:pPr>
                    <w:pStyle w:val="TableBodyText"/>
                  </w:pPr>
                  <w:r w:rsidRPr="00B552DD">
                    <w:t>91.0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BodyText"/>
                    <w:ind w:right="156"/>
                  </w:pPr>
                  <w:r w:rsidRPr="00B552DD">
                    <w:t>93.4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B552D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316298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316298" w:rsidRDefault="00811442" w:rsidP="00EF6EBA">
            <w:pPr>
              <w:pStyle w:val="Note"/>
              <w:rPr>
                <w:i/>
              </w:rPr>
            </w:pPr>
            <w:proofErr w:type="spellStart"/>
            <w:r w:rsidRPr="00316298">
              <w:rPr>
                <w:rStyle w:val="NoteLabel"/>
              </w:rPr>
              <w:t>a</w:t>
            </w:r>
            <w:proofErr w:type="spellEnd"/>
            <w:r w:rsidRPr="00316298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316298" w:rsidRDefault="00811442" w:rsidP="00EF6EBA">
            <w:pPr>
              <w:pStyle w:val="Box"/>
              <w:jc w:val="center"/>
              <w:rPr>
                <w:b/>
              </w:rPr>
            </w:pPr>
            <w:r w:rsidRPr="00B552DD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316298" w:rsidRDefault="00811442" w:rsidP="00811442">
      <w:pPr>
        <w:pStyle w:val="Heading4"/>
        <w:ind w:left="1985" w:hanging="1985"/>
        <w:rPr>
          <w:b/>
        </w:rPr>
      </w:pPr>
      <w:r w:rsidRPr="00316298">
        <w:rPr>
          <w:b/>
        </w:rPr>
        <w:t xml:space="preserve">Benchmark 2: </w:t>
      </w:r>
      <w:r w:rsidRPr="00316298">
        <w:rPr>
          <w:b/>
        </w:rPr>
        <w:tab/>
        <w:t>maintaining or increasing coverage in agreed areas of low immunisation coverage</w:t>
      </w:r>
    </w:p>
    <w:p w:rsidR="00811442" w:rsidRPr="0055696A" w:rsidRDefault="00811442" w:rsidP="00811442">
      <w:pPr>
        <w:pStyle w:val="BodyText"/>
      </w:pPr>
      <w:r w:rsidRPr="00316298">
        <w:t xml:space="preserve">Benchmark </w:t>
      </w:r>
      <w:r w:rsidRPr="0055696A">
        <w:t xml:space="preserve">2 was MET: Victoria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 </w:t>
      </w:r>
    </w:p>
    <w:p w:rsidR="00811442" w:rsidRPr="0055696A" w:rsidRDefault="00811442" w:rsidP="00811442">
      <w:pPr>
        <w:pStyle w:val="BodyText"/>
      </w:pPr>
    </w:p>
    <w:tbl>
      <w:tblPr>
        <w:tblW w:w="0" w:type="auto"/>
        <w:tblInd w:w="164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55696A" w:rsidTr="00EF6EBA">
        <w:tc>
          <w:tcPr>
            <w:tcW w:w="8771" w:type="dxa"/>
            <w:shd w:val="pct12" w:color="auto" w:fill="auto"/>
            <w:vAlign w:val="center"/>
          </w:tcPr>
          <w:p w:rsidR="00811442" w:rsidRPr="0055696A" w:rsidRDefault="00811442" w:rsidP="00EF6EBA">
            <w:pPr>
              <w:pStyle w:val="Box"/>
              <w:jc w:val="center"/>
              <w:rPr>
                <w:b/>
              </w:rPr>
            </w:pPr>
            <w:r w:rsidRPr="0055696A">
              <w:rPr>
                <w:b/>
              </w:rPr>
              <w:t>Benchmark met</w:t>
            </w:r>
          </w:p>
        </w:tc>
      </w:tr>
    </w:tbl>
    <w:p w:rsidR="00811442" w:rsidRDefault="00811442" w:rsidP="00811442">
      <w:pPr>
        <w:pStyle w:val="Heading4"/>
        <w:ind w:left="1843" w:hanging="1843"/>
        <w:rPr>
          <w:b/>
        </w:rPr>
      </w:pPr>
    </w:p>
    <w:p w:rsidR="00811442" w:rsidRDefault="00811442" w:rsidP="00811442">
      <w:pPr>
        <w:pStyle w:val="BodyText"/>
        <w:rPr>
          <w:rFonts w:ascii="Arial" w:hAnsi="Arial"/>
        </w:rPr>
      </w:pPr>
      <w:r>
        <w:br w:type="page"/>
      </w:r>
    </w:p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Pr="003617E6" w:rsidRDefault="00811442" w:rsidP="00811442">
      <w:pPr>
        <w:pStyle w:val="BodyText"/>
      </w:pPr>
      <w:r>
        <w:t xml:space="preserve">Benchmark 3 </w:t>
      </w:r>
      <w:r w:rsidRPr="003617E6">
        <w:t>was MET: The rate of wastage or leakage was lower than the benchmark (table 2.6).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6</w:t>
            </w:r>
            <w:r>
              <w:tab/>
              <w:t>Vaccines lost to wastage or leakage in Victoria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3617E6">
                    <w:t>7.1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617E6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3617E6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617E6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3617E6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B564DE" w:rsidRDefault="00811442" w:rsidP="00811442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</w:r>
      <w:r>
        <w:rPr>
          <w:b/>
        </w:rPr>
        <w:t>maintaining or</w:t>
      </w:r>
      <w:r w:rsidRPr="00B564DE">
        <w:rPr>
          <w:b/>
        </w:rPr>
        <w:t xml:space="preserve"> increasing vaccination coverage for four year olds</w:t>
      </w:r>
    </w:p>
    <w:p w:rsidR="00811442" w:rsidRPr="00CC0A62" w:rsidRDefault="00811442" w:rsidP="00811442">
      <w:pPr>
        <w:pStyle w:val="BodyText"/>
      </w:pPr>
      <w:r>
        <w:t xml:space="preserve">Benchmark 4 was </w:t>
      </w:r>
      <w:r w:rsidRPr="00CC0A62">
        <w:t>MET: Vaccination rates for four year old children were higher than the baseline (table 2.7).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7</w:t>
            </w:r>
            <w:r>
              <w:tab/>
              <w:t>Vaccination coverage among four year olds in Victoria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CC0A62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0A62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</w:pPr>
                  <w:r w:rsidRPr="00CC0A62">
                    <w:t>92.3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CC0A62">
                    <w:t>93.1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0A62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0A62" w:rsidRDefault="00811442" w:rsidP="00EF6EBA">
            <w:pPr>
              <w:pStyle w:val="Note"/>
              <w:rPr>
                <w:i/>
              </w:rPr>
            </w:pPr>
            <w:proofErr w:type="spellStart"/>
            <w:r w:rsidRPr="00CC0A62">
              <w:rPr>
                <w:rStyle w:val="NoteLabel"/>
              </w:rPr>
              <w:t>a</w:t>
            </w:r>
            <w:proofErr w:type="spellEnd"/>
            <w:r w:rsidRPr="00CC0A62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0A62" w:rsidRDefault="00811442" w:rsidP="00EF6EBA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Queensland</w:t>
      </w:r>
    </w:p>
    <w:p w:rsidR="00811442" w:rsidRPr="00E25CF1" w:rsidRDefault="00811442" w:rsidP="00811442">
      <w:pPr>
        <w:pStyle w:val="Heading3"/>
      </w:pPr>
      <w:r w:rsidRPr="00E25CF1">
        <w:t>Queensland met all four benchmarks</w:t>
      </w:r>
    </w:p>
    <w:p w:rsidR="00811442" w:rsidRPr="00D14789" w:rsidRDefault="00811442" w:rsidP="00811442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503AF8" w:rsidRDefault="00811442" w:rsidP="00811442">
      <w:pPr>
        <w:pStyle w:val="BodyText"/>
      </w:pPr>
      <w:r w:rsidRPr="00503AF8">
        <w:t>Benchmark 1</w:t>
      </w:r>
      <w:r>
        <w:t xml:space="preserve"> was </w:t>
      </w:r>
      <w:r w:rsidRPr="00B552DD">
        <w:t>MET: Vaccination rates for Indigenous children were higher than the baseline for all three age groups (table 2</w:t>
      </w:r>
      <w:r>
        <w:t>.8</w:t>
      </w:r>
      <w:r w:rsidRPr="00503AF8"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8</w:t>
            </w:r>
            <w:r>
              <w:tab/>
              <w:t>Vaccination coverage rates among Indigenous children in Queensland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  <w:jc w:val="left"/>
                  </w:pPr>
                  <w:r w:rsidRPr="00B552DD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</w:pPr>
                  <w:r w:rsidRPr="00B552DD">
                    <w:t>85.5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  <w:ind w:right="156"/>
                  </w:pPr>
                  <w:r w:rsidRPr="00B552DD">
                    <w:t>88.0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B552DD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</w:tcPr>
                <w:p w:rsidR="00811442" w:rsidRPr="00B552DD" w:rsidRDefault="00811442" w:rsidP="00EF6EBA">
                  <w:pPr>
                    <w:pStyle w:val="TableBodyText"/>
                    <w:jc w:val="left"/>
                  </w:pPr>
                  <w:r w:rsidRPr="00B552DD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B552DD" w:rsidRDefault="00811442" w:rsidP="00EF6EBA">
                  <w:pPr>
                    <w:pStyle w:val="TableBodyText"/>
                  </w:pPr>
                  <w:r w:rsidRPr="00B552DD">
                    <w:t>92.9</w:t>
                  </w:r>
                </w:p>
              </w:tc>
              <w:tc>
                <w:tcPr>
                  <w:tcW w:w="1000" w:type="pct"/>
                </w:tcPr>
                <w:p w:rsidR="00811442" w:rsidRPr="00B552DD" w:rsidRDefault="00811442" w:rsidP="00EF6EBA">
                  <w:pPr>
                    <w:pStyle w:val="TableBodyText"/>
                    <w:ind w:right="156"/>
                  </w:pPr>
                  <w:r w:rsidRPr="00B552DD">
                    <w:t>94.4</w:t>
                  </w:r>
                </w:p>
              </w:tc>
              <w:tc>
                <w:tcPr>
                  <w:tcW w:w="999" w:type="pct"/>
                </w:tcPr>
                <w:p w:rsidR="00811442" w:rsidRPr="00B552DD" w:rsidRDefault="00811442" w:rsidP="00EF6EBA">
                  <w:pPr>
                    <w:pStyle w:val="TableUnitsRow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B552DD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B552DD" w:rsidRDefault="00811442" w:rsidP="00EF6EBA">
                  <w:pPr>
                    <w:pStyle w:val="TableBodyText"/>
                    <w:jc w:val="left"/>
                  </w:pPr>
                  <w:r w:rsidRPr="00B552DD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B552DD" w:rsidRDefault="00811442" w:rsidP="00EF6EBA">
                  <w:pPr>
                    <w:pStyle w:val="TableBodyText"/>
                  </w:pPr>
                  <w:r w:rsidRPr="00B552DD">
                    <w:t>91.9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BodyText"/>
                    <w:ind w:right="156"/>
                  </w:pPr>
                  <w:r w:rsidRPr="00B552DD">
                    <w:t>93.9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B552DD" w:rsidRDefault="00811442" w:rsidP="00EF6EBA">
                  <w:pPr>
                    <w:pStyle w:val="TableBodyText"/>
                    <w:ind w:right="28"/>
                  </w:pPr>
                  <w:r w:rsidRPr="00B552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B552D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552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B552DD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D14789" w:rsidRDefault="00811442" w:rsidP="00811442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E25CF1" w:rsidRDefault="00811442" w:rsidP="00811442">
      <w:pPr>
        <w:pStyle w:val="BodyText"/>
      </w:pPr>
      <w:r w:rsidRPr="00E25CF1">
        <w:t>Benchmark 2 was MET: Queensland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</w:t>
      </w:r>
    </w:p>
    <w:p w:rsidR="00811442" w:rsidRPr="00E25CF1" w:rsidRDefault="00811442" w:rsidP="00811442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E25CF1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E25CF1" w:rsidRDefault="00811442" w:rsidP="00EF6EBA">
            <w:pPr>
              <w:pStyle w:val="Box"/>
              <w:keepNext w:val="0"/>
              <w:jc w:val="center"/>
              <w:rPr>
                <w:b/>
              </w:rPr>
            </w:pPr>
            <w:r w:rsidRPr="00E25CF1">
              <w:rPr>
                <w:b/>
              </w:rPr>
              <w:t>Benchmark met</w:t>
            </w:r>
          </w:p>
        </w:tc>
      </w:tr>
    </w:tbl>
    <w:p w:rsidR="00811442" w:rsidRDefault="00811442" w:rsidP="00811442">
      <w:pPr>
        <w:pStyle w:val="Heading4"/>
        <w:ind w:left="1843" w:hanging="1843"/>
        <w:rPr>
          <w:b/>
        </w:rPr>
      </w:pPr>
    </w:p>
    <w:p w:rsidR="00811442" w:rsidRDefault="00811442" w:rsidP="00811442">
      <w:pPr>
        <w:pStyle w:val="BodyText"/>
        <w:rPr>
          <w:rFonts w:ascii="Arial" w:hAnsi="Arial"/>
        </w:rPr>
      </w:pPr>
      <w:r>
        <w:br w:type="page"/>
      </w:r>
    </w:p>
    <w:p w:rsidR="00811442" w:rsidRPr="00CC78F4" w:rsidRDefault="00811442" w:rsidP="00811442">
      <w:pPr>
        <w:pStyle w:val="Heading4"/>
        <w:ind w:left="1843" w:hanging="1843"/>
        <w:rPr>
          <w:b/>
        </w:rPr>
      </w:pPr>
      <w:r w:rsidRPr="00CC78F4">
        <w:rPr>
          <w:b/>
        </w:rPr>
        <w:lastRenderedPageBreak/>
        <w:t>Benchmark 3:</w:t>
      </w:r>
      <w:r w:rsidRPr="00CC78F4">
        <w:rPr>
          <w:b/>
        </w:rPr>
        <w:tab/>
        <w:t>maintaining or decreasing wastage and leakage</w:t>
      </w:r>
    </w:p>
    <w:p w:rsidR="00811442" w:rsidRPr="00CC78F4" w:rsidRDefault="00811442" w:rsidP="00811442">
      <w:pPr>
        <w:pStyle w:val="BodyText"/>
      </w:pPr>
      <w:r w:rsidRPr="00CC78F4">
        <w:t xml:space="preserve">Benchmark 3 was </w:t>
      </w:r>
      <w:r w:rsidRPr="00195F89">
        <w:t>MET: The rate of wastage or leakage was lower than the benchmark (table 2.9)</w:t>
      </w:r>
      <w:r w:rsidRPr="00CC78F4">
        <w:t>.</w:t>
      </w:r>
    </w:p>
    <w:p w:rsidR="00811442" w:rsidRPr="00CC78F4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CC78F4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TableTitle"/>
            </w:pPr>
            <w:r w:rsidRPr="00CC78F4">
              <w:rPr>
                <w:b w:val="0"/>
              </w:rPr>
              <w:t>Table 2.</w:t>
            </w:r>
            <w:r>
              <w:rPr>
                <w:b w:val="0"/>
                <w:noProof/>
              </w:rPr>
              <w:t>9</w:t>
            </w:r>
            <w:r w:rsidRPr="00CC78F4">
              <w:tab/>
              <w:t>Vaccines lost to wastage or leakage in Queensland</w:t>
            </w:r>
          </w:p>
          <w:p w:rsidR="00811442" w:rsidRPr="00CC78F4" w:rsidRDefault="00811442" w:rsidP="00EF6EBA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3: Maintaining or decreasing wastage or leakage</w:t>
            </w: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</w:pPr>
                  <w:r w:rsidRPr="00195F89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195F89">
                    <w:t>5.2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wastage or leakage is less than or equal to 10 per cent.</w:t>
            </w: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B564DE" w:rsidRDefault="00811442" w:rsidP="00811442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Pr="00B564DE">
        <w:rPr>
          <w:b/>
        </w:rPr>
        <w:t xml:space="preserve"> increasing vaccination coverage for four year olds</w:t>
      </w:r>
    </w:p>
    <w:p w:rsidR="00811442" w:rsidRPr="00CC0A62" w:rsidRDefault="00811442" w:rsidP="00811442">
      <w:pPr>
        <w:pStyle w:val="BodyText"/>
      </w:pPr>
      <w:r w:rsidRPr="00CC78F4">
        <w:t xml:space="preserve">Benchmark 4 was </w:t>
      </w:r>
      <w:r w:rsidRPr="00CC0A62">
        <w:t>MET: Vaccination rates for four year old children were higher than the baseline (table 2.10).</w:t>
      </w:r>
    </w:p>
    <w:p w:rsidR="00811442" w:rsidRPr="00CC78F4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CC78F4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TableTitle"/>
            </w:pPr>
            <w:r w:rsidRPr="00CC78F4">
              <w:rPr>
                <w:b w:val="0"/>
              </w:rPr>
              <w:t>Table 2.</w:t>
            </w:r>
            <w:r>
              <w:rPr>
                <w:b w:val="0"/>
                <w:noProof/>
              </w:rPr>
              <w:t>10</w:t>
            </w:r>
            <w:r w:rsidRPr="00CC78F4">
              <w:tab/>
              <w:t>Vaccination coverage among four year olds in Queensland</w:t>
            </w:r>
          </w:p>
          <w:p w:rsidR="00811442" w:rsidRPr="00CC78F4" w:rsidRDefault="00811442" w:rsidP="00EF6EBA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4: Maintaining or increasing vaccination coverage for four year olds</w:t>
            </w: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CC0A62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0A62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</w:pPr>
                  <w:r w:rsidRPr="00CC0A62">
                    <w:t>91.4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CC0A62">
                    <w:t>92.5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0A62" w:rsidRDefault="00811442" w:rsidP="00EF6EBA">
            <w:pPr>
              <w:pStyle w:val="Box"/>
            </w:pP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0A62" w:rsidRDefault="00811442" w:rsidP="00EF6EBA">
            <w:pPr>
              <w:pStyle w:val="Note"/>
              <w:rPr>
                <w:i/>
              </w:rPr>
            </w:pPr>
            <w:proofErr w:type="spellStart"/>
            <w:r w:rsidRPr="00CC0A62">
              <w:rPr>
                <w:rStyle w:val="NoteLabel"/>
              </w:rPr>
              <w:t>a</w:t>
            </w:r>
            <w:proofErr w:type="spellEnd"/>
            <w:r w:rsidRPr="00CC0A62">
              <w:t xml:space="preserve"> The benchmark is met if the coverage rate is equal to or higher than the baseline or 92.5 per cent.</w:t>
            </w:r>
          </w:p>
        </w:tc>
      </w:tr>
      <w:tr w:rsidR="00811442" w:rsidRPr="00CC78F4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0A62" w:rsidRDefault="00811442" w:rsidP="00EF6EBA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Western Australia</w:t>
      </w:r>
    </w:p>
    <w:p w:rsidR="00811442" w:rsidRPr="00B63DB3" w:rsidRDefault="00811442" w:rsidP="00811442">
      <w:pPr>
        <w:pStyle w:val="Heading3"/>
      </w:pPr>
      <w:r w:rsidRPr="00B63DB3">
        <w:t>Western Australia met all four benchmarks</w:t>
      </w:r>
    </w:p>
    <w:p w:rsidR="00811442" w:rsidRPr="00D14789" w:rsidRDefault="00811442" w:rsidP="00811442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503AF8" w:rsidRDefault="00811442" w:rsidP="00811442">
      <w:pPr>
        <w:pStyle w:val="BodyText"/>
      </w:pPr>
      <w:r>
        <w:t xml:space="preserve">Benchmark 1 </w:t>
      </w:r>
      <w:r w:rsidRPr="00AF39C2">
        <w:t xml:space="preserve">was MET: Vaccination rates for Indigenous children were higher than the baseline for all three age groups (table </w:t>
      </w:r>
      <w:r>
        <w:t>2.11</w:t>
      </w:r>
      <w:r w:rsidRPr="00503AF8"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11</w:t>
            </w:r>
            <w:r>
              <w:tab/>
              <w:t>Vaccination coverage rates among Indigenous children in WA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AF39C2" w:rsidRDefault="00811442" w:rsidP="00EF6EBA">
                  <w:pPr>
                    <w:pStyle w:val="TableUnitsRow"/>
                  </w:pPr>
                  <w:r w:rsidRPr="00AF39C2">
                    <w:t>78.9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AF39C2" w:rsidRDefault="00811442" w:rsidP="00EF6EBA">
                  <w:pPr>
                    <w:pStyle w:val="TableUnitsRow"/>
                    <w:ind w:right="156"/>
                  </w:pPr>
                  <w:r w:rsidRPr="00AF39C2">
                    <w:t>83.9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AF39C2" w:rsidRDefault="00811442" w:rsidP="00EF6EBA">
                  <w:pPr>
                    <w:pStyle w:val="TableUnitsRow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AF39C2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AF39C2" w:rsidRDefault="00811442" w:rsidP="00EF6EBA">
                  <w:pPr>
                    <w:pStyle w:val="TableBodyText"/>
                  </w:pPr>
                  <w:r w:rsidRPr="00AF39C2">
                    <w:t>89.4</w:t>
                  </w:r>
                </w:p>
              </w:tc>
              <w:tc>
                <w:tcPr>
                  <w:tcW w:w="1000" w:type="pct"/>
                </w:tcPr>
                <w:p w:rsidR="00811442" w:rsidRPr="00AF39C2" w:rsidRDefault="00811442" w:rsidP="00EF6EBA">
                  <w:pPr>
                    <w:pStyle w:val="TableBodyText"/>
                    <w:ind w:right="156"/>
                  </w:pPr>
                  <w:r w:rsidRPr="00AF39C2">
                    <w:t>93.1</w:t>
                  </w:r>
                </w:p>
              </w:tc>
              <w:tc>
                <w:tcPr>
                  <w:tcW w:w="999" w:type="pct"/>
                </w:tcPr>
                <w:p w:rsidR="00811442" w:rsidRPr="00AF39C2" w:rsidRDefault="00811442" w:rsidP="00EF6EBA">
                  <w:pPr>
                    <w:pStyle w:val="TableUnitsRow"/>
                    <w:spacing w:before="0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AF39C2" w:rsidRDefault="00811442" w:rsidP="00EF6EBA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AF39C2" w:rsidRDefault="00811442" w:rsidP="00EF6EBA">
                  <w:pPr>
                    <w:pStyle w:val="TableBodyText"/>
                  </w:pPr>
                  <w:r w:rsidRPr="00AF39C2">
                    <w:t>86.9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AF39C2" w:rsidRDefault="00811442" w:rsidP="00EF6EBA">
                  <w:pPr>
                    <w:pStyle w:val="TableBodyText"/>
                    <w:ind w:right="156"/>
                  </w:pPr>
                  <w:r w:rsidRPr="00AF39C2">
                    <w:t>92.4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AF39C2" w:rsidRDefault="00811442" w:rsidP="00EF6EBA">
                  <w:pPr>
                    <w:pStyle w:val="TableBodyText"/>
                    <w:ind w:right="28"/>
                  </w:pPr>
                  <w:r w:rsidRPr="00AF39C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AF39C2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AF39C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AF39C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D14789" w:rsidRDefault="00811442" w:rsidP="00811442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B63DB3" w:rsidRDefault="00811442" w:rsidP="00811442">
      <w:pPr>
        <w:pStyle w:val="BodyText"/>
      </w:pPr>
      <w:r>
        <w:t xml:space="preserve">Benchmark </w:t>
      </w:r>
      <w:r w:rsidRPr="00B63DB3">
        <w:t>2 was MET: Vaccination rates were above the baseline for both age groups (table 2.12).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12</w:t>
            </w:r>
            <w:r>
              <w:tab/>
              <w:t>Low vaccine coverage areas in WA</w:t>
            </w:r>
          </w:p>
          <w:p w:rsidR="00811442" w:rsidRPr="007E6D4D" w:rsidRDefault="00811442" w:rsidP="00EF6EBA">
            <w:pPr>
              <w:pStyle w:val="Subtitle"/>
              <w:ind w:left="0"/>
              <w:rPr>
                <w:b/>
              </w:rPr>
            </w:pPr>
            <w:r w:rsidRPr="007E6D4D">
              <w:rPr>
                <w:b/>
              </w:rPr>
              <w:t>Benchmark 2: Maintaining or increasing vaccine coverage in agreed areas of low vaccine coverage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B63DB3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B63DB3" w:rsidRDefault="00811442" w:rsidP="00EF6EBA">
                  <w:pPr>
                    <w:pStyle w:val="TableColumnHeading"/>
                    <w:jc w:val="left"/>
                  </w:pPr>
                  <w:r w:rsidRPr="00B63DB3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B63DB3" w:rsidRDefault="00811442" w:rsidP="00EF6EBA">
                  <w:pPr>
                    <w:pStyle w:val="TableColumnHeading"/>
                  </w:pPr>
                  <w:r w:rsidRPr="00B63DB3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B63DB3" w:rsidRDefault="00811442" w:rsidP="00EF6EBA">
                  <w:pPr>
                    <w:pStyle w:val="TableColumnHeading"/>
                    <w:ind w:right="155"/>
                  </w:pPr>
                  <w:r w:rsidRPr="00B63DB3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B63DB3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B63DB3">
                    <w:t>Assessment</w:t>
                  </w:r>
                  <w:r w:rsidRPr="00B63DB3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B63DB3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B63DB3" w:rsidRDefault="00811442" w:rsidP="00EF6EBA">
                  <w:pPr>
                    <w:pStyle w:val="TableUnitsRow"/>
                    <w:jc w:val="left"/>
                  </w:pPr>
                  <w:r w:rsidRPr="00B63DB3">
                    <w:t>12–15 months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</w:tcBorders>
                </w:tcPr>
                <w:p w:rsidR="00811442" w:rsidRPr="00826898" w:rsidRDefault="00811442" w:rsidP="00EF6EBA">
                  <w:pPr>
                    <w:pStyle w:val="TableUnitsRow"/>
                  </w:pPr>
                  <w:r>
                    <w:t>85.6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826898" w:rsidRDefault="00811442" w:rsidP="00EF6EBA">
                  <w:pPr>
                    <w:pStyle w:val="TableUnitsRow"/>
                    <w:ind w:right="155"/>
                  </w:pPr>
                  <w:r w:rsidRPr="00826898">
                    <w:t>89.2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B63DB3" w:rsidRDefault="00811442" w:rsidP="00EF6EBA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B63DB3">
                    <w:tab/>
                  </w:r>
                  <w:r w:rsidRPr="00B63D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B63DB3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63D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B63DB3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B63DB3" w:rsidRDefault="00811442" w:rsidP="00EF6EBA">
                  <w:pPr>
                    <w:pStyle w:val="TableBodyText"/>
                    <w:jc w:val="left"/>
                  </w:pPr>
                  <w:r w:rsidRPr="00B63DB3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826898" w:rsidRDefault="00811442" w:rsidP="00EF6EBA">
                  <w:pPr>
                    <w:pStyle w:val="TableBodyText"/>
                  </w:pPr>
                  <w:r w:rsidRPr="00826898">
                    <w:t>86.2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826898" w:rsidRDefault="00811442" w:rsidP="00EF6EBA">
                  <w:pPr>
                    <w:pStyle w:val="TableBodyText"/>
                    <w:ind w:right="155"/>
                  </w:pPr>
                  <w:r w:rsidRPr="00826898">
                    <w:t>90.2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B63DB3" w:rsidRDefault="00811442" w:rsidP="00EF6EBA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B63DB3">
                    <w:tab/>
                  </w:r>
                  <w:r w:rsidRPr="00B63D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B63DB3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B63D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B63DB3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B63DB3" w:rsidRDefault="00811442" w:rsidP="00EF6EBA">
            <w:pPr>
              <w:pStyle w:val="Note"/>
              <w:rPr>
                <w:i/>
              </w:rPr>
            </w:pPr>
            <w:proofErr w:type="spellStart"/>
            <w:r w:rsidRPr="00B63DB3">
              <w:rPr>
                <w:rStyle w:val="NoteLabel"/>
              </w:rPr>
              <w:t>a</w:t>
            </w:r>
            <w:proofErr w:type="spellEnd"/>
            <w:r w:rsidRPr="00B63DB3">
              <w:t xml:space="preserve"> The benchmark is met if coverage for both age groups is greater than or equal to the baseline.</w:t>
            </w:r>
          </w:p>
        </w:tc>
      </w:tr>
      <w:tr w:rsidR="00811442" w:rsidRPr="00E9228A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B63DB3" w:rsidRDefault="00811442" w:rsidP="00EF6EBA">
            <w:pPr>
              <w:pStyle w:val="Box"/>
              <w:jc w:val="center"/>
              <w:rPr>
                <w:b/>
              </w:rPr>
            </w:pPr>
            <w:r w:rsidRPr="00B63DB3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Default="00811442" w:rsidP="00811442">
      <w:pPr>
        <w:pStyle w:val="BodyText"/>
      </w:pPr>
      <w:r>
        <w:t xml:space="preserve">Benchmark 3 was </w:t>
      </w:r>
      <w:r w:rsidRPr="00195F89">
        <w:t xml:space="preserve">MET: The rate of wastage or leakage was lower than the benchmark </w:t>
      </w:r>
      <w:r>
        <w:t>(table 2.13).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13</w:t>
            </w:r>
            <w:r>
              <w:tab/>
              <w:t>Vaccines lost to wastage or leakage in WA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195F89">
                    <w:t>6.7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B564DE" w:rsidRDefault="00811442" w:rsidP="00811442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Pr="00B564DE">
        <w:rPr>
          <w:b/>
        </w:rPr>
        <w:t xml:space="preserve"> increasing vaccination coverage for four year olds</w:t>
      </w:r>
    </w:p>
    <w:p w:rsidR="00811442" w:rsidRDefault="00811442" w:rsidP="00811442">
      <w:pPr>
        <w:pStyle w:val="BodyText"/>
      </w:pPr>
      <w:r>
        <w:t xml:space="preserve">Benchmark 4 </w:t>
      </w:r>
      <w:r w:rsidRPr="00CC0A62">
        <w:t>was MET: Vaccination rates for four year old children were higher than the baseline (table 2.1</w:t>
      </w:r>
      <w:r>
        <w:t>4).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14</w:t>
            </w:r>
            <w:r>
              <w:tab/>
              <w:t>Vaccination coverage among four year olds in WA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CC0A62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0A62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</w:pPr>
                  <w:r w:rsidRPr="00CC0A62">
                    <w:t>88.9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CC0A62">
                    <w:t>91.2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0A62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0A62" w:rsidRDefault="00811442" w:rsidP="00EF6EBA">
            <w:pPr>
              <w:pStyle w:val="Note"/>
              <w:rPr>
                <w:i/>
              </w:rPr>
            </w:pPr>
            <w:proofErr w:type="spellStart"/>
            <w:r w:rsidRPr="00CC0A62">
              <w:rPr>
                <w:rStyle w:val="NoteLabel"/>
              </w:rPr>
              <w:t>a</w:t>
            </w:r>
            <w:proofErr w:type="spellEnd"/>
            <w:r w:rsidRPr="00CC0A62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0A62" w:rsidRDefault="00811442" w:rsidP="00EF6EBA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South Australia</w:t>
      </w:r>
    </w:p>
    <w:p w:rsidR="00811442" w:rsidRPr="00E01DED" w:rsidRDefault="00811442" w:rsidP="00811442">
      <w:pPr>
        <w:pStyle w:val="Heading3"/>
      </w:pPr>
      <w:r w:rsidRPr="00E01DED">
        <w:t>South Australia has met all four benchmarks</w:t>
      </w:r>
    </w:p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503AF8" w:rsidRDefault="00811442" w:rsidP="00811442">
      <w:pPr>
        <w:pStyle w:val="BodyText"/>
      </w:pPr>
      <w:r>
        <w:t xml:space="preserve">Benchmark 1 was </w:t>
      </w:r>
      <w:r w:rsidRPr="00976AB3">
        <w:t xml:space="preserve">MET: Vaccination rates for Indigenous children were higher than the baseline for all three age groups </w:t>
      </w:r>
      <w:r>
        <w:t>(table 2.15</w:t>
      </w:r>
      <w:r w:rsidRPr="00503AF8"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15</w:t>
            </w:r>
            <w:r>
              <w:tab/>
              <w:t>Vaccination coverage rates among Indigenous children in SA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3B7DDD" w:rsidRDefault="00811442" w:rsidP="00EF6EBA">
                  <w:pPr>
                    <w:pStyle w:val="TableUnitsRow"/>
                  </w:pPr>
                  <w:r w:rsidRPr="003B7DDD">
                    <w:t>78.2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3B7DDD" w:rsidRDefault="00811442" w:rsidP="00EF6EBA">
                  <w:pPr>
                    <w:pStyle w:val="TableUnitsRow"/>
                    <w:ind w:right="156"/>
                  </w:pPr>
                  <w:r w:rsidRPr="003B7DDD">
                    <w:t>89.6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3B7DDD" w:rsidRDefault="00811442" w:rsidP="00EF6EBA">
                  <w:pPr>
                    <w:pStyle w:val="TableUnitsRow"/>
                    <w:ind w:right="28"/>
                  </w:pPr>
                  <w:r w:rsidRPr="003B7DD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3B7DDD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3B7DDD" w:rsidRDefault="00811442" w:rsidP="00EF6EBA">
                  <w:pPr>
                    <w:pStyle w:val="TableBodyText"/>
                  </w:pPr>
                  <w:r w:rsidRPr="003B7DDD">
                    <w:t>88.9</w:t>
                  </w:r>
                </w:p>
              </w:tc>
              <w:tc>
                <w:tcPr>
                  <w:tcW w:w="1000" w:type="pct"/>
                </w:tcPr>
                <w:p w:rsidR="00811442" w:rsidRPr="00826898" w:rsidRDefault="00811442" w:rsidP="00EF6EBA">
                  <w:pPr>
                    <w:pStyle w:val="TableBodyText"/>
                    <w:ind w:right="156"/>
                  </w:pPr>
                  <w:r w:rsidRPr="00826898">
                    <w:t>94.2</w:t>
                  </w:r>
                </w:p>
              </w:tc>
              <w:tc>
                <w:tcPr>
                  <w:tcW w:w="999" w:type="pct"/>
                </w:tcPr>
                <w:p w:rsidR="00811442" w:rsidRPr="00826898" w:rsidRDefault="00811442" w:rsidP="00EF6EBA">
                  <w:pPr>
                    <w:pStyle w:val="TableBodyText"/>
                    <w:ind w:right="28"/>
                  </w:pPr>
                  <w:r w:rsidRPr="00826898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3B7DD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B7DDD" w:rsidRDefault="00811442" w:rsidP="00EF6EBA">
                  <w:pPr>
                    <w:pStyle w:val="TableBodyText"/>
                  </w:pPr>
                  <w:r w:rsidRPr="003B7DDD">
                    <w:t>85.6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826898" w:rsidRDefault="00811442" w:rsidP="00EF6EBA">
                  <w:pPr>
                    <w:pStyle w:val="TableBodyText"/>
                    <w:ind w:right="156"/>
                  </w:pPr>
                  <w:r w:rsidRPr="00826898">
                    <w:t>93.4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826898" w:rsidRDefault="00811442" w:rsidP="00EF6EBA">
                  <w:pPr>
                    <w:pStyle w:val="TableBodyText"/>
                    <w:ind w:right="28"/>
                  </w:pPr>
                  <w:r w:rsidRPr="00826898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3B7DDD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B7DD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976AB3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E01DED" w:rsidRDefault="00811442" w:rsidP="00811442">
      <w:pPr>
        <w:pStyle w:val="BodyText"/>
      </w:pPr>
      <w:r w:rsidRPr="00E01DED">
        <w:t xml:space="preserve">Benchmark 2 was MET: SA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 </w:t>
      </w:r>
    </w:p>
    <w:p w:rsidR="00811442" w:rsidRPr="00E01DED" w:rsidRDefault="00811442" w:rsidP="00811442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E01DED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E01DED" w:rsidRDefault="00811442" w:rsidP="00EF6EBA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</w:tbl>
    <w:p w:rsidR="00811442" w:rsidRDefault="00811442" w:rsidP="00811442">
      <w:pPr>
        <w:pStyle w:val="Heading4"/>
        <w:rPr>
          <w:b/>
        </w:rPr>
      </w:pPr>
    </w:p>
    <w:p w:rsidR="00811442" w:rsidRDefault="00811442" w:rsidP="00811442">
      <w:pPr>
        <w:pStyle w:val="BodyText"/>
        <w:rPr>
          <w:rFonts w:ascii="Arial" w:hAnsi="Arial"/>
        </w:rPr>
      </w:pPr>
      <w:r>
        <w:br w:type="page"/>
      </w:r>
    </w:p>
    <w:p w:rsidR="00811442" w:rsidRDefault="00811442" w:rsidP="00811442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Default="00811442" w:rsidP="00811442">
      <w:pPr>
        <w:pStyle w:val="BodyText"/>
      </w:pPr>
      <w:r>
        <w:t xml:space="preserve">Benchmark 3 was </w:t>
      </w:r>
      <w:r w:rsidRPr="00195F89">
        <w:t xml:space="preserve">MET: The rate of wastage or leakage was lower than the benchmark </w:t>
      </w:r>
      <w:r>
        <w:t>(table 2.16).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16</w:t>
            </w:r>
            <w:r>
              <w:tab/>
              <w:t>Vaccines lost to wastage or leakage in SA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195F89">
                    <w:t>6.3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195F8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95F8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195F89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Pr="00FC0A91" w:rsidRDefault="00811442" w:rsidP="00811442">
      <w:pPr>
        <w:pStyle w:val="Heading4"/>
        <w:ind w:left="1985" w:hanging="1985"/>
        <w:rPr>
          <w:b/>
        </w:rPr>
      </w:pPr>
      <w:r>
        <w:rPr>
          <w:b/>
        </w:rPr>
        <w:t>Benchmark 4:</w:t>
      </w:r>
      <w:r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811442" w:rsidRDefault="00811442" w:rsidP="00811442">
      <w:pPr>
        <w:pStyle w:val="BodyText"/>
      </w:pPr>
      <w:r>
        <w:t xml:space="preserve">Benchmark 4 </w:t>
      </w:r>
      <w:r w:rsidRPr="00CC0A62">
        <w:t>was MET: Vaccination rates for four year old children were higher than the baseline (table 2.1</w:t>
      </w:r>
      <w:r>
        <w:t>7).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17</w:t>
            </w:r>
            <w:r>
              <w:tab/>
              <w:t>Vaccination coverage among four year olds in SA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CC0A62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  <w:jc w:val="left"/>
                  </w:pPr>
                  <w:r w:rsidRPr="00CC0A62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0A62" w:rsidRDefault="00811442" w:rsidP="00EF6EBA">
                  <w:pPr>
                    <w:pStyle w:val="TableColumnHeading"/>
                  </w:pPr>
                  <w:r w:rsidRPr="00CC0A62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ind w:right="155"/>
                  </w:pPr>
                  <w:r w:rsidRPr="00CC0A62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0A62">
                    <w:t>Assessment</w:t>
                  </w:r>
                  <w:r w:rsidRPr="00CC0A62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0A62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0A62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</w:pPr>
                  <w:r w:rsidRPr="00CC0A62">
                    <w:t>90.2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CC0A62">
                    <w:t>91.7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CC0A62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CC0A6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0A62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0A62" w:rsidRDefault="00811442" w:rsidP="00EF6EBA">
            <w:pPr>
              <w:pStyle w:val="Note"/>
              <w:rPr>
                <w:i/>
              </w:rPr>
            </w:pPr>
            <w:proofErr w:type="spellStart"/>
            <w:r w:rsidRPr="00CC0A62">
              <w:rPr>
                <w:rStyle w:val="NoteLabel"/>
              </w:rPr>
              <w:t>a</w:t>
            </w:r>
            <w:proofErr w:type="spellEnd"/>
            <w:r w:rsidRPr="00CC0A62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0A62" w:rsidRDefault="00811442" w:rsidP="00EF6EBA">
            <w:pPr>
              <w:pStyle w:val="Box"/>
              <w:jc w:val="center"/>
              <w:rPr>
                <w:b/>
              </w:rPr>
            </w:pPr>
            <w:r w:rsidRPr="00CC0A6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Tasmania</w:t>
      </w:r>
    </w:p>
    <w:p w:rsidR="00811442" w:rsidRPr="00E01DED" w:rsidRDefault="00811442" w:rsidP="00811442">
      <w:pPr>
        <w:pStyle w:val="Heading3"/>
      </w:pPr>
      <w:r w:rsidRPr="00E01DED">
        <w:t xml:space="preserve">Tasmania has met </w:t>
      </w:r>
      <w:r>
        <w:t>all</w:t>
      </w:r>
      <w:r w:rsidRPr="00E01DED">
        <w:t xml:space="preserve"> four benchmarks</w:t>
      </w:r>
    </w:p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503AF8" w:rsidRDefault="00811442" w:rsidP="00811442">
      <w:pPr>
        <w:pStyle w:val="BodyText"/>
      </w:pPr>
      <w:r w:rsidRPr="00503AF8">
        <w:t xml:space="preserve">Benchmark 1 </w:t>
      </w:r>
      <w:r w:rsidRPr="0050597E">
        <w:t xml:space="preserve">was MET: Vaccination rates for Indigenous children were higher for two of the three age groups — lower than the baseline for the 24–27 months age group </w:t>
      </w:r>
      <w:r>
        <w:t>(table 2.18</w:t>
      </w:r>
      <w:r w:rsidRPr="00503AF8"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18</w:t>
            </w:r>
            <w:r>
              <w:tab/>
              <w:t>Vaccination coverage rates among Indigenous children in Tasmania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976AB3" w:rsidRDefault="00811442" w:rsidP="00EF6EBA">
                  <w:pPr>
                    <w:pStyle w:val="TableUnitsRow"/>
                  </w:pPr>
                  <w:r w:rsidRPr="00976AB3">
                    <w:t>89.7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976AB3" w:rsidRDefault="00811442" w:rsidP="00EF6EBA">
                  <w:pPr>
                    <w:pStyle w:val="TableUnitsRow"/>
                    <w:ind w:right="156"/>
                  </w:pPr>
                  <w:r w:rsidRPr="00976AB3">
                    <w:t>93.5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976AB3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976A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976AB3" w:rsidRDefault="00811442" w:rsidP="00EF6EBA">
                  <w:pPr>
                    <w:pStyle w:val="TableBodyText"/>
                    <w:spacing w:before="4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976AB3" w:rsidRDefault="00811442" w:rsidP="00EF6EBA">
                  <w:pPr>
                    <w:pStyle w:val="TableBodyText"/>
                  </w:pPr>
                  <w:r w:rsidRPr="00976AB3">
                    <w:t>93.2</w:t>
                  </w:r>
                </w:p>
              </w:tc>
              <w:tc>
                <w:tcPr>
                  <w:tcW w:w="1000" w:type="pct"/>
                </w:tcPr>
                <w:p w:rsidR="00811442" w:rsidRPr="00976AB3" w:rsidRDefault="00811442" w:rsidP="00EF6EBA">
                  <w:pPr>
                    <w:pStyle w:val="TableBodyText"/>
                    <w:ind w:right="156"/>
                  </w:pPr>
                  <w:r w:rsidRPr="00976AB3">
                    <w:t>91.7</w:t>
                  </w:r>
                </w:p>
              </w:tc>
              <w:tc>
                <w:tcPr>
                  <w:tcW w:w="999" w:type="pct"/>
                </w:tcPr>
                <w:p w:rsidR="00811442" w:rsidRPr="00976AB3" w:rsidRDefault="00811442" w:rsidP="00EF6EBA">
                  <w:pPr>
                    <w:pStyle w:val="TableBodyText"/>
                    <w:ind w:right="28"/>
                  </w:pPr>
                  <w:r w:rsidRPr="00976AB3">
                    <w:sym w:font="Wingdings" w:char="F0E2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976AB3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976AB3" w:rsidRDefault="00811442" w:rsidP="00EF6EBA">
                  <w:pPr>
                    <w:pStyle w:val="TableBodyText"/>
                  </w:pPr>
                  <w:r w:rsidRPr="00976AB3">
                    <w:t>91.4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976AB3" w:rsidRDefault="00811442" w:rsidP="00EF6EBA">
                  <w:pPr>
                    <w:pStyle w:val="TableBodyText"/>
                    <w:ind w:right="156"/>
                  </w:pPr>
                  <w:r w:rsidRPr="00976AB3">
                    <w:t>95.5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976AB3" w:rsidRDefault="00811442" w:rsidP="00EF6EBA">
                  <w:pPr>
                    <w:pStyle w:val="TableUnitsRow"/>
                    <w:spacing w:before="0"/>
                    <w:ind w:right="28"/>
                  </w:pPr>
                  <w:r w:rsidRPr="00976AB3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976AB3" w:rsidRDefault="00811442" w:rsidP="00EF6EBA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976AB3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976AB3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E01DED" w:rsidRDefault="00811442" w:rsidP="00811442">
      <w:pPr>
        <w:pStyle w:val="BodyText"/>
      </w:pPr>
      <w:r w:rsidRPr="00316298">
        <w:t xml:space="preserve">Benchmark 2 </w:t>
      </w:r>
      <w:r w:rsidRPr="00E01DED">
        <w:t xml:space="preserve">was MET: Tasmania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 </w:t>
      </w:r>
    </w:p>
    <w:p w:rsidR="00811442" w:rsidRPr="00E01DED" w:rsidRDefault="00811442" w:rsidP="00811442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E01DED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E01DED" w:rsidRDefault="00811442" w:rsidP="00EF6EBA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Pr="003B4D10" w:rsidRDefault="00811442" w:rsidP="00811442">
      <w:pPr>
        <w:pStyle w:val="BodyText"/>
      </w:pPr>
      <w:r>
        <w:t xml:space="preserve">Benchmark 3 </w:t>
      </w:r>
      <w:r w:rsidRPr="003B4D10">
        <w:t>was MET: The rate of wastage or leakage was lower than the benchmark (table 2.19).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19</w:t>
            </w:r>
            <w:r>
              <w:tab/>
              <w:t>Vaccines lost to wastage or leakage in Tasmania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CC78F4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CC78F4" w:rsidRDefault="00811442" w:rsidP="00EF6EBA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CC78F4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CC78F4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CC78F4" w:rsidRDefault="00811442" w:rsidP="00EF6EBA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3B4D10">
                    <w:t>6.8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B4D10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B4D10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CC78F4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CC78F4" w:rsidRDefault="00811442" w:rsidP="00EF6EBA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CC78F4" w:rsidRDefault="00811442" w:rsidP="00EF6EBA">
            <w:pPr>
              <w:pStyle w:val="Box"/>
              <w:jc w:val="center"/>
              <w:rPr>
                <w:b/>
              </w:rPr>
            </w:pPr>
            <w:r w:rsidRPr="003B4D10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>
        <w:rPr>
          <w:b/>
        </w:rPr>
        <w:t>Benchmark 4:</w:t>
      </w:r>
      <w:r w:rsidRPr="00FC0A91">
        <w:rPr>
          <w:b/>
        </w:rPr>
        <w:tab/>
      </w:r>
      <w:r>
        <w:rPr>
          <w:b/>
        </w:rPr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811442" w:rsidRPr="00D05C59" w:rsidRDefault="00811442" w:rsidP="00811442">
      <w:pPr>
        <w:pStyle w:val="BodyText"/>
      </w:pPr>
      <w:r>
        <w:t xml:space="preserve">Benchmark 4 </w:t>
      </w:r>
      <w:r w:rsidRPr="00D05C59">
        <w:t>was MET: Vaccination rates for four year old children were higher than the baseline (table 2.20).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20</w:t>
            </w:r>
            <w:r>
              <w:tab/>
              <w:t>Vaccination coverage among four year olds in Tasmania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D05C59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D05C59" w:rsidRDefault="00811442" w:rsidP="00EF6EBA">
                  <w:pPr>
                    <w:pStyle w:val="TableColumnHeading"/>
                    <w:jc w:val="left"/>
                  </w:pPr>
                  <w:r w:rsidRPr="00D05C59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D05C59" w:rsidRDefault="00811442" w:rsidP="00EF6EBA">
                  <w:pPr>
                    <w:pStyle w:val="TableColumnHeading"/>
                  </w:pPr>
                  <w:r w:rsidRPr="00D05C59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D05C59" w:rsidRDefault="00811442" w:rsidP="00EF6EBA">
                  <w:pPr>
                    <w:pStyle w:val="TableColumnHeading"/>
                    <w:ind w:right="155"/>
                  </w:pPr>
                  <w:r w:rsidRPr="00D05C59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D05C59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D05C59">
                    <w:t>Assessment</w:t>
                  </w:r>
                  <w:r w:rsidRPr="00D05C59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D05C59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D05C59" w:rsidRDefault="00811442" w:rsidP="00EF6EBA">
                  <w:pPr>
                    <w:pStyle w:val="TableBodyText"/>
                    <w:spacing w:before="40"/>
                    <w:jc w:val="left"/>
                  </w:pPr>
                  <w:r w:rsidRPr="00D05C59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D05C59" w:rsidRDefault="00811442" w:rsidP="00EF6EBA">
                  <w:pPr>
                    <w:pStyle w:val="TableBodyText"/>
                    <w:spacing w:before="40"/>
                  </w:pPr>
                  <w:r w:rsidRPr="00D05C59">
                    <w:t>92.1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D05C59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D05C59">
                    <w:t>93.7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D05C5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D05C59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D05C59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D05C59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D05C59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D05C59" w:rsidRDefault="00811442" w:rsidP="00EF6EBA">
            <w:pPr>
              <w:pStyle w:val="Note"/>
              <w:rPr>
                <w:i/>
              </w:rPr>
            </w:pPr>
            <w:proofErr w:type="spellStart"/>
            <w:r w:rsidRPr="00D05C59">
              <w:rPr>
                <w:rStyle w:val="NoteLabel"/>
              </w:rPr>
              <w:t>a</w:t>
            </w:r>
            <w:proofErr w:type="spellEnd"/>
            <w:r w:rsidRPr="00D05C59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D05C59" w:rsidRDefault="00811442" w:rsidP="00EF6EBA">
            <w:pPr>
              <w:pStyle w:val="Box"/>
              <w:jc w:val="center"/>
              <w:rPr>
                <w:b/>
              </w:rPr>
            </w:pPr>
            <w:r w:rsidRPr="00D05C59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Australian Capital Territory</w:t>
      </w:r>
    </w:p>
    <w:p w:rsidR="00811442" w:rsidRPr="0072601B" w:rsidRDefault="00811442" w:rsidP="00811442">
      <w:pPr>
        <w:pStyle w:val="Heading3"/>
      </w:pPr>
      <w:r w:rsidRPr="0072601B">
        <w:t>The Australian Capital Territory has met all four benchmarks</w:t>
      </w:r>
    </w:p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503AF8" w:rsidRDefault="00811442" w:rsidP="00811442">
      <w:pPr>
        <w:pStyle w:val="BodyText"/>
      </w:pPr>
      <w:r w:rsidRPr="00503AF8">
        <w:t xml:space="preserve">Benchmark </w:t>
      </w:r>
      <w:r>
        <w:t xml:space="preserve">1 </w:t>
      </w:r>
      <w:r w:rsidRPr="0050597E">
        <w:t xml:space="preserve">was MET: Vaccination rates for Indigenous children were higher than the baseline for all three age groups </w:t>
      </w:r>
      <w:r>
        <w:t>(table 2.21</w:t>
      </w:r>
      <w:r w:rsidRPr="00503AF8"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21</w:t>
            </w:r>
            <w:r>
              <w:tab/>
              <w:t>Vaccination coverage rates among Indigenous children in the ACT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72601B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2601B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UnitsRow"/>
                    <w:jc w:val="left"/>
                  </w:pPr>
                  <w:r w:rsidRPr="0072601B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50597E" w:rsidRDefault="00811442" w:rsidP="00EF6EBA">
                  <w:pPr>
                    <w:pStyle w:val="TableUnitsRow"/>
                  </w:pPr>
                  <w:r w:rsidRPr="0050597E">
                    <w:t>89.0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50597E" w:rsidRDefault="00811442" w:rsidP="00EF6EBA">
                  <w:pPr>
                    <w:pStyle w:val="TableUnitsRow"/>
                    <w:ind w:right="156"/>
                  </w:pPr>
                  <w:r w:rsidRPr="0050597E">
                    <w:t>93.6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50597E" w:rsidRDefault="00811442" w:rsidP="00EF6EBA">
                  <w:pPr>
                    <w:pStyle w:val="TableUnitsRow"/>
                    <w:ind w:right="28"/>
                  </w:pPr>
                  <w:r w:rsidRPr="0050597E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50597E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50597E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72601B" w:rsidTr="00EF6EBA">
              <w:tc>
                <w:tcPr>
                  <w:tcW w:w="1000" w:type="pct"/>
                </w:tcPr>
                <w:p w:rsidR="00811442" w:rsidRPr="0072601B" w:rsidRDefault="00811442" w:rsidP="00EF6EBA">
                  <w:pPr>
                    <w:pStyle w:val="TableBodyText"/>
                    <w:jc w:val="left"/>
                  </w:pPr>
                  <w:r w:rsidRPr="0072601B"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50597E" w:rsidRDefault="00811442" w:rsidP="00EF6EBA">
                  <w:pPr>
                    <w:pStyle w:val="TableBodyText"/>
                  </w:pPr>
                  <w:r w:rsidRPr="0050597E">
                    <w:t>92.5</w:t>
                  </w:r>
                </w:p>
              </w:tc>
              <w:tc>
                <w:tcPr>
                  <w:tcW w:w="1000" w:type="pct"/>
                </w:tcPr>
                <w:p w:rsidR="00811442" w:rsidRPr="0050597E" w:rsidRDefault="00811442" w:rsidP="00EF6EBA">
                  <w:pPr>
                    <w:pStyle w:val="TableBodyText"/>
                    <w:ind w:right="156"/>
                  </w:pPr>
                  <w:r w:rsidRPr="0050597E">
                    <w:t>95.7</w:t>
                  </w:r>
                </w:p>
              </w:tc>
              <w:tc>
                <w:tcPr>
                  <w:tcW w:w="999" w:type="pct"/>
                </w:tcPr>
                <w:p w:rsidR="00811442" w:rsidRPr="0050597E" w:rsidRDefault="00811442" w:rsidP="00EF6EBA">
                  <w:pPr>
                    <w:pStyle w:val="TableBodyText"/>
                    <w:ind w:right="28"/>
                  </w:pPr>
                  <w:r w:rsidRPr="0050597E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50597E" w:rsidRDefault="00811442" w:rsidP="00EF6EBA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50597E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RPr="0072601B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2601B" w:rsidRDefault="00811442" w:rsidP="00EF6EBA">
                  <w:pPr>
                    <w:pStyle w:val="TableBodyText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50597E" w:rsidRDefault="00811442" w:rsidP="00EF6EBA">
                  <w:pPr>
                    <w:pStyle w:val="TableBodyText"/>
                  </w:pPr>
                  <w:r w:rsidRPr="0050597E">
                    <w:t>91.0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50597E" w:rsidRDefault="00811442" w:rsidP="00EF6EBA">
                  <w:pPr>
                    <w:pStyle w:val="TableBodyText"/>
                    <w:ind w:right="156"/>
                  </w:pPr>
                  <w:r w:rsidRPr="0050597E">
                    <w:t>93.0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50597E" w:rsidRDefault="00811442" w:rsidP="00EF6EBA">
                  <w:pPr>
                    <w:pStyle w:val="TableUnitsRow"/>
                    <w:spacing w:before="0"/>
                    <w:ind w:right="28"/>
                  </w:pPr>
                  <w:r w:rsidRPr="0050597E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50597E" w:rsidRDefault="00811442" w:rsidP="00EF6EBA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50597E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2601B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2601B" w:rsidRDefault="00811442" w:rsidP="00EF6EBA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at least two of the three age groups have coverage rates equal to or higher than the baseline or 92.5 per cent.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2601B" w:rsidRDefault="00811442" w:rsidP="00EF6EBA">
            <w:pPr>
              <w:pStyle w:val="Box"/>
              <w:jc w:val="center"/>
              <w:rPr>
                <w:b/>
              </w:rPr>
            </w:pPr>
            <w:r w:rsidRPr="0050597E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E01DED" w:rsidRDefault="00811442" w:rsidP="00811442">
      <w:pPr>
        <w:pStyle w:val="BodyText"/>
      </w:pPr>
      <w:r w:rsidRPr="00316298">
        <w:t xml:space="preserve">Benchmark 2 </w:t>
      </w:r>
      <w:r w:rsidRPr="00E01DED">
        <w:t xml:space="preserve">was MET: the ACT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 </w:t>
      </w:r>
    </w:p>
    <w:p w:rsidR="00811442" w:rsidRPr="00E01DED" w:rsidRDefault="00811442" w:rsidP="00811442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72601B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2601B" w:rsidRDefault="00811442" w:rsidP="00EF6EBA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Default="00811442" w:rsidP="00811442">
      <w:pPr>
        <w:pStyle w:val="BodyText"/>
      </w:pPr>
      <w:r w:rsidRPr="007443FA">
        <w:t xml:space="preserve">Benchmark 3 was </w:t>
      </w:r>
      <w:r w:rsidRPr="003B4D10">
        <w:t xml:space="preserve">MET: The rate of wastage or leakage was lower than the benchmark </w:t>
      </w:r>
      <w:r>
        <w:t>(table 2.22).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22</w:t>
            </w:r>
            <w:r>
              <w:tab/>
              <w:t>Vaccines lost to wastage or leakage in the ACT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72601B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</w:pPr>
                  <w:r w:rsidRPr="0072601B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2601B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2601B" w:rsidRDefault="00811442" w:rsidP="00EF6EBA">
                  <w:pPr>
                    <w:pStyle w:val="TableBodyText"/>
                    <w:spacing w:before="40"/>
                    <w:jc w:val="left"/>
                  </w:pPr>
                  <w:r w:rsidRPr="0072601B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2601B" w:rsidRDefault="00811442" w:rsidP="00EF6EBA">
                  <w:pPr>
                    <w:pStyle w:val="TableBodyText"/>
                    <w:spacing w:before="40"/>
                  </w:pPr>
                  <w:r w:rsidRPr="0072601B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3B4D10">
                    <w:t>5.2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B4D10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3B4D10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3B4D10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2601B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2601B" w:rsidRDefault="00811442" w:rsidP="00EF6EBA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2601B" w:rsidRDefault="00811442" w:rsidP="00EF6EBA">
            <w:pPr>
              <w:pStyle w:val="Box"/>
              <w:jc w:val="center"/>
              <w:rPr>
                <w:b/>
              </w:rPr>
            </w:pPr>
            <w:r w:rsidRPr="003B4D10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>
        <w:rPr>
          <w:b/>
        </w:rPr>
        <w:t>Benchmark 4:</w:t>
      </w:r>
      <w:r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811442" w:rsidRDefault="00811442" w:rsidP="00811442">
      <w:pPr>
        <w:pStyle w:val="BodyText"/>
      </w:pPr>
      <w:r>
        <w:t xml:space="preserve">Benchmark 4 </w:t>
      </w:r>
      <w:r w:rsidRPr="00E01DED">
        <w:t>was MET: Vaccination rates for four year old children were higher than the baseline (table 2.23</w:t>
      </w:r>
      <w:r>
        <w:t>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23</w:t>
            </w:r>
            <w:r>
              <w:tab/>
              <w:t>Vaccination coverage among four year olds in the ACT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72601B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72601B" w:rsidRDefault="00811442" w:rsidP="00EF6EBA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ColumnHeading"/>
                    <w:ind w:right="155"/>
                  </w:pPr>
                  <w:r w:rsidRPr="0072601B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72601B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72601B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72601B" w:rsidRDefault="00811442" w:rsidP="00EF6EBA">
                  <w:pPr>
                    <w:pStyle w:val="TableBodyText"/>
                    <w:spacing w:before="40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</w:pPr>
                  <w:r w:rsidRPr="00E01DED">
                    <w:t>91.8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E01DED">
                    <w:t>93.7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E01DE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E01DE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72601B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72601B" w:rsidRDefault="00811442" w:rsidP="00EF6EBA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72601B" w:rsidRDefault="00811442" w:rsidP="00EF6EBA">
            <w:pPr>
              <w:pStyle w:val="Box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2"/>
      </w:pPr>
      <w:r>
        <w:lastRenderedPageBreak/>
        <w:t>Northern Territory</w:t>
      </w:r>
    </w:p>
    <w:p w:rsidR="00811442" w:rsidRPr="00E01DED" w:rsidRDefault="00811442" w:rsidP="00811442">
      <w:pPr>
        <w:pStyle w:val="Heading3"/>
      </w:pPr>
      <w:r w:rsidRPr="00E01DED">
        <w:t>The Northern Territory has met all four benchmarks</w:t>
      </w:r>
    </w:p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811442" w:rsidRPr="0030307E" w:rsidRDefault="00811442" w:rsidP="00811442">
      <w:pPr>
        <w:pStyle w:val="BodyText"/>
      </w:pPr>
      <w:r w:rsidRPr="0030307E">
        <w:t xml:space="preserve">Benchmark 1 was </w:t>
      </w:r>
      <w:r w:rsidRPr="00EB0D82">
        <w:t xml:space="preserve">MET: Vaccination rates for Indigenous children were higher than the baseline or 92.5 per cent for the three age groups </w:t>
      </w:r>
      <w:r w:rsidRPr="0030307E">
        <w:t xml:space="preserve">(table 2.24). 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24</w:t>
            </w:r>
            <w:r>
              <w:tab/>
              <w:t>Vaccination coverage rates among Indigenous children in the NT</w:t>
            </w:r>
          </w:p>
          <w:p w:rsidR="00811442" w:rsidRPr="000D6520" w:rsidRDefault="00811442" w:rsidP="00EF6EBA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Default="00811442" w:rsidP="00EF6EBA">
                  <w:pPr>
                    <w:pStyle w:val="TableColumnHeading"/>
                    <w:jc w:val="left"/>
                  </w:pPr>
                  <w:r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Default="00811442" w:rsidP="00EF6EBA">
                  <w:pPr>
                    <w:pStyle w:val="TableColumnHeading"/>
                  </w:pPr>
                  <w:r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Default="00811442" w:rsidP="00EF6EBA">
                  <w:pPr>
                    <w:pStyle w:val="TableColumnHeading"/>
                    <w:ind w:right="156"/>
                  </w:pPr>
                  <w:r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>
                    <w:t>Assessment</w:t>
                  </w:r>
                  <w:r w:rsidRPr="00315C75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Tr="00EF6EBA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Default="00811442" w:rsidP="00EF6EBA">
                  <w:pPr>
                    <w:pStyle w:val="TableUnitsRow"/>
                    <w:jc w:val="left"/>
                  </w:pPr>
                  <w:r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11442" w:rsidRPr="00EB0D82" w:rsidRDefault="00811442" w:rsidP="00EF6EBA">
                  <w:pPr>
                    <w:pStyle w:val="TableUnitsRow"/>
                  </w:pPr>
                  <w:r w:rsidRPr="00EB0D82">
                    <w:t>89.4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11442" w:rsidRPr="00EB0D82" w:rsidRDefault="00811442" w:rsidP="00EF6EBA">
                  <w:pPr>
                    <w:pStyle w:val="TableUnitsRow"/>
                    <w:ind w:right="156"/>
                  </w:pPr>
                  <w:r w:rsidRPr="00EB0D82">
                    <w:t>93.0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11442" w:rsidRPr="00EB0D82" w:rsidRDefault="00811442" w:rsidP="00EF6EBA">
                  <w:pPr>
                    <w:pStyle w:val="TableUnitsRow"/>
                    <w:ind w:right="28"/>
                  </w:pPr>
                  <w:r w:rsidRPr="00EB0D8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11442" w:rsidRPr="00EB0D82" w:rsidRDefault="00811442" w:rsidP="00EF6EB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B0D8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Tr="00EF6EBA">
              <w:tc>
                <w:tcPr>
                  <w:tcW w:w="1000" w:type="pct"/>
                </w:tcPr>
                <w:p w:rsidR="00811442" w:rsidRDefault="00811442" w:rsidP="00EF6EBA">
                  <w:pPr>
                    <w:pStyle w:val="TableBodyText"/>
                    <w:jc w:val="left"/>
                  </w:pPr>
                  <w:r>
                    <w:t>24–27 months</w:t>
                  </w:r>
                </w:p>
              </w:tc>
              <w:tc>
                <w:tcPr>
                  <w:tcW w:w="1002" w:type="pct"/>
                </w:tcPr>
                <w:p w:rsidR="00811442" w:rsidRPr="00EB0D82" w:rsidRDefault="00811442" w:rsidP="00EF6EBA">
                  <w:pPr>
                    <w:pStyle w:val="TableBodyText"/>
                  </w:pPr>
                  <w:r w:rsidRPr="00EB0D82">
                    <w:t>95.6</w:t>
                  </w:r>
                </w:p>
              </w:tc>
              <w:tc>
                <w:tcPr>
                  <w:tcW w:w="1000" w:type="pct"/>
                </w:tcPr>
                <w:p w:rsidR="00811442" w:rsidRPr="00EB0D82" w:rsidRDefault="00811442" w:rsidP="00EF6EBA">
                  <w:pPr>
                    <w:pStyle w:val="TableBodyText"/>
                    <w:ind w:right="156"/>
                  </w:pPr>
                  <w:r w:rsidRPr="00EB0D82">
                    <w:t>94.7</w:t>
                  </w:r>
                </w:p>
              </w:tc>
              <w:tc>
                <w:tcPr>
                  <w:tcW w:w="999" w:type="pct"/>
                </w:tcPr>
                <w:p w:rsidR="00811442" w:rsidRPr="00EB0D82" w:rsidRDefault="00811442" w:rsidP="00EF6EBA">
                  <w:pPr>
                    <w:pStyle w:val="TableUnitsRow"/>
                    <w:spacing w:before="0"/>
                    <w:ind w:right="28"/>
                  </w:pPr>
                  <w:r w:rsidRPr="00EB0D82">
                    <w:sym w:font="Wingdings" w:char="F0E2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811442" w:rsidRPr="00EB0D82" w:rsidRDefault="00811442" w:rsidP="00EF6EBA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B0D8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11442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Default="00811442" w:rsidP="00EF6EBA">
                  <w:pPr>
                    <w:pStyle w:val="TableBodyText"/>
                    <w:jc w:val="left"/>
                  </w:pPr>
                  <w:r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EB0D82" w:rsidRDefault="00811442" w:rsidP="00EF6EBA">
                  <w:pPr>
                    <w:pStyle w:val="TableBodyText"/>
                  </w:pPr>
                  <w:r w:rsidRPr="00EB0D82">
                    <w:t>93.9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EB0D82" w:rsidRDefault="00811442" w:rsidP="00EF6EBA">
                  <w:pPr>
                    <w:pStyle w:val="TableBodyText"/>
                    <w:ind w:right="156"/>
                  </w:pPr>
                  <w:r w:rsidRPr="00EB0D82">
                    <w:t>94.7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EB0D82" w:rsidRDefault="00811442" w:rsidP="00EF6EBA">
                  <w:pPr>
                    <w:pStyle w:val="TableUnitsRow"/>
                    <w:spacing w:before="0"/>
                    <w:ind w:right="28"/>
                  </w:pPr>
                  <w:r w:rsidRPr="00EB0D82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EB0D82" w:rsidRDefault="00811442" w:rsidP="00EF6EBA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EB0D82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Note"/>
              <w:rPr>
                <w:i/>
              </w:rPr>
            </w:pPr>
            <w:proofErr w:type="spellStart"/>
            <w:r>
              <w:rPr>
                <w:rStyle w:val="NoteLabel"/>
              </w:rPr>
              <w:t>a</w:t>
            </w:r>
            <w:proofErr w:type="spellEnd"/>
            <w:r>
              <w:t xml:space="preserve"> The benchmark is met if at least two of the three age groups have coverage rates equal to or higher than the baseline or 92.5 per cent. </w:t>
            </w:r>
          </w:p>
        </w:tc>
      </w:tr>
      <w:tr w:rsidR="00811442" w:rsidRPr="0030307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30307E" w:rsidRDefault="00811442" w:rsidP="00EF6EBA">
            <w:pPr>
              <w:pStyle w:val="Box"/>
              <w:jc w:val="center"/>
              <w:rPr>
                <w:b/>
              </w:rPr>
            </w:pPr>
            <w:r w:rsidRPr="00EB0D82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811442" w:rsidRPr="00E01DED" w:rsidRDefault="00811442" w:rsidP="00811442">
      <w:pPr>
        <w:pStyle w:val="BodyText"/>
      </w:pPr>
      <w:r w:rsidRPr="00316298">
        <w:t xml:space="preserve">Benchmark 2 </w:t>
      </w:r>
      <w:r w:rsidRPr="00E01DED">
        <w:t xml:space="preserve">was MET: the NT had no areas that met the specifications for agreed areas of low coverage (for the current and baseline periods, areas with coverage 5 per cent or less than the national average and with at least 2 per cent of the State population for the relevant age group). As there were no low coverage areas (as per the specifications), the benchmark was assessed as met. </w:t>
      </w:r>
    </w:p>
    <w:p w:rsidR="00811442" w:rsidRPr="00E01DED" w:rsidRDefault="00811442" w:rsidP="00811442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RPr="00E01DED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E01DED" w:rsidRDefault="00811442" w:rsidP="00EF6EBA">
            <w:pPr>
              <w:pStyle w:val="Box"/>
              <w:keepNext w:val="0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</w:tbl>
    <w:p w:rsidR="00811442" w:rsidRDefault="00811442" w:rsidP="00120072">
      <w:pPr>
        <w:pStyle w:val="BodyText"/>
      </w:pPr>
    </w:p>
    <w:p w:rsidR="00811442" w:rsidRDefault="00811442" w:rsidP="00811442">
      <w:pPr>
        <w:pStyle w:val="BodyText"/>
      </w:pPr>
      <w:r>
        <w:br w:type="page"/>
      </w:r>
    </w:p>
    <w:p w:rsidR="00811442" w:rsidRDefault="00811442" w:rsidP="00811442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811442" w:rsidRDefault="00811442" w:rsidP="00811442">
      <w:pPr>
        <w:pStyle w:val="BodyText"/>
      </w:pPr>
      <w:r>
        <w:t xml:space="preserve">Benchmark 3 </w:t>
      </w:r>
      <w:r w:rsidRPr="00146A97">
        <w:t xml:space="preserve">was MET: The rate of wastage or leakage was lower than the benchmark </w:t>
      </w:r>
      <w:r>
        <w:t>(table 2.25).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25</w:t>
            </w:r>
            <w:r>
              <w:tab/>
              <w:t>Vaccines lost to wastage or leakage in the NT</w:t>
            </w:r>
          </w:p>
          <w:p w:rsidR="00811442" w:rsidRPr="00B96CFC" w:rsidRDefault="00811442" w:rsidP="00EF6EBA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811442" w:rsidRPr="00104F8D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104F8D" w:rsidRDefault="00811442" w:rsidP="00EF6EBA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104F8D" w:rsidRDefault="00811442" w:rsidP="00EF6EBA">
                  <w:pPr>
                    <w:pStyle w:val="TableColumnHeading"/>
                  </w:pPr>
                  <w:r w:rsidRPr="00104F8D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104F8D" w:rsidRDefault="00811442" w:rsidP="00EF6EBA">
                  <w:pPr>
                    <w:pStyle w:val="TableColumnHeading"/>
                    <w:ind w:right="156"/>
                  </w:pPr>
                  <w:r w:rsidRPr="00104F8D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104F8D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104F8D">
                    <w:t>Assessment</w:t>
                  </w:r>
                  <w:r w:rsidRPr="00104F8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104F8D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04F8D" w:rsidRDefault="00811442" w:rsidP="00EF6EBA">
                  <w:pPr>
                    <w:pStyle w:val="TableBodyText"/>
                    <w:spacing w:before="40"/>
                    <w:jc w:val="left"/>
                  </w:pPr>
                  <w:r w:rsidRPr="00104F8D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04F8D" w:rsidRDefault="00811442" w:rsidP="00EF6EBA">
                  <w:pPr>
                    <w:pStyle w:val="TableBodyText"/>
                    <w:spacing w:before="40"/>
                  </w:pPr>
                  <w:r w:rsidRPr="00104F8D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146A97" w:rsidRDefault="00811442" w:rsidP="00EF6EBA">
                  <w:pPr>
                    <w:pStyle w:val="TableBodyText"/>
                    <w:spacing w:before="40"/>
                    <w:ind w:right="156"/>
                  </w:pPr>
                  <w:r w:rsidRPr="00146A97">
                    <w:t>8.2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811442" w:rsidRPr="00146A97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46A97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146A97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146A97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104F8D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104F8D" w:rsidRDefault="00811442" w:rsidP="00EF6EBA">
            <w:pPr>
              <w:pStyle w:val="Note"/>
              <w:rPr>
                <w:i/>
              </w:rPr>
            </w:pPr>
            <w:proofErr w:type="spellStart"/>
            <w:r w:rsidRPr="00104F8D">
              <w:rPr>
                <w:rStyle w:val="NoteLabel"/>
              </w:rPr>
              <w:t>a</w:t>
            </w:r>
            <w:proofErr w:type="spellEnd"/>
            <w:r w:rsidRPr="00104F8D">
              <w:t xml:space="preserve"> The benchmark is met if wastage or leakage is less than or equal to 10 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104F8D" w:rsidRDefault="00811442" w:rsidP="00EF6EBA">
            <w:pPr>
              <w:pStyle w:val="Box"/>
              <w:jc w:val="center"/>
              <w:rPr>
                <w:b/>
              </w:rPr>
            </w:pPr>
            <w:r w:rsidRPr="00146A97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811442" w:rsidRDefault="00811442" w:rsidP="00811442">
      <w:pPr>
        <w:pStyle w:val="Heading4"/>
        <w:ind w:left="1985" w:hanging="1985"/>
      </w:pPr>
      <w:r>
        <w:rPr>
          <w:b/>
        </w:rPr>
        <w:t>Benchmark 4:</w:t>
      </w:r>
      <w:r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811442" w:rsidRDefault="00811442" w:rsidP="00811442">
      <w:pPr>
        <w:pStyle w:val="BodyText"/>
      </w:pPr>
      <w:r>
        <w:t xml:space="preserve">Benchmark 4 was </w:t>
      </w:r>
      <w:r w:rsidRPr="00E01DED">
        <w:t>MET: Vaccination rates for four year old children were higher than the baseline (table 2.26).</w:t>
      </w:r>
    </w:p>
    <w:p w:rsidR="00811442" w:rsidRDefault="00811442" w:rsidP="00811442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11442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TableTitle"/>
            </w:pPr>
            <w:r>
              <w:rPr>
                <w:b w:val="0"/>
              </w:rPr>
              <w:t>Table 2.</w:t>
            </w:r>
            <w:r>
              <w:rPr>
                <w:b w:val="0"/>
                <w:noProof/>
              </w:rPr>
              <w:t>26</w:t>
            </w:r>
            <w:r>
              <w:tab/>
              <w:t>Vaccination coverage among four year olds in the NT</w:t>
            </w:r>
          </w:p>
          <w:p w:rsidR="00811442" w:rsidRPr="00C20975" w:rsidRDefault="00811442" w:rsidP="00EF6EBA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811442" w:rsidRPr="00E01DED" w:rsidTr="00EF6EBA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E01DED" w:rsidRDefault="00811442" w:rsidP="00EF6EBA">
                  <w:pPr>
                    <w:pStyle w:val="TableColumnHeading"/>
                    <w:jc w:val="left"/>
                  </w:pPr>
                  <w:r w:rsidRPr="00E01DED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811442" w:rsidRPr="00E01DED" w:rsidRDefault="00811442" w:rsidP="00EF6EBA">
                  <w:pPr>
                    <w:pStyle w:val="TableColumnHeading"/>
                  </w:pPr>
                  <w:r w:rsidRPr="00E01DED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ColumnHeading"/>
                    <w:ind w:right="155"/>
                  </w:pPr>
                  <w:r w:rsidRPr="00E01DED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E01DED">
                    <w:t>Assessment</w:t>
                  </w:r>
                  <w:r w:rsidRPr="00E01DE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11442" w:rsidRPr="00E01DED" w:rsidTr="00EF6EBA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jc w:val="left"/>
                  </w:pPr>
                  <w:r w:rsidRPr="00E01DED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</w:pPr>
                  <w:r w:rsidRPr="00E01DED">
                    <w:t>90.4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155"/>
                  </w:pPr>
                  <w:r w:rsidRPr="00E01DED">
                    <w:t>92.1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E01DE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11442" w:rsidRPr="00E01DED" w:rsidRDefault="00811442" w:rsidP="00EF6EBA">
                  <w:pPr>
                    <w:pStyle w:val="TableBodyText"/>
                    <w:spacing w:before="40"/>
                    <w:ind w:right="28"/>
                  </w:pPr>
                  <w:r w:rsidRPr="00E01DE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811442" w:rsidRPr="00E01DED" w:rsidRDefault="00811442" w:rsidP="00EF6EBA">
            <w:pPr>
              <w:pStyle w:val="Box"/>
            </w:pP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442" w:rsidRPr="00E01DED" w:rsidRDefault="00811442" w:rsidP="00EF6EBA">
            <w:pPr>
              <w:pStyle w:val="Note"/>
              <w:rPr>
                <w:i/>
              </w:rPr>
            </w:pPr>
            <w:proofErr w:type="spellStart"/>
            <w:r w:rsidRPr="00E01DED">
              <w:rPr>
                <w:rStyle w:val="NoteLabel"/>
              </w:rPr>
              <w:t>a</w:t>
            </w:r>
            <w:proofErr w:type="spellEnd"/>
            <w:r w:rsidRPr="00E01DED">
              <w:t xml:space="preserve"> The benchmark is met if the coverage rate is equal to or higher than the baseline or 92.5 per cent.</w:t>
            </w:r>
          </w:p>
        </w:tc>
      </w:tr>
      <w:tr w:rsidR="00811442" w:rsidRPr="001A1ADE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11442" w:rsidRPr="00E01DED" w:rsidRDefault="00811442" w:rsidP="00EF6EBA">
            <w:pPr>
              <w:pStyle w:val="Box"/>
              <w:jc w:val="center"/>
              <w:rPr>
                <w:b/>
              </w:rPr>
            </w:pPr>
            <w:r w:rsidRPr="00E01DED">
              <w:rPr>
                <w:b/>
              </w:rPr>
              <w:t>Benchmark met</w:t>
            </w:r>
          </w:p>
        </w:tc>
      </w:tr>
      <w:tr w:rsidR="00811442" w:rsidTr="00EF6EBA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811442" w:rsidRDefault="00811442" w:rsidP="00EF6EBA">
            <w:pPr>
              <w:pStyle w:val="Box"/>
              <w:spacing w:before="0" w:line="120" w:lineRule="exact"/>
            </w:pPr>
          </w:p>
        </w:tc>
      </w:tr>
      <w:tr w:rsidR="00811442" w:rsidRPr="000863A5" w:rsidTr="00EF6EBA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811442" w:rsidRPr="00626D32" w:rsidRDefault="00811442" w:rsidP="00EF6EBA">
            <w:pPr>
              <w:pStyle w:val="BoxSpaceBelow"/>
            </w:pPr>
          </w:p>
        </w:tc>
      </w:tr>
    </w:tbl>
    <w:p w:rsidR="00D434A0" w:rsidRDefault="00D434A0" w:rsidP="00120072">
      <w:pPr>
        <w:pStyle w:val="BodyText"/>
      </w:pPr>
    </w:p>
    <w:sectPr w:rsidR="00D434A0" w:rsidSect="0081144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442" w:rsidRDefault="00811442">
      <w:r>
        <w:separator/>
      </w:r>
    </w:p>
  </w:endnote>
  <w:endnote w:type="continuationSeparator" w:id="0">
    <w:p w:rsidR="00811442" w:rsidRDefault="0081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61F79">
            <w:rPr>
              <w:rStyle w:val="PageNumber"/>
              <w:caps w:val="0"/>
              <w:noProof/>
            </w:rPr>
            <w:t>22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811442" w:rsidP="0013739A">
          <w:pPr>
            <w:pStyle w:val="Footer"/>
            <w:rPr>
              <w:rFonts w:cs="Arial"/>
            </w:rPr>
          </w:pPr>
          <w:r>
            <w:rPr>
              <w:rFonts w:cs="Arial"/>
            </w:rPr>
            <w:t>National Partnership Agreement on Essential Vaccines</w:t>
          </w:r>
          <w:bookmarkStart w:id="4" w:name="DraftReportEven"/>
          <w:bookmarkEnd w:id="4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811442" w:rsidP="00811442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</w:rPr>
            <w:t>assessment against benchmarks</w:t>
          </w:r>
          <w:bookmarkStart w:id="5" w:name="DraftReportOdd"/>
          <w:bookmarkEnd w:id="5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61F79">
            <w:rPr>
              <w:rStyle w:val="PageNumber"/>
              <w:caps w:val="0"/>
              <w:noProof/>
            </w:rPr>
            <w:t>23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442" w:rsidRDefault="00811442">
      <w:r>
        <w:separator/>
      </w:r>
    </w:p>
  </w:footnote>
  <w:footnote w:type="continuationSeparator" w:id="0">
    <w:p w:rsidR="00811442" w:rsidRDefault="00811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Chapter"/>
    <w:docVar w:name="ShortReportTitle" w:val="National Partnership Agreement on Essential Vaccines"/>
  </w:docVars>
  <w:rsids>
    <w:rsidRoot w:val="00811442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91B40"/>
    <w:rsid w:val="002B4008"/>
    <w:rsid w:val="002C439F"/>
    <w:rsid w:val="002D0C42"/>
    <w:rsid w:val="002D0E8E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50810"/>
    <w:rsid w:val="00461F79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A0D41"/>
    <w:rsid w:val="005D329F"/>
    <w:rsid w:val="005F48ED"/>
    <w:rsid w:val="00606E78"/>
    <w:rsid w:val="00607BF1"/>
    <w:rsid w:val="00630D4D"/>
    <w:rsid w:val="00632A74"/>
    <w:rsid w:val="00654D42"/>
    <w:rsid w:val="00666E02"/>
    <w:rsid w:val="00682360"/>
    <w:rsid w:val="006A4655"/>
    <w:rsid w:val="006B2B3C"/>
    <w:rsid w:val="006C1D81"/>
    <w:rsid w:val="006C7038"/>
    <w:rsid w:val="006E73EF"/>
    <w:rsid w:val="007079C9"/>
    <w:rsid w:val="00714D4D"/>
    <w:rsid w:val="007266D3"/>
    <w:rsid w:val="00732029"/>
    <w:rsid w:val="007604BB"/>
    <w:rsid w:val="00772909"/>
    <w:rsid w:val="00785232"/>
    <w:rsid w:val="0079701E"/>
    <w:rsid w:val="007A21EB"/>
    <w:rsid w:val="007B1A93"/>
    <w:rsid w:val="007C36C9"/>
    <w:rsid w:val="007D6401"/>
    <w:rsid w:val="007E01E4"/>
    <w:rsid w:val="007E7A12"/>
    <w:rsid w:val="007F7107"/>
    <w:rsid w:val="00800D4C"/>
    <w:rsid w:val="0081030F"/>
    <w:rsid w:val="00811442"/>
    <w:rsid w:val="00812F4A"/>
    <w:rsid w:val="0082087D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D365C"/>
    <w:rsid w:val="008D7622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8AF"/>
    <w:rsid w:val="00A92B53"/>
    <w:rsid w:val="00A94FA6"/>
    <w:rsid w:val="00AA49A0"/>
    <w:rsid w:val="00AA6710"/>
    <w:rsid w:val="00AB0681"/>
    <w:rsid w:val="00AC3A15"/>
    <w:rsid w:val="00AD520B"/>
    <w:rsid w:val="00AE3BCC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11442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11442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F43B0-6E6E-4F4E-A118-C874AB0F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14</TotalTime>
  <Pages>17</Pages>
  <Words>2961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Assessment against benchmarks - National Partnership Agreement on Essential Vaccines: Performance Report 1 April 2015 - 31 March 2016</vt:lpstr>
    </vt:vector>
  </TitlesOfParts>
  <Company>Productivity Commission</Company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Assessment against benchmarks - National Partnership Agreement on Essential Vaccines: Performance Report 1 April 2015 - 31 March 2016</dc:title>
  <dc:creator>Productivity Commission</dc:creator>
  <cp:lastModifiedBy>Frech, Tanya</cp:lastModifiedBy>
  <cp:revision>4</cp:revision>
  <cp:lastPrinted>2016-08-29T04:28:00Z</cp:lastPrinted>
  <dcterms:created xsi:type="dcterms:W3CDTF">2016-08-29T03:40:00Z</dcterms:created>
  <dcterms:modified xsi:type="dcterms:W3CDTF">2016-08-29T04:31:00Z</dcterms:modified>
</cp:coreProperties>
</file>