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D19" w:rsidRPr="00C12531" w:rsidRDefault="00CF1344" w:rsidP="00CD5E6B">
      <w:pPr>
        <w:pStyle w:val="BodyText"/>
        <w:rPr>
          <w:b/>
          <w:color w:val="FF0000"/>
          <w:szCs w:val="26"/>
        </w:rPr>
      </w:pPr>
      <w:r w:rsidRPr="00CF1344">
        <w:rPr>
          <w:noProof/>
          <w:color w:val="FF0000"/>
        </w:rPr>
        <w:drawing>
          <wp:anchor distT="0" distB="0" distL="114300" distR="114300" simplePos="0" relativeHeight="251658240" behindDoc="1" locked="0" layoutInCell="1" allowOverlap="1">
            <wp:simplePos x="1152525" y="981075"/>
            <wp:positionH relativeFrom="page">
              <wp:align>center</wp:align>
            </wp:positionH>
            <wp:positionV relativeFrom="page">
              <wp:align>bottom</wp:align>
            </wp:positionV>
            <wp:extent cx="7560000" cy="10692000"/>
            <wp:effectExtent l="0" t="0" r="3175" b="0"/>
            <wp:wrapNone/>
            <wp:docPr id="1" name="Picture 1" descr="Cover of National Partnership Agreement on Essential Vaccines - Performance Report 1 April 2016 - 31 March 2017 - released July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12 Productivity Commission Reports\01 Essential Vaccines NP report\04_Essential Vaccines NP Report 2016-17\7. Administration\03_Covers and Prelims\NPA-reporting--Essential-Vaccines---July-2017---print-cove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0000" cy="1069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4D19" w:rsidRPr="00C12531">
        <w:rPr>
          <w:color w:val="FF0000"/>
        </w:rP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C12531">
        <w:t>2017</w:t>
      </w:r>
    </w:p>
    <w:p w:rsidR="008A3857" w:rsidRDefault="008A3857" w:rsidP="008E242D">
      <w:pPr>
        <w:pStyle w:val="BodyText"/>
        <w:spacing w:after="120"/>
      </w:pPr>
      <w:bookmarkStart w:id="0" w:name="ISSN"/>
      <w:bookmarkEnd w:id="0"/>
      <w:r w:rsidRPr="00862D8F">
        <w:rPr>
          <w:noProof/>
          <w:sz w:val="22"/>
          <w:szCs w:val="22"/>
        </w:rPr>
        <w:drawing>
          <wp:inline distT="0" distB="0" distL="0" distR="0" wp14:anchorId="49633799" wp14:editId="7E58C99C">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http://creativecommons.org/licenses/by/3.0/au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http://www.itsanhonour.gov.au</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432828">
        <w:rPr>
          <w:i/>
        </w:rPr>
        <w:t xml:space="preserve">National Partnership Agreement on Essential Vaccines, Performance Report 1 April </w:t>
      </w:r>
      <w:r w:rsidR="00C12531">
        <w:rPr>
          <w:i/>
        </w:rPr>
        <w:t>2016</w:t>
      </w:r>
      <w:r w:rsidR="00432828">
        <w:rPr>
          <w:i/>
        </w:rPr>
        <w:t xml:space="preserve"> – 31 March </w:t>
      </w:r>
      <w:r w:rsidR="00C12531">
        <w:rPr>
          <w:i/>
        </w:rPr>
        <w:t>2017</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432828">
        <w:rPr>
          <w:i/>
        </w:rPr>
        <w:t xml:space="preserve">National Partnership Agreement on Essential Vaccines, Performance Report 1 April </w:t>
      </w:r>
      <w:r w:rsidR="00C12531">
        <w:rPr>
          <w:i/>
        </w:rPr>
        <w:t>2016</w:t>
      </w:r>
      <w:r w:rsidR="00432828">
        <w:rPr>
          <w:i/>
        </w:rPr>
        <w:t xml:space="preserve"> – 31 March </w:t>
      </w:r>
      <w:r w:rsidR="00C12531">
        <w:rPr>
          <w:i/>
        </w:rPr>
        <w:t>2017</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432828" w:rsidRPr="000643DB" w:rsidRDefault="00432828" w:rsidP="00432828">
      <w:pPr>
        <w:pStyle w:val="Copyrightbodytext"/>
      </w:pPr>
      <w:bookmarkStart w:id="1" w:name="JEL"/>
      <w:bookmarkEnd w:id="1"/>
      <w:r>
        <w:t xml:space="preserve">Productivity Commission </w:t>
      </w:r>
      <w:r w:rsidR="00C12531">
        <w:t>2017</w:t>
      </w:r>
      <w:r>
        <w:t xml:space="preserve">, </w:t>
      </w:r>
      <w:r>
        <w:rPr>
          <w:i/>
        </w:rPr>
        <w:t xml:space="preserve">National Partnership Agreement on Essential Vaccines, Performance Report 1 April </w:t>
      </w:r>
      <w:r w:rsidR="00C12531">
        <w:rPr>
          <w:i/>
        </w:rPr>
        <w:t>2016</w:t>
      </w:r>
      <w:r>
        <w:rPr>
          <w:i/>
        </w:rPr>
        <w:t xml:space="preserve"> – 31 March </w:t>
      </w:r>
      <w:r w:rsidR="00C12531">
        <w:rPr>
          <w:i/>
        </w:rPr>
        <w:t>2017</w:t>
      </w:r>
      <w:r>
        <w:t>.</w:t>
      </w:r>
    </w:p>
    <w:p w:rsidR="008A3857" w:rsidRPr="008A3857" w:rsidRDefault="008A3857" w:rsidP="008A3857">
      <w:pPr>
        <w:pStyle w:val="Copyrightsubtitle"/>
      </w:pPr>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2D5890">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2D5890">
            <w:pPr>
              <w:pStyle w:val="BoxTitle"/>
              <w:rPr>
                <w:sz w:val="22"/>
                <w:szCs w:val="22"/>
              </w:rPr>
            </w:pPr>
            <w:r w:rsidRPr="008A3857">
              <w:rPr>
                <w:sz w:val="22"/>
                <w:szCs w:val="22"/>
              </w:rPr>
              <w:t>The Productivity Commission</w:t>
            </w:r>
          </w:p>
        </w:tc>
      </w:tr>
      <w:tr w:rsidR="008A3857" w:rsidTr="002D5890">
        <w:trPr>
          <w:cantSplit/>
        </w:trPr>
        <w:tc>
          <w:tcPr>
            <w:tcW w:w="8771" w:type="dxa"/>
            <w:tcBorders>
              <w:top w:val="nil"/>
              <w:left w:val="nil"/>
              <w:bottom w:val="nil"/>
              <w:right w:val="nil"/>
            </w:tcBorders>
            <w:shd w:val="clear" w:color="auto" w:fill="F2F2F2" w:themeFill="background1" w:themeFillShade="F2"/>
          </w:tcPr>
          <w:p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rsidTr="002D5890">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2D5890">
            <w:pPr>
              <w:pStyle w:val="Box"/>
              <w:spacing w:before="0" w:line="120" w:lineRule="exact"/>
            </w:pPr>
          </w:p>
        </w:tc>
      </w:tr>
    </w:tbl>
    <w:p w:rsidR="00432828" w:rsidRDefault="00432828">
      <w:pPr>
        <w:pStyle w:val="BodyText"/>
      </w:pPr>
      <w:bookmarkStart w:id="2" w:name="cov"/>
      <w:bookmarkEnd w:id="2"/>
    </w:p>
    <w:p w:rsidR="00432828" w:rsidRDefault="00432828" w:rsidP="00432828">
      <w:pPr>
        <w:pStyle w:val="BodyText"/>
      </w:pPr>
      <w:r>
        <w:br w:type="page"/>
      </w:r>
    </w:p>
    <w:p w:rsidR="00432828" w:rsidRPr="00C76C25" w:rsidRDefault="00432828" w:rsidP="00537BB4">
      <w:pPr>
        <w:pStyle w:val="LetterAddress"/>
      </w:pPr>
    </w:p>
    <w:p w:rsidR="00735FEA" w:rsidRPr="00C12531" w:rsidRDefault="00760B57" w:rsidP="00C12531">
      <w:pPr>
        <w:pStyle w:val="BodyText"/>
        <w:jc w:val="left"/>
        <w:rPr>
          <w:color w:val="FF0000"/>
        </w:rPr>
        <w:sectPr w:rsidR="00735FEA" w:rsidRPr="00C12531" w:rsidSect="00122FE9">
          <w:type w:val="oddPage"/>
          <w:pgSz w:w="11907" w:h="16840" w:code="9"/>
          <w:pgMar w:top="1304" w:right="1304" w:bottom="567" w:left="1814" w:header="1701" w:footer="397" w:gutter="0"/>
          <w:pgNumType w:fmt="lowerRoman" w:start="1"/>
          <w:cols w:space="720"/>
          <w:titlePg/>
        </w:sectPr>
      </w:pPr>
      <w:bookmarkStart w:id="3" w:name="_GoBack"/>
      <w:bookmarkEnd w:id="3"/>
      <w:r w:rsidRPr="00760B57">
        <w:rPr>
          <w:noProof/>
          <w:color w:val="FF0000"/>
        </w:rPr>
        <w:drawing>
          <wp:anchor distT="0" distB="0" distL="114300" distR="114300" simplePos="0" relativeHeight="251659264" behindDoc="1" locked="0" layoutInCell="1" allowOverlap="1">
            <wp:simplePos x="1152525" y="1152525"/>
            <wp:positionH relativeFrom="page">
              <wp:align>center</wp:align>
            </wp:positionH>
            <wp:positionV relativeFrom="page">
              <wp:align>bottom</wp:align>
            </wp:positionV>
            <wp:extent cx="7560000" cy="10692000"/>
            <wp:effectExtent l="0" t="0" r="3175" b="0"/>
            <wp:wrapNone/>
            <wp:docPr id="3" name="Picture 3" descr="Letter of Transmission &#10;&#10;Addressed to the Hon Malcolm Turnbull MP, Prime Minister, Parliament House, Canberra ACT 2600 &#10;&#10;Signed by Peter Harris AO&#10;Chairman&#10;Productivity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12 Productivity Commission Reports\01 Essential Vaccines NP report\04_Essential Vaccines NP Report 2016-17\7. Administration\03_Covers and Prelims\Letter of Transmission FINAL.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60000" cy="10692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32828" w:rsidRDefault="00432828" w:rsidP="00657A5A">
      <w:pPr>
        <w:pStyle w:val="Heading1"/>
        <w:spacing w:after="840"/>
      </w:pPr>
      <w:bookmarkStart w:id="4" w:name="_Toc458586562"/>
      <w:bookmarkStart w:id="5" w:name="_Toc458586602"/>
      <w:r>
        <w:lastRenderedPageBreak/>
        <w:t>Letter of Direction</w:t>
      </w:r>
      <w:bookmarkEnd w:id="4"/>
      <w:bookmarkEnd w:id="5"/>
    </w:p>
    <w:p w:rsidR="0034770A" w:rsidRPr="0034770A" w:rsidRDefault="00657A5A" w:rsidP="00657A5A">
      <w:pPr>
        <w:pStyle w:val="BodyText"/>
        <w:spacing w:before="0"/>
      </w:pPr>
      <w:r>
        <w:rPr>
          <w:noProof/>
        </w:rPr>
        <w:drawing>
          <wp:inline distT="0" distB="0" distL="0" distR="0">
            <wp:extent cx="4983579" cy="7590621"/>
            <wp:effectExtent l="0" t="0" r="7620" b="0"/>
            <wp:docPr id="5" name="Picture 5" descr="Letter of Direction&#10;&#10;From Australian Government, Department of the Prime Minister and Cabinet to Productivity Commisison formalising arrangements for the transfer of the performance assessment function under the National Partnership Agreement on Essential Vaccines (NP) to the Productivity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Monitor\12 Productivity Commission Reports\01 Essential Vaccines NP report\01_Essential Vaccines NP Report 2013-14\6. Administration\03_Cover and prelims\Jo Laduzko to Daryl Quinlivan - f - 04022015_Page_01.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5276"/>
                    <a:stretch/>
                  </pic:blipFill>
                  <pic:spPr bwMode="auto">
                    <a:xfrm>
                      <a:off x="0" y="0"/>
                      <a:ext cx="4983579" cy="7590621"/>
                    </a:xfrm>
                    <a:prstGeom prst="rect">
                      <a:avLst/>
                    </a:prstGeom>
                    <a:noFill/>
                    <a:ln>
                      <a:noFill/>
                    </a:ln>
                    <a:extLst>
                      <a:ext uri="{53640926-AAD7-44D8-BBD7-CCE9431645EC}">
                        <a14:shadowObscured xmlns:a14="http://schemas.microsoft.com/office/drawing/2010/main"/>
                      </a:ext>
                    </a:extLst>
                  </pic:spPr>
                </pic:pic>
              </a:graphicData>
            </a:graphic>
          </wp:inline>
        </w:drawing>
      </w:r>
    </w:p>
    <w:p w:rsidR="00432828" w:rsidRDefault="00432828" w:rsidP="006817C9">
      <w:pPr>
        <w:pStyle w:val="BodyText"/>
      </w:pPr>
    </w:p>
    <w:p w:rsidR="00432828" w:rsidRDefault="0034770A" w:rsidP="008206EE">
      <w:pPr>
        <w:pStyle w:val="Heading1NotTOC"/>
        <w:rPr>
          <w:noProof/>
        </w:rPr>
      </w:pPr>
      <w:bookmarkStart w:id="6" w:name="Contents"/>
      <w:bookmarkEnd w:id="6"/>
      <w:r>
        <w:t>C</w:t>
      </w:r>
      <w:r w:rsidR="00735FEA" w:rsidRPr="00B153C3">
        <w:t>ontents</w:t>
      </w:r>
      <w:bookmarkStart w:id="7" w:name="InsertContents"/>
      <w:bookmarkEnd w:id="7"/>
      <w:r w:rsidR="00CE3967">
        <w:t xml:space="preserve"> </w:t>
      </w:r>
    </w:p>
    <w:p w:rsidR="00432828" w:rsidRDefault="00432828">
      <w:pPr>
        <w:pStyle w:val="TOC1"/>
        <w:rPr>
          <w:rFonts w:asciiTheme="minorHAnsi" w:eastAsiaTheme="minorEastAsia" w:hAnsiTheme="minorHAnsi" w:cstheme="minorBidi"/>
          <w:b w:val="0"/>
          <w:noProof/>
          <w:sz w:val="22"/>
          <w:szCs w:val="22"/>
          <w:lang w:eastAsia="en-AU"/>
        </w:rPr>
      </w:pPr>
      <w:r>
        <w:rPr>
          <w:noProof/>
        </w:rPr>
        <w:t>Letter of Direction</w:t>
      </w:r>
      <w:r>
        <w:rPr>
          <w:noProof/>
        </w:rPr>
        <w:tab/>
        <w:t>iv</w:t>
      </w:r>
    </w:p>
    <w:p w:rsidR="00432828" w:rsidRPr="00432828" w:rsidRDefault="00AB5DBB">
      <w:pPr>
        <w:pStyle w:val="TOC1"/>
        <w:rPr>
          <w:rFonts w:asciiTheme="minorHAnsi" w:eastAsiaTheme="minorEastAsia" w:hAnsiTheme="minorHAnsi" w:cstheme="minorBidi"/>
          <w:b w:val="0"/>
          <w:noProof/>
          <w:sz w:val="22"/>
          <w:szCs w:val="22"/>
          <w:lang w:eastAsia="en-AU"/>
        </w:rPr>
      </w:pPr>
      <w:r>
        <w:rPr>
          <w:noProof/>
        </w:rPr>
        <w:t>Contents</w:t>
      </w:r>
      <w:r w:rsidR="00432828">
        <w:rPr>
          <w:noProof/>
        </w:rPr>
        <w:tab/>
      </w:r>
      <w:r w:rsidR="00F26B1A">
        <w:rPr>
          <w:noProof/>
        </w:rPr>
        <w:t>v</w:t>
      </w:r>
    </w:p>
    <w:p w:rsidR="00432828" w:rsidRDefault="00432828">
      <w:pPr>
        <w:pStyle w:val="TOC1"/>
        <w:rPr>
          <w:rFonts w:asciiTheme="minorHAnsi" w:eastAsiaTheme="minorEastAsia" w:hAnsiTheme="minorHAnsi" w:cstheme="minorBidi"/>
          <w:b w:val="0"/>
          <w:noProof/>
          <w:sz w:val="22"/>
          <w:szCs w:val="22"/>
          <w:lang w:eastAsia="en-AU"/>
        </w:rPr>
      </w:pPr>
      <w:r>
        <w:rPr>
          <w:noProof/>
        </w:rPr>
        <w:t>Key findings</w:t>
      </w:r>
      <w:r>
        <w:rPr>
          <w:noProof/>
        </w:rPr>
        <w:tab/>
        <w:t>1</w:t>
      </w:r>
    </w:p>
    <w:p w:rsidR="00432828" w:rsidRDefault="00432828">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this report</w:t>
      </w:r>
      <w:r>
        <w:rPr>
          <w:noProof/>
        </w:rPr>
        <w:tab/>
        <w:t>3</w:t>
      </w:r>
    </w:p>
    <w:p w:rsidR="00432828" w:rsidRDefault="00432828">
      <w:pPr>
        <w:pStyle w:val="TOC2"/>
        <w:rPr>
          <w:rFonts w:asciiTheme="minorHAnsi" w:eastAsiaTheme="minorEastAsia" w:hAnsiTheme="minorHAnsi" w:cstheme="minorBidi"/>
          <w:noProof/>
          <w:sz w:val="22"/>
          <w:szCs w:val="22"/>
          <w:lang w:eastAsia="en-AU"/>
        </w:rPr>
      </w:pPr>
      <w:r>
        <w:rPr>
          <w:noProof/>
        </w:rPr>
        <w:t>The National Partnership Agreement and the Productivity Commission’s role</w:t>
      </w:r>
      <w:r>
        <w:rPr>
          <w:noProof/>
        </w:rPr>
        <w:tab/>
        <w:t>3</w:t>
      </w:r>
    </w:p>
    <w:p w:rsidR="00432828" w:rsidRDefault="00432828">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Assessment against benchmarks</w:t>
      </w:r>
      <w:r>
        <w:rPr>
          <w:noProof/>
        </w:rPr>
        <w:tab/>
        <w:t>7</w:t>
      </w:r>
    </w:p>
    <w:p w:rsidR="00432828" w:rsidRDefault="00432828">
      <w:pPr>
        <w:pStyle w:val="TOC2"/>
        <w:rPr>
          <w:rFonts w:asciiTheme="minorHAnsi" w:eastAsiaTheme="minorEastAsia" w:hAnsiTheme="minorHAnsi" w:cstheme="minorBidi"/>
          <w:noProof/>
          <w:sz w:val="22"/>
          <w:szCs w:val="22"/>
          <w:lang w:eastAsia="en-AU"/>
        </w:rPr>
      </w:pPr>
      <w:r>
        <w:rPr>
          <w:noProof/>
        </w:rPr>
        <w:t>The results</w:t>
      </w:r>
      <w:r>
        <w:rPr>
          <w:noProof/>
        </w:rPr>
        <w:tab/>
        <w:t>7</w:t>
      </w:r>
    </w:p>
    <w:p w:rsidR="00432828" w:rsidRDefault="00432828">
      <w:pPr>
        <w:pStyle w:val="TOC2"/>
        <w:rPr>
          <w:rFonts w:asciiTheme="minorHAnsi" w:eastAsiaTheme="minorEastAsia" w:hAnsiTheme="minorHAnsi" w:cstheme="minorBidi"/>
          <w:noProof/>
          <w:sz w:val="22"/>
          <w:szCs w:val="22"/>
          <w:lang w:eastAsia="en-AU"/>
        </w:rPr>
      </w:pPr>
      <w:r>
        <w:rPr>
          <w:noProof/>
        </w:rPr>
        <w:t>New South Wales</w:t>
      </w:r>
      <w:r>
        <w:rPr>
          <w:noProof/>
        </w:rPr>
        <w:tab/>
        <w:t>8</w:t>
      </w:r>
    </w:p>
    <w:p w:rsidR="00432828" w:rsidRDefault="00432828">
      <w:pPr>
        <w:pStyle w:val="TOC2"/>
        <w:rPr>
          <w:rFonts w:asciiTheme="minorHAnsi" w:eastAsiaTheme="minorEastAsia" w:hAnsiTheme="minorHAnsi" w:cstheme="minorBidi"/>
          <w:noProof/>
          <w:sz w:val="22"/>
          <w:szCs w:val="22"/>
          <w:lang w:eastAsia="en-AU"/>
        </w:rPr>
      </w:pPr>
      <w:r>
        <w:rPr>
          <w:noProof/>
        </w:rPr>
        <w:t>Victoria</w:t>
      </w:r>
      <w:r>
        <w:rPr>
          <w:noProof/>
        </w:rPr>
        <w:tab/>
        <w:t>10</w:t>
      </w:r>
    </w:p>
    <w:p w:rsidR="00432828" w:rsidRDefault="00432828">
      <w:pPr>
        <w:pStyle w:val="TOC2"/>
        <w:rPr>
          <w:rFonts w:asciiTheme="minorHAnsi" w:eastAsiaTheme="minorEastAsia" w:hAnsiTheme="minorHAnsi" w:cstheme="minorBidi"/>
          <w:noProof/>
          <w:sz w:val="22"/>
          <w:szCs w:val="22"/>
          <w:lang w:eastAsia="en-AU"/>
        </w:rPr>
      </w:pPr>
      <w:r>
        <w:rPr>
          <w:noProof/>
        </w:rPr>
        <w:t>Queensland</w:t>
      </w:r>
      <w:r>
        <w:rPr>
          <w:noProof/>
        </w:rPr>
        <w:tab/>
        <w:t>12</w:t>
      </w:r>
    </w:p>
    <w:p w:rsidR="00432828" w:rsidRDefault="00432828">
      <w:pPr>
        <w:pStyle w:val="TOC2"/>
        <w:rPr>
          <w:rFonts w:asciiTheme="minorHAnsi" w:eastAsiaTheme="minorEastAsia" w:hAnsiTheme="minorHAnsi" w:cstheme="minorBidi"/>
          <w:noProof/>
          <w:sz w:val="22"/>
          <w:szCs w:val="22"/>
          <w:lang w:eastAsia="en-AU"/>
        </w:rPr>
      </w:pPr>
      <w:r>
        <w:rPr>
          <w:noProof/>
        </w:rPr>
        <w:t>Western Australia</w:t>
      </w:r>
      <w:r>
        <w:rPr>
          <w:noProof/>
        </w:rPr>
        <w:tab/>
        <w:t>14</w:t>
      </w:r>
    </w:p>
    <w:p w:rsidR="00432828" w:rsidRDefault="00432828">
      <w:pPr>
        <w:pStyle w:val="TOC2"/>
        <w:rPr>
          <w:rFonts w:asciiTheme="minorHAnsi" w:eastAsiaTheme="minorEastAsia" w:hAnsiTheme="minorHAnsi" w:cstheme="minorBidi"/>
          <w:noProof/>
          <w:sz w:val="22"/>
          <w:szCs w:val="22"/>
          <w:lang w:eastAsia="en-AU"/>
        </w:rPr>
      </w:pPr>
      <w:r>
        <w:rPr>
          <w:noProof/>
        </w:rPr>
        <w:t>South Australia</w:t>
      </w:r>
      <w:r>
        <w:rPr>
          <w:noProof/>
        </w:rPr>
        <w:tab/>
        <w:t>16</w:t>
      </w:r>
    </w:p>
    <w:p w:rsidR="00432828" w:rsidRDefault="00432828">
      <w:pPr>
        <w:pStyle w:val="TOC2"/>
        <w:rPr>
          <w:rFonts w:asciiTheme="minorHAnsi" w:eastAsiaTheme="minorEastAsia" w:hAnsiTheme="minorHAnsi" w:cstheme="minorBidi"/>
          <w:noProof/>
          <w:sz w:val="22"/>
          <w:szCs w:val="22"/>
          <w:lang w:eastAsia="en-AU"/>
        </w:rPr>
      </w:pPr>
      <w:r>
        <w:rPr>
          <w:noProof/>
        </w:rPr>
        <w:t>Tasmania</w:t>
      </w:r>
      <w:r>
        <w:rPr>
          <w:noProof/>
        </w:rPr>
        <w:tab/>
        <w:t>18</w:t>
      </w:r>
    </w:p>
    <w:p w:rsidR="00432828" w:rsidRDefault="00432828">
      <w:pPr>
        <w:pStyle w:val="TOC2"/>
        <w:rPr>
          <w:rFonts w:asciiTheme="minorHAnsi" w:eastAsiaTheme="minorEastAsia" w:hAnsiTheme="minorHAnsi" w:cstheme="minorBidi"/>
          <w:noProof/>
          <w:sz w:val="22"/>
          <w:szCs w:val="22"/>
          <w:lang w:eastAsia="en-AU"/>
        </w:rPr>
      </w:pPr>
      <w:r>
        <w:rPr>
          <w:noProof/>
        </w:rPr>
        <w:t>Australian Capital Territory</w:t>
      </w:r>
      <w:r>
        <w:rPr>
          <w:noProof/>
        </w:rPr>
        <w:tab/>
        <w:t>20</w:t>
      </w:r>
    </w:p>
    <w:p w:rsidR="00432828" w:rsidRDefault="00432828">
      <w:pPr>
        <w:pStyle w:val="TOC2"/>
        <w:rPr>
          <w:rFonts w:asciiTheme="minorHAnsi" w:eastAsiaTheme="minorEastAsia" w:hAnsiTheme="minorHAnsi" w:cstheme="minorBidi"/>
          <w:noProof/>
          <w:sz w:val="22"/>
          <w:szCs w:val="22"/>
          <w:lang w:eastAsia="en-AU"/>
        </w:rPr>
      </w:pPr>
      <w:r>
        <w:rPr>
          <w:noProof/>
        </w:rPr>
        <w:t>Northern Territory</w:t>
      </w:r>
      <w:r>
        <w:rPr>
          <w:noProof/>
        </w:rPr>
        <w:tab/>
        <w:t>22</w:t>
      </w:r>
    </w:p>
    <w:p w:rsidR="00432828" w:rsidRDefault="00432828" w:rsidP="00432828">
      <w:pPr>
        <w:pStyle w:val="TOC1"/>
      </w:pPr>
      <w:r>
        <w:rPr>
          <w:noProof/>
        </w:rPr>
        <w:t>Appendix A — Measures of improvement</w:t>
      </w:r>
      <w:r>
        <w:rPr>
          <w:noProof/>
        </w:rPr>
        <w:tab/>
        <w:t>25</w:t>
      </w:r>
    </w:p>
    <w:sectPr w:rsidR="00432828" w:rsidSect="00585B3F">
      <w:headerReference w:type="even" r:id="rId12"/>
      <w:headerReference w:type="default" r:id="rId13"/>
      <w:footerReference w:type="even" r:id="rId14"/>
      <w:footerReference w:type="default" r:id="rId15"/>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828" w:rsidRDefault="00432828">
      <w:r>
        <w:separator/>
      </w:r>
    </w:p>
    <w:p w:rsidR="00432828" w:rsidRDefault="00432828"/>
    <w:p w:rsidR="00432828" w:rsidRDefault="00432828"/>
  </w:endnote>
  <w:endnote w:type="continuationSeparator" w:id="0">
    <w:p w:rsidR="00432828" w:rsidRDefault="00432828">
      <w:r>
        <w:continuationSeparator/>
      </w:r>
    </w:p>
    <w:p w:rsidR="00432828" w:rsidRDefault="00432828"/>
    <w:p w:rsidR="00432828" w:rsidRDefault="004328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DA6887">
            <w:rPr>
              <w:rStyle w:val="PageNumber"/>
              <w:caps w:val="0"/>
              <w:noProof/>
            </w:rPr>
            <w:t>iv</w:t>
          </w:r>
          <w:r w:rsidRPr="007448F7">
            <w:rPr>
              <w:rStyle w:val="PageNumber"/>
              <w:caps w:val="0"/>
            </w:rPr>
            <w:fldChar w:fldCharType="end"/>
          </w:r>
        </w:p>
      </w:tc>
      <w:tc>
        <w:tcPr>
          <w:tcW w:w="7767" w:type="dxa"/>
        </w:tcPr>
        <w:p w:rsidR="007448F7" w:rsidRPr="0013739A" w:rsidRDefault="00432828" w:rsidP="00271B0C">
          <w:pPr>
            <w:pStyle w:val="Footer"/>
            <w:rPr>
              <w:rFonts w:cs="Arial"/>
            </w:rPr>
          </w:pPr>
          <w:r>
            <w:rPr>
              <w:rFonts w:cs="Arial"/>
            </w:rPr>
            <w:t>National Partnership Agreement on Essential Vaccines</w:t>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432828" w:rsidP="00340511">
          <w:pPr>
            <w:pStyle w:val="Footer"/>
            <w:jc w:val="right"/>
            <w:rPr>
              <w:rFonts w:cs="Arial"/>
            </w:rPr>
          </w:pPr>
          <w:r>
            <w:rPr>
              <w:noProof/>
            </w:rPr>
            <w:t>contents</w:t>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A6887">
            <w:rPr>
              <w:rStyle w:val="PageNumber"/>
              <w:caps w:val="0"/>
              <w:noProof/>
            </w:rPr>
            <w:t>v</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828" w:rsidRDefault="00432828">
      <w:r>
        <w:separator/>
      </w:r>
    </w:p>
    <w:p w:rsidR="00432828" w:rsidRDefault="00432828"/>
    <w:p w:rsidR="00432828" w:rsidRDefault="00432828"/>
  </w:footnote>
  <w:footnote w:type="continuationSeparator" w:id="0">
    <w:p w:rsidR="00432828" w:rsidRDefault="00432828">
      <w:r>
        <w:continuationSeparator/>
      </w:r>
    </w:p>
    <w:p w:rsidR="00432828" w:rsidRDefault="00432828"/>
    <w:p w:rsidR="00432828" w:rsidRDefault="004328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92E4A210"/>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A3C2DCF6"/>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B58078F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E"/>
    <w:multiLevelType w:val="singleLevel"/>
    <w:tmpl w:val="FFFFFFFF"/>
    <w:lvl w:ilvl="0">
      <w:numFmt w:val="decimal"/>
      <w:lvlText w:val="*"/>
      <w:lvlJc w:val="left"/>
    </w:lvl>
  </w:abstractNum>
  <w:abstractNum w:abstractNumId="7"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15:restartNumberingAfterBreak="0">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15:restartNumberingAfterBreak="0">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15:restartNumberingAfterBreak="0">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15:restartNumberingAfterBreak="0">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828"/>
    <w:rsid w:val="00010F36"/>
    <w:rsid w:val="00017AFC"/>
    <w:rsid w:val="00025878"/>
    <w:rsid w:val="00026B38"/>
    <w:rsid w:val="000502D3"/>
    <w:rsid w:val="00052CB2"/>
    <w:rsid w:val="000623BF"/>
    <w:rsid w:val="000779EB"/>
    <w:rsid w:val="00095EEA"/>
    <w:rsid w:val="00097C15"/>
    <w:rsid w:val="000A0A0E"/>
    <w:rsid w:val="000A5E12"/>
    <w:rsid w:val="000B416E"/>
    <w:rsid w:val="000F185F"/>
    <w:rsid w:val="000F2F5F"/>
    <w:rsid w:val="00106041"/>
    <w:rsid w:val="0010611E"/>
    <w:rsid w:val="00122FE9"/>
    <w:rsid w:val="00131572"/>
    <w:rsid w:val="00131D4F"/>
    <w:rsid w:val="0013399B"/>
    <w:rsid w:val="0017164A"/>
    <w:rsid w:val="00180515"/>
    <w:rsid w:val="00181F4B"/>
    <w:rsid w:val="00190919"/>
    <w:rsid w:val="00196FB3"/>
    <w:rsid w:val="001A5071"/>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40511"/>
    <w:rsid w:val="0034770A"/>
    <w:rsid w:val="0038647D"/>
    <w:rsid w:val="00393A49"/>
    <w:rsid w:val="003B41E0"/>
    <w:rsid w:val="003C3D73"/>
    <w:rsid w:val="003D624D"/>
    <w:rsid w:val="003E7802"/>
    <w:rsid w:val="0042007A"/>
    <w:rsid w:val="00432828"/>
    <w:rsid w:val="00433C81"/>
    <w:rsid w:val="00446D6B"/>
    <w:rsid w:val="00457B3F"/>
    <w:rsid w:val="00463022"/>
    <w:rsid w:val="00481CF0"/>
    <w:rsid w:val="004B492A"/>
    <w:rsid w:val="004C0B0C"/>
    <w:rsid w:val="004D3F58"/>
    <w:rsid w:val="004E52E2"/>
    <w:rsid w:val="004E6BB4"/>
    <w:rsid w:val="004E7D3C"/>
    <w:rsid w:val="00515D43"/>
    <w:rsid w:val="0052544D"/>
    <w:rsid w:val="00526B19"/>
    <w:rsid w:val="00551FB8"/>
    <w:rsid w:val="005537F6"/>
    <w:rsid w:val="00560F43"/>
    <w:rsid w:val="005654D0"/>
    <w:rsid w:val="00585B3F"/>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57A5A"/>
    <w:rsid w:val="0067557D"/>
    <w:rsid w:val="006802D4"/>
    <w:rsid w:val="00683849"/>
    <w:rsid w:val="00691AB5"/>
    <w:rsid w:val="006B5AFC"/>
    <w:rsid w:val="006E1E6B"/>
    <w:rsid w:val="006F0EAC"/>
    <w:rsid w:val="006F6A85"/>
    <w:rsid w:val="00700886"/>
    <w:rsid w:val="0070328D"/>
    <w:rsid w:val="00731F96"/>
    <w:rsid w:val="00734127"/>
    <w:rsid w:val="00735FEA"/>
    <w:rsid w:val="00743460"/>
    <w:rsid w:val="00743A27"/>
    <w:rsid w:val="007448F7"/>
    <w:rsid w:val="00753DC6"/>
    <w:rsid w:val="0075578C"/>
    <w:rsid w:val="00760B57"/>
    <w:rsid w:val="00766DFB"/>
    <w:rsid w:val="007734B5"/>
    <w:rsid w:val="007809B8"/>
    <w:rsid w:val="007813A6"/>
    <w:rsid w:val="007C56AD"/>
    <w:rsid w:val="007E7732"/>
    <w:rsid w:val="007F11BC"/>
    <w:rsid w:val="00805FD7"/>
    <w:rsid w:val="00806E54"/>
    <w:rsid w:val="008206EE"/>
    <w:rsid w:val="008214B1"/>
    <w:rsid w:val="008273A9"/>
    <w:rsid w:val="00836ED7"/>
    <w:rsid w:val="0084355E"/>
    <w:rsid w:val="008453AC"/>
    <w:rsid w:val="0084691A"/>
    <w:rsid w:val="00851A12"/>
    <w:rsid w:val="00860D09"/>
    <w:rsid w:val="00862044"/>
    <w:rsid w:val="00880BF7"/>
    <w:rsid w:val="0089269F"/>
    <w:rsid w:val="008A2133"/>
    <w:rsid w:val="008A3857"/>
    <w:rsid w:val="008B2205"/>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8401D"/>
    <w:rsid w:val="009843CA"/>
    <w:rsid w:val="009A789F"/>
    <w:rsid w:val="009B12EF"/>
    <w:rsid w:val="009B48F7"/>
    <w:rsid w:val="009B6185"/>
    <w:rsid w:val="009C6C6D"/>
    <w:rsid w:val="009E1E78"/>
    <w:rsid w:val="00A1597D"/>
    <w:rsid w:val="00A46989"/>
    <w:rsid w:val="00A469AA"/>
    <w:rsid w:val="00A71CE9"/>
    <w:rsid w:val="00A72A19"/>
    <w:rsid w:val="00A75A30"/>
    <w:rsid w:val="00A93C82"/>
    <w:rsid w:val="00AB2A48"/>
    <w:rsid w:val="00AB5DBB"/>
    <w:rsid w:val="00AC3236"/>
    <w:rsid w:val="00AD4874"/>
    <w:rsid w:val="00AE1F8A"/>
    <w:rsid w:val="00B036B2"/>
    <w:rsid w:val="00B04D19"/>
    <w:rsid w:val="00B153C3"/>
    <w:rsid w:val="00B22087"/>
    <w:rsid w:val="00B722F2"/>
    <w:rsid w:val="00B80355"/>
    <w:rsid w:val="00B90958"/>
    <w:rsid w:val="00B95339"/>
    <w:rsid w:val="00BA0B81"/>
    <w:rsid w:val="00BB334E"/>
    <w:rsid w:val="00BB5DCF"/>
    <w:rsid w:val="00BC2476"/>
    <w:rsid w:val="00BF59EA"/>
    <w:rsid w:val="00BF79CD"/>
    <w:rsid w:val="00C058AB"/>
    <w:rsid w:val="00C0721B"/>
    <w:rsid w:val="00C12531"/>
    <w:rsid w:val="00C34C8C"/>
    <w:rsid w:val="00C50792"/>
    <w:rsid w:val="00C51371"/>
    <w:rsid w:val="00C55A45"/>
    <w:rsid w:val="00C904D9"/>
    <w:rsid w:val="00C94C06"/>
    <w:rsid w:val="00CA48BF"/>
    <w:rsid w:val="00CB3ACC"/>
    <w:rsid w:val="00CB4745"/>
    <w:rsid w:val="00CD2163"/>
    <w:rsid w:val="00CD4FE7"/>
    <w:rsid w:val="00CD5E6B"/>
    <w:rsid w:val="00CE3967"/>
    <w:rsid w:val="00CE4FBC"/>
    <w:rsid w:val="00CE5D96"/>
    <w:rsid w:val="00CE7344"/>
    <w:rsid w:val="00CF1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887"/>
    <w:rsid w:val="00DA6D3E"/>
    <w:rsid w:val="00DC02E8"/>
    <w:rsid w:val="00DC75C7"/>
    <w:rsid w:val="00DC78D3"/>
    <w:rsid w:val="00DD1077"/>
    <w:rsid w:val="00DF00FE"/>
    <w:rsid w:val="00DF4592"/>
    <w:rsid w:val="00E15FDC"/>
    <w:rsid w:val="00E2651B"/>
    <w:rsid w:val="00E30DDB"/>
    <w:rsid w:val="00E6632E"/>
    <w:rsid w:val="00E90CF2"/>
    <w:rsid w:val="00EC38C1"/>
    <w:rsid w:val="00EC628B"/>
    <w:rsid w:val="00ED0F61"/>
    <w:rsid w:val="00EE3F6D"/>
    <w:rsid w:val="00EE73E1"/>
    <w:rsid w:val="00F12107"/>
    <w:rsid w:val="00F13165"/>
    <w:rsid w:val="00F26B1A"/>
    <w:rsid w:val="00F4234E"/>
    <w:rsid w:val="00F61429"/>
    <w:rsid w:val="00F7477E"/>
    <w:rsid w:val="00F85393"/>
    <w:rsid w:val="00FA4A24"/>
    <w:rsid w:val="00FC41B4"/>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79ACC0FC-9829-4B30-ADFB-02C6043A7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4328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32828"/>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1F7EF6E3-48A6-467E-BAB8-9E75AF347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Template>
  <TotalTime>33</TotalTime>
  <Pages>5</Pages>
  <Words>404</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Preliminary pages - National Partnership Agreement on Essential Vaccines: Performance Report 1 April 2015 - 31 March 2016</vt:lpstr>
    </vt:vector>
  </TitlesOfParts>
  <Company>Productivity Commission</Company>
  <LinksUpToDate>false</LinksUpToDate>
  <CharactersWithSpaces>2702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pages - National Partnership Agreement on Essential Vaccines: Performance Report 1 April 2015 - 31 March 2016</dc:title>
  <dc:creator>Productivity Commission</dc:creator>
  <cp:lastModifiedBy>Frech, Tanya</cp:lastModifiedBy>
  <cp:revision>11</cp:revision>
  <cp:lastPrinted>2009-07-15T23:41:00Z</cp:lastPrinted>
  <dcterms:created xsi:type="dcterms:W3CDTF">2016-08-15T05:38:00Z</dcterms:created>
  <dcterms:modified xsi:type="dcterms:W3CDTF">2017-07-06T01:20:00Z</dcterms:modified>
</cp:coreProperties>
</file>