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C3A" w:rsidRDefault="00471C3A" w:rsidP="001655C5">
      <w:pPr>
        <w:pStyle w:val="BodyText"/>
        <w:rPr>
          <w:b/>
          <w:szCs w:val="26"/>
        </w:rPr>
      </w:pPr>
      <w:bookmarkStart w:id="0" w:name="_GoBack"/>
      <w:bookmarkEnd w:id="0"/>
      <w:r>
        <w:rPr>
          <w:noProof/>
          <w:kern w:val="28"/>
          <w:sz w:val="52"/>
          <w:szCs w:val="26"/>
        </w:rPr>
        <w:drawing>
          <wp:anchor distT="0" distB="0" distL="114300" distR="114300" simplePos="0" relativeHeight="251659264" behindDoc="0" locked="0" layoutInCell="1" allowOverlap="1">
            <wp:simplePos x="1152525" y="1057275"/>
            <wp:positionH relativeFrom="page">
              <wp:align>center</wp:align>
            </wp:positionH>
            <wp:positionV relativeFrom="page">
              <wp:align>bottom</wp:align>
            </wp:positionV>
            <wp:extent cx="7560000" cy="10069200"/>
            <wp:effectExtent l="0" t="0" r="3175" b="8255"/>
            <wp:wrapNone/>
            <wp:docPr id="3" name="Picture 3" descr="Description: Cover of 'National Partnership Agreement on Essential Vaccines' 1 April 2012 - 31 March 2013 Performance Report. By the Steering Committee for the Review of Government Service Provision. Published May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hynes\AppData\Local\Microsoft\Windows\Temporary Internet Files\Content.Outlook\OQMCM4AL\cover-gsp-national-partnership-vaccines-may-2013 (3).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60000" cy="10069200"/>
                    </a:xfrm>
                    <a:prstGeom prst="rect">
                      <a:avLst/>
                    </a:prstGeom>
                    <a:noFill/>
                    <a:ln>
                      <a:noFill/>
                    </a:ln>
                  </pic:spPr>
                </pic:pic>
              </a:graphicData>
            </a:graphic>
            <wp14:sizeRelH relativeFrom="margin">
              <wp14:pctWidth>0</wp14:pctWidth>
            </wp14:sizeRelH>
            <wp14:sizeRelV relativeFrom="margin">
              <wp14:pctHeight>0</wp14:pctHeight>
            </wp14:sizeRelV>
          </wp:anchor>
        </w:drawing>
      </w:r>
      <w:r>
        <w:br w:type="page"/>
      </w:r>
    </w:p>
    <w:p w:rsidR="00471C3A" w:rsidRDefault="00471C3A" w:rsidP="001655C5">
      <w:pPr>
        <w:pStyle w:val="TOC1"/>
      </w:pPr>
      <w:r w:rsidRPr="008C305F">
        <w:lastRenderedPageBreak/>
        <w:fldChar w:fldCharType="begin"/>
      </w:r>
      <w:r w:rsidRPr="008C305F">
        <w:instrText>SYMBOL 227 \f "Symbol"</w:instrText>
      </w:r>
      <w:r w:rsidRPr="008C305F">
        <w:fldChar w:fldCharType="end"/>
      </w:r>
      <w:r w:rsidRPr="008C305F">
        <w:t xml:space="preserve"> Commonwealth of Australia </w:t>
      </w:r>
      <w:r>
        <w:t>2013</w:t>
      </w:r>
    </w:p>
    <w:p w:rsidR="00471C3A" w:rsidRPr="007809B8" w:rsidRDefault="00471C3A">
      <w:pPr>
        <w:pStyle w:val="BodyText"/>
        <w:tabs>
          <w:tab w:val="left" w:pos="851"/>
        </w:tabs>
        <w:spacing w:before="200" w:after="120"/>
        <w:jc w:val="left"/>
        <w:rPr>
          <w:b/>
          <w:sz w:val="24"/>
        </w:rPr>
      </w:pPr>
      <w:bookmarkStart w:id="1" w:name="ISSN"/>
      <w:bookmarkEnd w:id="1"/>
      <w:r>
        <w:rPr>
          <w:b/>
          <w:sz w:val="24"/>
        </w:rPr>
        <w:t>ISBN</w:t>
      </w:r>
      <w:r>
        <w:rPr>
          <w:b/>
          <w:sz w:val="24"/>
        </w:rPr>
        <w:tab/>
        <w:t xml:space="preserve">978-1-74037-440-8 </w:t>
      </w:r>
    </w:p>
    <w:p w:rsidR="00471C3A" w:rsidRPr="00F4234E" w:rsidRDefault="00471C3A" w:rsidP="001655C5">
      <w:pPr>
        <w:pStyle w:val="BodyText"/>
      </w:pPr>
      <w:r w:rsidRPr="00F4234E">
        <w:t>This work is copyright. Apart from any use as permitted under the</w:t>
      </w:r>
      <w:r>
        <w:rPr>
          <w:i/>
        </w:rPr>
        <w:t xml:space="preserve"> Copyright Act </w:t>
      </w:r>
      <w:r w:rsidRPr="00F4234E">
        <w:rPr>
          <w:i/>
        </w:rPr>
        <w:t>1968</w:t>
      </w:r>
      <w:r w:rsidRPr="00F4234E">
        <w:t>, the work may be reproduced in whole or in part for study or training purposes, subject to the inclusion of an acknowledgment of the source. Reproduction for commercial use or sale requires prior written permission from the Productivity Commission. Requests and inquiries concerning reproduction and rights should be addressed to Media and Publications (see below).</w:t>
      </w:r>
    </w:p>
    <w:p w:rsidR="00471C3A" w:rsidRPr="00D75BC6" w:rsidRDefault="00471C3A" w:rsidP="001655C5">
      <w:pPr>
        <w:pStyle w:val="BodyText"/>
      </w:pPr>
      <w:r>
        <w:t>The Productivity Commission acts as the Secretariat for the Steering Committee.</w:t>
      </w:r>
    </w:p>
    <w:p w:rsidR="00471C3A" w:rsidRPr="00F4234E" w:rsidRDefault="00471C3A" w:rsidP="001655C5">
      <w:pPr>
        <w:pStyle w:val="BodyText"/>
        <w:rPr>
          <w:i/>
        </w:rPr>
      </w:pPr>
      <w:r w:rsidRPr="00F4234E">
        <w:rPr>
          <w:i/>
        </w:rPr>
        <w:t xml:space="preserve">This publication is available from the Productivity Commission website at www.pc.gov.au. If you require part or all of this publication in a different format, please contact </w:t>
      </w:r>
      <w:r>
        <w:rPr>
          <w:i/>
        </w:rPr>
        <w:t>the Secretariat (see below)</w:t>
      </w:r>
      <w:r w:rsidRPr="00F4234E">
        <w:rPr>
          <w:i/>
        </w:rPr>
        <w:t>.</w:t>
      </w:r>
    </w:p>
    <w:p w:rsidR="00471C3A" w:rsidRPr="00D75BC6" w:rsidRDefault="00471C3A" w:rsidP="001655C5">
      <w:pPr>
        <w:pStyle w:val="BodyText"/>
        <w:spacing w:before="320"/>
        <w:rPr>
          <w:sz w:val="24"/>
        </w:rPr>
      </w:pPr>
      <w:r w:rsidRPr="00D75BC6">
        <w:rPr>
          <w:sz w:val="24"/>
        </w:rPr>
        <w:t>Secretariat</w:t>
      </w:r>
    </w:p>
    <w:p w:rsidR="00471C3A" w:rsidRDefault="00471C3A" w:rsidP="001655C5">
      <w:pPr>
        <w:pStyle w:val="BodyText"/>
        <w:spacing w:before="0" w:line="240" w:lineRule="auto"/>
        <w:rPr>
          <w:sz w:val="24"/>
        </w:rPr>
      </w:pPr>
      <w:r>
        <w:rPr>
          <w:sz w:val="24"/>
        </w:rPr>
        <w:t>Steering Committee for the Review of Government Service Provision</w:t>
      </w:r>
    </w:p>
    <w:p w:rsidR="00471C3A" w:rsidRDefault="00471C3A" w:rsidP="001655C5">
      <w:pPr>
        <w:pStyle w:val="BodyText"/>
        <w:spacing w:before="0" w:line="240" w:lineRule="auto"/>
        <w:rPr>
          <w:sz w:val="24"/>
        </w:rPr>
      </w:pPr>
      <w:r>
        <w:rPr>
          <w:sz w:val="24"/>
        </w:rPr>
        <w:t xml:space="preserve">Productivity </w:t>
      </w:r>
      <w:r w:rsidRPr="00FD4728">
        <w:rPr>
          <w:snapToGrid w:val="0"/>
          <w:sz w:val="24"/>
        </w:rPr>
        <w:t>Commission</w:t>
      </w:r>
    </w:p>
    <w:p w:rsidR="00471C3A" w:rsidRDefault="00471C3A" w:rsidP="001655C5">
      <w:pPr>
        <w:pStyle w:val="BodyText"/>
        <w:spacing w:before="0" w:line="240" w:lineRule="auto"/>
        <w:rPr>
          <w:sz w:val="24"/>
        </w:rPr>
      </w:pPr>
      <w:r>
        <w:rPr>
          <w:sz w:val="24"/>
        </w:rPr>
        <w:t xml:space="preserve">Locked Bag </w:t>
      </w:r>
      <w:smartTag w:uri="urn:schemas-microsoft-com:office:smarttags" w:element="Street">
        <w:smartTag w:uri="urn:schemas-microsoft-com:office:smarttags" w:element="address">
          <w:r>
            <w:rPr>
              <w:sz w:val="24"/>
            </w:rPr>
            <w:t xml:space="preserve">2 Collins </w:t>
          </w:r>
          <w:r w:rsidRPr="00FD4728">
            <w:rPr>
              <w:snapToGrid w:val="0"/>
              <w:sz w:val="24"/>
            </w:rPr>
            <w:t>Street</w:t>
          </w:r>
          <w:r>
            <w:rPr>
              <w:sz w:val="24"/>
            </w:rPr>
            <w:t xml:space="preserve"> East</w:t>
          </w:r>
        </w:smartTag>
      </w:smartTag>
    </w:p>
    <w:p w:rsidR="00471C3A" w:rsidRDefault="00471C3A" w:rsidP="001655C5">
      <w:pPr>
        <w:pStyle w:val="BodyText"/>
        <w:spacing w:before="0" w:after="120" w:line="240" w:lineRule="auto"/>
        <w:rPr>
          <w:snapToGrid w:val="0"/>
          <w:sz w:val="24"/>
        </w:rPr>
      </w:pPr>
      <w:smartTag w:uri="urn:schemas-microsoft-com:office:smarttags" w:element="City">
        <w:smartTag w:uri="urn:schemas-microsoft-com:office:smarttags" w:element="place">
          <w:r>
            <w:rPr>
              <w:sz w:val="24"/>
            </w:rPr>
            <w:t>Melbourne</w:t>
          </w:r>
        </w:smartTag>
      </w:smartTag>
      <w:r>
        <w:rPr>
          <w:sz w:val="24"/>
        </w:rPr>
        <w:t xml:space="preserve">    VIC    </w:t>
      </w:r>
      <w:r w:rsidRPr="00FD4728">
        <w:rPr>
          <w:snapToGrid w:val="0"/>
          <w:sz w:val="24"/>
        </w:rPr>
        <w:t>8003</w:t>
      </w:r>
    </w:p>
    <w:p w:rsidR="00471C3A" w:rsidRDefault="00471C3A" w:rsidP="001655C5">
      <w:pPr>
        <w:pStyle w:val="BodyText"/>
        <w:spacing w:before="0" w:after="120" w:line="240" w:lineRule="auto"/>
        <w:rPr>
          <w:snapToGrid w:val="0"/>
          <w:sz w:val="24"/>
        </w:rPr>
      </w:pPr>
    </w:p>
    <w:p w:rsidR="00471C3A" w:rsidRDefault="00471C3A" w:rsidP="001655C5">
      <w:pPr>
        <w:pStyle w:val="BodyText"/>
        <w:spacing w:before="0" w:line="240" w:lineRule="auto"/>
        <w:rPr>
          <w:sz w:val="24"/>
        </w:rPr>
      </w:pPr>
      <w:r>
        <w:rPr>
          <w:sz w:val="24"/>
        </w:rPr>
        <w:t>Level 12</w:t>
      </w:r>
    </w:p>
    <w:p w:rsidR="00471C3A" w:rsidRPr="00D75BC6" w:rsidRDefault="00471C3A" w:rsidP="001655C5">
      <w:pPr>
        <w:pStyle w:val="BodyText"/>
        <w:spacing w:before="0" w:after="120" w:line="240" w:lineRule="auto"/>
        <w:jc w:val="left"/>
        <w:rPr>
          <w:sz w:val="24"/>
        </w:rPr>
      </w:pPr>
      <w:r>
        <w:rPr>
          <w:sz w:val="24"/>
        </w:rPr>
        <w:t>530 Collins Street</w:t>
      </w:r>
      <w:r>
        <w:rPr>
          <w:sz w:val="24"/>
        </w:rPr>
        <w:br/>
        <w:t>Melbourne VIC 3000</w:t>
      </w:r>
    </w:p>
    <w:p w:rsidR="00471C3A" w:rsidRDefault="00471C3A" w:rsidP="001655C5">
      <w:pPr>
        <w:pStyle w:val="BodyText"/>
        <w:spacing w:before="0" w:after="120" w:line="240" w:lineRule="auto"/>
        <w:rPr>
          <w:sz w:val="24"/>
        </w:rPr>
      </w:pPr>
    </w:p>
    <w:p w:rsidR="00471C3A" w:rsidRPr="00FD4728" w:rsidRDefault="00471C3A" w:rsidP="001655C5">
      <w:pPr>
        <w:pStyle w:val="BodyText"/>
        <w:tabs>
          <w:tab w:val="left" w:pos="1134"/>
        </w:tabs>
        <w:spacing w:before="0" w:line="240" w:lineRule="auto"/>
        <w:rPr>
          <w:sz w:val="24"/>
          <w:szCs w:val="24"/>
        </w:rPr>
      </w:pPr>
      <w:r w:rsidRPr="00FD4728">
        <w:rPr>
          <w:sz w:val="24"/>
          <w:szCs w:val="24"/>
        </w:rPr>
        <w:t>Tel:</w:t>
      </w:r>
      <w:r w:rsidRPr="00FD4728">
        <w:rPr>
          <w:sz w:val="24"/>
          <w:szCs w:val="24"/>
        </w:rPr>
        <w:tab/>
        <w:t xml:space="preserve">(03) 9653 </w:t>
      </w:r>
      <w:r>
        <w:rPr>
          <w:sz w:val="24"/>
          <w:szCs w:val="24"/>
        </w:rPr>
        <w:t>2100</w:t>
      </w:r>
      <w:r>
        <w:rPr>
          <w:sz w:val="24"/>
          <w:szCs w:val="24"/>
        </w:rPr>
        <w:tab/>
        <w:t>or</w:t>
      </w:r>
      <w:r>
        <w:rPr>
          <w:sz w:val="24"/>
          <w:szCs w:val="24"/>
        </w:rPr>
        <w:tab/>
      </w:r>
      <w:proofErr w:type="spellStart"/>
      <w:r>
        <w:rPr>
          <w:sz w:val="24"/>
          <w:szCs w:val="24"/>
        </w:rPr>
        <w:t>Freecall</w:t>
      </w:r>
      <w:proofErr w:type="spellEnd"/>
      <w:r>
        <w:rPr>
          <w:sz w:val="24"/>
          <w:szCs w:val="24"/>
        </w:rPr>
        <w:t>:</w:t>
      </w:r>
      <w:r>
        <w:rPr>
          <w:sz w:val="24"/>
          <w:szCs w:val="24"/>
        </w:rPr>
        <w:tab/>
        <w:t>1800 020 083</w:t>
      </w:r>
    </w:p>
    <w:p w:rsidR="00471C3A" w:rsidRPr="00D75BC6" w:rsidRDefault="00471C3A" w:rsidP="001655C5">
      <w:pPr>
        <w:pStyle w:val="BodyText"/>
        <w:tabs>
          <w:tab w:val="left" w:pos="1134"/>
        </w:tabs>
        <w:spacing w:before="0" w:line="240" w:lineRule="auto"/>
        <w:jc w:val="left"/>
        <w:rPr>
          <w:sz w:val="24"/>
          <w:szCs w:val="24"/>
        </w:rPr>
      </w:pPr>
      <w:r w:rsidRPr="00FD4728">
        <w:rPr>
          <w:sz w:val="24"/>
          <w:szCs w:val="24"/>
        </w:rPr>
        <w:t>Fax:</w:t>
      </w:r>
      <w:r w:rsidRPr="00FD4728">
        <w:rPr>
          <w:sz w:val="24"/>
          <w:szCs w:val="24"/>
        </w:rPr>
        <w:tab/>
        <w:t xml:space="preserve">(03) 9653 </w:t>
      </w:r>
      <w:r>
        <w:rPr>
          <w:sz w:val="24"/>
          <w:szCs w:val="24"/>
        </w:rPr>
        <w:t>2199</w:t>
      </w:r>
      <w:r w:rsidRPr="00FD4728">
        <w:rPr>
          <w:sz w:val="24"/>
          <w:szCs w:val="24"/>
        </w:rPr>
        <w:br/>
      </w:r>
      <w:r w:rsidRPr="008F04C9">
        <w:rPr>
          <w:sz w:val="24"/>
          <w:szCs w:val="24"/>
        </w:rPr>
        <w:t>Email:</w:t>
      </w:r>
      <w:r w:rsidRPr="008F04C9">
        <w:rPr>
          <w:sz w:val="24"/>
          <w:szCs w:val="24"/>
        </w:rPr>
        <w:tab/>
      </w:r>
      <w:proofErr w:type="spellStart"/>
      <w:r>
        <w:rPr>
          <w:sz w:val="24"/>
          <w:szCs w:val="24"/>
        </w:rPr>
        <w:t>gsp</w:t>
      </w:r>
      <w:r w:rsidRPr="008F04C9">
        <w:rPr>
          <w:sz w:val="24"/>
          <w:szCs w:val="24"/>
        </w:rPr>
        <w:t>@pc.gov.au</w:t>
      </w:r>
      <w:proofErr w:type="spellEnd"/>
      <w:r>
        <w:rPr>
          <w:sz w:val="24"/>
          <w:szCs w:val="24"/>
        </w:rPr>
        <w:br/>
      </w:r>
      <w:r w:rsidRPr="00D75BC6">
        <w:rPr>
          <w:sz w:val="24"/>
          <w:szCs w:val="24"/>
        </w:rPr>
        <w:t>www.pc.gov.au</w:t>
      </w:r>
    </w:p>
    <w:p w:rsidR="00471C3A" w:rsidRPr="008F04C9" w:rsidRDefault="00471C3A" w:rsidP="001655C5">
      <w:pPr>
        <w:pStyle w:val="BodyText"/>
        <w:spacing w:before="360" w:line="240" w:lineRule="auto"/>
        <w:rPr>
          <w:b/>
          <w:sz w:val="24"/>
          <w:szCs w:val="24"/>
        </w:rPr>
      </w:pPr>
      <w:r w:rsidRPr="008F04C9">
        <w:rPr>
          <w:b/>
          <w:sz w:val="24"/>
          <w:szCs w:val="24"/>
        </w:rPr>
        <w:t>An appropriate citation for this paper is:</w:t>
      </w:r>
    </w:p>
    <w:p w:rsidR="00471C3A" w:rsidRPr="00D75BC6" w:rsidRDefault="00471C3A" w:rsidP="001655C5">
      <w:pPr>
        <w:pStyle w:val="BodyText"/>
        <w:spacing w:before="160" w:after="120" w:line="240" w:lineRule="auto"/>
        <w:rPr>
          <w:sz w:val="24"/>
          <w:szCs w:val="24"/>
        </w:rPr>
      </w:pPr>
      <w:r>
        <w:rPr>
          <w:sz w:val="24"/>
          <w:szCs w:val="24"/>
        </w:rPr>
        <w:t xml:space="preserve">SCRGSP (Steering Committee for the Review of Government Service Provision) 2013, </w:t>
      </w:r>
      <w:r>
        <w:rPr>
          <w:i/>
          <w:sz w:val="24"/>
          <w:szCs w:val="24"/>
        </w:rPr>
        <w:t>National Partnership Agreement on Essential Vaccines: 1 April 2012 – 31 March 2013 Performance Report</w:t>
      </w:r>
      <w:r>
        <w:rPr>
          <w:sz w:val="24"/>
          <w:szCs w:val="24"/>
        </w:rPr>
        <w:t>, Productivity Commission, Canberra.</w:t>
      </w:r>
    </w:p>
    <w:p w:rsidR="00471C3A" w:rsidRDefault="00471C3A">
      <w:bookmarkStart w:id="2" w:name="JEL"/>
      <w:bookmarkStart w:id="3" w:name="cov"/>
      <w:bookmarkEnd w:id="2"/>
      <w:bookmarkEnd w:id="3"/>
      <w:r>
        <w:br w:type="page"/>
      </w:r>
    </w:p>
    <w:tbl>
      <w:tblPr>
        <w:tblW w:w="8789" w:type="dxa"/>
        <w:jc w:val="right"/>
        <w:tblLayout w:type="fixed"/>
        <w:tblCellMar>
          <w:left w:w="0" w:type="dxa"/>
          <w:right w:w="0" w:type="dxa"/>
        </w:tblCellMar>
        <w:tblLook w:val="0000" w:firstRow="0" w:lastRow="0" w:firstColumn="0" w:lastColumn="0" w:noHBand="0" w:noVBand="0"/>
      </w:tblPr>
      <w:tblGrid>
        <w:gridCol w:w="4628"/>
        <w:gridCol w:w="4161"/>
      </w:tblGrid>
      <w:tr w:rsidR="00471C3A" w:rsidTr="001655C5">
        <w:trPr>
          <w:cantSplit/>
          <w:trHeight w:hRule="exact" w:val="1021"/>
          <w:jc w:val="right"/>
        </w:trPr>
        <w:tc>
          <w:tcPr>
            <w:tcW w:w="4628" w:type="dxa"/>
          </w:tcPr>
          <w:p w:rsidR="00471C3A" w:rsidRDefault="00471C3A" w:rsidP="001655C5">
            <w:pPr>
              <w:rPr>
                <w:sz w:val="16"/>
              </w:rPr>
            </w:pPr>
            <w:bookmarkStart w:id="4" w:name="Date"/>
            <w:bookmarkStart w:id="5" w:name="graphics" w:colFirst="1" w:colLast="1"/>
            <w:r>
              <w:rPr>
                <w:sz w:val="16"/>
              </w:rPr>
              <w:lastRenderedPageBreak/>
              <w:br/>
            </w:r>
            <w:bookmarkStart w:id="6" w:name="OurRef"/>
            <w:bookmarkEnd w:id="6"/>
          </w:p>
        </w:tc>
        <w:tc>
          <w:tcPr>
            <w:tcW w:w="4161" w:type="dxa"/>
            <w:tcBorders>
              <w:bottom w:val="single" w:sz="12" w:space="0" w:color="0000FF"/>
            </w:tcBorders>
          </w:tcPr>
          <w:p w:rsidR="00471C3A" w:rsidRDefault="00471C3A" w:rsidP="001655C5">
            <w:pPr>
              <w:jc w:val="right"/>
              <w:rPr>
                <w:rFonts w:ascii="Albertus Medium" w:hAnsi="Albertus Medium"/>
                <w:b/>
                <w:color w:val="0000FF"/>
              </w:rPr>
            </w:pPr>
            <w:r>
              <w:rPr>
                <w:rFonts w:ascii="Albertus Medium" w:hAnsi="Albertus Medium"/>
                <w:b/>
                <w:color w:val="0000FF"/>
              </w:rPr>
              <w:t>Steering Committee for the</w:t>
            </w:r>
          </w:p>
          <w:p w:rsidR="00471C3A" w:rsidRDefault="00471C3A" w:rsidP="001655C5">
            <w:pPr>
              <w:jc w:val="right"/>
              <w:rPr>
                <w:rFonts w:ascii="Albertus Medium" w:hAnsi="Albertus Medium"/>
                <w:b/>
                <w:color w:val="0000FF"/>
              </w:rPr>
            </w:pPr>
            <w:r>
              <w:rPr>
                <w:rFonts w:ascii="Albertus Medium" w:hAnsi="Albertus Medium"/>
                <w:b/>
                <w:color w:val="0000FF"/>
              </w:rPr>
              <w:t>Review of Government</w:t>
            </w:r>
          </w:p>
          <w:p w:rsidR="00471C3A" w:rsidRDefault="00471C3A" w:rsidP="001655C5">
            <w:pPr>
              <w:jc w:val="right"/>
              <w:rPr>
                <w:rFonts w:ascii="Albertus Medium" w:hAnsi="Albertus Medium"/>
                <w:b/>
                <w:color w:val="0000FF"/>
              </w:rPr>
            </w:pPr>
            <w:r>
              <w:rPr>
                <w:rFonts w:ascii="Albertus Medium" w:hAnsi="Albertus Medium"/>
                <w:b/>
                <w:color w:val="0000FF"/>
              </w:rPr>
              <w:t>Service Provision</w:t>
            </w:r>
          </w:p>
        </w:tc>
      </w:tr>
    </w:tbl>
    <w:p w:rsidR="00471C3A" w:rsidRDefault="00471C3A" w:rsidP="001655C5">
      <w:pPr>
        <w:pStyle w:val="Address"/>
        <w:rPr>
          <w:sz w:val="26"/>
          <w:szCs w:val="26"/>
        </w:rPr>
      </w:pPr>
      <w:bookmarkStart w:id="7" w:name="Address"/>
      <w:bookmarkEnd w:id="4"/>
      <w:bookmarkEnd w:id="5"/>
      <w:bookmarkEnd w:id="7"/>
    </w:p>
    <w:p w:rsidR="00471C3A" w:rsidRPr="005D1470" w:rsidRDefault="00471C3A" w:rsidP="001655C5">
      <w:pPr>
        <w:pStyle w:val="LetterAddress"/>
      </w:pPr>
      <w:r>
        <w:t>The Hon</w:t>
      </w:r>
      <w:r w:rsidRPr="005D1470">
        <w:t xml:space="preserve"> </w:t>
      </w:r>
      <w:r>
        <w:t>John Brumby</w:t>
      </w:r>
      <w:r w:rsidRPr="005D1470">
        <w:br/>
        <w:t>Chairman</w:t>
      </w:r>
      <w:bookmarkStart w:id="8" w:name="Salutation"/>
      <w:bookmarkEnd w:id="8"/>
      <w:r>
        <w:br/>
        <w:t>COAG Reform Council</w:t>
      </w:r>
      <w:r>
        <w:br/>
        <w:t>Level 24</w:t>
      </w:r>
      <w:r w:rsidRPr="005D1470">
        <w:t>, 6 O’Connell Street</w:t>
      </w:r>
      <w:r w:rsidRPr="005D1470">
        <w:br/>
        <w:t>SYDNEY NSW 2000</w:t>
      </w:r>
    </w:p>
    <w:p w:rsidR="00471C3A" w:rsidRDefault="00471C3A" w:rsidP="001655C5">
      <w:pPr>
        <w:pStyle w:val="Salutation"/>
      </w:pPr>
    </w:p>
    <w:p w:rsidR="00471C3A" w:rsidRPr="000C7D76" w:rsidRDefault="00471C3A" w:rsidP="001655C5">
      <w:pPr>
        <w:pStyle w:val="Salutation"/>
      </w:pPr>
      <w:r w:rsidRPr="000C7D76">
        <w:t xml:space="preserve">Dear Mr </w:t>
      </w:r>
      <w:r>
        <w:t>Brumby</w:t>
      </w:r>
    </w:p>
    <w:p w:rsidR="00471C3A" w:rsidRPr="000C7D76" w:rsidRDefault="00471C3A" w:rsidP="001655C5">
      <w:pPr>
        <w:pStyle w:val="BodyText"/>
        <w:rPr>
          <w:rStyle w:val="BodyTextChar"/>
          <w:sz w:val="24"/>
          <w:szCs w:val="24"/>
        </w:rPr>
      </w:pPr>
      <w:bookmarkStart w:id="9" w:name="Body"/>
      <w:bookmarkStart w:id="10" w:name="signoff"/>
      <w:bookmarkEnd w:id="9"/>
      <w:bookmarkEnd w:id="10"/>
      <w:r w:rsidRPr="000C7D76">
        <w:rPr>
          <w:rStyle w:val="BodyTextChar"/>
          <w:sz w:val="24"/>
          <w:szCs w:val="24"/>
        </w:rPr>
        <w:t xml:space="preserve">In accordance with the request from the COAG Reform Council, I am pleased to submit to you the Steering Committee’s report for the </w:t>
      </w:r>
      <w:r>
        <w:rPr>
          <w:rStyle w:val="BodyTextChar"/>
          <w:sz w:val="24"/>
          <w:szCs w:val="24"/>
        </w:rPr>
        <w:t>fourth</w:t>
      </w:r>
      <w:r w:rsidRPr="000C7D76">
        <w:rPr>
          <w:rStyle w:val="BodyTextChar"/>
          <w:sz w:val="24"/>
          <w:szCs w:val="24"/>
        </w:rPr>
        <w:t xml:space="preserve"> cycle of the </w:t>
      </w:r>
      <w:r w:rsidRPr="00BD7A43">
        <w:rPr>
          <w:rStyle w:val="BodyTextChar"/>
          <w:i/>
          <w:sz w:val="24"/>
          <w:szCs w:val="24"/>
        </w:rPr>
        <w:t>National Partnership Agreement on Essential Vaccines</w:t>
      </w:r>
      <w:r w:rsidRPr="000C7D76">
        <w:rPr>
          <w:rStyle w:val="BodyTextChar"/>
          <w:sz w:val="24"/>
          <w:szCs w:val="24"/>
        </w:rPr>
        <w:t xml:space="preserve">. </w:t>
      </w:r>
    </w:p>
    <w:p w:rsidR="00471C3A" w:rsidRPr="000C7D76" w:rsidRDefault="00471C3A" w:rsidP="001655C5">
      <w:pPr>
        <w:pStyle w:val="BodyText"/>
        <w:rPr>
          <w:rStyle w:val="BodyTextChar"/>
          <w:sz w:val="24"/>
          <w:szCs w:val="24"/>
        </w:rPr>
      </w:pPr>
      <w:r w:rsidRPr="000C7D76">
        <w:rPr>
          <w:rStyle w:val="BodyTextChar"/>
          <w:sz w:val="24"/>
          <w:szCs w:val="24"/>
        </w:rPr>
        <w:t xml:space="preserve">This report has been prepared in accordance with the requirements outlined in the COAG Reform Council’s </w:t>
      </w:r>
      <w:r w:rsidRPr="00BD7A43">
        <w:rPr>
          <w:rStyle w:val="BodyTextChar"/>
          <w:i/>
          <w:sz w:val="24"/>
          <w:szCs w:val="24"/>
        </w:rPr>
        <w:t>Matrix of performance information: National Partnership Agreement on Essential Vaccines</w:t>
      </w:r>
      <w:r w:rsidRPr="00615745">
        <w:rPr>
          <w:rStyle w:val="BodyTextChar"/>
          <w:sz w:val="24"/>
          <w:szCs w:val="24"/>
        </w:rPr>
        <w:t>,</w:t>
      </w:r>
      <w:r w:rsidRPr="00BD7A43">
        <w:rPr>
          <w:rStyle w:val="BodyTextChar"/>
          <w:i/>
          <w:sz w:val="24"/>
          <w:szCs w:val="24"/>
        </w:rPr>
        <w:t xml:space="preserve"> </w:t>
      </w:r>
      <w:r w:rsidRPr="00C30A70">
        <w:rPr>
          <w:rStyle w:val="BodyTextChar"/>
          <w:sz w:val="24"/>
          <w:szCs w:val="24"/>
        </w:rPr>
        <w:t>March 2011</w:t>
      </w:r>
      <w:r w:rsidRPr="000C7D76">
        <w:rPr>
          <w:rStyle w:val="BodyTextChar"/>
          <w:sz w:val="24"/>
          <w:szCs w:val="24"/>
        </w:rPr>
        <w:t>.</w:t>
      </w:r>
    </w:p>
    <w:p w:rsidR="00471C3A" w:rsidRPr="000C7D76" w:rsidRDefault="00471C3A" w:rsidP="001655C5">
      <w:pPr>
        <w:pStyle w:val="BodyText"/>
        <w:rPr>
          <w:rStyle w:val="BodyTextChar"/>
          <w:sz w:val="24"/>
          <w:szCs w:val="24"/>
        </w:rPr>
      </w:pPr>
      <w:r w:rsidRPr="000C7D76">
        <w:rPr>
          <w:rStyle w:val="BodyTextChar"/>
          <w:sz w:val="24"/>
          <w:szCs w:val="24"/>
        </w:rPr>
        <w:t>This report was produced with the assistance of Australian, State and Territory Government health departments. The Steering Committee would like to record its appreciation for the efforts of all those involved in the development of this report.</w:t>
      </w:r>
    </w:p>
    <w:p w:rsidR="00471C3A" w:rsidRDefault="00471C3A" w:rsidP="001655C5">
      <w:pPr>
        <w:pStyle w:val="Signoff"/>
      </w:pPr>
      <w:r w:rsidRPr="005D1470">
        <w:t>Yours sincerely</w:t>
      </w:r>
    </w:p>
    <w:p w:rsidR="00471C3A" w:rsidRPr="005D1470" w:rsidRDefault="00471C3A" w:rsidP="001655C5">
      <w:pPr>
        <w:pStyle w:val="LetterAddress"/>
      </w:pPr>
      <w:r>
        <w:t>Mr Peter Harris</w:t>
      </w:r>
      <w:r w:rsidRPr="005D1470">
        <w:br/>
        <w:t>Chairman</w:t>
      </w:r>
    </w:p>
    <w:p w:rsidR="00471C3A" w:rsidRPr="000C7D76" w:rsidRDefault="00471C3A" w:rsidP="001655C5">
      <w:pPr>
        <w:pStyle w:val="BodyText"/>
        <w:spacing w:after="120"/>
        <w:jc w:val="left"/>
        <w:rPr>
          <w:sz w:val="24"/>
          <w:szCs w:val="24"/>
        </w:rPr>
      </w:pPr>
      <w:r w:rsidRPr="000C7D76">
        <w:rPr>
          <w:sz w:val="24"/>
          <w:szCs w:val="24"/>
        </w:rPr>
        <w:t>31 May 201</w:t>
      </w:r>
      <w:r>
        <w:rPr>
          <w:sz w:val="24"/>
          <w:szCs w:val="24"/>
        </w:rPr>
        <w:t>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tblGrid>
      <w:tr w:rsidR="00471C3A" w:rsidTr="001655C5">
        <w:trPr>
          <w:jc w:val="center"/>
        </w:trPr>
        <w:tc>
          <w:tcPr>
            <w:tcW w:w="5868" w:type="dxa"/>
            <w:tcBorders>
              <w:top w:val="single" w:sz="12" w:space="0" w:color="0000FF"/>
              <w:left w:val="nil"/>
              <w:bottom w:val="nil"/>
              <w:right w:val="nil"/>
            </w:tcBorders>
          </w:tcPr>
          <w:p w:rsidR="00471C3A" w:rsidRPr="00197436" w:rsidRDefault="00471C3A" w:rsidP="001655C5">
            <w:pPr>
              <w:spacing w:line="300" w:lineRule="exact"/>
              <w:jc w:val="center"/>
              <w:rPr>
                <w:rFonts w:ascii="Albertus Medium" w:hAnsi="Albertus Medium"/>
                <w:color w:val="0000FF"/>
              </w:rPr>
            </w:pPr>
            <w:r w:rsidRPr="00197436">
              <w:rPr>
                <w:rFonts w:ascii="Albertus Medium" w:hAnsi="Albertus Medium"/>
                <w:b/>
                <w:color w:val="0000FF"/>
              </w:rPr>
              <w:t>Secretariat c/- Productivity Commission</w:t>
            </w:r>
          </w:p>
          <w:p w:rsidR="00471C3A" w:rsidRPr="00197436" w:rsidRDefault="00471C3A" w:rsidP="001655C5">
            <w:pPr>
              <w:spacing w:line="300" w:lineRule="exact"/>
              <w:jc w:val="center"/>
              <w:rPr>
                <w:rFonts w:ascii="Albertus Medium" w:hAnsi="Albertus Medium"/>
                <w:color w:val="0000FF"/>
                <w:sz w:val="18"/>
              </w:rPr>
            </w:pPr>
            <w:r w:rsidRPr="00197436">
              <w:rPr>
                <w:rFonts w:ascii="Albertus Medium" w:hAnsi="Albertus Medium"/>
                <w:color w:val="0000FF"/>
                <w:sz w:val="18"/>
              </w:rPr>
              <w:t>Locked Bag 2, Collins Street East Post Office, Melbourne VIC 8003</w:t>
            </w:r>
          </w:p>
          <w:p w:rsidR="00471C3A" w:rsidRPr="00197436" w:rsidRDefault="00471C3A" w:rsidP="001655C5">
            <w:pPr>
              <w:spacing w:line="300" w:lineRule="exact"/>
              <w:jc w:val="center"/>
              <w:rPr>
                <w:rFonts w:ascii="Albertus Medium" w:hAnsi="Albertus Medium"/>
                <w:color w:val="0000FF"/>
                <w:sz w:val="18"/>
              </w:rPr>
            </w:pPr>
            <w:r w:rsidRPr="00197436">
              <w:rPr>
                <w:rFonts w:ascii="Albertus Medium" w:hAnsi="Albertus Medium"/>
                <w:color w:val="0000FF"/>
                <w:sz w:val="18"/>
              </w:rPr>
              <w:t xml:space="preserve">Level </w:t>
            </w:r>
            <w:r>
              <w:rPr>
                <w:rFonts w:ascii="Albertus Medium" w:hAnsi="Albertus Medium"/>
                <w:color w:val="0000FF"/>
                <w:sz w:val="18"/>
              </w:rPr>
              <w:t>12</w:t>
            </w:r>
            <w:r w:rsidRPr="00197436">
              <w:rPr>
                <w:rFonts w:ascii="Albertus Medium" w:hAnsi="Albertus Medium"/>
                <w:color w:val="0000FF"/>
                <w:sz w:val="18"/>
              </w:rPr>
              <w:t xml:space="preserve">, </w:t>
            </w:r>
            <w:r>
              <w:rPr>
                <w:rFonts w:ascii="Albertus Medium" w:hAnsi="Albertus Medium"/>
                <w:color w:val="0000FF"/>
                <w:sz w:val="18"/>
              </w:rPr>
              <w:t>530</w:t>
            </w:r>
            <w:r w:rsidRPr="00197436">
              <w:rPr>
                <w:rFonts w:ascii="Albertus Medium" w:hAnsi="Albertus Medium"/>
                <w:color w:val="0000FF"/>
                <w:sz w:val="18"/>
              </w:rPr>
              <w:t xml:space="preserve"> Collins Street Melbourne</w:t>
            </w:r>
          </w:p>
          <w:p w:rsidR="00471C3A" w:rsidRPr="00197436" w:rsidRDefault="00471C3A" w:rsidP="001655C5">
            <w:pPr>
              <w:spacing w:line="300" w:lineRule="exact"/>
              <w:jc w:val="center"/>
              <w:rPr>
                <w:rFonts w:ascii="Albertus Medium" w:hAnsi="Albertus Medium"/>
                <w:caps/>
                <w:color w:val="0000FF"/>
                <w:sz w:val="18"/>
              </w:rPr>
            </w:pPr>
            <w:proofErr w:type="spellStart"/>
            <w:r w:rsidRPr="00197436">
              <w:rPr>
                <w:rFonts w:ascii="Albertus Medium" w:hAnsi="Albertus Medium"/>
                <w:color w:val="0000FF"/>
                <w:sz w:val="18"/>
              </w:rPr>
              <w:t>Ph</w:t>
            </w:r>
            <w:proofErr w:type="spellEnd"/>
            <w:r w:rsidRPr="00197436">
              <w:rPr>
                <w:rFonts w:ascii="Albertus Medium" w:hAnsi="Albertus Medium"/>
                <w:color w:val="0000FF"/>
                <w:sz w:val="18"/>
              </w:rPr>
              <w:t>:</w:t>
            </w:r>
            <w:r w:rsidRPr="00197436">
              <w:rPr>
                <w:rFonts w:ascii="Albertus Medium" w:hAnsi="Albertus Medium"/>
                <w:caps/>
                <w:color w:val="0000FF"/>
                <w:sz w:val="18"/>
              </w:rPr>
              <w:t xml:space="preserve"> 03 9653 2100   </w:t>
            </w:r>
            <w:r w:rsidRPr="00197436">
              <w:rPr>
                <w:rFonts w:ascii="Albertus Medium" w:hAnsi="Albertus Medium"/>
                <w:color w:val="0000FF"/>
                <w:sz w:val="18"/>
              </w:rPr>
              <w:t>Fax</w:t>
            </w:r>
            <w:r w:rsidRPr="00197436">
              <w:rPr>
                <w:rFonts w:ascii="Albertus Medium" w:hAnsi="Albertus Medium"/>
                <w:caps/>
                <w:color w:val="0000FF"/>
                <w:sz w:val="18"/>
              </w:rPr>
              <w:t>: 03 9653 2359</w:t>
            </w:r>
          </w:p>
          <w:p w:rsidR="00471C3A" w:rsidRPr="00E553CD" w:rsidRDefault="00471C3A" w:rsidP="001655C5">
            <w:pPr>
              <w:pStyle w:val="Heading2"/>
              <w:spacing w:before="0" w:line="300" w:lineRule="exact"/>
              <w:jc w:val="center"/>
              <w:rPr>
                <w:rFonts w:ascii="Albertus Medium" w:hAnsi="Albertus Medium"/>
                <w:b w:val="0"/>
                <w:color w:val="0000FF"/>
                <w:sz w:val="18"/>
              </w:rPr>
            </w:pPr>
            <w:bookmarkStart w:id="11" w:name="_Toc249169569"/>
            <w:bookmarkStart w:id="12" w:name="_Toc249169997"/>
            <w:bookmarkStart w:id="13" w:name="_Toc249170444"/>
            <w:bookmarkStart w:id="14" w:name="_Toc265137753"/>
            <w:bookmarkStart w:id="15" w:name="_Toc289175313"/>
            <w:bookmarkStart w:id="16" w:name="_Toc294531690"/>
            <w:r w:rsidRPr="00197436">
              <w:rPr>
                <w:rFonts w:ascii="Albertus Medium" w:hAnsi="Albertus Medium"/>
                <w:b w:val="0"/>
                <w:color w:val="0000FF"/>
                <w:sz w:val="18"/>
              </w:rPr>
              <w:t>www.pc.gov.au/</w:t>
            </w:r>
            <w:proofErr w:type="spellStart"/>
            <w:r w:rsidRPr="00197436">
              <w:rPr>
                <w:rFonts w:ascii="Albertus Medium" w:hAnsi="Albertus Medium"/>
                <w:b w:val="0"/>
                <w:color w:val="0000FF"/>
                <w:sz w:val="18"/>
              </w:rPr>
              <w:t>gsp</w:t>
            </w:r>
            <w:bookmarkEnd w:id="11"/>
            <w:bookmarkEnd w:id="12"/>
            <w:bookmarkEnd w:id="13"/>
            <w:bookmarkEnd w:id="14"/>
            <w:bookmarkEnd w:id="15"/>
            <w:bookmarkEnd w:id="16"/>
            <w:proofErr w:type="spellEnd"/>
          </w:p>
          <w:p w:rsidR="00471C3A" w:rsidRPr="00197436" w:rsidRDefault="00471C3A" w:rsidP="001655C5">
            <w:pPr>
              <w:spacing w:line="300" w:lineRule="exact"/>
              <w:rPr>
                <w:rFonts w:ascii="Albertus Medium" w:hAnsi="Albertus Medium"/>
                <w:b/>
                <w:color w:val="0000FF"/>
              </w:rPr>
            </w:pPr>
          </w:p>
        </w:tc>
      </w:tr>
    </w:tbl>
    <w:p w:rsidR="00471C3A" w:rsidRPr="00141505" w:rsidRDefault="00471C3A" w:rsidP="001655C5"/>
    <w:p w:rsidR="00471C3A" w:rsidRPr="00C76C25" w:rsidRDefault="00471C3A">
      <w:pPr>
        <w:ind w:left="709"/>
      </w:pPr>
    </w:p>
    <w:p w:rsidR="00471C3A" w:rsidRPr="009C754B" w:rsidRDefault="00471C3A">
      <w:pPr>
        <w:pStyle w:val="BodyText"/>
        <w:rPr>
          <w:color w:val="FF0000"/>
        </w:rPr>
      </w:pPr>
      <w:bookmarkStart w:id="17" w:name="author"/>
      <w:bookmarkEnd w:id="17"/>
    </w:p>
    <w:p w:rsidR="00471C3A" w:rsidRDefault="00471C3A">
      <w:pPr>
        <w:pStyle w:val="BodyText"/>
        <w:sectPr w:rsidR="00471C3A" w:rsidSect="001655C5">
          <w:headerReference w:type="even" r:id="rId10"/>
          <w:headerReference w:type="default" r:id="rId11"/>
          <w:footerReference w:type="even" r:id="rId12"/>
          <w:footerReference w:type="default" r:id="rId13"/>
          <w:headerReference w:type="first" r:id="rId14"/>
          <w:footerReference w:type="first" r:id="rId15"/>
          <w:pgSz w:w="11907" w:h="16840" w:code="9"/>
          <w:pgMar w:top="1985" w:right="1304" w:bottom="1418" w:left="1814" w:header="1701" w:footer="567" w:gutter="0"/>
          <w:pgNumType w:start="1" w:chapSep="period"/>
          <w:cols w:space="720"/>
        </w:sectPr>
      </w:pPr>
    </w:p>
    <w:p w:rsidR="00471C3A" w:rsidRDefault="00471C3A">
      <w:pPr>
        <w:rPr>
          <w:kern w:val="28"/>
          <w:sz w:val="52"/>
        </w:rPr>
      </w:pPr>
      <w:r>
        <w:lastRenderedPageBreak/>
        <w:br w:type="page"/>
      </w:r>
    </w:p>
    <w:p w:rsidR="00471C3A" w:rsidRDefault="00471C3A">
      <w:pPr>
        <w:pStyle w:val="Heading1"/>
      </w:pPr>
      <w:r>
        <w:lastRenderedPageBreak/>
        <w:t>This Report</w:t>
      </w:r>
    </w:p>
    <w:p w:rsidR="00471C3A" w:rsidRPr="00613AC3" w:rsidRDefault="00471C3A" w:rsidP="001655C5">
      <w:pPr>
        <w:pStyle w:val="BodyText"/>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471C3A" w:rsidTr="001655C5">
        <w:trPr>
          <w:cantSplit/>
        </w:trPr>
        <w:tc>
          <w:tcPr>
            <w:tcW w:w="8771" w:type="dxa"/>
            <w:tcBorders>
              <w:top w:val="single" w:sz="6" w:space="0" w:color="auto"/>
              <w:bottom w:val="nil"/>
            </w:tcBorders>
          </w:tcPr>
          <w:p w:rsidR="00471C3A" w:rsidRDefault="00471C3A" w:rsidP="001655C5">
            <w:pPr>
              <w:pStyle w:val="Box"/>
            </w:pPr>
            <w:r>
              <w:t xml:space="preserve">The Steering Committee for the Review of Government Service Provision was requested by the COAG Reform Council (CRC) to collate information relevant to the performance benchmarks associated with reward payments in the </w:t>
            </w:r>
            <w:r w:rsidRPr="00A14643">
              <w:rPr>
                <w:i/>
              </w:rPr>
              <w:t xml:space="preserve">National Partnership Agreement on </w:t>
            </w:r>
            <w:r>
              <w:rPr>
                <w:i/>
              </w:rPr>
              <w:t>Essential Vaccines.</w:t>
            </w:r>
            <w:r>
              <w:t xml:space="preserve"> </w:t>
            </w:r>
          </w:p>
          <w:p w:rsidR="00471C3A" w:rsidRDefault="00471C3A" w:rsidP="001655C5">
            <w:pPr>
              <w:pStyle w:val="Box"/>
            </w:pPr>
            <w:r>
              <w:t xml:space="preserve">The CRC requested the Steering Committee to provide information in accordance with the CRC’s </w:t>
            </w:r>
            <w:r w:rsidRPr="00A14643">
              <w:rPr>
                <w:i/>
              </w:rPr>
              <w:t xml:space="preserve">Matrix of performance information: National Partnership Agreement on </w:t>
            </w:r>
            <w:r>
              <w:rPr>
                <w:i/>
              </w:rPr>
              <w:t xml:space="preserve">Essential </w:t>
            </w:r>
            <w:r w:rsidRPr="00E4325F">
              <w:rPr>
                <w:i/>
              </w:rPr>
              <w:t>Vaccines</w:t>
            </w:r>
            <w:r w:rsidRPr="00E4325F">
              <w:t>, March 2011.</w:t>
            </w:r>
          </w:p>
          <w:p w:rsidR="00471C3A" w:rsidRDefault="00471C3A" w:rsidP="001655C5">
            <w:pPr>
              <w:pStyle w:val="Box"/>
            </w:pPr>
            <w:r>
              <w:t>To facilitate the CRC’s work, this report contains the following information:</w:t>
            </w:r>
          </w:p>
          <w:p w:rsidR="00471C3A" w:rsidRDefault="00471C3A" w:rsidP="00471C3A">
            <w:pPr>
              <w:pStyle w:val="BoxListBullet"/>
              <w:tabs>
                <w:tab w:val="left" w:pos="284"/>
                <w:tab w:val="num" w:pos="360"/>
              </w:tabs>
            </w:pPr>
            <w:r>
              <w:t>background and roles and responsibilities of various parties in National Partnership Agreement performance reporting</w:t>
            </w:r>
          </w:p>
          <w:p w:rsidR="00471C3A" w:rsidRDefault="00471C3A" w:rsidP="00471C3A">
            <w:pPr>
              <w:pStyle w:val="BoxListBullet"/>
              <w:tabs>
                <w:tab w:val="left" w:pos="284"/>
                <w:tab w:val="num" w:pos="360"/>
              </w:tabs>
            </w:pPr>
            <w:r>
              <w:t xml:space="preserve">performance reporting requirements for the </w:t>
            </w:r>
            <w:r w:rsidRPr="00DF6E54">
              <w:rPr>
                <w:i/>
              </w:rPr>
              <w:t xml:space="preserve">National Partnership Agreement on </w:t>
            </w:r>
            <w:r>
              <w:rPr>
                <w:i/>
              </w:rPr>
              <w:t>Essential Vaccines</w:t>
            </w:r>
          </w:p>
          <w:p w:rsidR="00471C3A" w:rsidRDefault="00471C3A" w:rsidP="00471C3A">
            <w:pPr>
              <w:pStyle w:val="BoxListBullet"/>
              <w:tabs>
                <w:tab w:val="left" w:pos="284"/>
                <w:tab w:val="num" w:pos="360"/>
              </w:tabs>
            </w:pPr>
            <w:r>
              <w:t>indicator specifications and summaries of data quality</w:t>
            </w:r>
          </w:p>
          <w:p w:rsidR="00471C3A" w:rsidRDefault="00471C3A" w:rsidP="00471C3A">
            <w:pPr>
              <w:pStyle w:val="BoxListBullet"/>
              <w:tabs>
                <w:tab w:val="left" w:pos="284"/>
                <w:tab w:val="num" w:pos="360"/>
              </w:tabs>
            </w:pPr>
            <w:r>
              <w:t>performance data.</w:t>
            </w:r>
          </w:p>
          <w:p w:rsidR="00471C3A" w:rsidRPr="004A19A6" w:rsidRDefault="00471C3A" w:rsidP="001655C5">
            <w:pPr>
              <w:pStyle w:val="Box"/>
            </w:pPr>
            <w:r>
              <w:t>The original data quality statements submitted by the data provider are also included in this report.</w:t>
            </w:r>
          </w:p>
        </w:tc>
      </w:tr>
      <w:tr w:rsidR="00471C3A" w:rsidTr="001655C5">
        <w:trPr>
          <w:cantSplit/>
        </w:trPr>
        <w:tc>
          <w:tcPr>
            <w:tcW w:w="8771" w:type="dxa"/>
            <w:tcBorders>
              <w:top w:val="nil"/>
              <w:bottom w:val="single" w:sz="6" w:space="0" w:color="auto"/>
            </w:tcBorders>
          </w:tcPr>
          <w:p w:rsidR="00471C3A" w:rsidRDefault="00471C3A" w:rsidP="001655C5">
            <w:pPr>
              <w:pStyle w:val="Box"/>
              <w:spacing w:before="0" w:line="120" w:lineRule="exact"/>
            </w:pPr>
          </w:p>
        </w:tc>
      </w:tr>
      <w:tr w:rsidR="00471C3A" w:rsidTr="001655C5">
        <w:tc>
          <w:tcPr>
            <w:tcW w:w="8771" w:type="dxa"/>
            <w:tcBorders>
              <w:top w:val="nil"/>
              <w:left w:val="nil"/>
              <w:bottom w:val="nil"/>
              <w:right w:val="nil"/>
            </w:tcBorders>
          </w:tcPr>
          <w:p w:rsidR="00471C3A" w:rsidRDefault="00471C3A" w:rsidP="001655C5">
            <w:pPr>
              <w:pStyle w:val="Box"/>
              <w:keepNext w:val="0"/>
              <w:spacing w:before="60" w:after="60" w:line="80" w:lineRule="exact"/>
              <w:rPr>
                <w:b/>
                <w:color w:val="FF00FF"/>
                <w:sz w:val="14"/>
              </w:rPr>
            </w:pPr>
          </w:p>
        </w:tc>
      </w:tr>
    </w:tbl>
    <w:p w:rsidR="00471C3A" w:rsidRDefault="00471C3A">
      <w:pPr>
        <w:pStyle w:val="BodyText"/>
      </w:pPr>
    </w:p>
    <w:p w:rsidR="00471C3A" w:rsidRDefault="00471C3A" w:rsidP="001655C5">
      <w:pPr>
        <w:pStyle w:val="BodyText"/>
      </w:pPr>
      <w:r>
        <w:br w:type="page"/>
      </w:r>
    </w:p>
    <w:p w:rsidR="00471C3A" w:rsidRDefault="00471C3A" w:rsidP="001655C5">
      <w:pPr>
        <w:pStyle w:val="Heading1"/>
        <w:sectPr w:rsidR="00471C3A" w:rsidSect="001655C5">
          <w:headerReference w:type="even" r:id="rId16"/>
          <w:headerReference w:type="default" r:id="rId17"/>
          <w:footerReference w:type="even" r:id="rId18"/>
          <w:footerReference w:type="default" r:id="rId19"/>
          <w:pgSz w:w="11906" w:h="16838" w:code="9"/>
          <w:pgMar w:top="1985" w:right="1304" w:bottom="1418" w:left="1814" w:header="1701" w:footer="567" w:gutter="0"/>
          <w:pgNumType w:fmt="lowerRoman"/>
          <w:cols w:space="708"/>
          <w:docGrid w:linePitch="360"/>
        </w:sectPr>
      </w:pPr>
    </w:p>
    <w:p w:rsidR="00471C3A" w:rsidRDefault="00471C3A">
      <w:pPr>
        <w:rPr>
          <w:kern w:val="28"/>
          <w:sz w:val="52"/>
        </w:rPr>
      </w:pPr>
      <w:r>
        <w:lastRenderedPageBreak/>
        <w:br w:type="page"/>
      </w:r>
    </w:p>
    <w:p w:rsidR="00471C3A" w:rsidRDefault="00471C3A" w:rsidP="001655C5">
      <w:pPr>
        <w:pStyle w:val="Heading1"/>
      </w:pPr>
      <w:r>
        <w:lastRenderedPageBreak/>
        <w:t>Steering Committee</w:t>
      </w:r>
    </w:p>
    <w:p w:rsidR="00471C3A" w:rsidRDefault="00471C3A">
      <w:pPr>
        <w:pStyle w:val="BodyText"/>
      </w:pPr>
      <w:r>
        <w:t>This Report was produced under the direction of the Steering Committee for the Review of Government Service Provision (SCRGSP). The Steering Committee comprises the following current members:</w:t>
      </w:r>
    </w:p>
    <w:p w:rsidR="00471C3A" w:rsidRPr="002B2188" w:rsidRDefault="00471C3A">
      <w:pPr>
        <w:pStyle w:val="BodyText"/>
        <w:rPr>
          <w:sz w:val="24"/>
          <w:szCs w:val="24"/>
        </w:rPr>
      </w:pPr>
      <w:r w:rsidRPr="002B2188">
        <w:rPr>
          <w:sz w:val="24"/>
          <w:szCs w:val="24"/>
        </w:rPr>
        <w:t>Mr Peter Harris</w:t>
      </w:r>
      <w:r w:rsidRPr="002B2188">
        <w:rPr>
          <w:sz w:val="24"/>
          <w:szCs w:val="24"/>
        </w:rPr>
        <w:tab/>
      </w:r>
      <w:r w:rsidRPr="002B2188">
        <w:rPr>
          <w:sz w:val="24"/>
          <w:szCs w:val="24"/>
        </w:rPr>
        <w:tab/>
        <w:t>Chairman</w:t>
      </w:r>
      <w:r w:rsidRPr="002B2188">
        <w:rPr>
          <w:sz w:val="24"/>
          <w:szCs w:val="24"/>
        </w:rPr>
        <w:tab/>
        <w:t>Productivity Commission</w:t>
      </w:r>
    </w:p>
    <w:p w:rsidR="00471C3A" w:rsidRPr="002B2188" w:rsidRDefault="00471C3A">
      <w:pPr>
        <w:pStyle w:val="BodyText"/>
        <w:rPr>
          <w:sz w:val="24"/>
          <w:szCs w:val="24"/>
        </w:rPr>
      </w:pPr>
      <w:r w:rsidRPr="002B2188">
        <w:rPr>
          <w:sz w:val="24"/>
          <w:szCs w:val="24"/>
        </w:rPr>
        <w:t xml:space="preserve">Mr Mark </w:t>
      </w:r>
      <w:proofErr w:type="spellStart"/>
      <w:r w:rsidRPr="002B2188">
        <w:rPr>
          <w:sz w:val="24"/>
          <w:szCs w:val="24"/>
        </w:rPr>
        <w:t>Thomann</w:t>
      </w:r>
      <w:proofErr w:type="spellEnd"/>
      <w:r w:rsidRPr="002B2188">
        <w:rPr>
          <w:sz w:val="24"/>
          <w:szCs w:val="24"/>
        </w:rPr>
        <w:tab/>
      </w:r>
      <w:r>
        <w:rPr>
          <w:sz w:val="24"/>
          <w:szCs w:val="24"/>
        </w:rPr>
        <w:tab/>
      </w:r>
      <w:r w:rsidRPr="002B2188">
        <w:rPr>
          <w:sz w:val="24"/>
          <w:szCs w:val="24"/>
        </w:rPr>
        <w:t>Aust. Govt.</w:t>
      </w:r>
      <w:r w:rsidRPr="002B2188">
        <w:rPr>
          <w:sz w:val="24"/>
          <w:szCs w:val="24"/>
        </w:rPr>
        <w:tab/>
        <w:t>Department of Finance and Deregulation</w:t>
      </w:r>
    </w:p>
    <w:p w:rsidR="00471C3A" w:rsidRPr="002B2188" w:rsidRDefault="00471C3A" w:rsidP="001655C5">
      <w:pPr>
        <w:pStyle w:val="BodyText"/>
        <w:spacing w:before="0" w:line="240" w:lineRule="auto"/>
        <w:rPr>
          <w:sz w:val="24"/>
          <w:szCs w:val="24"/>
        </w:rPr>
      </w:pPr>
      <w:r w:rsidRPr="002B2188">
        <w:rPr>
          <w:sz w:val="24"/>
          <w:szCs w:val="24"/>
        </w:rPr>
        <w:t>Mr Peter Robinson</w:t>
      </w:r>
      <w:r w:rsidRPr="002B2188">
        <w:rPr>
          <w:sz w:val="24"/>
          <w:szCs w:val="24"/>
        </w:rPr>
        <w:tab/>
      </w:r>
      <w:r>
        <w:rPr>
          <w:sz w:val="24"/>
          <w:szCs w:val="24"/>
        </w:rPr>
        <w:tab/>
      </w:r>
      <w:r w:rsidRPr="002B2188">
        <w:rPr>
          <w:sz w:val="24"/>
          <w:szCs w:val="24"/>
        </w:rPr>
        <w:t>Aust. Govt.</w:t>
      </w:r>
      <w:r w:rsidRPr="002B2188">
        <w:rPr>
          <w:sz w:val="24"/>
          <w:szCs w:val="24"/>
        </w:rPr>
        <w:tab/>
        <w:t>The Treasury</w:t>
      </w:r>
    </w:p>
    <w:p w:rsidR="00471C3A" w:rsidRPr="002B2188" w:rsidRDefault="00471C3A" w:rsidP="001655C5">
      <w:pPr>
        <w:pStyle w:val="BodyText"/>
        <w:spacing w:before="0" w:line="240" w:lineRule="auto"/>
        <w:rPr>
          <w:sz w:val="24"/>
          <w:szCs w:val="24"/>
        </w:rPr>
      </w:pPr>
      <w:r>
        <w:rPr>
          <w:sz w:val="24"/>
          <w:szCs w:val="24"/>
        </w:rPr>
        <w:t>Ms</w:t>
      </w:r>
      <w:r w:rsidRPr="002B2188">
        <w:rPr>
          <w:sz w:val="24"/>
          <w:szCs w:val="24"/>
        </w:rPr>
        <w:t xml:space="preserve"> Madonna Morton </w:t>
      </w:r>
      <w:r w:rsidRPr="002B2188">
        <w:rPr>
          <w:sz w:val="24"/>
          <w:szCs w:val="24"/>
        </w:rPr>
        <w:tab/>
      </w:r>
      <w:r>
        <w:rPr>
          <w:sz w:val="24"/>
          <w:szCs w:val="24"/>
        </w:rPr>
        <w:tab/>
      </w:r>
      <w:r w:rsidRPr="002B2188">
        <w:rPr>
          <w:sz w:val="24"/>
          <w:szCs w:val="24"/>
        </w:rPr>
        <w:t>Aust.</w:t>
      </w:r>
      <w:r>
        <w:rPr>
          <w:sz w:val="24"/>
          <w:szCs w:val="24"/>
        </w:rPr>
        <w:t xml:space="preserve"> </w:t>
      </w:r>
      <w:r w:rsidRPr="002B2188">
        <w:rPr>
          <w:sz w:val="24"/>
          <w:szCs w:val="24"/>
        </w:rPr>
        <w:t>Govt.</w:t>
      </w:r>
      <w:r w:rsidRPr="002B2188">
        <w:rPr>
          <w:sz w:val="24"/>
          <w:szCs w:val="24"/>
        </w:rPr>
        <w:tab/>
        <w:t>Depar</w:t>
      </w:r>
      <w:r>
        <w:rPr>
          <w:sz w:val="24"/>
          <w:szCs w:val="24"/>
        </w:rPr>
        <w:t xml:space="preserve">tment of the Prime Minister and </w:t>
      </w:r>
      <w:r w:rsidRPr="002B2188">
        <w:rPr>
          <w:sz w:val="24"/>
          <w:szCs w:val="24"/>
        </w:rPr>
        <w:t>Cabinet</w:t>
      </w:r>
    </w:p>
    <w:p w:rsidR="00471C3A" w:rsidRPr="002B2188" w:rsidRDefault="00471C3A">
      <w:pPr>
        <w:pStyle w:val="BodyText"/>
        <w:rPr>
          <w:sz w:val="24"/>
          <w:szCs w:val="24"/>
        </w:rPr>
      </w:pPr>
      <w:r w:rsidRPr="002B2188">
        <w:rPr>
          <w:sz w:val="24"/>
          <w:szCs w:val="24"/>
        </w:rPr>
        <w:t xml:space="preserve">Mr Rick </w:t>
      </w:r>
      <w:proofErr w:type="spellStart"/>
      <w:r w:rsidRPr="002B2188">
        <w:rPr>
          <w:sz w:val="24"/>
          <w:szCs w:val="24"/>
        </w:rPr>
        <w:t>Sondalini</w:t>
      </w:r>
      <w:proofErr w:type="spellEnd"/>
      <w:r w:rsidRPr="002B2188">
        <w:rPr>
          <w:sz w:val="24"/>
          <w:szCs w:val="24"/>
        </w:rPr>
        <w:tab/>
      </w:r>
      <w:r>
        <w:rPr>
          <w:sz w:val="24"/>
          <w:szCs w:val="24"/>
        </w:rPr>
        <w:tab/>
      </w:r>
      <w:r w:rsidRPr="002B2188">
        <w:rPr>
          <w:sz w:val="24"/>
          <w:szCs w:val="24"/>
        </w:rPr>
        <w:t>NSW</w:t>
      </w:r>
      <w:r w:rsidRPr="002B2188">
        <w:rPr>
          <w:sz w:val="24"/>
          <w:szCs w:val="24"/>
        </w:rPr>
        <w:tab/>
      </w:r>
      <w:r w:rsidRPr="002B2188">
        <w:rPr>
          <w:sz w:val="24"/>
          <w:szCs w:val="24"/>
        </w:rPr>
        <w:tab/>
      </w:r>
      <w:proofErr w:type="spellStart"/>
      <w:r>
        <w:rPr>
          <w:sz w:val="24"/>
          <w:szCs w:val="24"/>
        </w:rPr>
        <w:t>NSW</w:t>
      </w:r>
      <w:proofErr w:type="spellEnd"/>
      <w:r>
        <w:rPr>
          <w:sz w:val="24"/>
          <w:szCs w:val="24"/>
        </w:rPr>
        <w:t xml:space="preserve"> </w:t>
      </w:r>
      <w:r w:rsidRPr="002B2188">
        <w:rPr>
          <w:sz w:val="24"/>
          <w:szCs w:val="24"/>
        </w:rPr>
        <w:t>Treasury</w:t>
      </w:r>
    </w:p>
    <w:p w:rsidR="00471C3A" w:rsidRPr="002B2188" w:rsidRDefault="00471C3A" w:rsidP="001655C5">
      <w:pPr>
        <w:pStyle w:val="BodyText"/>
        <w:spacing w:before="0" w:line="240" w:lineRule="auto"/>
        <w:rPr>
          <w:sz w:val="24"/>
          <w:szCs w:val="24"/>
        </w:rPr>
      </w:pPr>
      <w:r w:rsidRPr="002B2188">
        <w:rPr>
          <w:sz w:val="24"/>
          <w:szCs w:val="24"/>
        </w:rPr>
        <w:t>Mr Shane McMahon</w:t>
      </w:r>
      <w:r w:rsidRPr="002B2188">
        <w:rPr>
          <w:sz w:val="24"/>
          <w:szCs w:val="24"/>
        </w:rPr>
        <w:tab/>
      </w:r>
      <w:r>
        <w:rPr>
          <w:sz w:val="24"/>
          <w:szCs w:val="24"/>
        </w:rPr>
        <w:tab/>
      </w:r>
      <w:r w:rsidRPr="002B2188">
        <w:rPr>
          <w:sz w:val="24"/>
          <w:szCs w:val="24"/>
        </w:rPr>
        <w:t>NSW</w:t>
      </w:r>
      <w:r w:rsidRPr="002B2188">
        <w:rPr>
          <w:sz w:val="24"/>
          <w:szCs w:val="24"/>
        </w:rPr>
        <w:tab/>
      </w:r>
      <w:r w:rsidRPr="002B2188">
        <w:rPr>
          <w:sz w:val="24"/>
          <w:szCs w:val="24"/>
        </w:rPr>
        <w:tab/>
        <w:t>Department of</w:t>
      </w:r>
      <w:r>
        <w:rPr>
          <w:sz w:val="24"/>
          <w:szCs w:val="24"/>
        </w:rPr>
        <w:t xml:space="preserve"> the</w:t>
      </w:r>
      <w:r w:rsidRPr="002B2188">
        <w:rPr>
          <w:sz w:val="24"/>
          <w:szCs w:val="24"/>
        </w:rPr>
        <w:t xml:space="preserve"> Premier and Cabinet</w:t>
      </w:r>
    </w:p>
    <w:p w:rsidR="00471C3A" w:rsidRPr="002B2188" w:rsidRDefault="00471C3A">
      <w:pPr>
        <w:pStyle w:val="BodyText"/>
        <w:rPr>
          <w:sz w:val="24"/>
          <w:szCs w:val="24"/>
        </w:rPr>
      </w:pPr>
      <w:r w:rsidRPr="002B2188">
        <w:rPr>
          <w:sz w:val="24"/>
          <w:szCs w:val="24"/>
        </w:rPr>
        <w:t>Mr Jeremy Nott</w:t>
      </w:r>
      <w:r w:rsidRPr="002B2188">
        <w:rPr>
          <w:sz w:val="24"/>
          <w:szCs w:val="24"/>
        </w:rPr>
        <w:tab/>
      </w:r>
      <w:r w:rsidRPr="002B2188">
        <w:rPr>
          <w:sz w:val="24"/>
          <w:szCs w:val="24"/>
        </w:rPr>
        <w:tab/>
        <w:t>VIC</w:t>
      </w:r>
      <w:r w:rsidRPr="002B2188">
        <w:rPr>
          <w:sz w:val="24"/>
          <w:szCs w:val="24"/>
        </w:rPr>
        <w:tab/>
      </w:r>
      <w:r w:rsidRPr="002B2188">
        <w:rPr>
          <w:sz w:val="24"/>
          <w:szCs w:val="24"/>
        </w:rPr>
        <w:tab/>
        <w:t>Department of Treasury and Finance</w:t>
      </w:r>
    </w:p>
    <w:p w:rsidR="00471C3A" w:rsidRPr="002B2188" w:rsidRDefault="00471C3A">
      <w:pPr>
        <w:pStyle w:val="BodyText"/>
        <w:rPr>
          <w:sz w:val="24"/>
          <w:szCs w:val="24"/>
        </w:rPr>
      </w:pPr>
      <w:r w:rsidRPr="002B2188">
        <w:rPr>
          <w:sz w:val="24"/>
          <w:szCs w:val="24"/>
        </w:rPr>
        <w:t xml:space="preserve">Mr Paul </w:t>
      </w:r>
      <w:proofErr w:type="spellStart"/>
      <w:r w:rsidRPr="002B2188">
        <w:rPr>
          <w:sz w:val="24"/>
          <w:szCs w:val="24"/>
        </w:rPr>
        <w:t>Cantrall</w:t>
      </w:r>
      <w:proofErr w:type="spellEnd"/>
      <w:r w:rsidRPr="002B2188">
        <w:rPr>
          <w:sz w:val="24"/>
          <w:szCs w:val="24"/>
        </w:rPr>
        <w:tab/>
      </w:r>
      <w:r>
        <w:rPr>
          <w:sz w:val="24"/>
          <w:szCs w:val="24"/>
        </w:rPr>
        <w:tab/>
      </w:r>
      <w:r w:rsidRPr="002B2188">
        <w:rPr>
          <w:sz w:val="24"/>
          <w:szCs w:val="24"/>
        </w:rPr>
        <w:t>QLD</w:t>
      </w:r>
      <w:r w:rsidRPr="002B2188">
        <w:rPr>
          <w:sz w:val="24"/>
          <w:szCs w:val="24"/>
        </w:rPr>
        <w:tab/>
      </w:r>
      <w:r>
        <w:rPr>
          <w:sz w:val="24"/>
          <w:szCs w:val="24"/>
        </w:rPr>
        <w:tab/>
      </w:r>
      <w:r w:rsidRPr="002B2188">
        <w:rPr>
          <w:sz w:val="24"/>
          <w:szCs w:val="24"/>
        </w:rPr>
        <w:t>Department of the Premier and Cabinet</w:t>
      </w:r>
    </w:p>
    <w:p w:rsidR="00471C3A" w:rsidRPr="002B2188" w:rsidRDefault="00471C3A" w:rsidP="001655C5">
      <w:pPr>
        <w:pStyle w:val="BodyText"/>
        <w:spacing w:before="0" w:line="240" w:lineRule="auto"/>
        <w:rPr>
          <w:sz w:val="24"/>
          <w:szCs w:val="24"/>
        </w:rPr>
      </w:pPr>
      <w:r w:rsidRPr="002B2188">
        <w:rPr>
          <w:sz w:val="24"/>
          <w:szCs w:val="24"/>
        </w:rPr>
        <w:t xml:space="preserve">Ms Janelle </w:t>
      </w:r>
      <w:proofErr w:type="spellStart"/>
      <w:r w:rsidRPr="002B2188">
        <w:rPr>
          <w:sz w:val="24"/>
          <w:szCs w:val="24"/>
        </w:rPr>
        <w:t>Thurlby</w:t>
      </w:r>
      <w:proofErr w:type="spellEnd"/>
      <w:r w:rsidRPr="002B2188">
        <w:rPr>
          <w:sz w:val="24"/>
          <w:szCs w:val="24"/>
        </w:rPr>
        <w:tab/>
      </w:r>
      <w:r>
        <w:rPr>
          <w:sz w:val="24"/>
          <w:szCs w:val="24"/>
        </w:rPr>
        <w:tab/>
      </w:r>
      <w:r w:rsidRPr="002B2188">
        <w:rPr>
          <w:sz w:val="24"/>
          <w:szCs w:val="24"/>
        </w:rPr>
        <w:t>QLD</w:t>
      </w:r>
      <w:r w:rsidRPr="002B2188">
        <w:rPr>
          <w:sz w:val="24"/>
          <w:szCs w:val="24"/>
        </w:rPr>
        <w:tab/>
      </w:r>
      <w:r w:rsidRPr="002B2188">
        <w:rPr>
          <w:sz w:val="24"/>
          <w:szCs w:val="24"/>
        </w:rPr>
        <w:tab/>
      </w:r>
      <w:proofErr w:type="spellStart"/>
      <w:r>
        <w:rPr>
          <w:sz w:val="24"/>
          <w:szCs w:val="24"/>
        </w:rPr>
        <w:t>QLD</w:t>
      </w:r>
      <w:proofErr w:type="spellEnd"/>
      <w:r w:rsidRPr="002B2188">
        <w:rPr>
          <w:sz w:val="24"/>
          <w:szCs w:val="24"/>
        </w:rPr>
        <w:t xml:space="preserve"> Treasury</w:t>
      </w:r>
    </w:p>
    <w:p w:rsidR="00471C3A" w:rsidRPr="002B2188" w:rsidRDefault="00471C3A">
      <w:pPr>
        <w:pStyle w:val="BodyText"/>
        <w:rPr>
          <w:sz w:val="24"/>
          <w:szCs w:val="24"/>
        </w:rPr>
      </w:pPr>
      <w:r w:rsidRPr="002B2188">
        <w:rPr>
          <w:sz w:val="24"/>
          <w:szCs w:val="24"/>
        </w:rPr>
        <w:t xml:space="preserve">Ms Marion </w:t>
      </w:r>
      <w:proofErr w:type="spellStart"/>
      <w:r w:rsidRPr="002B2188">
        <w:rPr>
          <w:sz w:val="24"/>
          <w:szCs w:val="24"/>
        </w:rPr>
        <w:t>Burchell</w:t>
      </w:r>
      <w:proofErr w:type="spellEnd"/>
      <w:r w:rsidRPr="002B2188">
        <w:rPr>
          <w:sz w:val="24"/>
          <w:szCs w:val="24"/>
        </w:rPr>
        <w:tab/>
      </w:r>
      <w:r>
        <w:rPr>
          <w:sz w:val="24"/>
          <w:szCs w:val="24"/>
        </w:rPr>
        <w:tab/>
      </w:r>
      <w:r w:rsidRPr="002B2188">
        <w:rPr>
          <w:sz w:val="24"/>
          <w:szCs w:val="24"/>
        </w:rPr>
        <w:t>WA</w:t>
      </w:r>
      <w:r w:rsidRPr="002B2188">
        <w:rPr>
          <w:sz w:val="24"/>
          <w:szCs w:val="24"/>
        </w:rPr>
        <w:tab/>
      </w:r>
      <w:r w:rsidRPr="002B2188">
        <w:rPr>
          <w:sz w:val="24"/>
          <w:szCs w:val="24"/>
        </w:rPr>
        <w:tab/>
        <w:t>Department of the Premier and Cabinet</w:t>
      </w:r>
    </w:p>
    <w:p w:rsidR="00471C3A" w:rsidRPr="002B2188" w:rsidRDefault="00471C3A" w:rsidP="001655C5">
      <w:pPr>
        <w:pStyle w:val="BodyText"/>
        <w:spacing w:before="0" w:line="240" w:lineRule="auto"/>
        <w:rPr>
          <w:sz w:val="24"/>
          <w:szCs w:val="24"/>
        </w:rPr>
      </w:pPr>
      <w:r w:rsidRPr="002B2188">
        <w:rPr>
          <w:sz w:val="24"/>
          <w:szCs w:val="24"/>
        </w:rPr>
        <w:t xml:space="preserve">Mr </w:t>
      </w:r>
      <w:proofErr w:type="spellStart"/>
      <w:r w:rsidRPr="002B2188">
        <w:rPr>
          <w:sz w:val="24"/>
          <w:szCs w:val="24"/>
        </w:rPr>
        <w:t>Coan</w:t>
      </w:r>
      <w:proofErr w:type="spellEnd"/>
      <w:r w:rsidRPr="002B2188">
        <w:rPr>
          <w:sz w:val="24"/>
          <w:szCs w:val="24"/>
        </w:rPr>
        <w:t xml:space="preserve"> Harvey</w:t>
      </w:r>
      <w:r w:rsidRPr="002B2188">
        <w:rPr>
          <w:sz w:val="24"/>
          <w:szCs w:val="24"/>
        </w:rPr>
        <w:tab/>
      </w:r>
      <w:r>
        <w:rPr>
          <w:sz w:val="24"/>
          <w:szCs w:val="24"/>
        </w:rPr>
        <w:tab/>
      </w:r>
      <w:r w:rsidRPr="002B2188">
        <w:rPr>
          <w:sz w:val="24"/>
          <w:szCs w:val="24"/>
        </w:rPr>
        <w:t>WA</w:t>
      </w:r>
      <w:r>
        <w:rPr>
          <w:sz w:val="24"/>
          <w:szCs w:val="24"/>
        </w:rPr>
        <w:tab/>
      </w:r>
      <w:r w:rsidRPr="002B2188">
        <w:rPr>
          <w:sz w:val="24"/>
          <w:szCs w:val="24"/>
        </w:rPr>
        <w:tab/>
        <w:t>Department of Treasury</w:t>
      </w:r>
    </w:p>
    <w:p w:rsidR="00471C3A" w:rsidRPr="002B2188" w:rsidRDefault="00471C3A">
      <w:pPr>
        <w:pStyle w:val="BodyText"/>
        <w:rPr>
          <w:sz w:val="24"/>
          <w:szCs w:val="24"/>
        </w:rPr>
      </w:pPr>
      <w:r w:rsidRPr="002B2188">
        <w:rPr>
          <w:sz w:val="24"/>
          <w:szCs w:val="24"/>
        </w:rPr>
        <w:t>Mr David Reynolds</w:t>
      </w:r>
      <w:r w:rsidRPr="002B2188">
        <w:rPr>
          <w:sz w:val="24"/>
          <w:szCs w:val="24"/>
        </w:rPr>
        <w:tab/>
      </w:r>
      <w:r>
        <w:rPr>
          <w:sz w:val="24"/>
          <w:szCs w:val="24"/>
        </w:rPr>
        <w:tab/>
      </w:r>
      <w:r w:rsidRPr="002B2188">
        <w:rPr>
          <w:sz w:val="24"/>
          <w:szCs w:val="24"/>
        </w:rPr>
        <w:t>SA</w:t>
      </w:r>
      <w:r w:rsidRPr="002B2188">
        <w:rPr>
          <w:sz w:val="24"/>
          <w:szCs w:val="24"/>
        </w:rPr>
        <w:tab/>
      </w:r>
      <w:r w:rsidRPr="002B2188">
        <w:rPr>
          <w:sz w:val="24"/>
          <w:szCs w:val="24"/>
        </w:rPr>
        <w:tab/>
        <w:t>Department of Treasury and Finance</w:t>
      </w:r>
    </w:p>
    <w:p w:rsidR="00471C3A" w:rsidRPr="002B2188" w:rsidRDefault="00471C3A" w:rsidP="001655C5">
      <w:pPr>
        <w:pStyle w:val="BodyText"/>
        <w:spacing w:before="0" w:line="240" w:lineRule="auto"/>
        <w:rPr>
          <w:sz w:val="24"/>
          <w:szCs w:val="24"/>
        </w:rPr>
      </w:pPr>
      <w:r w:rsidRPr="002B2188">
        <w:rPr>
          <w:sz w:val="24"/>
          <w:szCs w:val="24"/>
        </w:rPr>
        <w:t xml:space="preserve">Mr Chris McGowan </w:t>
      </w:r>
      <w:r w:rsidRPr="002B2188">
        <w:rPr>
          <w:sz w:val="24"/>
          <w:szCs w:val="24"/>
        </w:rPr>
        <w:tab/>
      </w:r>
      <w:r>
        <w:rPr>
          <w:sz w:val="24"/>
          <w:szCs w:val="24"/>
        </w:rPr>
        <w:tab/>
      </w:r>
      <w:r w:rsidRPr="002B2188">
        <w:rPr>
          <w:sz w:val="24"/>
          <w:szCs w:val="24"/>
        </w:rPr>
        <w:t>SA</w:t>
      </w:r>
      <w:r w:rsidRPr="002B2188">
        <w:rPr>
          <w:sz w:val="24"/>
          <w:szCs w:val="24"/>
        </w:rPr>
        <w:tab/>
      </w:r>
      <w:r w:rsidRPr="002B2188">
        <w:rPr>
          <w:sz w:val="24"/>
          <w:szCs w:val="24"/>
        </w:rPr>
        <w:tab/>
        <w:t>Department of the Premier and Cabinet</w:t>
      </w:r>
    </w:p>
    <w:p w:rsidR="00471C3A" w:rsidRPr="002B2188" w:rsidRDefault="00471C3A">
      <w:pPr>
        <w:pStyle w:val="BodyText"/>
        <w:rPr>
          <w:sz w:val="24"/>
          <w:szCs w:val="24"/>
        </w:rPr>
      </w:pPr>
      <w:r w:rsidRPr="002B2188">
        <w:rPr>
          <w:sz w:val="24"/>
          <w:szCs w:val="24"/>
        </w:rPr>
        <w:t>Ms Rebekah Burton</w:t>
      </w:r>
      <w:r w:rsidRPr="002B2188">
        <w:rPr>
          <w:sz w:val="24"/>
          <w:szCs w:val="24"/>
        </w:rPr>
        <w:tab/>
      </w:r>
      <w:r w:rsidRPr="002B2188">
        <w:rPr>
          <w:sz w:val="24"/>
          <w:szCs w:val="24"/>
        </w:rPr>
        <w:tab/>
        <w:t>TAS</w:t>
      </w:r>
      <w:r w:rsidRPr="002B2188">
        <w:rPr>
          <w:sz w:val="24"/>
          <w:szCs w:val="24"/>
        </w:rPr>
        <w:tab/>
      </w:r>
      <w:r w:rsidRPr="002B2188">
        <w:rPr>
          <w:sz w:val="24"/>
          <w:szCs w:val="24"/>
        </w:rPr>
        <w:tab/>
        <w:t xml:space="preserve">Department of </w:t>
      </w:r>
      <w:r>
        <w:rPr>
          <w:sz w:val="24"/>
          <w:szCs w:val="24"/>
        </w:rPr>
        <w:t xml:space="preserve">the </w:t>
      </w:r>
      <w:r w:rsidRPr="002B2188">
        <w:rPr>
          <w:sz w:val="24"/>
          <w:szCs w:val="24"/>
        </w:rPr>
        <w:t>Premier and Cabinet</w:t>
      </w:r>
    </w:p>
    <w:p w:rsidR="00471C3A" w:rsidRPr="002B2188" w:rsidRDefault="00471C3A">
      <w:pPr>
        <w:pStyle w:val="BodyText"/>
        <w:rPr>
          <w:sz w:val="24"/>
          <w:szCs w:val="24"/>
        </w:rPr>
      </w:pPr>
      <w:r w:rsidRPr="002B2188">
        <w:rPr>
          <w:sz w:val="24"/>
          <w:szCs w:val="24"/>
        </w:rPr>
        <w:t xml:space="preserve">Ms Pam </w:t>
      </w:r>
      <w:proofErr w:type="spellStart"/>
      <w:r w:rsidRPr="002B2188">
        <w:rPr>
          <w:sz w:val="24"/>
          <w:szCs w:val="24"/>
        </w:rPr>
        <w:t>Davoren</w:t>
      </w:r>
      <w:proofErr w:type="spellEnd"/>
      <w:r w:rsidRPr="002B2188">
        <w:rPr>
          <w:sz w:val="24"/>
          <w:szCs w:val="24"/>
        </w:rPr>
        <w:tab/>
      </w:r>
      <w:r w:rsidRPr="002B2188">
        <w:rPr>
          <w:sz w:val="24"/>
          <w:szCs w:val="24"/>
        </w:rPr>
        <w:tab/>
        <w:t>ACT</w:t>
      </w:r>
      <w:r w:rsidRPr="002B2188">
        <w:rPr>
          <w:sz w:val="24"/>
          <w:szCs w:val="24"/>
        </w:rPr>
        <w:tab/>
      </w:r>
      <w:r w:rsidRPr="002B2188">
        <w:rPr>
          <w:sz w:val="24"/>
          <w:szCs w:val="24"/>
        </w:rPr>
        <w:tab/>
        <w:t>Chief Minister’s Department</w:t>
      </w:r>
    </w:p>
    <w:p w:rsidR="00471C3A" w:rsidRDefault="00471C3A">
      <w:pPr>
        <w:pStyle w:val="BodyText"/>
        <w:rPr>
          <w:sz w:val="24"/>
          <w:szCs w:val="24"/>
        </w:rPr>
      </w:pPr>
      <w:r w:rsidRPr="002B2188">
        <w:rPr>
          <w:sz w:val="24"/>
          <w:szCs w:val="24"/>
        </w:rPr>
        <w:t>Ms Anne Tan</w:t>
      </w:r>
      <w:r w:rsidRPr="002B2188">
        <w:rPr>
          <w:sz w:val="24"/>
          <w:szCs w:val="24"/>
        </w:rPr>
        <w:tab/>
      </w:r>
      <w:r w:rsidRPr="002B2188">
        <w:rPr>
          <w:sz w:val="24"/>
          <w:szCs w:val="24"/>
        </w:rPr>
        <w:tab/>
      </w:r>
      <w:r w:rsidRPr="002B2188">
        <w:rPr>
          <w:sz w:val="24"/>
          <w:szCs w:val="24"/>
        </w:rPr>
        <w:tab/>
        <w:t>NT</w:t>
      </w:r>
      <w:r w:rsidRPr="002B2188">
        <w:rPr>
          <w:sz w:val="24"/>
          <w:szCs w:val="24"/>
        </w:rPr>
        <w:tab/>
      </w:r>
      <w:r w:rsidRPr="002B2188">
        <w:rPr>
          <w:sz w:val="24"/>
          <w:szCs w:val="24"/>
        </w:rPr>
        <w:tab/>
        <w:t>Department of</w:t>
      </w:r>
      <w:r>
        <w:rPr>
          <w:sz w:val="24"/>
          <w:szCs w:val="24"/>
        </w:rPr>
        <w:t xml:space="preserve"> the Chief Minister</w:t>
      </w:r>
    </w:p>
    <w:p w:rsidR="00471C3A" w:rsidRPr="002B2188" w:rsidRDefault="00471C3A" w:rsidP="001655C5">
      <w:pPr>
        <w:pStyle w:val="BodyText"/>
        <w:spacing w:before="0" w:line="240" w:lineRule="auto"/>
        <w:rPr>
          <w:sz w:val="24"/>
          <w:szCs w:val="24"/>
        </w:rPr>
      </w:pPr>
      <w:r>
        <w:rPr>
          <w:sz w:val="24"/>
          <w:szCs w:val="24"/>
        </w:rPr>
        <w:t>Mr Craig Graham</w:t>
      </w:r>
      <w:r>
        <w:rPr>
          <w:sz w:val="24"/>
          <w:szCs w:val="24"/>
        </w:rPr>
        <w:tab/>
      </w:r>
      <w:r>
        <w:rPr>
          <w:sz w:val="24"/>
          <w:szCs w:val="24"/>
        </w:rPr>
        <w:tab/>
        <w:t>NT</w:t>
      </w:r>
      <w:r>
        <w:rPr>
          <w:sz w:val="24"/>
          <w:szCs w:val="24"/>
        </w:rPr>
        <w:tab/>
      </w:r>
      <w:r>
        <w:rPr>
          <w:sz w:val="24"/>
          <w:szCs w:val="24"/>
        </w:rPr>
        <w:tab/>
      </w:r>
      <w:proofErr w:type="spellStart"/>
      <w:r>
        <w:rPr>
          <w:sz w:val="24"/>
          <w:szCs w:val="24"/>
        </w:rPr>
        <w:t>NT</w:t>
      </w:r>
      <w:proofErr w:type="spellEnd"/>
      <w:r>
        <w:rPr>
          <w:sz w:val="24"/>
          <w:szCs w:val="24"/>
        </w:rPr>
        <w:t xml:space="preserve"> Treasury</w:t>
      </w:r>
    </w:p>
    <w:p w:rsidR="00471C3A" w:rsidRDefault="00471C3A" w:rsidP="001655C5">
      <w:pPr>
        <w:pStyle w:val="BodyText"/>
        <w:spacing w:before="0" w:line="240" w:lineRule="auto"/>
        <w:rPr>
          <w:sz w:val="24"/>
          <w:szCs w:val="24"/>
        </w:rPr>
      </w:pPr>
    </w:p>
    <w:p w:rsidR="00471C3A" w:rsidRPr="00E4325F" w:rsidRDefault="00471C3A" w:rsidP="001655C5">
      <w:pPr>
        <w:pStyle w:val="BodyText"/>
        <w:spacing w:before="0" w:line="240" w:lineRule="auto"/>
        <w:rPr>
          <w:sz w:val="24"/>
          <w:szCs w:val="24"/>
        </w:rPr>
      </w:pPr>
      <w:r w:rsidRPr="00E4325F">
        <w:rPr>
          <w:sz w:val="24"/>
          <w:szCs w:val="24"/>
        </w:rPr>
        <w:t>Mr Peter Harper</w:t>
      </w:r>
      <w:r w:rsidRPr="00E4325F">
        <w:rPr>
          <w:sz w:val="24"/>
          <w:szCs w:val="24"/>
        </w:rPr>
        <w:tab/>
      </w:r>
      <w:r w:rsidRPr="00E4325F">
        <w:rPr>
          <w:sz w:val="24"/>
          <w:szCs w:val="24"/>
        </w:rPr>
        <w:tab/>
      </w:r>
      <w:r w:rsidRPr="00E4325F">
        <w:rPr>
          <w:sz w:val="24"/>
          <w:szCs w:val="24"/>
        </w:rPr>
        <w:tab/>
      </w:r>
      <w:r w:rsidRPr="00E4325F">
        <w:rPr>
          <w:sz w:val="24"/>
          <w:szCs w:val="24"/>
        </w:rPr>
        <w:tab/>
        <w:t>Australian Bureau of Statistics</w:t>
      </w:r>
    </w:p>
    <w:p w:rsidR="00471C3A" w:rsidRDefault="00471C3A" w:rsidP="001655C5">
      <w:pPr>
        <w:pStyle w:val="BodyText"/>
        <w:spacing w:before="0" w:line="240" w:lineRule="auto"/>
        <w:rPr>
          <w:sz w:val="24"/>
          <w:szCs w:val="24"/>
        </w:rPr>
      </w:pPr>
      <w:r w:rsidRPr="00E4325F">
        <w:rPr>
          <w:sz w:val="24"/>
          <w:szCs w:val="24"/>
        </w:rPr>
        <w:t>Mr David Kalisch</w:t>
      </w:r>
      <w:r w:rsidRPr="00E4325F">
        <w:rPr>
          <w:sz w:val="24"/>
          <w:szCs w:val="24"/>
        </w:rPr>
        <w:tab/>
      </w:r>
      <w:r w:rsidRPr="00E4325F">
        <w:rPr>
          <w:sz w:val="24"/>
          <w:szCs w:val="24"/>
        </w:rPr>
        <w:tab/>
      </w:r>
      <w:r w:rsidRPr="00E4325F">
        <w:rPr>
          <w:sz w:val="24"/>
          <w:szCs w:val="24"/>
        </w:rPr>
        <w:tab/>
      </w:r>
      <w:r w:rsidRPr="00E4325F">
        <w:rPr>
          <w:sz w:val="24"/>
          <w:szCs w:val="24"/>
        </w:rPr>
        <w:tab/>
        <w:t>Australian Institute of Health &amp; Welfare</w:t>
      </w:r>
    </w:p>
    <w:p w:rsidR="00471C3A" w:rsidRDefault="00471C3A" w:rsidP="001655C5">
      <w:pPr>
        <w:pStyle w:val="BodyText"/>
      </w:pPr>
      <w:r>
        <w:br w:type="page"/>
      </w:r>
    </w:p>
    <w:p w:rsidR="00471C3A" w:rsidRPr="00E4325F" w:rsidRDefault="00471C3A" w:rsidP="001655C5">
      <w:pPr>
        <w:pStyle w:val="BodyText"/>
        <w:spacing w:before="0" w:line="240" w:lineRule="auto"/>
        <w:rPr>
          <w:sz w:val="24"/>
          <w:szCs w:val="24"/>
        </w:rPr>
      </w:pPr>
    </w:p>
    <w:p w:rsidR="00471C3A" w:rsidRDefault="00471C3A">
      <w:pPr>
        <w:pStyle w:val="BodyText"/>
      </w:pPr>
    </w:p>
    <w:p w:rsidR="00471C3A" w:rsidRDefault="00471C3A">
      <w:pPr>
        <w:pStyle w:val="BodyText"/>
        <w:sectPr w:rsidR="00471C3A" w:rsidSect="001655C5">
          <w:headerReference w:type="even" r:id="rId20"/>
          <w:headerReference w:type="default" r:id="rId21"/>
          <w:footerReference w:type="even" r:id="rId22"/>
          <w:footerReference w:type="default" r:id="rId23"/>
          <w:pgSz w:w="11906" w:h="16838" w:code="9"/>
          <w:pgMar w:top="1985" w:right="1304" w:bottom="1418" w:left="1814" w:header="1701" w:footer="567" w:gutter="0"/>
          <w:pgNumType w:fmt="lowerRoman"/>
          <w:cols w:space="708"/>
          <w:docGrid w:linePitch="360"/>
        </w:sectPr>
      </w:pPr>
    </w:p>
    <w:p w:rsidR="00471C3A" w:rsidRDefault="00471C3A" w:rsidP="001655C5">
      <w:pPr>
        <w:pStyle w:val="Heading1"/>
      </w:pPr>
      <w:bookmarkStart w:id="18" w:name="Contents"/>
      <w:bookmarkEnd w:id="18"/>
      <w:r w:rsidRPr="00B153C3">
        <w:lastRenderedPageBreak/>
        <w:t>Contents</w:t>
      </w:r>
      <w:bookmarkStart w:id="19" w:name="InsertContents"/>
      <w:bookmarkEnd w:id="19"/>
    </w:p>
    <w:p w:rsidR="00471C3A" w:rsidRPr="00AA7923" w:rsidRDefault="00AA7923" w:rsidP="00AA7923">
      <w:pPr>
        <w:pStyle w:val="TOC2"/>
        <w:rPr>
          <w:rFonts w:eastAsiaTheme="minorEastAsia"/>
        </w:rPr>
      </w:pPr>
      <w:r w:rsidRPr="00AA7923">
        <w:rPr>
          <w:rFonts w:eastAsiaTheme="minorEastAsia"/>
        </w:rPr>
        <w:t>This report</w:t>
      </w:r>
      <w:r w:rsidRPr="00AA7923">
        <w:rPr>
          <w:rFonts w:eastAsiaTheme="minorEastAsia"/>
        </w:rPr>
        <w:tab/>
      </w:r>
      <w:r>
        <w:rPr>
          <w:rFonts w:eastAsiaTheme="minorEastAsia"/>
        </w:rPr>
        <w:t>v</w:t>
      </w:r>
    </w:p>
    <w:p w:rsidR="00471C3A" w:rsidRPr="00AA7923" w:rsidRDefault="00AA7923" w:rsidP="00AA7923">
      <w:pPr>
        <w:pStyle w:val="TOC2"/>
        <w:rPr>
          <w:rFonts w:eastAsiaTheme="minorEastAsia"/>
        </w:rPr>
      </w:pPr>
      <w:r w:rsidRPr="00AA7923">
        <w:rPr>
          <w:rFonts w:eastAsiaTheme="minorEastAsia"/>
        </w:rPr>
        <w:t>Steering Committee</w:t>
      </w:r>
      <w:r w:rsidR="00471C3A" w:rsidRPr="00AA7923">
        <w:rPr>
          <w:rFonts w:eastAsiaTheme="minorEastAsia"/>
        </w:rPr>
        <w:tab/>
        <w:t>vii</w:t>
      </w:r>
    </w:p>
    <w:p w:rsidR="00AA7923" w:rsidRPr="00AA7923" w:rsidRDefault="00AA7923" w:rsidP="00AA7923">
      <w:pPr>
        <w:pStyle w:val="TOC2"/>
        <w:rPr>
          <w:rFonts w:eastAsiaTheme="minorEastAsia"/>
        </w:rPr>
      </w:pPr>
      <w:r>
        <w:rPr>
          <w:rFonts w:eastAsiaTheme="minorEastAsia"/>
        </w:rPr>
        <w:t>Contents</w:t>
      </w:r>
      <w:r>
        <w:rPr>
          <w:rFonts w:eastAsiaTheme="minorEastAsia"/>
        </w:rPr>
        <w:tab/>
        <w:t>ix</w:t>
      </w:r>
    </w:p>
    <w:p w:rsidR="00471C3A" w:rsidRDefault="00471C3A">
      <w:pPr>
        <w:pStyle w:val="TOC1"/>
        <w:rPr>
          <w:rFonts w:asciiTheme="minorHAnsi" w:eastAsiaTheme="minorEastAsia" w:hAnsiTheme="minorHAnsi" w:cstheme="minorBidi"/>
          <w:b w:val="0"/>
          <w:noProof/>
          <w:sz w:val="22"/>
          <w:szCs w:val="22"/>
        </w:rPr>
      </w:pPr>
      <w:r>
        <w:rPr>
          <w:noProof/>
        </w:rPr>
        <w:t>National Partnership Agreement on Essential Vaccines</w:t>
      </w:r>
      <w:r>
        <w:rPr>
          <w:noProof/>
        </w:rPr>
        <w:tab/>
        <w:t>1</w:t>
      </w:r>
    </w:p>
    <w:p w:rsidR="00471C3A" w:rsidRDefault="00471C3A">
      <w:pPr>
        <w:pStyle w:val="TOC2"/>
        <w:rPr>
          <w:rFonts w:asciiTheme="minorHAnsi" w:eastAsiaTheme="minorEastAsia" w:hAnsiTheme="minorHAnsi" w:cstheme="minorBidi"/>
          <w:noProof/>
          <w:sz w:val="22"/>
          <w:szCs w:val="22"/>
        </w:rPr>
      </w:pPr>
      <w:r>
        <w:rPr>
          <w:noProof/>
        </w:rPr>
        <w:t>About this report</w:t>
      </w:r>
      <w:r>
        <w:rPr>
          <w:noProof/>
        </w:rPr>
        <w:tab/>
        <w:t>1</w:t>
      </w:r>
    </w:p>
    <w:p w:rsidR="00471C3A" w:rsidRDefault="00471C3A">
      <w:pPr>
        <w:pStyle w:val="TOC2"/>
        <w:rPr>
          <w:rFonts w:asciiTheme="minorHAnsi" w:eastAsiaTheme="minorEastAsia" w:hAnsiTheme="minorHAnsi" w:cstheme="minorBidi"/>
          <w:noProof/>
          <w:sz w:val="22"/>
          <w:szCs w:val="22"/>
        </w:rPr>
      </w:pPr>
      <w:r>
        <w:rPr>
          <w:noProof/>
        </w:rPr>
        <w:t>The National Partnership Agreement on Essential Vaccines</w:t>
      </w:r>
      <w:r>
        <w:rPr>
          <w:noProof/>
        </w:rPr>
        <w:tab/>
        <w:t>3</w:t>
      </w:r>
    </w:p>
    <w:p w:rsidR="00471C3A" w:rsidRDefault="00471C3A">
      <w:pPr>
        <w:pStyle w:val="TOC2"/>
        <w:rPr>
          <w:rFonts w:asciiTheme="minorHAnsi" w:eastAsiaTheme="minorEastAsia" w:hAnsiTheme="minorHAnsi" w:cstheme="minorBidi"/>
          <w:noProof/>
          <w:sz w:val="22"/>
          <w:szCs w:val="22"/>
        </w:rPr>
      </w:pPr>
      <w:r>
        <w:rPr>
          <w:noProof/>
        </w:rPr>
        <w:t>Performance reporting</w:t>
      </w:r>
      <w:r>
        <w:rPr>
          <w:noProof/>
        </w:rPr>
        <w:tab/>
        <w:t>3</w:t>
      </w:r>
    </w:p>
    <w:p w:rsidR="00471C3A" w:rsidRDefault="00471C3A">
      <w:pPr>
        <w:pStyle w:val="TOC2"/>
        <w:rPr>
          <w:rFonts w:asciiTheme="minorHAnsi" w:eastAsiaTheme="minorEastAsia" w:hAnsiTheme="minorHAnsi" w:cstheme="minorBidi"/>
          <w:noProof/>
          <w:sz w:val="22"/>
          <w:szCs w:val="22"/>
        </w:rPr>
      </w:pPr>
      <w:r>
        <w:rPr>
          <w:noProof/>
        </w:rPr>
        <w:t>Data Quality Statements</w:t>
      </w:r>
      <w:r>
        <w:rPr>
          <w:noProof/>
        </w:rPr>
        <w:tab/>
        <w:t>16</w:t>
      </w:r>
    </w:p>
    <w:p w:rsidR="00471C3A" w:rsidRDefault="00471C3A">
      <w:pPr>
        <w:pStyle w:val="TOC2"/>
        <w:rPr>
          <w:rFonts w:asciiTheme="minorHAnsi" w:eastAsiaTheme="minorEastAsia" w:hAnsiTheme="minorHAnsi" w:cstheme="minorBidi"/>
          <w:noProof/>
          <w:sz w:val="22"/>
          <w:szCs w:val="22"/>
        </w:rPr>
      </w:pPr>
      <w:r>
        <w:rPr>
          <w:noProof/>
        </w:rPr>
        <w:t>References</w:t>
      </w:r>
      <w:r>
        <w:rPr>
          <w:noProof/>
        </w:rPr>
        <w:tab/>
        <w:t>25</w:t>
      </w:r>
    </w:p>
    <w:p w:rsidR="00471C3A" w:rsidRDefault="00471C3A">
      <w:pPr>
        <w:pStyle w:val="TOC2"/>
        <w:rPr>
          <w:rFonts w:asciiTheme="minorHAnsi" w:eastAsiaTheme="minorEastAsia" w:hAnsiTheme="minorHAnsi" w:cstheme="minorBidi"/>
          <w:noProof/>
          <w:sz w:val="22"/>
          <w:szCs w:val="22"/>
        </w:rPr>
      </w:pPr>
      <w:r>
        <w:rPr>
          <w:noProof/>
        </w:rPr>
        <w:t>Acronyms and abbreviations</w:t>
      </w:r>
      <w:r>
        <w:rPr>
          <w:noProof/>
        </w:rPr>
        <w:tab/>
        <w:t>26</w:t>
      </w:r>
    </w:p>
    <w:p w:rsidR="00471C3A" w:rsidRDefault="00471C3A" w:rsidP="001655C5">
      <w:pPr>
        <w:pStyle w:val="TOC1"/>
      </w:pPr>
      <w:r>
        <w:t xml:space="preserve"> </w:t>
      </w:r>
    </w:p>
    <w:p w:rsidR="00471C3A" w:rsidRDefault="00471C3A">
      <w:pPr>
        <w:rPr>
          <w:b/>
          <w:caps/>
        </w:rPr>
      </w:pPr>
      <w:r>
        <w:br w:type="page"/>
      </w:r>
    </w:p>
    <w:p w:rsidR="00471C3A" w:rsidRDefault="00471C3A" w:rsidP="001655C5">
      <w:pPr>
        <w:pStyle w:val="TOC1"/>
      </w:pPr>
    </w:p>
    <w:p w:rsidR="00471C3A" w:rsidRDefault="00471C3A" w:rsidP="00224F71">
      <w:pPr>
        <w:pStyle w:val="Heading1"/>
        <w:spacing w:before="0"/>
      </w:pPr>
    </w:p>
    <w:p w:rsidR="00471C3A" w:rsidRDefault="00471C3A" w:rsidP="00471C3A">
      <w:pPr>
        <w:pStyle w:val="BodyText"/>
      </w:pPr>
    </w:p>
    <w:p w:rsidR="00471C3A" w:rsidRPr="00471C3A" w:rsidRDefault="00471C3A" w:rsidP="00471C3A">
      <w:pPr>
        <w:pStyle w:val="BodyText"/>
        <w:sectPr w:rsidR="00471C3A" w:rsidRPr="00471C3A" w:rsidSect="0089285E">
          <w:headerReference w:type="even" r:id="rId24"/>
          <w:headerReference w:type="default" r:id="rId25"/>
          <w:footerReference w:type="even" r:id="rId26"/>
          <w:footerReference w:type="default" r:id="rId27"/>
          <w:pgSz w:w="11907" w:h="16840" w:code="9"/>
          <w:pgMar w:top="1985" w:right="1304" w:bottom="1418" w:left="1814" w:header="1701" w:footer="567" w:gutter="0"/>
          <w:pgNumType w:start="1" w:chapSep="period"/>
          <w:cols w:space="720"/>
        </w:sectPr>
      </w:pPr>
    </w:p>
    <w:p w:rsidR="00A33DFF" w:rsidRPr="004F7D0D" w:rsidRDefault="00DE2EC7" w:rsidP="00224F71">
      <w:pPr>
        <w:pStyle w:val="Heading1"/>
        <w:spacing w:before="0"/>
      </w:pPr>
      <w:r w:rsidRPr="004F7D0D">
        <w:lastRenderedPageBreak/>
        <w:t>National Partnership Agreement on Essential Vaccines</w:t>
      </w:r>
    </w:p>
    <w:p w:rsidR="003C38B5" w:rsidRPr="004F7D0D" w:rsidRDefault="00DE2EC7" w:rsidP="00DE2EC7">
      <w:pPr>
        <w:pStyle w:val="Heading2"/>
      </w:pPr>
      <w:bookmarkStart w:id="20" w:name="begin"/>
      <w:bookmarkEnd w:id="20"/>
      <w:r w:rsidRPr="004F7D0D">
        <w:t>About this report</w:t>
      </w:r>
    </w:p>
    <w:p w:rsidR="00DE2EC7" w:rsidRPr="004F7D0D" w:rsidRDefault="00DE2EC7" w:rsidP="00DE2EC7">
      <w:pPr>
        <w:pStyle w:val="Heading3"/>
      </w:pPr>
      <w:r w:rsidRPr="004F7D0D">
        <w:t>Background to National Partnership reporting</w:t>
      </w:r>
    </w:p>
    <w:p w:rsidR="00DE2EC7" w:rsidRPr="004F7D0D" w:rsidRDefault="00842B44" w:rsidP="00842B44">
      <w:pPr>
        <w:pStyle w:val="BodyText"/>
      </w:pPr>
      <w:r w:rsidRPr="004F7D0D">
        <w:t xml:space="preserve">COAG endorsed a new intergovernmental Agreement on Federal Financial Relations (IGA) in November 2008 (COAG </w:t>
      </w:r>
      <w:proofErr w:type="spellStart"/>
      <w:r w:rsidRPr="004F7D0D">
        <w:t>2009</w:t>
      </w:r>
      <w:r w:rsidR="006613B8" w:rsidRPr="004F7D0D">
        <w:t>a</w:t>
      </w:r>
      <w:proofErr w:type="spellEnd"/>
      <w:r w:rsidRPr="004F7D0D">
        <w:t>) and reaffirmed its commitment in August 2011 (COAG 2011)</w:t>
      </w:r>
      <w:r w:rsidR="00BC6573" w:rsidRPr="004F7D0D">
        <w:t>.</w:t>
      </w:r>
      <w:r w:rsidR="00DE2EC7" w:rsidRPr="004F7D0D">
        <w:t xml:space="preserve"> The </w:t>
      </w:r>
      <w:r w:rsidR="00B2121C" w:rsidRPr="004F7D0D">
        <w:t xml:space="preserve">Standing Council for Federal Financial Relations (SCFFR) </w:t>
      </w:r>
      <w:r w:rsidR="00DE2EC7" w:rsidRPr="004F7D0D">
        <w:t xml:space="preserve">has general oversight of the operations of the IGA </w:t>
      </w:r>
      <w:r w:rsidRPr="004F7D0D">
        <w:t xml:space="preserve">on behalf of COAG. [IGA para. </w:t>
      </w:r>
      <w:proofErr w:type="spellStart"/>
      <w:r w:rsidRPr="004F7D0D">
        <w:t>A4</w:t>
      </w:r>
      <w:proofErr w:type="spellEnd"/>
      <w:r w:rsidRPr="004F7D0D">
        <w:t xml:space="preserve"> (a)]</w:t>
      </w:r>
    </w:p>
    <w:p w:rsidR="00DE2EC7" w:rsidRPr="004F7D0D" w:rsidRDefault="00A23800" w:rsidP="00DE2EC7">
      <w:pPr>
        <w:pStyle w:val="BodyText"/>
      </w:pPr>
      <w:r w:rsidRPr="004F7D0D">
        <w:t>COAG also agreed to</w:t>
      </w:r>
      <w:r w:rsidR="0089364C" w:rsidRPr="004F7D0D">
        <w:t xml:space="preserve"> National Partnership (NP) payments — to fund specific projects and to facilitate and</w:t>
      </w:r>
      <w:r w:rsidR="00427600" w:rsidRPr="004F7D0D">
        <w:t>/or reward state</w:t>
      </w:r>
      <w:r w:rsidR="00803CF9" w:rsidRPr="004F7D0D">
        <w:t>s</w:t>
      </w:r>
      <w:r w:rsidR="00427600" w:rsidRPr="004F7D0D">
        <w:t xml:space="preserve"> and t</w:t>
      </w:r>
      <w:r w:rsidR="0089364C" w:rsidRPr="004F7D0D">
        <w:t xml:space="preserve">erritories that deliver on </w:t>
      </w:r>
      <w:r w:rsidR="00324185" w:rsidRPr="004F7D0D">
        <w:t>nationally significant reforms.</w:t>
      </w:r>
    </w:p>
    <w:p w:rsidR="00A47BE3" w:rsidRPr="004F7D0D" w:rsidRDefault="00507309" w:rsidP="00DE2EC7">
      <w:pPr>
        <w:pStyle w:val="BodyText"/>
      </w:pPr>
      <w:r w:rsidRPr="004F7D0D">
        <w:t>The IGA specifies that the Commonwealth can provide</w:t>
      </w:r>
      <w:r w:rsidR="00A47BE3" w:rsidRPr="004F7D0D">
        <w:t xml:space="preserve"> the following NP payments:</w:t>
      </w:r>
    </w:p>
    <w:p w:rsidR="00A47BE3" w:rsidRPr="004F7D0D" w:rsidRDefault="00507309" w:rsidP="00A47BE3">
      <w:pPr>
        <w:pStyle w:val="ListBullet"/>
      </w:pPr>
      <w:r w:rsidRPr="004F7D0D">
        <w:t xml:space="preserve">project payments to the </w:t>
      </w:r>
      <w:r w:rsidR="00803CF9" w:rsidRPr="004F7D0D">
        <w:t>s</w:t>
      </w:r>
      <w:r w:rsidRPr="004F7D0D">
        <w:t xml:space="preserve">tates and </w:t>
      </w:r>
      <w:r w:rsidR="00803CF9" w:rsidRPr="004F7D0D">
        <w:t>t</w:t>
      </w:r>
      <w:r w:rsidRPr="004F7D0D">
        <w:t>erritories to deliver specific projects where they support national objectives</w:t>
      </w:r>
    </w:p>
    <w:p w:rsidR="00A47BE3" w:rsidRPr="004F7D0D" w:rsidRDefault="00507309" w:rsidP="00A47BE3">
      <w:pPr>
        <w:pStyle w:val="ListBullet"/>
      </w:pPr>
      <w:r w:rsidRPr="004F7D0D">
        <w:t>facilitation payments in advance of the implementation of reform, in recognition of the costs of undertaking the reform</w:t>
      </w:r>
    </w:p>
    <w:p w:rsidR="00B37FA6" w:rsidRPr="004F7D0D" w:rsidRDefault="00507309" w:rsidP="00A47BE3">
      <w:pPr>
        <w:pStyle w:val="ListBullet"/>
      </w:pPr>
      <w:r w:rsidRPr="004F7D0D">
        <w:t xml:space="preserve">incentives payments </w:t>
      </w:r>
      <w:r w:rsidR="00B37FA6" w:rsidRPr="004F7D0D">
        <w:t xml:space="preserve">to </w:t>
      </w:r>
      <w:r w:rsidRPr="004F7D0D">
        <w:t>provide a reward to jurisdictions that deliver agreed reform progress or cont</w:t>
      </w:r>
      <w:r w:rsidR="00E01D56" w:rsidRPr="004F7D0D">
        <w:t>inuous improvement</w:t>
      </w:r>
      <w:r w:rsidR="00D323E1" w:rsidRPr="004F7D0D">
        <w:t xml:space="preserve"> in service delivery</w:t>
      </w:r>
      <w:r w:rsidR="00324185" w:rsidRPr="004F7D0D">
        <w:t xml:space="preserve"> </w:t>
      </w:r>
      <w:r w:rsidR="00BC6573" w:rsidRPr="004F7D0D">
        <w:t>[</w:t>
      </w:r>
      <w:r w:rsidR="00720928" w:rsidRPr="004F7D0D">
        <w:t xml:space="preserve">IGA </w:t>
      </w:r>
      <w:r w:rsidR="00E01D56" w:rsidRPr="004F7D0D">
        <w:t xml:space="preserve">para. </w:t>
      </w:r>
      <w:proofErr w:type="spellStart"/>
      <w:r w:rsidR="00E01D56" w:rsidRPr="004F7D0D">
        <w:t>E19</w:t>
      </w:r>
      <w:proofErr w:type="spellEnd"/>
      <w:r w:rsidR="00E01D56" w:rsidRPr="004F7D0D">
        <w:t>(a</w:t>
      </w:r>
      <w:r w:rsidRPr="004F7D0D">
        <w:t>)</w:t>
      </w:r>
      <w:r w:rsidR="00E01D56" w:rsidRPr="004F7D0D">
        <w:t>–(c)</w:t>
      </w:r>
      <w:r w:rsidR="00BC6573" w:rsidRPr="004F7D0D">
        <w:t>]</w:t>
      </w:r>
      <w:r w:rsidR="00803CF9" w:rsidRPr="004F7D0D">
        <w:t xml:space="preserve">. </w:t>
      </w:r>
    </w:p>
    <w:p w:rsidR="00BE371D" w:rsidRPr="004F7D0D" w:rsidRDefault="00B37FA6" w:rsidP="00DE2EC7">
      <w:pPr>
        <w:pStyle w:val="BodyText"/>
      </w:pPr>
      <w:r w:rsidRPr="004F7D0D">
        <w:t xml:space="preserve">The agreements underpinning each </w:t>
      </w:r>
      <w:r w:rsidR="007A0034" w:rsidRPr="004F7D0D">
        <w:t>NP</w:t>
      </w:r>
      <w:r w:rsidRPr="004F7D0D">
        <w:t xml:space="preserve"> </w:t>
      </w:r>
      <w:r w:rsidR="007A0034" w:rsidRPr="004F7D0D">
        <w:t>incentive</w:t>
      </w:r>
      <w:r w:rsidRPr="004F7D0D">
        <w:t xml:space="preserve"> payment </w:t>
      </w:r>
      <w:r w:rsidR="00E01D56" w:rsidRPr="004F7D0D">
        <w:t>are required to</w:t>
      </w:r>
      <w:r w:rsidRPr="004F7D0D">
        <w:t xml:space="preserve"> set out the milestones and performance benchmarks that must be achieved for each jurisdiction to be eligible for an incentive payment</w:t>
      </w:r>
      <w:r w:rsidR="00324185" w:rsidRPr="004F7D0D">
        <w:t xml:space="preserve"> </w:t>
      </w:r>
      <w:r w:rsidR="00BC6573" w:rsidRPr="004F7D0D">
        <w:t>[</w:t>
      </w:r>
      <w:r w:rsidR="00720928" w:rsidRPr="004F7D0D">
        <w:t>IGA</w:t>
      </w:r>
      <w:r w:rsidR="00803CF9" w:rsidRPr="004F7D0D">
        <w:t xml:space="preserve"> </w:t>
      </w:r>
      <w:r w:rsidRPr="004F7D0D">
        <w:t xml:space="preserve">para. </w:t>
      </w:r>
      <w:proofErr w:type="spellStart"/>
      <w:r w:rsidRPr="004F7D0D">
        <w:t>C20</w:t>
      </w:r>
      <w:proofErr w:type="spellEnd"/>
      <w:r w:rsidR="00BC6573" w:rsidRPr="004F7D0D">
        <w:t>]</w:t>
      </w:r>
      <w:r w:rsidR="00803CF9" w:rsidRPr="004F7D0D">
        <w:t>.</w:t>
      </w:r>
    </w:p>
    <w:p w:rsidR="00427600" w:rsidRPr="004F7D0D" w:rsidRDefault="00427600" w:rsidP="00427600">
      <w:pPr>
        <w:pStyle w:val="BodyText"/>
      </w:pPr>
      <w:r w:rsidRPr="004F7D0D">
        <w:t xml:space="preserve">The IGA </w:t>
      </w:r>
      <w:r w:rsidR="00720928" w:rsidRPr="004F7D0D">
        <w:t>includes</w:t>
      </w:r>
      <w:r w:rsidRPr="004F7D0D">
        <w:t xml:space="preserve"> six National Agreements (NAs), which contain the objectives and outcomes for each sector, and clarif</w:t>
      </w:r>
      <w:r w:rsidR="00623257" w:rsidRPr="004F7D0D">
        <w:t>y</w:t>
      </w:r>
      <w:r w:rsidRPr="004F7D0D">
        <w:t xml:space="preserve"> the respective roles and responsibilities of the Commonwealth and the states and territories in the delivery of services. Five of the NAs are associated with a national Specific Purpose Payment (SPP) that can provide funding to the states and territories for the sector covered by the NA. </w:t>
      </w:r>
    </w:p>
    <w:p w:rsidR="0089364C" w:rsidRPr="004F7D0D" w:rsidRDefault="00FF78C3" w:rsidP="00FF78C3">
      <w:pPr>
        <w:pStyle w:val="Heading3"/>
      </w:pPr>
      <w:r w:rsidRPr="004F7D0D">
        <w:lastRenderedPageBreak/>
        <w:t>National Partnership reporting roles and responsibilities</w:t>
      </w:r>
    </w:p>
    <w:p w:rsidR="0089364C" w:rsidRPr="004F7D0D" w:rsidRDefault="00BE371D" w:rsidP="00BE371D">
      <w:pPr>
        <w:pStyle w:val="Heading4"/>
      </w:pPr>
      <w:r w:rsidRPr="004F7D0D">
        <w:t xml:space="preserve">Role of </w:t>
      </w:r>
      <w:r w:rsidR="00E21145" w:rsidRPr="004F7D0D">
        <w:t xml:space="preserve">the </w:t>
      </w:r>
      <w:r w:rsidRPr="004F7D0D">
        <w:t>C</w:t>
      </w:r>
      <w:r w:rsidR="00E21145" w:rsidRPr="004F7D0D">
        <w:t xml:space="preserve">OAG </w:t>
      </w:r>
      <w:r w:rsidRPr="004F7D0D">
        <w:t>R</w:t>
      </w:r>
      <w:r w:rsidR="00E21145" w:rsidRPr="004F7D0D">
        <w:t xml:space="preserve">eform </w:t>
      </w:r>
      <w:r w:rsidRPr="004F7D0D">
        <w:t>C</w:t>
      </w:r>
      <w:r w:rsidR="00E21145" w:rsidRPr="004F7D0D">
        <w:t>ouncil</w:t>
      </w:r>
    </w:p>
    <w:p w:rsidR="002D758F" w:rsidRPr="004F7D0D" w:rsidRDefault="002D758F" w:rsidP="00BE371D">
      <w:pPr>
        <w:pStyle w:val="BodyText"/>
      </w:pPr>
      <w:r w:rsidRPr="004F7D0D">
        <w:t>The IGA</w:t>
      </w:r>
      <w:r w:rsidR="00C730E9" w:rsidRPr="004F7D0D">
        <w:t xml:space="preserve"> </w:t>
      </w:r>
      <w:r w:rsidRPr="004F7D0D">
        <w:t xml:space="preserve">states that: </w:t>
      </w:r>
    </w:p>
    <w:p w:rsidR="00A47BE3" w:rsidRPr="004F7D0D" w:rsidRDefault="00A47BE3" w:rsidP="00A47BE3">
      <w:pPr>
        <w:pStyle w:val="Quote"/>
        <w:rPr>
          <w:highlight w:val="yellow"/>
        </w:rPr>
      </w:pPr>
      <w:r w:rsidRPr="004F7D0D">
        <w:t xml:space="preserve">The </w:t>
      </w:r>
      <w:r w:rsidR="008A61C4" w:rsidRPr="004F7D0D">
        <w:t>[CRC]</w:t>
      </w:r>
      <w:r w:rsidRPr="004F7D0D">
        <w:t xml:space="preserve"> will be the independent assessor of whether pre</w:t>
      </w:r>
      <w:r w:rsidRPr="004F7D0D">
        <w:noBreakHyphen/>
        <w:t>determined milestones and performance benchmarks have been achieved before an incentive payment to reward nationally significant reforms or service delivery improvements under a National Partnership reward payment is made. [para. C19]</w:t>
      </w:r>
    </w:p>
    <w:p w:rsidR="0089364C" w:rsidRPr="004F7D0D" w:rsidRDefault="009F3087" w:rsidP="00823AF2">
      <w:pPr>
        <w:pStyle w:val="BodyText"/>
      </w:pPr>
      <w:r w:rsidRPr="004F7D0D">
        <w:t xml:space="preserve">In order to assist the CRC discharge this function, the IGA </w:t>
      </w:r>
      <w:r w:rsidR="00E01D56" w:rsidRPr="004F7D0D">
        <w:t xml:space="preserve">provides that </w:t>
      </w:r>
      <w:r w:rsidRPr="004F7D0D">
        <w:t>‘the CRC</w:t>
      </w:r>
      <w:r w:rsidR="00A55BB7" w:rsidRPr="004F7D0D">
        <w:t xml:space="preserve"> may draw on existing subject experts or commission technical experts when an assessment of performance is required.</w:t>
      </w:r>
      <w:r w:rsidRPr="004F7D0D">
        <w:t>’</w:t>
      </w:r>
      <w:r w:rsidR="00A55BB7" w:rsidRPr="004F7D0D">
        <w:t xml:space="preserve"> [para. C21]</w:t>
      </w:r>
    </w:p>
    <w:p w:rsidR="00A55BB7" w:rsidRPr="004F7D0D" w:rsidRDefault="009F3087" w:rsidP="00823AF2">
      <w:pPr>
        <w:pStyle w:val="BodyText"/>
      </w:pPr>
      <w:r w:rsidRPr="004F7D0D">
        <w:t xml:space="preserve">The IGA also provides for the parties to the NP to be consulted for a month before the CRC makes its assessment on </w:t>
      </w:r>
      <w:r w:rsidR="005D1A02" w:rsidRPr="004F7D0D">
        <w:t>performance against the pre-determined milestones and benchmarks</w:t>
      </w:r>
      <w:r w:rsidR="00803CF9" w:rsidRPr="004F7D0D">
        <w:t xml:space="preserve">. </w:t>
      </w:r>
      <w:r w:rsidR="00A55BB7" w:rsidRPr="004F7D0D">
        <w:t>[para. C22]</w:t>
      </w:r>
    </w:p>
    <w:p w:rsidR="00BE371D" w:rsidRPr="004F7D0D" w:rsidRDefault="00455E44" w:rsidP="00455E44">
      <w:pPr>
        <w:pStyle w:val="Heading4"/>
      </w:pPr>
      <w:r w:rsidRPr="004F7D0D">
        <w:t>Role of the Steering Committee</w:t>
      </w:r>
    </w:p>
    <w:p w:rsidR="00455E44" w:rsidRPr="004F7D0D" w:rsidRDefault="00455E44" w:rsidP="00455E44">
      <w:pPr>
        <w:pStyle w:val="BodyText"/>
      </w:pPr>
      <w:r w:rsidRPr="004F7D0D">
        <w:t>The Steering Committee has three areas of potential involvement with NP reporting:</w:t>
      </w:r>
    </w:p>
    <w:p w:rsidR="00455E44" w:rsidRPr="004F7D0D" w:rsidRDefault="00455E44" w:rsidP="008874F4">
      <w:pPr>
        <w:pStyle w:val="ListBullet"/>
      </w:pPr>
      <w:r w:rsidRPr="004F7D0D">
        <w:t xml:space="preserve">as part of its NA role, providing information on NPs to the CRC to the extent that they support the objectives in </w:t>
      </w:r>
      <w:r w:rsidR="00CC4844" w:rsidRPr="004F7D0D">
        <w:t>NAs</w:t>
      </w:r>
      <w:r w:rsidRPr="004F7D0D">
        <w:t xml:space="preserve"> </w:t>
      </w:r>
      <w:r w:rsidR="00BC6573" w:rsidRPr="004F7D0D">
        <w:t>[</w:t>
      </w:r>
      <w:r w:rsidR="00C730E9" w:rsidRPr="004F7D0D">
        <w:t>IGA</w:t>
      </w:r>
      <w:r w:rsidR="00803CF9" w:rsidRPr="004F7D0D">
        <w:t xml:space="preserve"> </w:t>
      </w:r>
      <w:r w:rsidRPr="004F7D0D">
        <w:t>para</w:t>
      </w:r>
      <w:r w:rsidR="0000128B" w:rsidRPr="004F7D0D">
        <w:t>.</w:t>
      </w:r>
      <w:r w:rsidRPr="004F7D0D">
        <w:t xml:space="preserve"> </w:t>
      </w:r>
      <w:proofErr w:type="spellStart"/>
      <w:r w:rsidRPr="004F7D0D">
        <w:t>C5</w:t>
      </w:r>
      <w:proofErr w:type="spellEnd"/>
      <w:r w:rsidRPr="004F7D0D">
        <w:t>(c)</w:t>
      </w:r>
      <w:r w:rsidR="00BC6573" w:rsidRPr="004F7D0D">
        <w:t>]</w:t>
      </w:r>
      <w:r w:rsidR="00803CF9" w:rsidRPr="004F7D0D">
        <w:t>.</w:t>
      </w:r>
    </w:p>
    <w:p w:rsidR="00455E44" w:rsidRPr="004F7D0D" w:rsidRDefault="00455E44" w:rsidP="00823AF2">
      <w:pPr>
        <w:pStyle w:val="ListBullet"/>
      </w:pPr>
      <w:r w:rsidRPr="004F7D0D">
        <w:t>as a result of di</w:t>
      </w:r>
      <w:r w:rsidR="000E23E9" w:rsidRPr="004F7D0D">
        <w:t>rect reference to the Steering C</w:t>
      </w:r>
      <w:r w:rsidRPr="004F7D0D">
        <w:t>ommittee in a NP or federal financial relat</w:t>
      </w:r>
      <w:r w:rsidR="008874F4" w:rsidRPr="004F7D0D">
        <w:t>ions documents</w:t>
      </w:r>
    </w:p>
    <w:p w:rsidR="00455E44" w:rsidRPr="004F7D0D" w:rsidRDefault="00455E44" w:rsidP="00823AF2">
      <w:pPr>
        <w:pStyle w:val="ListBullet"/>
      </w:pPr>
      <w:r w:rsidRPr="004F7D0D">
        <w:t>to support the CRC in its role assessing and reporting on NPs with reward funding</w:t>
      </w:r>
      <w:r w:rsidR="00803CF9" w:rsidRPr="004F7D0D">
        <w:t xml:space="preserve"> </w:t>
      </w:r>
      <w:r w:rsidR="00BC6573" w:rsidRPr="004F7D0D">
        <w:t>[</w:t>
      </w:r>
      <w:r w:rsidR="00C730E9" w:rsidRPr="004F7D0D">
        <w:t>IGA</w:t>
      </w:r>
      <w:r w:rsidR="00803CF9" w:rsidRPr="004F7D0D">
        <w:t xml:space="preserve"> </w:t>
      </w:r>
      <w:r w:rsidRPr="004F7D0D">
        <w:t>para</w:t>
      </w:r>
      <w:r w:rsidR="0000128B" w:rsidRPr="004F7D0D">
        <w:t>.</w:t>
      </w:r>
      <w:r w:rsidRPr="004F7D0D">
        <w:t xml:space="preserve"> </w:t>
      </w:r>
      <w:proofErr w:type="spellStart"/>
      <w:r w:rsidRPr="004F7D0D">
        <w:t>C19</w:t>
      </w:r>
      <w:proofErr w:type="spellEnd"/>
      <w:r w:rsidR="00BC6573" w:rsidRPr="004F7D0D">
        <w:t>]</w:t>
      </w:r>
      <w:r w:rsidR="00803CF9" w:rsidRPr="004F7D0D">
        <w:t>.</w:t>
      </w:r>
    </w:p>
    <w:p w:rsidR="00623257" w:rsidRPr="004F7D0D" w:rsidRDefault="000E23E9" w:rsidP="00823AF2">
      <w:pPr>
        <w:pStyle w:val="BodyText"/>
      </w:pPr>
      <w:r w:rsidRPr="004F7D0D">
        <w:t xml:space="preserve">In April 2010, the CRC </w:t>
      </w:r>
      <w:r w:rsidR="00455E44" w:rsidRPr="004F7D0D">
        <w:t>request</w:t>
      </w:r>
      <w:r w:rsidRPr="004F7D0D">
        <w:t>ed</w:t>
      </w:r>
      <w:r w:rsidR="00455E44" w:rsidRPr="004F7D0D">
        <w:t xml:space="preserve"> that the Steering Committee</w:t>
      </w:r>
      <w:r w:rsidR="00AE536E" w:rsidRPr="004F7D0D">
        <w:t>, on an annual basis,</w:t>
      </w:r>
      <w:r w:rsidR="00455E44" w:rsidRPr="004F7D0D">
        <w:t xml:space="preserve"> collate the performance information for </w:t>
      </w:r>
      <w:r w:rsidR="00623257" w:rsidRPr="004F7D0D">
        <w:t>the</w:t>
      </w:r>
      <w:r w:rsidR="00623257" w:rsidRPr="004F7D0D">
        <w:rPr>
          <w:i/>
        </w:rPr>
        <w:t xml:space="preserve"> </w:t>
      </w:r>
      <w:r w:rsidR="00455E44" w:rsidRPr="004F7D0D">
        <w:rPr>
          <w:i/>
        </w:rPr>
        <w:t>N</w:t>
      </w:r>
      <w:r w:rsidR="00091C33" w:rsidRPr="004F7D0D">
        <w:rPr>
          <w:i/>
        </w:rPr>
        <w:t xml:space="preserve">ational </w:t>
      </w:r>
      <w:r w:rsidR="00455E44" w:rsidRPr="004F7D0D">
        <w:rPr>
          <w:i/>
        </w:rPr>
        <w:t>P</w:t>
      </w:r>
      <w:r w:rsidR="00091C33" w:rsidRPr="004F7D0D">
        <w:rPr>
          <w:i/>
        </w:rPr>
        <w:t>artnership</w:t>
      </w:r>
      <w:r w:rsidR="00455E44" w:rsidRPr="004F7D0D">
        <w:rPr>
          <w:i/>
        </w:rPr>
        <w:t xml:space="preserve"> Agreement on Essential Vaccines</w:t>
      </w:r>
      <w:r w:rsidR="00455E44" w:rsidRPr="004F7D0D">
        <w:t xml:space="preserve"> (</w:t>
      </w:r>
      <w:r w:rsidR="00E21145" w:rsidRPr="004F7D0D">
        <w:t>Essential Vaccines NP</w:t>
      </w:r>
      <w:r w:rsidR="00455E44" w:rsidRPr="004F7D0D">
        <w:t>)</w:t>
      </w:r>
      <w:r w:rsidR="00091C33" w:rsidRPr="004F7D0D">
        <w:t xml:space="preserve"> (COAG </w:t>
      </w:r>
      <w:proofErr w:type="spellStart"/>
      <w:r w:rsidR="00091C33" w:rsidRPr="004F7D0D">
        <w:t>2009</w:t>
      </w:r>
      <w:r w:rsidR="00BC6573" w:rsidRPr="004F7D0D">
        <w:t>b</w:t>
      </w:r>
      <w:proofErr w:type="spellEnd"/>
      <w:r w:rsidR="00091C33" w:rsidRPr="004F7D0D">
        <w:t>)</w:t>
      </w:r>
      <w:r w:rsidR="00455E44" w:rsidRPr="004F7D0D">
        <w:t>.</w:t>
      </w:r>
    </w:p>
    <w:p w:rsidR="00F056FC" w:rsidRPr="004F7D0D" w:rsidRDefault="00A33DFF" w:rsidP="00823AF2">
      <w:pPr>
        <w:pStyle w:val="Heading2"/>
      </w:pPr>
      <w:r w:rsidRPr="004F7D0D">
        <w:br w:type="page"/>
      </w:r>
      <w:r w:rsidR="00744838" w:rsidRPr="004F7D0D">
        <w:lastRenderedPageBreak/>
        <w:t xml:space="preserve">The National Partnership Agreement on </w:t>
      </w:r>
      <w:r w:rsidR="00140FD0" w:rsidRPr="004F7D0D">
        <w:t>Essential Vaccines</w:t>
      </w:r>
      <w:r w:rsidR="00744838" w:rsidRPr="004F7D0D">
        <w:t xml:space="preserve"> </w:t>
      </w:r>
    </w:p>
    <w:p w:rsidR="00EA0474" w:rsidRPr="004F7D0D" w:rsidRDefault="009D75F8" w:rsidP="00EA0474">
      <w:pPr>
        <w:pStyle w:val="BodyText"/>
      </w:pPr>
      <w:r w:rsidRPr="004F7D0D">
        <w:t>The objective of the Essential Vaccines NP is to improve the health and well-being of Australians through the cost-effective delivery of the National Immunisation Program</w:t>
      </w:r>
      <w:r w:rsidR="00803CF9" w:rsidRPr="004F7D0D">
        <w:t xml:space="preserve"> (COAG </w:t>
      </w:r>
      <w:proofErr w:type="spellStart"/>
      <w:r w:rsidR="00803CF9" w:rsidRPr="004F7D0D">
        <w:t>2009</w:t>
      </w:r>
      <w:r w:rsidR="00BC6573" w:rsidRPr="004F7D0D">
        <w:t>b</w:t>
      </w:r>
      <w:proofErr w:type="spellEnd"/>
      <w:r w:rsidR="00803CF9" w:rsidRPr="004F7D0D">
        <w:t xml:space="preserve">, </w:t>
      </w:r>
      <w:proofErr w:type="spellStart"/>
      <w:r w:rsidR="00803CF9" w:rsidRPr="004F7D0D">
        <w:t>para</w:t>
      </w:r>
      <w:proofErr w:type="spellEnd"/>
      <w:r w:rsidR="0000128B" w:rsidRPr="004F7D0D">
        <w:t>.</w:t>
      </w:r>
      <w:r w:rsidR="00803CF9" w:rsidRPr="004F7D0D">
        <w:t> </w:t>
      </w:r>
      <w:r w:rsidRPr="004F7D0D">
        <w:t>14</w:t>
      </w:r>
      <w:r w:rsidR="00803CF9" w:rsidRPr="004F7D0D">
        <w:t xml:space="preserve">). </w:t>
      </w:r>
    </w:p>
    <w:p w:rsidR="00EA0474" w:rsidRPr="004F7D0D" w:rsidRDefault="00EA0474" w:rsidP="00EA0474">
      <w:pPr>
        <w:pStyle w:val="BodyText"/>
      </w:pPr>
      <w:r w:rsidRPr="004F7D0D">
        <w:t xml:space="preserve">The Essential Vaccines NP </w:t>
      </w:r>
      <w:r w:rsidR="009D75F8" w:rsidRPr="004F7D0D">
        <w:t>is intended to contribute to the following outcomes</w:t>
      </w:r>
      <w:r w:rsidRPr="004F7D0D">
        <w:t>:</w:t>
      </w:r>
    </w:p>
    <w:p w:rsidR="00EA0474" w:rsidRPr="004F7D0D" w:rsidRDefault="00EA0474" w:rsidP="00F30530">
      <w:pPr>
        <w:pStyle w:val="ListBullet"/>
      </w:pPr>
      <w:r w:rsidRPr="004F7D0D">
        <w:t xml:space="preserve">minimise the incidence of major vaccine preventable diseases in </w:t>
      </w:r>
      <w:smartTag w:uri="urn:schemas-microsoft-com:office:smarttags" w:element="place">
        <w:smartTag w:uri="urn:schemas-microsoft-com:office:smarttags" w:element="country-region">
          <w:r w:rsidRPr="004F7D0D">
            <w:t>Australia</w:t>
          </w:r>
        </w:smartTag>
      </w:smartTag>
    </w:p>
    <w:p w:rsidR="00EA0474" w:rsidRPr="004F7D0D" w:rsidRDefault="00EA0474" w:rsidP="00F30530">
      <w:pPr>
        <w:pStyle w:val="ListBullet"/>
      </w:pPr>
      <w:r w:rsidRPr="004F7D0D">
        <w:t>maintain and where possible increase immunisation coverage rates for vulnerable groups and, in particular, minimise disparities between Indigenous and non</w:t>
      </w:r>
      <w:r w:rsidRPr="004F7D0D">
        <w:noBreakHyphen/>
        <w:t>Indigenous Australians</w:t>
      </w:r>
    </w:p>
    <w:p w:rsidR="00EA0474" w:rsidRPr="004F7D0D" w:rsidRDefault="00EA0474" w:rsidP="00F30530">
      <w:pPr>
        <w:pStyle w:val="ListBullet"/>
      </w:pPr>
      <w:r w:rsidRPr="004F7D0D">
        <w:t>all eligible Australians are able to access high quality and free essential vaccines through the National Immunisation Program in a timely manner</w:t>
      </w:r>
    </w:p>
    <w:p w:rsidR="00EA0474" w:rsidRPr="004F7D0D" w:rsidRDefault="00EA0474" w:rsidP="00F30530">
      <w:pPr>
        <w:pStyle w:val="ListBullet"/>
      </w:pPr>
      <w:r w:rsidRPr="004F7D0D">
        <w:t>increase community understanding and support for the public health benefits of immunisation</w:t>
      </w:r>
      <w:r w:rsidR="00803CF9" w:rsidRPr="004F7D0D">
        <w:t xml:space="preserve"> (COAG </w:t>
      </w:r>
      <w:proofErr w:type="spellStart"/>
      <w:r w:rsidR="00803CF9" w:rsidRPr="004F7D0D">
        <w:t>2009</w:t>
      </w:r>
      <w:r w:rsidR="00BC6573" w:rsidRPr="004F7D0D">
        <w:t>b</w:t>
      </w:r>
      <w:proofErr w:type="spellEnd"/>
      <w:r w:rsidR="00803CF9" w:rsidRPr="004F7D0D">
        <w:t xml:space="preserve">, </w:t>
      </w:r>
      <w:proofErr w:type="spellStart"/>
      <w:r w:rsidRPr="004F7D0D">
        <w:t>para</w:t>
      </w:r>
      <w:proofErr w:type="spellEnd"/>
      <w:r w:rsidR="0000128B" w:rsidRPr="004F7D0D">
        <w:t xml:space="preserve">. </w:t>
      </w:r>
      <w:r w:rsidRPr="004F7D0D">
        <w:t>16</w:t>
      </w:r>
      <w:r w:rsidR="00803CF9" w:rsidRPr="004F7D0D">
        <w:t xml:space="preserve">). </w:t>
      </w:r>
    </w:p>
    <w:p w:rsidR="00744838" w:rsidRPr="004F7D0D" w:rsidRDefault="00744838" w:rsidP="00744838">
      <w:pPr>
        <w:pStyle w:val="Heading2"/>
      </w:pPr>
      <w:r w:rsidRPr="004F7D0D">
        <w:t xml:space="preserve">Performance reporting </w:t>
      </w:r>
    </w:p>
    <w:p w:rsidR="006141AA" w:rsidRPr="004F7D0D" w:rsidRDefault="006141AA" w:rsidP="00302A13">
      <w:pPr>
        <w:pStyle w:val="BodyText"/>
      </w:pPr>
      <w:r w:rsidRPr="004F7D0D">
        <w:t>Under the Essential Vaccines NP, the CRC is required to prepare annual assessment reports.</w:t>
      </w:r>
    </w:p>
    <w:p w:rsidR="008C0D2A" w:rsidRPr="004F7D0D" w:rsidRDefault="00302A13" w:rsidP="008C0D2A">
      <w:pPr>
        <w:pStyle w:val="BodyText"/>
      </w:pPr>
      <w:r w:rsidRPr="004F7D0D">
        <w:t xml:space="preserve">The CRC has requested the Steering Committee to collate performance information </w:t>
      </w:r>
      <w:r w:rsidR="00157B28" w:rsidRPr="004F7D0D">
        <w:t>for th</w:t>
      </w:r>
      <w:r w:rsidR="00744838" w:rsidRPr="004F7D0D">
        <w:t>e</w:t>
      </w:r>
      <w:r w:rsidR="00157B28" w:rsidRPr="004F7D0D">
        <w:t xml:space="preserve"> indicators </w:t>
      </w:r>
      <w:r w:rsidR="00D208C3" w:rsidRPr="004F7D0D">
        <w:t xml:space="preserve">associated with </w:t>
      </w:r>
      <w:r w:rsidR="009D75F8" w:rsidRPr="004F7D0D">
        <w:t>reward</w:t>
      </w:r>
      <w:r w:rsidR="00D208C3" w:rsidRPr="004F7D0D">
        <w:t xml:space="preserve"> payments </w:t>
      </w:r>
      <w:r w:rsidRPr="004F7D0D">
        <w:t xml:space="preserve">for the </w:t>
      </w:r>
      <w:r w:rsidR="00E21145" w:rsidRPr="004F7D0D">
        <w:t>Essential Vaccines NP</w:t>
      </w:r>
      <w:r w:rsidR="00157B28" w:rsidRPr="004F7D0D">
        <w:t>,</w:t>
      </w:r>
      <w:r w:rsidRPr="004F7D0D">
        <w:t xml:space="preserve"> and provide it to the CRC </w:t>
      </w:r>
      <w:r w:rsidR="00E21145" w:rsidRPr="004F7D0D">
        <w:t>within one month of receiving data from the data provider</w:t>
      </w:r>
      <w:r w:rsidRPr="004F7D0D">
        <w:t>.</w:t>
      </w:r>
      <w:r w:rsidR="006141AA" w:rsidRPr="004F7D0D">
        <w:t xml:space="preserve"> </w:t>
      </w:r>
      <w:r w:rsidR="008C0D2A" w:rsidRPr="004F7D0D">
        <w:t>The performance benchmarks associated with reward payments are:</w:t>
      </w:r>
    </w:p>
    <w:p w:rsidR="008C0D2A" w:rsidRPr="004F7D0D" w:rsidRDefault="008C0D2A" w:rsidP="000C07A3">
      <w:pPr>
        <w:pStyle w:val="ListBullet"/>
        <w:numPr>
          <w:ilvl w:val="0"/>
          <w:numId w:val="15"/>
        </w:numPr>
      </w:pPr>
      <w:r w:rsidRPr="004F7D0D">
        <w:t>Maintaining or increasing vaccine coverage for Indigenous Australians</w:t>
      </w:r>
      <w:r w:rsidR="002A2E91" w:rsidRPr="004F7D0D">
        <w:t>.</w:t>
      </w:r>
    </w:p>
    <w:p w:rsidR="008C0D2A" w:rsidRPr="004F7D0D" w:rsidRDefault="008C0D2A" w:rsidP="000C07A3">
      <w:pPr>
        <w:pStyle w:val="ListBullet"/>
        <w:numPr>
          <w:ilvl w:val="0"/>
          <w:numId w:val="15"/>
        </w:numPr>
      </w:pPr>
      <w:r w:rsidRPr="004F7D0D">
        <w:t>Maintaining or increasing coverage in agreed areas of low immunisation coverage</w:t>
      </w:r>
      <w:r w:rsidR="002A2E91" w:rsidRPr="004F7D0D">
        <w:t>.</w:t>
      </w:r>
    </w:p>
    <w:p w:rsidR="008C0D2A" w:rsidRPr="004F7D0D" w:rsidRDefault="008C0D2A" w:rsidP="000C07A3">
      <w:pPr>
        <w:pStyle w:val="ListBullet"/>
        <w:numPr>
          <w:ilvl w:val="0"/>
          <w:numId w:val="15"/>
        </w:numPr>
      </w:pPr>
      <w:r w:rsidRPr="004F7D0D">
        <w:t>Maintaining or decreasing wastage and leakage</w:t>
      </w:r>
      <w:r w:rsidR="002A2E91" w:rsidRPr="004F7D0D">
        <w:t>.</w:t>
      </w:r>
    </w:p>
    <w:p w:rsidR="008C0D2A" w:rsidRPr="004F7D0D" w:rsidRDefault="008C0D2A" w:rsidP="000C07A3">
      <w:pPr>
        <w:pStyle w:val="ListBullet"/>
        <w:numPr>
          <w:ilvl w:val="0"/>
          <w:numId w:val="15"/>
        </w:numPr>
      </w:pPr>
      <w:r w:rsidRPr="004F7D0D">
        <w:t>Maintaining or increasing vaccination coverage for four year olds.</w:t>
      </w:r>
    </w:p>
    <w:p w:rsidR="00DB0385" w:rsidRPr="004F7D0D" w:rsidRDefault="00DB0385" w:rsidP="00DB0385">
      <w:pPr>
        <w:pStyle w:val="BodyText"/>
      </w:pPr>
      <w:r w:rsidRPr="004F7D0D">
        <w:t>The CRC has prepared a set of documents that establish NP processes and scope.</w:t>
      </w:r>
    </w:p>
    <w:p w:rsidR="00DB0385" w:rsidRPr="004F7D0D" w:rsidRDefault="00DB0385" w:rsidP="00DB0385">
      <w:pPr>
        <w:pStyle w:val="ListBullet"/>
      </w:pPr>
      <w:r w:rsidRPr="004F7D0D">
        <w:t xml:space="preserve">A Matrix of Performance Information (performance matrix) is prepared for each NP, setting out the CRC’s overview of the NP, relevant elements of the </w:t>
      </w:r>
      <w:r w:rsidRPr="004F7D0D">
        <w:lastRenderedPageBreak/>
        <w:t>assessment and reporting framework, and the measures of improvement and performance benchmarks (CRC unpublished (a)).</w:t>
      </w:r>
    </w:p>
    <w:p w:rsidR="00DB0385" w:rsidRPr="004F7D0D" w:rsidRDefault="00DB0385" w:rsidP="00DB0385">
      <w:pPr>
        <w:pStyle w:val="ListBullet"/>
      </w:pPr>
      <w:r w:rsidRPr="004F7D0D">
        <w:t>The National Partnerships with Reward Funding: Assessment Framework (assessment framework) sets out process</w:t>
      </w:r>
      <w:r w:rsidR="0057129A" w:rsidRPr="004F7D0D">
        <w:t>es</w:t>
      </w:r>
      <w:r w:rsidRPr="004F7D0D">
        <w:t xml:space="preserve"> and timeframes for all reward NPs (CRC unpublished (b)).</w:t>
      </w:r>
    </w:p>
    <w:p w:rsidR="000C7FFA" w:rsidRPr="004F7D0D" w:rsidRDefault="000C7FFA" w:rsidP="000C7FFA">
      <w:pPr>
        <w:pStyle w:val="BodyText"/>
      </w:pPr>
      <w:r w:rsidRPr="004F7D0D">
        <w:t>This report also contains comments by the Steering Committee on the quality of reported data, based on data quality statements completed by the data provider. The original data quality statements are also attached.</w:t>
      </w:r>
    </w:p>
    <w:p w:rsidR="003E635B" w:rsidRPr="004F7D0D" w:rsidRDefault="00601299" w:rsidP="003E635B">
      <w:pPr>
        <w:pStyle w:val="Heading4"/>
      </w:pPr>
      <w:r w:rsidRPr="004F7D0D">
        <w:t xml:space="preserve">Reporting </w:t>
      </w:r>
      <w:r w:rsidR="00DB0385" w:rsidRPr="004F7D0D">
        <w:t>timetable</w:t>
      </w:r>
    </w:p>
    <w:p w:rsidR="003E635B" w:rsidRPr="004F7D0D" w:rsidRDefault="00B97380" w:rsidP="00FF536D">
      <w:pPr>
        <w:pStyle w:val="BodyText"/>
      </w:pPr>
      <w:r w:rsidRPr="004F7D0D">
        <w:t>T</w:t>
      </w:r>
      <w:r w:rsidR="003E635B" w:rsidRPr="004F7D0D">
        <w:t xml:space="preserve">he timeframes set out in the </w:t>
      </w:r>
      <w:r w:rsidR="00B144D8" w:rsidRPr="004F7D0D">
        <w:t xml:space="preserve">latest </w:t>
      </w:r>
      <w:r w:rsidR="003E635B" w:rsidRPr="004F7D0D">
        <w:t xml:space="preserve">version of the CRC’s </w:t>
      </w:r>
      <w:r w:rsidR="005355D7" w:rsidRPr="004F7D0D">
        <w:t>performance matrix</w:t>
      </w:r>
      <w:r w:rsidR="00957261" w:rsidRPr="004F7D0D">
        <w:t xml:space="preserve"> (CRC unpublished</w:t>
      </w:r>
      <w:r w:rsidR="005355D7" w:rsidRPr="004F7D0D">
        <w:t xml:space="preserve"> (a)</w:t>
      </w:r>
      <w:r w:rsidR="00957261" w:rsidRPr="004F7D0D">
        <w:t>) specify:</w:t>
      </w:r>
    </w:p>
    <w:p w:rsidR="003E635B" w:rsidRPr="004F7D0D" w:rsidRDefault="003E635B" w:rsidP="00932DEB">
      <w:pPr>
        <w:pStyle w:val="ListBullet"/>
        <w:rPr>
          <w:b/>
          <w:sz w:val="24"/>
          <w:u w:val="dotted"/>
        </w:rPr>
      </w:pPr>
      <w:r w:rsidRPr="004F7D0D">
        <w:t>D</w:t>
      </w:r>
      <w:r w:rsidR="002F0EA7" w:rsidRPr="004F7D0D">
        <w:t>epartment of Health and Ageing (DoHA)</w:t>
      </w:r>
      <w:r w:rsidRPr="004F7D0D">
        <w:t xml:space="preserve"> to provide data</w:t>
      </w:r>
      <w:r w:rsidR="00FF6EC6" w:rsidRPr="004F7D0D">
        <w:t xml:space="preserve"> to the Steering Committee by 30</w:t>
      </w:r>
      <w:r w:rsidRPr="004F7D0D">
        <w:t xml:space="preserve"> </w:t>
      </w:r>
      <w:r w:rsidR="00FF6EC6" w:rsidRPr="004F7D0D">
        <w:t>April</w:t>
      </w:r>
      <w:r w:rsidRPr="004F7D0D">
        <w:t xml:space="preserve"> </w:t>
      </w:r>
      <w:r w:rsidR="00357A9E" w:rsidRPr="004F7D0D">
        <w:t>2013</w:t>
      </w:r>
    </w:p>
    <w:p w:rsidR="003E635B" w:rsidRPr="004F7D0D" w:rsidRDefault="003E635B" w:rsidP="00932DEB">
      <w:pPr>
        <w:pStyle w:val="ListBullet"/>
        <w:rPr>
          <w:b/>
          <w:sz w:val="24"/>
          <w:u w:val="dotted"/>
        </w:rPr>
      </w:pPr>
      <w:r w:rsidRPr="004F7D0D">
        <w:t>Steering Committee to p</w:t>
      </w:r>
      <w:r w:rsidR="00FF6EC6" w:rsidRPr="004F7D0D">
        <w:t>rovide report to CRC by 31 May</w:t>
      </w:r>
      <w:r w:rsidRPr="004F7D0D">
        <w:t xml:space="preserve"> </w:t>
      </w:r>
      <w:r w:rsidR="00357A9E" w:rsidRPr="004F7D0D">
        <w:t>2013</w:t>
      </w:r>
    </w:p>
    <w:p w:rsidR="003E635B" w:rsidRPr="004F7D0D" w:rsidRDefault="00FF6EC6" w:rsidP="00932DEB">
      <w:pPr>
        <w:pStyle w:val="ListBullet"/>
        <w:rPr>
          <w:b/>
          <w:sz w:val="24"/>
          <w:u w:val="dotted"/>
        </w:rPr>
      </w:pPr>
      <w:r w:rsidRPr="004F7D0D">
        <w:t>CRC to report to COAG by 30 August</w:t>
      </w:r>
      <w:r w:rsidR="003E635B" w:rsidRPr="004F7D0D">
        <w:t xml:space="preserve"> </w:t>
      </w:r>
      <w:r w:rsidR="00357A9E" w:rsidRPr="004F7D0D">
        <w:t>2013</w:t>
      </w:r>
      <w:r w:rsidR="003E635B" w:rsidRPr="004F7D0D">
        <w:t>.</w:t>
      </w:r>
    </w:p>
    <w:p w:rsidR="00967AC0" w:rsidRPr="004F7D0D" w:rsidRDefault="000C7FFA" w:rsidP="00967AC0">
      <w:pPr>
        <w:pStyle w:val="BodyText"/>
      </w:pPr>
      <w:r w:rsidRPr="004F7D0D">
        <w:t>Data for this report are in respect of the period 1 April </w:t>
      </w:r>
      <w:r w:rsidR="00357A9E" w:rsidRPr="004F7D0D">
        <w:t xml:space="preserve">2012 </w:t>
      </w:r>
      <w:r w:rsidRPr="004F7D0D">
        <w:t>to 31 March </w:t>
      </w:r>
      <w:r w:rsidR="00357A9E" w:rsidRPr="004F7D0D">
        <w:t>2013</w:t>
      </w:r>
      <w:r w:rsidRPr="004F7D0D">
        <w:t>.</w:t>
      </w:r>
    </w:p>
    <w:p w:rsidR="00E01D56" w:rsidRPr="004F7D0D" w:rsidRDefault="000C7FFA" w:rsidP="004310B1">
      <w:pPr>
        <w:pStyle w:val="Heading3"/>
      </w:pPr>
      <w:r w:rsidRPr="004F7D0D">
        <w:t xml:space="preserve"> </w:t>
      </w:r>
      <w:r w:rsidR="00226E15" w:rsidRPr="004F7D0D">
        <w:br w:type="page"/>
      </w:r>
      <w:r w:rsidR="00851A84" w:rsidRPr="004F7D0D">
        <w:lastRenderedPageBreak/>
        <w:t>Performance benchmark 1 — Maintaining or increasing vaccine coverage for Indigenous Australians</w:t>
      </w:r>
    </w:p>
    <w:p w:rsidR="00851A84" w:rsidRPr="004F7D0D" w:rsidRDefault="00851A84" w:rsidP="00851A84">
      <w:pPr>
        <w:pStyle w:val="BoxSpace"/>
      </w:pPr>
    </w:p>
    <w:tbl>
      <w:tblPr>
        <w:tblW w:w="0" w:type="auto"/>
        <w:tblInd w:w="108" w:type="dxa"/>
        <w:tblLook w:val="01E0" w:firstRow="1" w:lastRow="1" w:firstColumn="1" w:lastColumn="1" w:noHBand="0" w:noVBand="0"/>
      </w:tblPr>
      <w:tblGrid>
        <w:gridCol w:w="1769"/>
        <w:gridCol w:w="7020"/>
      </w:tblGrid>
      <w:tr w:rsidR="004F7D0D" w:rsidRPr="004F7D0D" w:rsidTr="009907DB">
        <w:tc>
          <w:tcPr>
            <w:tcW w:w="1769" w:type="dxa"/>
            <w:shd w:val="clear" w:color="auto" w:fill="auto"/>
          </w:tcPr>
          <w:p w:rsidR="00851A84" w:rsidRPr="004F7D0D" w:rsidRDefault="00851A84" w:rsidP="00C74B12">
            <w:pPr>
              <w:pStyle w:val="TableBodyText"/>
              <w:jc w:val="left"/>
            </w:pPr>
            <w:r w:rsidRPr="004F7D0D">
              <w:t>Performance benchmark</w:t>
            </w:r>
            <w:r w:rsidR="0017195E" w:rsidRPr="004F7D0D">
              <w:t>:</w:t>
            </w:r>
          </w:p>
          <w:p w:rsidR="00851A84" w:rsidRPr="004F7D0D" w:rsidRDefault="00851A84" w:rsidP="00C74B12">
            <w:pPr>
              <w:pStyle w:val="TableBodyText"/>
              <w:jc w:val="left"/>
            </w:pPr>
          </w:p>
        </w:tc>
        <w:tc>
          <w:tcPr>
            <w:tcW w:w="7020" w:type="dxa"/>
            <w:shd w:val="clear" w:color="auto" w:fill="auto"/>
          </w:tcPr>
          <w:p w:rsidR="00851A84" w:rsidRPr="004F7D0D" w:rsidRDefault="00704177" w:rsidP="00C74B12">
            <w:pPr>
              <w:pStyle w:val="TableBodyText"/>
              <w:jc w:val="left"/>
            </w:pPr>
            <w:r w:rsidRPr="004F7D0D">
              <w:t>Maintaining or increasing vaccine coverage for Indigenous Australians</w:t>
            </w:r>
          </w:p>
        </w:tc>
      </w:tr>
      <w:tr w:rsidR="004F7D0D" w:rsidRPr="004F7D0D" w:rsidTr="009907DB">
        <w:tc>
          <w:tcPr>
            <w:tcW w:w="1769" w:type="dxa"/>
            <w:shd w:val="clear" w:color="auto" w:fill="auto"/>
          </w:tcPr>
          <w:p w:rsidR="00851A84" w:rsidRPr="004F7D0D" w:rsidRDefault="00851A84" w:rsidP="00C74B12">
            <w:pPr>
              <w:pStyle w:val="TableBodyText"/>
              <w:jc w:val="left"/>
            </w:pPr>
            <w:r w:rsidRPr="004F7D0D">
              <w:t>Measure</w:t>
            </w:r>
            <w:r w:rsidR="0017195E" w:rsidRPr="004F7D0D">
              <w:t>:</w:t>
            </w:r>
          </w:p>
          <w:p w:rsidR="00851A84" w:rsidRPr="004F7D0D" w:rsidRDefault="00851A84" w:rsidP="00C74B12">
            <w:pPr>
              <w:pStyle w:val="TableBodyText"/>
              <w:jc w:val="left"/>
            </w:pPr>
          </w:p>
        </w:tc>
        <w:tc>
          <w:tcPr>
            <w:tcW w:w="7020" w:type="dxa"/>
            <w:shd w:val="clear" w:color="auto" w:fill="auto"/>
          </w:tcPr>
          <w:p w:rsidR="00704177" w:rsidRPr="004F7D0D" w:rsidRDefault="00704177" w:rsidP="00C74B12">
            <w:pPr>
              <w:pStyle w:val="TableBodyText"/>
              <w:framePr w:w="2155" w:hSpace="227" w:vSpace="181" w:wrap="around" w:vAnchor="text" w:hAnchor="page" w:xAlign="outside" w:y="1"/>
              <w:jc w:val="left"/>
            </w:pPr>
            <w:r w:rsidRPr="004F7D0D">
              <w:t xml:space="preserve">The proportion of Indigenous Australian children who are fully vaccinated, as defined in the </w:t>
            </w:r>
            <w:r w:rsidRPr="004F7D0D">
              <w:rPr>
                <w:u w:val="single"/>
              </w:rPr>
              <w:t>Australian Childhood Immunisation Register</w:t>
            </w:r>
            <w:r w:rsidR="00026FCA" w:rsidRPr="004F7D0D">
              <w:t xml:space="preserve"> (ACIR).</w:t>
            </w:r>
          </w:p>
          <w:p w:rsidR="00B85E22" w:rsidRPr="004F7D0D" w:rsidRDefault="00B85E22" w:rsidP="00C74B12">
            <w:pPr>
              <w:pStyle w:val="TableBodyText"/>
              <w:jc w:val="left"/>
            </w:pPr>
          </w:p>
          <w:p w:rsidR="00704177" w:rsidRPr="004F7D0D" w:rsidRDefault="00704177" w:rsidP="00C74B12">
            <w:pPr>
              <w:pStyle w:val="TableBodyText"/>
              <w:jc w:val="left"/>
            </w:pPr>
            <w:r w:rsidRPr="004F7D0D">
              <w:t>The measure is defined as:</w:t>
            </w:r>
          </w:p>
          <w:p w:rsidR="00704177" w:rsidRPr="004F7D0D" w:rsidRDefault="00704177" w:rsidP="00704177">
            <w:pPr>
              <w:pStyle w:val="TableBullet"/>
            </w:pPr>
            <w:r w:rsidRPr="004F7D0D">
              <w:rPr>
                <w:i/>
              </w:rPr>
              <w:t>Numerator</w:t>
            </w:r>
            <w:r w:rsidRPr="004F7D0D">
              <w:t xml:space="preserve"> — the number of Indigenous Australian children reported as fully immunised as defined in the ACIR at 12 </w:t>
            </w:r>
            <w:r w:rsidRPr="004F7D0D">
              <w:rPr>
                <w:rFonts w:cs="Arial"/>
                <w:u w:val="single"/>
              </w:rPr>
              <w:t>&lt;</w:t>
            </w:r>
            <w:r w:rsidRPr="004F7D0D">
              <w:rPr>
                <w:rFonts w:cs="Arial"/>
              </w:rPr>
              <w:t xml:space="preserve"> </w:t>
            </w:r>
            <w:r w:rsidRPr="004F7D0D">
              <w:t xml:space="preserve">15 months, 24 </w:t>
            </w:r>
            <w:r w:rsidRPr="004F7D0D">
              <w:rPr>
                <w:rFonts w:cs="Arial"/>
                <w:u w:val="single"/>
              </w:rPr>
              <w:t>&lt;</w:t>
            </w:r>
            <w:r w:rsidRPr="004F7D0D">
              <w:rPr>
                <w:rFonts w:cs="Arial"/>
              </w:rPr>
              <w:t xml:space="preserve"> </w:t>
            </w:r>
            <w:r w:rsidRPr="004F7D0D">
              <w:t xml:space="preserve">27 months and 60 </w:t>
            </w:r>
            <w:r w:rsidRPr="004F7D0D">
              <w:rPr>
                <w:rFonts w:cs="Arial"/>
                <w:u w:val="single"/>
              </w:rPr>
              <w:t>&lt;</w:t>
            </w:r>
            <w:r w:rsidRPr="004F7D0D">
              <w:rPr>
                <w:rFonts w:cs="Arial"/>
              </w:rPr>
              <w:t xml:space="preserve"> </w:t>
            </w:r>
            <w:r w:rsidRPr="004F7D0D">
              <w:t>63 months</w:t>
            </w:r>
          </w:p>
          <w:p w:rsidR="00704177" w:rsidRPr="004F7D0D" w:rsidRDefault="00704177" w:rsidP="00704177">
            <w:pPr>
              <w:pStyle w:val="TableBullet"/>
            </w:pPr>
            <w:r w:rsidRPr="004F7D0D">
              <w:rPr>
                <w:i/>
              </w:rPr>
              <w:t>Denominator</w:t>
            </w:r>
            <w:r w:rsidRPr="004F7D0D">
              <w:t xml:space="preserve"> — total number of Indigenous Australian children as registered in ACIR aged 12 </w:t>
            </w:r>
            <w:r w:rsidRPr="004F7D0D">
              <w:rPr>
                <w:rFonts w:cs="Arial"/>
                <w:u w:val="single"/>
              </w:rPr>
              <w:t>&lt;</w:t>
            </w:r>
            <w:r w:rsidRPr="004F7D0D">
              <w:t xml:space="preserve"> 15 months, 24 </w:t>
            </w:r>
            <w:r w:rsidRPr="004F7D0D">
              <w:rPr>
                <w:rFonts w:cs="Arial"/>
                <w:u w:val="single"/>
              </w:rPr>
              <w:t>&lt;</w:t>
            </w:r>
            <w:r w:rsidRPr="004F7D0D">
              <w:t xml:space="preserve"> 27 months and 60 </w:t>
            </w:r>
            <w:r w:rsidRPr="004F7D0D">
              <w:rPr>
                <w:rFonts w:cs="Arial"/>
                <w:u w:val="single"/>
              </w:rPr>
              <w:t>&lt;</w:t>
            </w:r>
            <w:r w:rsidRPr="004F7D0D">
              <w:t xml:space="preserve"> 63 months registered on the ACIR</w:t>
            </w:r>
          </w:p>
          <w:p w:rsidR="00704177" w:rsidRPr="004F7D0D" w:rsidRDefault="00704177" w:rsidP="00C74B12">
            <w:pPr>
              <w:pStyle w:val="TableBodyText"/>
              <w:jc w:val="left"/>
              <w:rPr>
                <w:i/>
              </w:rPr>
            </w:pPr>
            <w:r w:rsidRPr="004F7D0D">
              <w:t xml:space="preserve">and is expressed as a </w:t>
            </w:r>
            <w:r w:rsidRPr="004F7D0D">
              <w:rPr>
                <w:i/>
              </w:rPr>
              <w:t>percentage</w:t>
            </w:r>
          </w:p>
          <w:p w:rsidR="00B85E22" w:rsidRPr="004F7D0D" w:rsidRDefault="00B85E22" w:rsidP="00C74B12">
            <w:pPr>
              <w:pStyle w:val="TableBodyText"/>
              <w:jc w:val="left"/>
            </w:pPr>
          </w:p>
          <w:p w:rsidR="00026FCA" w:rsidRPr="004F7D0D" w:rsidRDefault="00026FCA" w:rsidP="00C74B12">
            <w:pPr>
              <w:pStyle w:val="TableBodyText"/>
              <w:jc w:val="left"/>
            </w:pPr>
            <w:r w:rsidRPr="004F7D0D">
              <w:t>‘Maintaining or increasing’ is defined as the coverage rate for at least two of the three age cohorts being equal to or greater than:</w:t>
            </w:r>
          </w:p>
          <w:p w:rsidR="00026FCA" w:rsidRPr="004F7D0D" w:rsidRDefault="00026FCA" w:rsidP="00026FCA">
            <w:pPr>
              <w:pStyle w:val="TableBullet"/>
            </w:pPr>
            <w:r w:rsidRPr="004F7D0D">
              <w:t>the baseline for the equivalent age cohort, or</w:t>
            </w:r>
          </w:p>
          <w:p w:rsidR="00026FCA" w:rsidRPr="004F7D0D" w:rsidRDefault="00026FCA" w:rsidP="00026FCA">
            <w:pPr>
              <w:pStyle w:val="TableBullet"/>
            </w:pPr>
            <w:r w:rsidRPr="004F7D0D">
              <w:t>92.5 per cent (even if the annual coverage rate has fallen from the previous year)</w:t>
            </w:r>
            <w:r w:rsidR="006F7731" w:rsidRPr="004F7D0D">
              <w:t>.</w:t>
            </w:r>
          </w:p>
          <w:p w:rsidR="00026FCA" w:rsidRPr="004F7D0D" w:rsidRDefault="00026FCA" w:rsidP="00013C00">
            <w:pPr>
              <w:pStyle w:val="TableBodyText"/>
              <w:jc w:val="left"/>
            </w:pPr>
          </w:p>
          <w:p w:rsidR="009737F8" w:rsidRPr="004F7D0D" w:rsidRDefault="009737F8" w:rsidP="00013C00">
            <w:pPr>
              <w:pStyle w:val="TableBodyText"/>
              <w:jc w:val="left"/>
              <w:rPr>
                <w:i/>
              </w:rPr>
            </w:pPr>
            <w:r w:rsidRPr="004F7D0D">
              <w:rPr>
                <w:i/>
              </w:rPr>
              <w:t>A child is fully immunised when they are up-to-date</w:t>
            </w:r>
            <w:r w:rsidR="00682696" w:rsidRPr="004F7D0D">
              <w:rPr>
                <w:i/>
              </w:rPr>
              <w:t xml:space="preserve">, and recorded in ACIR as having received the </w:t>
            </w:r>
            <w:r w:rsidRPr="004F7D0D">
              <w:rPr>
                <w:i/>
              </w:rPr>
              <w:t>standard vaccination schedule for their age or are on a suitable catch-up program based on the N</w:t>
            </w:r>
            <w:r w:rsidR="00B45F4F" w:rsidRPr="004F7D0D">
              <w:rPr>
                <w:i/>
              </w:rPr>
              <w:t xml:space="preserve">ational </w:t>
            </w:r>
            <w:r w:rsidRPr="004F7D0D">
              <w:rPr>
                <w:i/>
              </w:rPr>
              <w:t>I</w:t>
            </w:r>
            <w:r w:rsidR="00B45F4F" w:rsidRPr="004F7D0D">
              <w:rPr>
                <w:i/>
              </w:rPr>
              <w:t xml:space="preserve">mmunisation </w:t>
            </w:r>
            <w:r w:rsidRPr="004F7D0D">
              <w:rPr>
                <w:i/>
              </w:rPr>
              <w:t>P</w:t>
            </w:r>
            <w:r w:rsidR="00B45F4F" w:rsidRPr="004F7D0D">
              <w:rPr>
                <w:i/>
              </w:rPr>
              <w:t>rogram (NIP)</w:t>
            </w:r>
            <w:r w:rsidRPr="004F7D0D">
              <w:rPr>
                <w:i/>
              </w:rPr>
              <w:t xml:space="preserve"> schedule</w:t>
            </w:r>
            <w:r w:rsidR="00682696" w:rsidRPr="004F7D0D">
              <w:rPr>
                <w:i/>
              </w:rPr>
              <w:t>.</w:t>
            </w:r>
          </w:p>
          <w:p w:rsidR="009737F8" w:rsidRPr="004F7D0D" w:rsidRDefault="009737F8" w:rsidP="00C74B12">
            <w:pPr>
              <w:pStyle w:val="TableBodyText"/>
              <w:jc w:val="left"/>
            </w:pPr>
          </w:p>
        </w:tc>
      </w:tr>
      <w:tr w:rsidR="004F7D0D" w:rsidRPr="004F7D0D" w:rsidTr="009907DB">
        <w:tc>
          <w:tcPr>
            <w:tcW w:w="1769" w:type="dxa"/>
            <w:shd w:val="clear" w:color="auto" w:fill="auto"/>
          </w:tcPr>
          <w:p w:rsidR="00D9381E" w:rsidRPr="004F7D0D" w:rsidRDefault="00D9381E" w:rsidP="00D9381E">
            <w:pPr>
              <w:pStyle w:val="TableBodyText"/>
              <w:jc w:val="left"/>
            </w:pPr>
            <w:r w:rsidRPr="004F7D0D">
              <w:t>Data source:</w:t>
            </w:r>
          </w:p>
          <w:p w:rsidR="00D9381E" w:rsidRPr="004F7D0D" w:rsidRDefault="00D9381E" w:rsidP="00C74B12">
            <w:pPr>
              <w:pStyle w:val="TableBodyText"/>
              <w:jc w:val="left"/>
            </w:pPr>
          </w:p>
        </w:tc>
        <w:tc>
          <w:tcPr>
            <w:tcW w:w="7020" w:type="dxa"/>
            <w:shd w:val="clear" w:color="auto" w:fill="auto"/>
          </w:tcPr>
          <w:p w:rsidR="00D9381E" w:rsidRPr="004F7D0D" w:rsidRDefault="00D9381E" w:rsidP="00C74B12">
            <w:pPr>
              <w:pStyle w:val="TableBodyText"/>
              <w:framePr w:w="2155" w:hSpace="227" w:vSpace="181" w:wrap="around" w:vAnchor="text" w:hAnchor="page" w:xAlign="outside" w:y="1"/>
              <w:jc w:val="left"/>
            </w:pPr>
            <w:r w:rsidRPr="004F7D0D">
              <w:rPr>
                <w:i/>
              </w:rPr>
              <w:t xml:space="preserve">Numerator and denominator </w:t>
            </w:r>
            <w:r w:rsidRPr="004F7D0D">
              <w:t xml:space="preserve">— </w:t>
            </w:r>
            <w:r w:rsidRPr="004F7D0D">
              <w:rPr>
                <w:u w:val="single"/>
              </w:rPr>
              <w:t>Australian Childhood Immunisation Register</w:t>
            </w:r>
            <w:r w:rsidRPr="004F7D0D">
              <w:t xml:space="preserve"> (</w:t>
            </w:r>
            <w:r w:rsidR="00507183" w:rsidRPr="004F7D0D">
              <w:t>ACIR)</w:t>
            </w:r>
          </w:p>
          <w:p w:rsidR="00982DEF" w:rsidRPr="004F7D0D" w:rsidRDefault="00982DEF" w:rsidP="00C74B12">
            <w:pPr>
              <w:pStyle w:val="TableBodyText"/>
              <w:framePr w:w="2155" w:hSpace="227" w:vSpace="181" w:wrap="around" w:vAnchor="text" w:hAnchor="page" w:xAlign="outside" w:y="1"/>
              <w:jc w:val="left"/>
            </w:pPr>
          </w:p>
        </w:tc>
      </w:tr>
      <w:tr w:rsidR="004F7D0D" w:rsidRPr="004F7D0D" w:rsidTr="009907DB">
        <w:tc>
          <w:tcPr>
            <w:tcW w:w="1769" w:type="dxa"/>
            <w:shd w:val="clear" w:color="auto" w:fill="auto"/>
          </w:tcPr>
          <w:p w:rsidR="00D9381E" w:rsidRPr="004F7D0D" w:rsidRDefault="00D9381E" w:rsidP="00D9381E">
            <w:pPr>
              <w:pStyle w:val="TableBodyText"/>
              <w:spacing w:before="40"/>
              <w:jc w:val="left"/>
            </w:pPr>
            <w:r w:rsidRPr="004F7D0D">
              <w:t>Data provider:</w:t>
            </w:r>
          </w:p>
          <w:p w:rsidR="00D9381E" w:rsidRPr="004F7D0D" w:rsidRDefault="00D9381E" w:rsidP="00D9381E">
            <w:pPr>
              <w:pStyle w:val="TableBodyText"/>
              <w:jc w:val="left"/>
            </w:pPr>
          </w:p>
        </w:tc>
        <w:tc>
          <w:tcPr>
            <w:tcW w:w="7020" w:type="dxa"/>
            <w:shd w:val="clear" w:color="auto" w:fill="auto"/>
          </w:tcPr>
          <w:p w:rsidR="00D9381E" w:rsidRPr="004F7D0D" w:rsidRDefault="00D9381E" w:rsidP="00C74B12">
            <w:pPr>
              <w:pStyle w:val="TableBodyText"/>
              <w:framePr w:w="2155" w:hSpace="227" w:vSpace="181" w:wrap="around" w:vAnchor="text" w:hAnchor="page" w:xAlign="outside" w:y="1"/>
              <w:jc w:val="left"/>
              <w:rPr>
                <w:i/>
              </w:rPr>
            </w:pPr>
            <w:smartTag w:uri="urn:schemas-microsoft-com:office:smarttags" w:element="place">
              <w:smartTag w:uri="urn:schemas-microsoft-com:office:smarttags" w:element="City">
                <w:r w:rsidRPr="004F7D0D">
                  <w:t>DoHA</w:t>
                </w:r>
              </w:smartTag>
            </w:smartTag>
          </w:p>
        </w:tc>
      </w:tr>
      <w:tr w:rsidR="004F7D0D" w:rsidRPr="004F7D0D" w:rsidTr="009907DB">
        <w:tc>
          <w:tcPr>
            <w:tcW w:w="1769" w:type="dxa"/>
            <w:shd w:val="clear" w:color="auto" w:fill="auto"/>
          </w:tcPr>
          <w:p w:rsidR="00D9381E" w:rsidRPr="004F7D0D" w:rsidRDefault="00D9381E" w:rsidP="00D9381E">
            <w:pPr>
              <w:pStyle w:val="TableBodyText"/>
              <w:spacing w:before="40"/>
              <w:jc w:val="left"/>
            </w:pPr>
            <w:r w:rsidRPr="004F7D0D">
              <w:t>Data availability</w:t>
            </w:r>
          </w:p>
        </w:tc>
        <w:tc>
          <w:tcPr>
            <w:tcW w:w="7020" w:type="dxa"/>
            <w:shd w:val="clear" w:color="auto" w:fill="auto"/>
          </w:tcPr>
          <w:p w:rsidR="00D9381E" w:rsidRPr="004F7D0D" w:rsidRDefault="00D9381E" w:rsidP="00C74B12">
            <w:pPr>
              <w:pStyle w:val="TableBodyText"/>
              <w:framePr w:w="2155" w:hSpace="227" w:vSpace="181" w:wrap="around" w:vAnchor="text" w:hAnchor="page" w:xAlign="outside" w:y="1"/>
              <w:jc w:val="left"/>
            </w:pPr>
            <w:r w:rsidRPr="004F7D0D">
              <w:t>1 April 2012 to 31 March 2013</w:t>
            </w:r>
          </w:p>
          <w:p w:rsidR="00982DEF" w:rsidRPr="004F7D0D" w:rsidRDefault="00982DEF" w:rsidP="00C74B12">
            <w:pPr>
              <w:pStyle w:val="TableBodyText"/>
              <w:framePr w:w="2155" w:hSpace="227" w:vSpace="181" w:wrap="around" w:vAnchor="text" w:hAnchor="page" w:xAlign="outside" w:y="1"/>
              <w:jc w:val="left"/>
            </w:pPr>
          </w:p>
        </w:tc>
      </w:tr>
      <w:tr w:rsidR="004F7D0D" w:rsidRPr="004F7D0D" w:rsidTr="009907DB">
        <w:tc>
          <w:tcPr>
            <w:tcW w:w="1769" w:type="dxa"/>
            <w:shd w:val="clear" w:color="auto" w:fill="auto"/>
          </w:tcPr>
          <w:p w:rsidR="00D9381E" w:rsidRPr="004F7D0D" w:rsidRDefault="00D9381E" w:rsidP="00D9381E">
            <w:pPr>
              <w:pStyle w:val="TableBodyText"/>
              <w:spacing w:before="40"/>
              <w:jc w:val="left"/>
            </w:pPr>
            <w:r w:rsidRPr="004F7D0D">
              <w:t>Cross tabulations:</w:t>
            </w:r>
          </w:p>
          <w:p w:rsidR="00D9381E" w:rsidRPr="004F7D0D" w:rsidRDefault="00D9381E" w:rsidP="00D9381E">
            <w:pPr>
              <w:pStyle w:val="TableBodyText"/>
              <w:spacing w:before="40"/>
              <w:jc w:val="left"/>
            </w:pPr>
          </w:p>
        </w:tc>
        <w:tc>
          <w:tcPr>
            <w:tcW w:w="7020" w:type="dxa"/>
            <w:shd w:val="clear" w:color="auto" w:fill="auto"/>
          </w:tcPr>
          <w:p w:rsidR="00D9381E" w:rsidRPr="004F7D0D" w:rsidRDefault="00D9381E" w:rsidP="00D9381E">
            <w:pPr>
              <w:pStyle w:val="TableBodyText"/>
              <w:spacing w:before="40"/>
              <w:jc w:val="left"/>
            </w:pPr>
            <w:r w:rsidRPr="004F7D0D">
              <w:t>State and Territory, by:</w:t>
            </w:r>
          </w:p>
          <w:p w:rsidR="00D9381E" w:rsidRPr="004F7D0D" w:rsidRDefault="00D9381E" w:rsidP="008554F9">
            <w:pPr>
              <w:pStyle w:val="TableBullet"/>
            </w:pPr>
            <w:r w:rsidRPr="004F7D0D">
              <w:t xml:space="preserve">Age cohort (12 </w:t>
            </w:r>
            <w:r w:rsidRPr="004F7D0D">
              <w:rPr>
                <w:rFonts w:cs="Arial"/>
                <w:u w:val="single"/>
              </w:rPr>
              <w:t>&lt;</w:t>
            </w:r>
            <w:r w:rsidRPr="004F7D0D">
              <w:t xml:space="preserve"> 15 months, 24 </w:t>
            </w:r>
            <w:r w:rsidRPr="004F7D0D">
              <w:rPr>
                <w:rFonts w:cs="Arial"/>
                <w:u w:val="single"/>
              </w:rPr>
              <w:t>&lt;</w:t>
            </w:r>
            <w:r w:rsidRPr="004F7D0D">
              <w:t xml:space="preserve"> 27 months, 60 </w:t>
            </w:r>
            <w:r w:rsidRPr="004F7D0D">
              <w:rPr>
                <w:rFonts w:cs="Arial"/>
                <w:u w:val="single"/>
              </w:rPr>
              <w:t>&lt;</w:t>
            </w:r>
            <w:r w:rsidRPr="004F7D0D">
              <w:t xml:space="preserve"> 63 months</w:t>
            </w:r>
            <w:r w:rsidR="00982DEF" w:rsidRPr="004F7D0D">
              <w:t>)</w:t>
            </w:r>
          </w:p>
        </w:tc>
      </w:tr>
    </w:tbl>
    <w:p w:rsidR="00851A84" w:rsidRPr="004F7D0D" w:rsidRDefault="00851A84" w:rsidP="00A35115">
      <w:pPr>
        <w:pStyle w:val="BodyText"/>
      </w:pPr>
    </w:p>
    <w:p w:rsidR="00851A84" w:rsidRPr="004F7D0D" w:rsidRDefault="00851A84" w:rsidP="00AD7C05">
      <w:pPr>
        <w:pStyle w:val="TableTitle"/>
      </w:pPr>
      <w:r w:rsidRPr="004F7D0D">
        <w:rPr>
          <w:b w:val="0"/>
        </w:rPr>
        <w:lastRenderedPageBreak/>
        <w:t xml:space="preserve">Table </w:t>
      </w:r>
      <w:r w:rsidRPr="004F7D0D">
        <w:rPr>
          <w:b w:val="0"/>
        </w:rPr>
        <w:fldChar w:fldCharType="begin"/>
      </w:r>
      <w:r w:rsidRPr="004F7D0D">
        <w:rPr>
          <w:b w:val="0"/>
        </w:rPr>
        <w:instrText xml:space="preserve"> SEQ Table \* ARABIC </w:instrText>
      </w:r>
      <w:r w:rsidRPr="004F7D0D">
        <w:rPr>
          <w:b w:val="0"/>
        </w:rPr>
        <w:fldChar w:fldCharType="separate"/>
      </w:r>
      <w:r w:rsidR="003F1C71">
        <w:rPr>
          <w:b w:val="0"/>
          <w:noProof/>
        </w:rPr>
        <w:t>1</w:t>
      </w:r>
      <w:r w:rsidRPr="004F7D0D">
        <w:rPr>
          <w:b w:val="0"/>
        </w:rPr>
        <w:fldChar w:fldCharType="end"/>
      </w:r>
      <w:r w:rsidRPr="004F7D0D">
        <w:tab/>
      </w:r>
      <w:r w:rsidR="009737F8" w:rsidRPr="004F7D0D">
        <w:t>Proportion of Indigenous children who are fully vaccinated, by age</w:t>
      </w:r>
      <w:r w:rsidR="00106FA3" w:rsidRPr="004F7D0D">
        <w:t xml:space="preserve"> </w:t>
      </w:r>
      <w:r w:rsidR="00BE39B8" w:rsidRPr="004F7D0D">
        <w:t>cohort (</w:t>
      </w:r>
      <w:r w:rsidR="00DF5984" w:rsidRPr="004F7D0D">
        <w:t>per</w:t>
      </w:r>
      <w:r w:rsidR="00704177" w:rsidRPr="004F7D0D">
        <w:t> </w:t>
      </w:r>
      <w:r w:rsidR="00DF5984" w:rsidRPr="004F7D0D">
        <w:t>cent)</w:t>
      </w:r>
      <w:r w:rsidR="00106FA3" w:rsidRPr="004F7D0D">
        <w:rPr>
          <w:rStyle w:val="NoteLabel"/>
          <w:b/>
        </w:rPr>
        <w:t>a, b</w:t>
      </w:r>
    </w:p>
    <w:tbl>
      <w:tblPr>
        <w:tblW w:w="5011" w:type="pct"/>
        <w:tblCellMar>
          <w:left w:w="0" w:type="dxa"/>
          <w:right w:w="0" w:type="dxa"/>
        </w:tblCellMar>
        <w:tblLook w:val="0000" w:firstRow="0" w:lastRow="0" w:firstColumn="0" w:lastColumn="0" w:noHBand="0" w:noVBand="0"/>
      </w:tblPr>
      <w:tblGrid>
        <w:gridCol w:w="1739"/>
        <w:gridCol w:w="785"/>
        <w:gridCol w:w="786"/>
        <w:gridCol w:w="786"/>
        <w:gridCol w:w="786"/>
        <w:gridCol w:w="786"/>
        <w:gridCol w:w="786"/>
        <w:gridCol w:w="786"/>
        <w:gridCol w:w="786"/>
        <w:gridCol w:w="782"/>
      </w:tblGrid>
      <w:tr w:rsidR="004F7D0D" w:rsidRPr="004F7D0D" w:rsidTr="00AD7C05">
        <w:tc>
          <w:tcPr>
            <w:tcW w:w="988" w:type="pct"/>
            <w:tcBorders>
              <w:top w:val="single" w:sz="6" w:space="0" w:color="auto"/>
              <w:bottom w:val="single" w:sz="6" w:space="0" w:color="auto"/>
            </w:tcBorders>
            <w:shd w:val="clear" w:color="auto" w:fill="auto"/>
          </w:tcPr>
          <w:p w:rsidR="00851A84" w:rsidRPr="004F7D0D" w:rsidRDefault="00851A84" w:rsidP="00AD7C05">
            <w:pPr>
              <w:pStyle w:val="TableColumnHeading"/>
              <w:jc w:val="left"/>
            </w:pPr>
          </w:p>
        </w:tc>
        <w:tc>
          <w:tcPr>
            <w:tcW w:w="446" w:type="pct"/>
            <w:tcBorders>
              <w:top w:val="single" w:sz="6" w:space="0" w:color="auto"/>
              <w:bottom w:val="single" w:sz="6" w:space="0" w:color="auto"/>
            </w:tcBorders>
            <w:shd w:val="clear" w:color="auto" w:fill="auto"/>
          </w:tcPr>
          <w:p w:rsidR="00851A84" w:rsidRPr="004F7D0D" w:rsidRDefault="009737F8" w:rsidP="00AD7C05">
            <w:pPr>
              <w:pStyle w:val="TableColumnHeading"/>
              <w:ind w:right="28"/>
            </w:pPr>
            <w:r w:rsidRPr="004F7D0D">
              <w:t>NSW</w:t>
            </w:r>
          </w:p>
        </w:tc>
        <w:tc>
          <w:tcPr>
            <w:tcW w:w="446" w:type="pct"/>
            <w:tcBorders>
              <w:top w:val="single" w:sz="6" w:space="0" w:color="auto"/>
              <w:bottom w:val="single" w:sz="6" w:space="0" w:color="auto"/>
            </w:tcBorders>
          </w:tcPr>
          <w:p w:rsidR="00851A84" w:rsidRPr="004F7D0D" w:rsidRDefault="009737F8" w:rsidP="00AD7C05">
            <w:pPr>
              <w:pStyle w:val="TableColumnHeading"/>
              <w:ind w:right="28"/>
            </w:pPr>
            <w:r w:rsidRPr="004F7D0D">
              <w:t>Vic</w:t>
            </w:r>
          </w:p>
        </w:tc>
        <w:tc>
          <w:tcPr>
            <w:tcW w:w="446" w:type="pct"/>
            <w:tcBorders>
              <w:top w:val="single" w:sz="6" w:space="0" w:color="auto"/>
              <w:bottom w:val="single" w:sz="6" w:space="0" w:color="auto"/>
            </w:tcBorders>
          </w:tcPr>
          <w:p w:rsidR="00851A84" w:rsidRPr="004F7D0D" w:rsidRDefault="009737F8" w:rsidP="00AD7C05">
            <w:pPr>
              <w:pStyle w:val="TableColumnHeading"/>
              <w:ind w:right="28"/>
            </w:pPr>
            <w:r w:rsidRPr="004F7D0D">
              <w:t>Qld</w:t>
            </w:r>
          </w:p>
        </w:tc>
        <w:tc>
          <w:tcPr>
            <w:tcW w:w="446" w:type="pct"/>
            <w:tcBorders>
              <w:top w:val="single" w:sz="6" w:space="0" w:color="auto"/>
              <w:bottom w:val="single" w:sz="6" w:space="0" w:color="auto"/>
            </w:tcBorders>
          </w:tcPr>
          <w:p w:rsidR="00851A84" w:rsidRPr="004F7D0D" w:rsidRDefault="009737F8" w:rsidP="00AD7C05">
            <w:pPr>
              <w:pStyle w:val="TableColumnHeading"/>
              <w:ind w:right="28"/>
            </w:pPr>
            <w:r w:rsidRPr="004F7D0D">
              <w:t>WA</w:t>
            </w:r>
          </w:p>
        </w:tc>
        <w:tc>
          <w:tcPr>
            <w:tcW w:w="446" w:type="pct"/>
            <w:tcBorders>
              <w:top w:val="single" w:sz="6" w:space="0" w:color="auto"/>
              <w:bottom w:val="single" w:sz="6" w:space="0" w:color="auto"/>
            </w:tcBorders>
          </w:tcPr>
          <w:p w:rsidR="00851A84" w:rsidRPr="004F7D0D" w:rsidRDefault="00DF5984" w:rsidP="00AD7C05">
            <w:pPr>
              <w:pStyle w:val="TableColumnHeading"/>
              <w:ind w:right="28"/>
            </w:pPr>
            <w:r w:rsidRPr="004F7D0D">
              <w:t>SA</w:t>
            </w:r>
          </w:p>
        </w:tc>
        <w:tc>
          <w:tcPr>
            <w:tcW w:w="446" w:type="pct"/>
            <w:tcBorders>
              <w:top w:val="single" w:sz="6" w:space="0" w:color="auto"/>
              <w:bottom w:val="single" w:sz="6" w:space="0" w:color="auto"/>
            </w:tcBorders>
          </w:tcPr>
          <w:p w:rsidR="00851A84" w:rsidRPr="004F7D0D" w:rsidRDefault="00DF5984" w:rsidP="00AD7C05">
            <w:pPr>
              <w:pStyle w:val="TableColumnHeading"/>
              <w:ind w:right="28"/>
            </w:pPr>
            <w:r w:rsidRPr="004F7D0D">
              <w:t>Tas</w:t>
            </w:r>
          </w:p>
        </w:tc>
        <w:tc>
          <w:tcPr>
            <w:tcW w:w="446" w:type="pct"/>
            <w:tcBorders>
              <w:top w:val="single" w:sz="6" w:space="0" w:color="auto"/>
              <w:bottom w:val="single" w:sz="6" w:space="0" w:color="auto"/>
            </w:tcBorders>
          </w:tcPr>
          <w:p w:rsidR="00851A84" w:rsidRPr="004F7D0D" w:rsidRDefault="00DF5984" w:rsidP="00AD7C05">
            <w:pPr>
              <w:pStyle w:val="TableColumnHeading"/>
              <w:ind w:right="28"/>
            </w:pPr>
            <w:r w:rsidRPr="004F7D0D">
              <w:t>ACT</w:t>
            </w:r>
          </w:p>
        </w:tc>
        <w:tc>
          <w:tcPr>
            <w:tcW w:w="446" w:type="pct"/>
            <w:tcBorders>
              <w:top w:val="single" w:sz="6" w:space="0" w:color="auto"/>
              <w:bottom w:val="single" w:sz="6" w:space="0" w:color="auto"/>
            </w:tcBorders>
          </w:tcPr>
          <w:p w:rsidR="00851A84" w:rsidRPr="004F7D0D" w:rsidRDefault="00DF5984" w:rsidP="00AD7C05">
            <w:pPr>
              <w:pStyle w:val="TableColumnHeading"/>
              <w:ind w:right="28"/>
            </w:pPr>
            <w:r w:rsidRPr="004F7D0D">
              <w:t>NT</w:t>
            </w:r>
          </w:p>
        </w:tc>
        <w:tc>
          <w:tcPr>
            <w:tcW w:w="443" w:type="pct"/>
            <w:tcBorders>
              <w:top w:val="single" w:sz="6" w:space="0" w:color="auto"/>
              <w:bottom w:val="single" w:sz="6" w:space="0" w:color="auto"/>
            </w:tcBorders>
          </w:tcPr>
          <w:p w:rsidR="00851A84" w:rsidRPr="004F7D0D" w:rsidRDefault="00DF5984" w:rsidP="00AD7C05">
            <w:pPr>
              <w:pStyle w:val="TableColumnHeading"/>
              <w:ind w:right="28"/>
            </w:pPr>
            <w:r w:rsidRPr="004F7D0D">
              <w:t>Aust</w:t>
            </w:r>
          </w:p>
        </w:tc>
      </w:tr>
      <w:tr w:rsidR="004F7D0D" w:rsidRPr="004F7D0D" w:rsidTr="00DE781A">
        <w:tc>
          <w:tcPr>
            <w:tcW w:w="5000" w:type="pct"/>
            <w:gridSpan w:val="10"/>
            <w:tcBorders>
              <w:top w:val="single" w:sz="6" w:space="0" w:color="auto"/>
            </w:tcBorders>
          </w:tcPr>
          <w:p w:rsidR="00DE781A" w:rsidRPr="004F7D0D" w:rsidRDefault="00DE781A" w:rsidP="00AD7C05">
            <w:pPr>
              <w:pStyle w:val="TableUnitsRow"/>
              <w:ind w:right="28"/>
              <w:jc w:val="left"/>
            </w:pPr>
            <w:r w:rsidRPr="004F7D0D">
              <w:t>Baseline</w:t>
            </w:r>
            <w:r w:rsidR="0068721A" w:rsidRPr="004F7D0D">
              <w:rPr>
                <w:rStyle w:val="NoteLabel"/>
              </w:rPr>
              <w:t>c</w:t>
            </w:r>
          </w:p>
        </w:tc>
      </w:tr>
      <w:tr w:rsidR="004F7D0D" w:rsidRPr="004F7D0D" w:rsidTr="00AD7C05">
        <w:tc>
          <w:tcPr>
            <w:tcW w:w="988" w:type="pct"/>
          </w:tcPr>
          <w:p w:rsidR="00AD7C05" w:rsidRPr="004F7D0D" w:rsidRDefault="00AD7C05" w:rsidP="00AD7C05">
            <w:pPr>
              <w:pStyle w:val="TableBodyText"/>
              <w:ind w:left="283" w:hanging="113"/>
              <w:jc w:val="left"/>
            </w:pPr>
            <w:r w:rsidRPr="004F7D0D">
              <w:t xml:space="preserve">Aged 12 </w:t>
            </w:r>
            <w:r w:rsidRPr="004F7D0D">
              <w:rPr>
                <w:rFonts w:cs="Arial"/>
                <w:u w:val="single"/>
              </w:rPr>
              <w:t>&lt;</w:t>
            </w:r>
            <w:r w:rsidRPr="004F7D0D">
              <w:t xml:space="preserve"> 15 months</w:t>
            </w:r>
          </w:p>
        </w:tc>
        <w:tc>
          <w:tcPr>
            <w:tcW w:w="446" w:type="pct"/>
          </w:tcPr>
          <w:p w:rsidR="00AD7C05" w:rsidRPr="004F7D0D" w:rsidRDefault="00AD7C05" w:rsidP="00AD7C05">
            <w:pPr>
              <w:pStyle w:val="TableBodyText"/>
              <w:ind w:right="0"/>
            </w:pPr>
            <w:r w:rsidRPr="004F7D0D">
              <w:t>85.8</w:t>
            </w:r>
          </w:p>
        </w:tc>
        <w:tc>
          <w:tcPr>
            <w:tcW w:w="446" w:type="pct"/>
          </w:tcPr>
          <w:p w:rsidR="00AD7C05" w:rsidRPr="004F7D0D" w:rsidRDefault="00AD7C05" w:rsidP="00AD7C05">
            <w:pPr>
              <w:pStyle w:val="TableBodyText"/>
              <w:ind w:right="0"/>
            </w:pPr>
            <w:r w:rsidRPr="004F7D0D">
              <w:t>85.2</w:t>
            </w:r>
          </w:p>
        </w:tc>
        <w:tc>
          <w:tcPr>
            <w:tcW w:w="446" w:type="pct"/>
          </w:tcPr>
          <w:p w:rsidR="00AD7C05" w:rsidRPr="004F7D0D" w:rsidRDefault="00AD7C05" w:rsidP="00AD7C05">
            <w:pPr>
              <w:pStyle w:val="TableBodyText"/>
              <w:ind w:right="0"/>
            </w:pPr>
            <w:r w:rsidRPr="004F7D0D">
              <w:t>85.4</w:t>
            </w:r>
          </w:p>
        </w:tc>
        <w:tc>
          <w:tcPr>
            <w:tcW w:w="446" w:type="pct"/>
          </w:tcPr>
          <w:p w:rsidR="00AD7C05" w:rsidRPr="004F7D0D" w:rsidRDefault="00AD7C05" w:rsidP="00AD7C05">
            <w:pPr>
              <w:pStyle w:val="TableBodyText"/>
              <w:ind w:right="0"/>
            </w:pPr>
            <w:r w:rsidRPr="004F7D0D">
              <w:t>75.9</w:t>
            </w:r>
          </w:p>
        </w:tc>
        <w:tc>
          <w:tcPr>
            <w:tcW w:w="446" w:type="pct"/>
          </w:tcPr>
          <w:p w:rsidR="00AD7C05" w:rsidRPr="004F7D0D" w:rsidRDefault="00AD7C05" w:rsidP="00AD7C05">
            <w:pPr>
              <w:pStyle w:val="TableBodyText"/>
              <w:ind w:right="0"/>
            </w:pPr>
            <w:r w:rsidRPr="004F7D0D">
              <w:t>78.2</w:t>
            </w:r>
          </w:p>
        </w:tc>
        <w:tc>
          <w:tcPr>
            <w:tcW w:w="446" w:type="pct"/>
          </w:tcPr>
          <w:p w:rsidR="00AD7C05" w:rsidRPr="004F7D0D" w:rsidRDefault="00AD7C05" w:rsidP="00AD7C05">
            <w:pPr>
              <w:pStyle w:val="TableBodyText"/>
              <w:ind w:right="0"/>
            </w:pPr>
            <w:r w:rsidRPr="004F7D0D">
              <w:t>91.0</w:t>
            </w:r>
          </w:p>
        </w:tc>
        <w:tc>
          <w:tcPr>
            <w:tcW w:w="446" w:type="pct"/>
          </w:tcPr>
          <w:p w:rsidR="00AD7C05" w:rsidRPr="004F7D0D" w:rsidRDefault="00AD7C05" w:rsidP="00AD7C05">
            <w:pPr>
              <w:pStyle w:val="TableBodyText"/>
              <w:ind w:right="0"/>
            </w:pPr>
            <w:r w:rsidRPr="004F7D0D">
              <w:t>89.0</w:t>
            </w:r>
          </w:p>
        </w:tc>
        <w:tc>
          <w:tcPr>
            <w:tcW w:w="446" w:type="pct"/>
          </w:tcPr>
          <w:p w:rsidR="00AD7C05" w:rsidRPr="004F7D0D" w:rsidRDefault="00AD7C05" w:rsidP="00AD7C05">
            <w:pPr>
              <w:pStyle w:val="TableBodyText"/>
              <w:ind w:right="0"/>
            </w:pPr>
            <w:r w:rsidRPr="004F7D0D">
              <w:t>87.3</w:t>
            </w:r>
          </w:p>
        </w:tc>
        <w:tc>
          <w:tcPr>
            <w:tcW w:w="443" w:type="pct"/>
          </w:tcPr>
          <w:p w:rsidR="00AD7C05" w:rsidRPr="004F7D0D" w:rsidRDefault="00AD7C05" w:rsidP="00AD7C05">
            <w:pPr>
              <w:pStyle w:val="TableBodyText"/>
              <w:ind w:right="0"/>
            </w:pPr>
            <w:r w:rsidRPr="004F7D0D">
              <w:t>84.5</w:t>
            </w:r>
          </w:p>
        </w:tc>
      </w:tr>
      <w:tr w:rsidR="004F7D0D" w:rsidRPr="004F7D0D" w:rsidTr="00AD7C05">
        <w:tc>
          <w:tcPr>
            <w:tcW w:w="988" w:type="pct"/>
          </w:tcPr>
          <w:p w:rsidR="00AD7C05" w:rsidRPr="004F7D0D" w:rsidRDefault="00AD7C05" w:rsidP="00AD7C05">
            <w:pPr>
              <w:pStyle w:val="TableBodyText"/>
              <w:ind w:left="283" w:hanging="113"/>
              <w:jc w:val="left"/>
            </w:pPr>
            <w:r w:rsidRPr="004F7D0D">
              <w:t xml:space="preserve">Aged 24 </w:t>
            </w:r>
            <w:r w:rsidRPr="004F7D0D">
              <w:rPr>
                <w:rFonts w:cs="Arial"/>
                <w:u w:val="single"/>
              </w:rPr>
              <w:t>&lt;</w:t>
            </w:r>
            <w:r w:rsidRPr="004F7D0D">
              <w:t xml:space="preserve"> 27 months</w:t>
            </w:r>
          </w:p>
        </w:tc>
        <w:tc>
          <w:tcPr>
            <w:tcW w:w="446" w:type="pct"/>
          </w:tcPr>
          <w:p w:rsidR="00AD7C05" w:rsidRPr="004F7D0D" w:rsidRDefault="00AD7C05" w:rsidP="00AD7C05">
            <w:pPr>
              <w:pStyle w:val="TableBodyText"/>
              <w:ind w:right="0"/>
            </w:pPr>
            <w:r w:rsidRPr="004F7D0D">
              <w:t>91.2</w:t>
            </w:r>
          </w:p>
        </w:tc>
        <w:tc>
          <w:tcPr>
            <w:tcW w:w="446" w:type="pct"/>
          </w:tcPr>
          <w:p w:rsidR="00AD7C05" w:rsidRPr="004F7D0D" w:rsidRDefault="00AD7C05" w:rsidP="00AD7C05">
            <w:pPr>
              <w:pStyle w:val="TableBodyText"/>
              <w:ind w:right="0"/>
            </w:pPr>
            <w:r w:rsidRPr="004F7D0D">
              <w:t>91.7</w:t>
            </w:r>
          </w:p>
        </w:tc>
        <w:tc>
          <w:tcPr>
            <w:tcW w:w="446" w:type="pct"/>
          </w:tcPr>
          <w:p w:rsidR="00AD7C05" w:rsidRPr="004F7D0D" w:rsidRDefault="00AD7C05" w:rsidP="00AD7C05">
            <w:pPr>
              <w:pStyle w:val="TableBodyText"/>
              <w:ind w:right="0"/>
            </w:pPr>
            <w:r w:rsidRPr="004F7D0D">
              <w:t>91.5</w:t>
            </w:r>
          </w:p>
        </w:tc>
        <w:tc>
          <w:tcPr>
            <w:tcW w:w="446" w:type="pct"/>
          </w:tcPr>
          <w:p w:rsidR="00AD7C05" w:rsidRPr="004F7D0D" w:rsidRDefault="00AD7C05" w:rsidP="00AD7C05">
            <w:pPr>
              <w:pStyle w:val="TableBodyText"/>
              <w:ind w:right="0"/>
            </w:pPr>
            <w:r w:rsidRPr="004F7D0D">
              <w:t>84.9</w:t>
            </w:r>
          </w:p>
        </w:tc>
        <w:tc>
          <w:tcPr>
            <w:tcW w:w="446" w:type="pct"/>
          </w:tcPr>
          <w:p w:rsidR="00AD7C05" w:rsidRPr="004F7D0D" w:rsidRDefault="00AD7C05" w:rsidP="00AD7C05">
            <w:pPr>
              <w:pStyle w:val="TableBodyText"/>
              <w:ind w:right="0"/>
            </w:pPr>
            <w:r w:rsidRPr="004F7D0D">
              <w:t>88.9</w:t>
            </w:r>
          </w:p>
        </w:tc>
        <w:tc>
          <w:tcPr>
            <w:tcW w:w="446" w:type="pct"/>
          </w:tcPr>
          <w:p w:rsidR="00AD7C05" w:rsidRPr="004F7D0D" w:rsidRDefault="00AD7C05" w:rsidP="00AD7C05">
            <w:pPr>
              <w:pStyle w:val="TableBodyText"/>
              <w:ind w:right="0"/>
            </w:pPr>
            <w:r w:rsidRPr="004F7D0D">
              <w:t>93.2</w:t>
            </w:r>
          </w:p>
        </w:tc>
        <w:tc>
          <w:tcPr>
            <w:tcW w:w="446" w:type="pct"/>
          </w:tcPr>
          <w:p w:rsidR="00AD7C05" w:rsidRPr="004F7D0D" w:rsidRDefault="00AD7C05" w:rsidP="00AD7C05">
            <w:pPr>
              <w:pStyle w:val="TableBodyText"/>
              <w:ind w:right="0"/>
            </w:pPr>
            <w:r w:rsidRPr="004F7D0D">
              <w:t>92.5</w:t>
            </w:r>
          </w:p>
        </w:tc>
        <w:tc>
          <w:tcPr>
            <w:tcW w:w="446" w:type="pct"/>
          </w:tcPr>
          <w:p w:rsidR="00AD7C05" w:rsidRPr="004F7D0D" w:rsidRDefault="00AD7C05" w:rsidP="00AD7C05">
            <w:pPr>
              <w:pStyle w:val="TableBodyText"/>
              <w:ind w:right="0"/>
            </w:pPr>
            <w:r w:rsidRPr="004F7D0D">
              <w:t>93.7</w:t>
            </w:r>
          </w:p>
        </w:tc>
        <w:tc>
          <w:tcPr>
            <w:tcW w:w="443" w:type="pct"/>
          </w:tcPr>
          <w:p w:rsidR="00AD7C05" w:rsidRPr="004F7D0D" w:rsidRDefault="00AD7C05" w:rsidP="00AD7C05">
            <w:pPr>
              <w:pStyle w:val="TableBodyText"/>
              <w:ind w:right="0"/>
            </w:pPr>
            <w:r w:rsidRPr="004F7D0D">
              <w:t>90.6</w:t>
            </w:r>
          </w:p>
        </w:tc>
      </w:tr>
      <w:tr w:rsidR="004F7D0D" w:rsidRPr="004F7D0D" w:rsidTr="00AD7C05">
        <w:tc>
          <w:tcPr>
            <w:tcW w:w="988" w:type="pct"/>
          </w:tcPr>
          <w:p w:rsidR="00AD7C05" w:rsidRPr="004F7D0D" w:rsidRDefault="00AD7C05" w:rsidP="00AD7C05">
            <w:pPr>
              <w:pStyle w:val="TableBodyText"/>
              <w:ind w:left="283" w:hanging="113"/>
              <w:jc w:val="left"/>
            </w:pPr>
            <w:r w:rsidRPr="004F7D0D">
              <w:t xml:space="preserve">Aged 60 </w:t>
            </w:r>
            <w:r w:rsidRPr="004F7D0D">
              <w:rPr>
                <w:rFonts w:cs="Arial"/>
                <w:u w:val="single"/>
              </w:rPr>
              <w:t>&lt;</w:t>
            </w:r>
            <w:r w:rsidRPr="004F7D0D">
              <w:t xml:space="preserve"> 63 months</w:t>
            </w:r>
          </w:p>
        </w:tc>
        <w:tc>
          <w:tcPr>
            <w:tcW w:w="446" w:type="pct"/>
          </w:tcPr>
          <w:p w:rsidR="00AD7C05" w:rsidRPr="004F7D0D" w:rsidRDefault="00AD7C05" w:rsidP="00AD7C05">
            <w:pPr>
              <w:pStyle w:val="TableBodyText"/>
              <w:ind w:right="0"/>
            </w:pPr>
            <w:r w:rsidRPr="004F7D0D">
              <w:t>77.9</w:t>
            </w:r>
          </w:p>
        </w:tc>
        <w:tc>
          <w:tcPr>
            <w:tcW w:w="446" w:type="pct"/>
          </w:tcPr>
          <w:p w:rsidR="00AD7C05" w:rsidRPr="004F7D0D" w:rsidRDefault="00AD7C05" w:rsidP="00AD7C05">
            <w:pPr>
              <w:pStyle w:val="TableBodyText"/>
              <w:ind w:right="0"/>
            </w:pPr>
            <w:r w:rsidRPr="004F7D0D">
              <w:t>80.5</w:t>
            </w:r>
          </w:p>
        </w:tc>
        <w:tc>
          <w:tcPr>
            <w:tcW w:w="446" w:type="pct"/>
          </w:tcPr>
          <w:p w:rsidR="00AD7C05" w:rsidRPr="004F7D0D" w:rsidRDefault="00AD7C05" w:rsidP="00AD7C05">
            <w:pPr>
              <w:pStyle w:val="TableBodyText"/>
              <w:ind w:right="0"/>
            </w:pPr>
            <w:r w:rsidRPr="004F7D0D">
              <w:t>79.1</w:t>
            </w:r>
          </w:p>
        </w:tc>
        <w:tc>
          <w:tcPr>
            <w:tcW w:w="446" w:type="pct"/>
          </w:tcPr>
          <w:p w:rsidR="00AD7C05" w:rsidRPr="004F7D0D" w:rsidRDefault="00AD7C05" w:rsidP="00AD7C05">
            <w:pPr>
              <w:pStyle w:val="TableBodyText"/>
              <w:ind w:right="0"/>
            </w:pPr>
            <w:r w:rsidRPr="004F7D0D">
              <w:t>73.7</w:t>
            </w:r>
          </w:p>
        </w:tc>
        <w:tc>
          <w:tcPr>
            <w:tcW w:w="446" w:type="pct"/>
          </w:tcPr>
          <w:p w:rsidR="00AD7C05" w:rsidRPr="004F7D0D" w:rsidRDefault="00AD7C05" w:rsidP="00AD7C05">
            <w:pPr>
              <w:pStyle w:val="TableBodyText"/>
              <w:ind w:right="0"/>
            </w:pPr>
            <w:r w:rsidRPr="004F7D0D">
              <w:t>67.1</w:t>
            </w:r>
          </w:p>
        </w:tc>
        <w:tc>
          <w:tcPr>
            <w:tcW w:w="446" w:type="pct"/>
          </w:tcPr>
          <w:p w:rsidR="00AD7C05" w:rsidRPr="004F7D0D" w:rsidRDefault="00AD7C05" w:rsidP="00AD7C05">
            <w:pPr>
              <w:pStyle w:val="TableBodyText"/>
              <w:ind w:right="0"/>
            </w:pPr>
            <w:r w:rsidRPr="004F7D0D">
              <w:t>79.1</w:t>
            </w:r>
          </w:p>
        </w:tc>
        <w:tc>
          <w:tcPr>
            <w:tcW w:w="446" w:type="pct"/>
          </w:tcPr>
          <w:p w:rsidR="00AD7C05" w:rsidRPr="004F7D0D" w:rsidRDefault="00AD7C05" w:rsidP="00AD7C05">
            <w:pPr>
              <w:pStyle w:val="TableBodyText"/>
              <w:ind w:right="0"/>
            </w:pPr>
            <w:r w:rsidRPr="004F7D0D">
              <w:t>86.3</w:t>
            </w:r>
          </w:p>
        </w:tc>
        <w:tc>
          <w:tcPr>
            <w:tcW w:w="446" w:type="pct"/>
          </w:tcPr>
          <w:p w:rsidR="00AD7C05" w:rsidRPr="004F7D0D" w:rsidRDefault="00AD7C05" w:rsidP="00AD7C05">
            <w:pPr>
              <w:pStyle w:val="TableBodyText"/>
              <w:ind w:right="0"/>
            </w:pPr>
            <w:r w:rsidRPr="004F7D0D">
              <w:t>86.9</w:t>
            </w:r>
          </w:p>
        </w:tc>
        <w:tc>
          <w:tcPr>
            <w:tcW w:w="443" w:type="pct"/>
          </w:tcPr>
          <w:p w:rsidR="00AD7C05" w:rsidRPr="004F7D0D" w:rsidRDefault="00AD7C05" w:rsidP="00AD7C05">
            <w:pPr>
              <w:pStyle w:val="TableBodyText"/>
              <w:ind w:right="0"/>
            </w:pPr>
            <w:r w:rsidRPr="004F7D0D">
              <w:t>78.5</w:t>
            </w:r>
          </w:p>
        </w:tc>
      </w:tr>
      <w:tr w:rsidR="004F7D0D" w:rsidRPr="004F7D0D" w:rsidTr="00DE781A">
        <w:tc>
          <w:tcPr>
            <w:tcW w:w="5000" w:type="pct"/>
            <w:gridSpan w:val="10"/>
            <w:shd w:val="clear" w:color="auto" w:fill="auto"/>
          </w:tcPr>
          <w:p w:rsidR="00DE781A" w:rsidRPr="004F7D0D" w:rsidRDefault="00FF6EC6" w:rsidP="00AD7C05">
            <w:pPr>
              <w:pStyle w:val="TableUnitsRow"/>
              <w:jc w:val="left"/>
            </w:pPr>
            <w:r w:rsidRPr="004F7D0D">
              <w:t xml:space="preserve">Assessment period (1 April </w:t>
            </w:r>
            <w:r w:rsidR="00732412" w:rsidRPr="004F7D0D">
              <w:t xml:space="preserve">2012 </w:t>
            </w:r>
            <w:r w:rsidRPr="004F7D0D">
              <w:t xml:space="preserve">– 31 March </w:t>
            </w:r>
            <w:r w:rsidR="00732412" w:rsidRPr="004F7D0D">
              <w:t>2013</w:t>
            </w:r>
            <w:r w:rsidR="00640238" w:rsidRPr="004F7D0D">
              <w:t>)</w:t>
            </w:r>
          </w:p>
        </w:tc>
      </w:tr>
      <w:tr w:rsidR="004F7D0D" w:rsidRPr="004F7D0D" w:rsidTr="00AD7C05">
        <w:tc>
          <w:tcPr>
            <w:tcW w:w="988" w:type="pct"/>
            <w:shd w:val="clear" w:color="auto" w:fill="auto"/>
          </w:tcPr>
          <w:p w:rsidR="00FE1256" w:rsidRPr="004F7D0D" w:rsidRDefault="00FE1256" w:rsidP="00AD7C05">
            <w:pPr>
              <w:pStyle w:val="TableBodyText"/>
              <w:ind w:left="283" w:hanging="113"/>
              <w:jc w:val="left"/>
            </w:pPr>
            <w:r w:rsidRPr="004F7D0D">
              <w:t xml:space="preserve">Aged 12 </w:t>
            </w:r>
            <w:r w:rsidRPr="004F7D0D">
              <w:rPr>
                <w:rFonts w:cs="Arial"/>
                <w:u w:val="single"/>
              </w:rPr>
              <w:t>&lt;</w:t>
            </w:r>
            <w:r w:rsidRPr="004F7D0D">
              <w:t xml:space="preserve"> 15 months</w:t>
            </w:r>
          </w:p>
        </w:tc>
        <w:tc>
          <w:tcPr>
            <w:tcW w:w="446" w:type="pct"/>
            <w:shd w:val="clear" w:color="auto" w:fill="auto"/>
          </w:tcPr>
          <w:p w:rsidR="00FE1256" w:rsidRPr="004F7D0D" w:rsidRDefault="00FE1256" w:rsidP="00AD7C05">
            <w:pPr>
              <w:pStyle w:val="TableBodyText"/>
              <w:ind w:right="0"/>
            </w:pPr>
            <w:r w:rsidRPr="004F7D0D">
              <w:t>85.9</w:t>
            </w:r>
          </w:p>
        </w:tc>
        <w:tc>
          <w:tcPr>
            <w:tcW w:w="446" w:type="pct"/>
          </w:tcPr>
          <w:p w:rsidR="00FE1256" w:rsidRPr="004F7D0D" w:rsidRDefault="00FE1256" w:rsidP="00AD7C05">
            <w:pPr>
              <w:pStyle w:val="TableBodyText"/>
              <w:ind w:right="0"/>
            </w:pPr>
            <w:r w:rsidRPr="004F7D0D">
              <w:t>86.3</w:t>
            </w:r>
          </w:p>
        </w:tc>
        <w:tc>
          <w:tcPr>
            <w:tcW w:w="446" w:type="pct"/>
          </w:tcPr>
          <w:p w:rsidR="00FE1256" w:rsidRPr="004F7D0D" w:rsidRDefault="00FE1256" w:rsidP="00AD7C05">
            <w:pPr>
              <w:pStyle w:val="TableBodyText"/>
              <w:ind w:right="0"/>
            </w:pPr>
            <w:r w:rsidRPr="004F7D0D">
              <w:t>87.2</w:t>
            </w:r>
          </w:p>
        </w:tc>
        <w:tc>
          <w:tcPr>
            <w:tcW w:w="446" w:type="pct"/>
          </w:tcPr>
          <w:p w:rsidR="00FE1256" w:rsidRPr="004F7D0D" w:rsidRDefault="00FE1256" w:rsidP="00AD7C05">
            <w:pPr>
              <w:pStyle w:val="TableBodyText"/>
              <w:ind w:right="0"/>
            </w:pPr>
            <w:r w:rsidRPr="004F7D0D">
              <w:t>78.9</w:t>
            </w:r>
          </w:p>
        </w:tc>
        <w:tc>
          <w:tcPr>
            <w:tcW w:w="446" w:type="pct"/>
          </w:tcPr>
          <w:p w:rsidR="00FE1256" w:rsidRPr="004F7D0D" w:rsidRDefault="00FE1256" w:rsidP="00AD7C05">
            <w:pPr>
              <w:pStyle w:val="TableBodyText"/>
              <w:ind w:right="0"/>
            </w:pPr>
            <w:r w:rsidRPr="004F7D0D">
              <w:t>77.1</w:t>
            </w:r>
          </w:p>
        </w:tc>
        <w:tc>
          <w:tcPr>
            <w:tcW w:w="446" w:type="pct"/>
          </w:tcPr>
          <w:p w:rsidR="00FE1256" w:rsidRPr="004F7D0D" w:rsidRDefault="00FE1256" w:rsidP="00AD7C05">
            <w:pPr>
              <w:pStyle w:val="TableBodyText"/>
              <w:ind w:right="0"/>
            </w:pPr>
            <w:r w:rsidRPr="004F7D0D">
              <w:t>90.1</w:t>
            </w:r>
          </w:p>
        </w:tc>
        <w:tc>
          <w:tcPr>
            <w:tcW w:w="446" w:type="pct"/>
          </w:tcPr>
          <w:p w:rsidR="00FE1256" w:rsidRPr="004F7D0D" w:rsidRDefault="00FE1256" w:rsidP="00AD7C05">
            <w:pPr>
              <w:pStyle w:val="TableBodyText"/>
              <w:ind w:right="0"/>
            </w:pPr>
            <w:r w:rsidRPr="004F7D0D">
              <w:t>81.5</w:t>
            </w:r>
          </w:p>
        </w:tc>
        <w:tc>
          <w:tcPr>
            <w:tcW w:w="446" w:type="pct"/>
          </w:tcPr>
          <w:p w:rsidR="00FE1256" w:rsidRPr="004F7D0D" w:rsidRDefault="00FE1256" w:rsidP="00AD7C05">
            <w:pPr>
              <w:pStyle w:val="TableBodyText"/>
              <w:ind w:right="0"/>
            </w:pPr>
            <w:r w:rsidRPr="004F7D0D">
              <w:t>91.9</w:t>
            </w:r>
          </w:p>
        </w:tc>
        <w:tc>
          <w:tcPr>
            <w:tcW w:w="443" w:type="pct"/>
          </w:tcPr>
          <w:p w:rsidR="00FE1256" w:rsidRPr="004F7D0D" w:rsidRDefault="00FE1256" w:rsidP="00AD7C05">
            <w:pPr>
              <w:pStyle w:val="TableBodyText"/>
              <w:ind w:right="0"/>
            </w:pPr>
            <w:r w:rsidRPr="004F7D0D">
              <w:t>85.6</w:t>
            </w:r>
          </w:p>
        </w:tc>
      </w:tr>
      <w:tr w:rsidR="004F7D0D" w:rsidRPr="004F7D0D" w:rsidTr="00AD7C05">
        <w:tc>
          <w:tcPr>
            <w:tcW w:w="988" w:type="pct"/>
            <w:shd w:val="clear" w:color="auto" w:fill="auto"/>
          </w:tcPr>
          <w:p w:rsidR="00FE1256" w:rsidRPr="004F7D0D" w:rsidRDefault="00FE1256" w:rsidP="00AD7C05">
            <w:pPr>
              <w:pStyle w:val="TableBodyText"/>
              <w:ind w:left="283" w:hanging="113"/>
              <w:jc w:val="left"/>
            </w:pPr>
            <w:r w:rsidRPr="004F7D0D">
              <w:t xml:space="preserve">Aged 24 </w:t>
            </w:r>
            <w:r w:rsidRPr="004F7D0D">
              <w:rPr>
                <w:rFonts w:cs="Arial"/>
                <w:u w:val="single"/>
              </w:rPr>
              <w:t>&lt;</w:t>
            </w:r>
            <w:r w:rsidRPr="004F7D0D">
              <w:t xml:space="preserve"> 27 months</w:t>
            </w:r>
          </w:p>
        </w:tc>
        <w:tc>
          <w:tcPr>
            <w:tcW w:w="446" w:type="pct"/>
            <w:shd w:val="clear" w:color="auto" w:fill="auto"/>
          </w:tcPr>
          <w:p w:rsidR="00FE1256" w:rsidRPr="004F7D0D" w:rsidRDefault="00FE1256" w:rsidP="00AD7C05">
            <w:pPr>
              <w:pStyle w:val="TableBodyText"/>
              <w:ind w:right="0"/>
            </w:pPr>
            <w:r w:rsidRPr="004F7D0D">
              <w:t>91.8</w:t>
            </w:r>
          </w:p>
        </w:tc>
        <w:tc>
          <w:tcPr>
            <w:tcW w:w="446" w:type="pct"/>
          </w:tcPr>
          <w:p w:rsidR="00FE1256" w:rsidRPr="004F7D0D" w:rsidRDefault="00FE1256" w:rsidP="00AD7C05">
            <w:pPr>
              <w:pStyle w:val="TableBodyText"/>
              <w:ind w:right="0"/>
            </w:pPr>
            <w:r w:rsidRPr="004F7D0D">
              <w:t>90.2</w:t>
            </w:r>
          </w:p>
        </w:tc>
        <w:tc>
          <w:tcPr>
            <w:tcW w:w="446" w:type="pct"/>
          </w:tcPr>
          <w:p w:rsidR="00FE1256" w:rsidRPr="004F7D0D" w:rsidRDefault="00FE1256" w:rsidP="00AD7C05">
            <w:pPr>
              <w:pStyle w:val="TableBodyText"/>
              <w:ind w:right="0"/>
            </w:pPr>
            <w:r w:rsidRPr="004F7D0D">
              <w:t>93.0</w:t>
            </w:r>
          </w:p>
        </w:tc>
        <w:tc>
          <w:tcPr>
            <w:tcW w:w="446" w:type="pct"/>
          </w:tcPr>
          <w:p w:rsidR="00FE1256" w:rsidRPr="004F7D0D" w:rsidRDefault="00FE1256" w:rsidP="00AD7C05">
            <w:pPr>
              <w:pStyle w:val="TableBodyText"/>
              <w:ind w:right="0"/>
            </w:pPr>
            <w:r w:rsidRPr="004F7D0D">
              <w:t>89.4</w:t>
            </w:r>
          </w:p>
        </w:tc>
        <w:tc>
          <w:tcPr>
            <w:tcW w:w="446" w:type="pct"/>
          </w:tcPr>
          <w:p w:rsidR="00FE1256" w:rsidRPr="004F7D0D" w:rsidRDefault="00FE1256" w:rsidP="00AD7C05">
            <w:pPr>
              <w:pStyle w:val="TableBodyText"/>
              <w:ind w:right="0"/>
            </w:pPr>
            <w:r w:rsidRPr="004F7D0D">
              <w:t>86.7</w:t>
            </w:r>
          </w:p>
        </w:tc>
        <w:tc>
          <w:tcPr>
            <w:tcW w:w="446" w:type="pct"/>
          </w:tcPr>
          <w:p w:rsidR="00FE1256" w:rsidRPr="004F7D0D" w:rsidRDefault="00FE1256" w:rsidP="00AD7C05">
            <w:pPr>
              <w:pStyle w:val="TableBodyText"/>
              <w:ind w:right="0"/>
            </w:pPr>
            <w:r w:rsidRPr="004F7D0D">
              <w:t>93.9</w:t>
            </w:r>
          </w:p>
        </w:tc>
        <w:tc>
          <w:tcPr>
            <w:tcW w:w="446" w:type="pct"/>
          </w:tcPr>
          <w:p w:rsidR="00FE1256" w:rsidRPr="004F7D0D" w:rsidRDefault="00FE1256" w:rsidP="00AD7C05">
            <w:pPr>
              <w:pStyle w:val="TableBodyText"/>
              <w:ind w:right="0"/>
            </w:pPr>
            <w:r w:rsidRPr="004F7D0D">
              <w:t>91.6</w:t>
            </w:r>
          </w:p>
        </w:tc>
        <w:tc>
          <w:tcPr>
            <w:tcW w:w="446" w:type="pct"/>
          </w:tcPr>
          <w:p w:rsidR="00FE1256" w:rsidRPr="004F7D0D" w:rsidRDefault="00FE1256" w:rsidP="00AD7C05">
            <w:pPr>
              <w:pStyle w:val="TableBodyText"/>
              <w:ind w:right="0"/>
            </w:pPr>
            <w:r w:rsidRPr="004F7D0D">
              <w:t>96.9</w:t>
            </w:r>
          </w:p>
        </w:tc>
        <w:tc>
          <w:tcPr>
            <w:tcW w:w="443" w:type="pct"/>
          </w:tcPr>
          <w:p w:rsidR="00FE1256" w:rsidRPr="004F7D0D" w:rsidRDefault="00FE1256" w:rsidP="00AD7C05">
            <w:pPr>
              <w:pStyle w:val="TableBodyText"/>
              <w:ind w:right="0"/>
            </w:pPr>
            <w:r w:rsidRPr="004F7D0D">
              <w:t>92.1</w:t>
            </w:r>
          </w:p>
        </w:tc>
      </w:tr>
      <w:tr w:rsidR="004F7D0D" w:rsidRPr="004F7D0D" w:rsidTr="00AD7C05">
        <w:tc>
          <w:tcPr>
            <w:tcW w:w="988" w:type="pct"/>
            <w:tcBorders>
              <w:bottom w:val="single" w:sz="6" w:space="0" w:color="auto"/>
            </w:tcBorders>
            <w:shd w:val="clear" w:color="auto" w:fill="auto"/>
          </w:tcPr>
          <w:p w:rsidR="00FE1256" w:rsidRPr="004F7D0D" w:rsidRDefault="00FE1256" w:rsidP="00AD7C05">
            <w:pPr>
              <w:pStyle w:val="TableBodyText"/>
              <w:ind w:left="283" w:hanging="113"/>
              <w:jc w:val="left"/>
            </w:pPr>
            <w:r w:rsidRPr="004F7D0D">
              <w:t xml:space="preserve">Aged 60 </w:t>
            </w:r>
            <w:r w:rsidRPr="004F7D0D">
              <w:rPr>
                <w:rFonts w:cs="Arial"/>
                <w:u w:val="single"/>
              </w:rPr>
              <w:t>&lt;</w:t>
            </w:r>
            <w:r w:rsidRPr="004F7D0D">
              <w:t xml:space="preserve"> 63 months</w:t>
            </w:r>
          </w:p>
        </w:tc>
        <w:tc>
          <w:tcPr>
            <w:tcW w:w="446" w:type="pct"/>
            <w:tcBorders>
              <w:bottom w:val="single" w:sz="6" w:space="0" w:color="auto"/>
            </w:tcBorders>
            <w:shd w:val="clear" w:color="auto" w:fill="auto"/>
          </w:tcPr>
          <w:p w:rsidR="00FE1256" w:rsidRPr="004F7D0D" w:rsidRDefault="00FE1256" w:rsidP="00AD7C05">
            <w:pPr>
              <w:pStyle w:val="TableBodyText"/>
              <w:ind w:right="0"/>
            </w:pPr>
            <w:r w:rsidRPr="004F7D0D">
              <w:t>91.4</w:t>
            </w:r>
          </w:p>
        </w:tc>
        <w:tc>
          <w:tcPr>
            <w:tcW w:w="446" w:type="pct"/>
            <w:tcBorders>
              <w:bottom w:val="single" w:sz="6" w:space="0" w:color="auto"/>
            </w:tcBorders>
          </w:tcPr>
          <w:p w:rsidR="00FE1256" w:rsidRPr="004F7D0D" w:rsidRDefault="00FE1256" w:rsidP="00AD7C05">
            <w:pPr>
              <w:pStyle w:val="TableBodyText"/>
              <w:ind w:right="0"/>
            </w:pPr>
            <w:r w:rsidRPr="004F7D0D">
              <w:t>92.4</w:t>
            </w:r>
          </w:p>
        </w:tc>
        <w:tc>
          <w:tcPr>
            <w:tcW w:w="446" w:type="pct"/>
            <w:tcBorders>
              <w:bottom w:val="single" w:sz="6" w:space="0" w:color="auto"/>
            </w:tcBorders>
          </w:tcPr>
          <w:p w:rsidR="00FE1256" w:rsidRPr="004F7D0D" w:rsidRDefault="00FE1256" w:rsidP="00AD7C05">
            <w:pPr>
              <w:pStyle w:val="TableBodyText"/>
              <w:ind w:right="0"/>
            </w:pPr>
            <w:r w:rsidRPr="004F7D0D">
              <w:t>92.0</w:t>
            </w:r>
          </w:p>
        </w:tc>
        <w:tc>
          <w:tcPr>
            <w:tcW w:w="446" w:type="pct"/>
            <w:tcBorders>
              <w:bottom w:val="single" w:sz="6" w:space="0" w:color="auto"/>
            </w:tcBorders>
          </w:tcPr>
          <w:p w:rsidR="00FE1256" w:rsidRPr="004F7D0D" w:rsidRDefault="00FE1256" w:rsidP="00AD7C05">
            <w:pPr>
              <w:pStyle w:val="TableBodyText"/>
              <w:ind w:right="0"/>
            </w:pPr>
            <w:r w:rsidRPr="004F7D0D">
              <w:t>86.9</w:t>
            </w:r>
          </w:p>
        </w:tc>
        <w:tc>
          <w:tcPr>
            <w:tcW w:w="446" w:type="pct"/>
            <w:tcBorders>
              <w:bottom w:val="single" w:sz="6" w:space="0" w:color="auto"/>
            </w:tcBorders>
          </w:tcPr>
          <w:p w:rsidR="00FE1256" w:rsidRPr="004F7D0D" w:rsidRDefault="00FE1256" w:rsidP="00AD7C05">
            <w:pPr>
              <w:pStyle w:val="TableBodyText"/>
              <w:ind w:right="0"/>
            </w:pPr>
            <w:r w:rsidRPr="004F7D0D">
              <w:t>85.7</w:t>
            </w:r>
          </w:p>
        </w:tc>
        <w:tc>
          <w:tcPr>
            <w:tcW w:w="446" w:type="pct"/>
            <w:tcBorders>
              <w:bottom w:val="single" w:sz="6" w:space="0" w:color="auto"/>
            </w:tcBorders>
          </w:tcPr>
          <w:p w:rsidR="00FE1256" w:rsidRPr="004F7D0D" w:rsidRDefault="00FE1256" w:rsidP="00AD7C05">
            <w:pPr>
              <w:pStyle w:val="TableBodyText"/>
              <w:ind w:right="0"/>
            </w:pPr>
            <w:r w:rsidRPr="004F7D0D">
              <w:t>93.2</w:t>
            </w:r>
          </w:p>
        </w:tc>
        <w:tc>
          <w:tcPr>
            <w:tcW w:w="446" w:type="pct"/>
            <w:tcBorders>
              <w:bottom w:val="single" w:sz="6" w:space="0" w:color="auto"/>
            </w:tcBorders>
          </w:tcPr>
          <w:p w:rsidR="00FE1256" w:rsidRPr="004F7D0D" w:rsidRDefault="00FE1256" w:rsidP="00AD7C05">
            <w:pPr>
              <w:pStyle w:val="TableBodyText"/>
              <w:ind w:right="0"/>
            </w:pPr>
            <w:r w:rsidRPr="004F7D0D">
              <w:t>91.0</w:t>
            </w:r>
          </w:p>
        </w:tc>
        <w:tc>
          <w:tcPr>
            <w:tcW w:w="446" w:type="pct"/>
            <w:tcBorders>
              <w:bottom w:val="single" w:sz="6" w:space="0" w:color="auto"/>
            </w:tcBorders>
          </w:tcPr>
          <w:p w:rsidR="00FE1256" w:rsidRPr="004F7D0D" w:rsidRDefault="00FE1256" w:rsidP="00AD7C05">
            <w:pPr>
              <w:pStyle w:val="TableBodyText"/>
              <w:ind w:right="0"/>
            </w:pPr>
            <w:r w:rsidRPr="004F7D0D">
              <w:t>93.9</w:t>
            </w:r>
          </w:p>
        </w:tc>
        <w:tc>
          <w:tcPr>
            <w:tcW w:w="443" w:type="pct"/>
            <w:tcBorders>
              <w:bottom w:val="single" w:sz="6" w:space="0" w:color="auto"/>
            </w:tcBorders>
          </w:tcPr>
          <w:p w:rsidR="00FE1256" w:rsidRPr="004F7D0D" w:rsidRDefault="00FE1256" w:rsidP="00AD7C05">
            <w:pPr>
              <w:pStyle w:val="TableBodyText"/>
              <w:ind w:right="0"/>
            </w:pPr>
            <w:r w:rsidRPr="004F7D0D">
              <w:t>91.0</w:t>
            </w:r>
          </w:p>
        </w:tc>
      </w:tr>
    </w:tbl>
    <w:p w:rsidR="00851A84" w:rsidRPr="004F7D0D" w:rsidRDefault="00851A84" w:rsidP="00AD7C05">
      <w:pPr>
        <w:pStyle w:val="Note"/>
      </w:pPr>
      <w:proofErr w:type="spellStart"/>
      <w:r w:rsidRPr="004F7D0D">
        <w:rPr>
          <w:rStyle w:val="NoteLabel"/>
        </w:rPr>
        <w:t>a</w:t>
      </w:r>
      <w:proofErr w:type="spellEnd"/>
      <w:r w:rsidRPr="004F7D0D">
        <w:rPr>
          <w:rFonts w:cs="Arial"/>
        </w:rPr>
        <w:t xml:space="preserve"> </w:t>
      </w:r>
      <w:proofErr w:type="spellStart"/>
      <w:r w:rsidR="00682696" w:rsidRPr="004F7D0D">
        <w:t>A</w:t>
      </w:r>
      <w:proofErr w:type="spellEnd"/>
      <w:r w:rsidR="00682696" w:rsidRPr="004F7D0D">
        <w:t xml:space="preserve"> child is fully immunised when they are up-to-date, and recorded in ACIR as having received the standard vaccination schedule for their age or are on a suitable catch-up program based on the National Immunisation Program (NIP) schedule. </w:t>
      </w:r>
      <w:r w:rsidR="00106FA3" w:rsidRPr="004F7D0D">
        <w:rPr>
          <w:rStyle w:val="NoteLabel"/>
        </w:rPr>
        <w:t xml:space="preserve">b </w:t>
      </w:r>
      <w:r w:rsidR="00B013BC" w:rsidRPr="004F7D0D">
        <w:t>Indigenous status (A</w:t>
      </w:r>
      <w:r w:rsidR="00106FA3" w:rsidRPr="004F7D0D">
        <w:t>boriginal or Torres Strait Islander indicator</w:t>
      </w:r>
      <w:r w:rsidR="00B013BC" w:rsidRPr="004F7D0D">
        <w:t>)</w:t>
      </w:r>
      <w:r w:rsidR="00106FA3" w:rsidRPr="004F7D0D">
        <w:t xml:space="preserve"> reported by encounter or Medicare update. </w:t>
      </w:r>
      <w:r w:rsidR="0068721A" w:rsidRPr="004F7D0D">
        <w:rPr>
          <w:rStyle w:val="NoteLabel"/>
        </w:rPr>
        <w:t>c</w:t>
      </w:r>
      <w:r w:rsidR="0068721A" w:rsidRPr="004F7D0D">
        <w:t xml:space="preserve"> The baseline is the </w:t>
      </w:r>
      <w:r w:rsidR="00B144D8" w:rsidRPr="004F7D0D">
        <w:t xml:space="preserve">higher of the </w:t>
      </w:r>
      <w:r w:rsidR="0068721A" w:rsidRPr="004F7D0D">
        <w:t>lowest State and Territory coverage rate from the previous three assessment periods</w:t>
      </w:r>
      <w:r w:rsidR="00640238" w:rsidRPr="004F7D0D">
        <w:t xml:space="preserve">, </w:t>
      </w:r>
      <w:r w:rsidR="00B144D8" w:rsidRPr="004F7D0D">
        <w:t>or the baseline in the previous reporting cycle</w:t>
      </w:r>
      <w:r w:rsidR="0068721A" w:rsidRPr="004F7D0D">
        <w:t>.</w:t>
      </w:r>
    </w:p>
    <w:p w:rsidR="00851A84" w:rsidRPr="004F7D0D" w:rsidRDefault="00851A84" w:rsidP="00AD7C05">
      <w:pPr>
        <w:pStyle w:val="Source"/>
      </w:pPr>
      <w:r w:rsidRPr="004F7D0D">
        <w:rPr>
          <w:i/>
        </w:rPr>
        <w:t>Source</w:t>
      </w:r>
      <w:r w:rsidRPr="004F7D0D">
        <w:t xml:space="preserve">: </w:t>
      </w:r>
      <w:smartTag w:uri="urn:schemas-microsoft-com:office:smarttags" w:element="place">
        <w:smartTag w:uri="urn:schemas-microsoft-com:office:smarttags" w:element="City">
          <w:r w:rsidR="00DF5984" w:rsidRPr="004F7D0D">
            <w:t>DoHA</w:t>
          </w:r>
        </w:smartTag>
      </w:smartTag>
      <w:r w:rsidR="00DF5984" w:rsidRPr="004F7D0D">
        <w:t xml:space="preserve"> (unpublished) Australian Childhood Immunisation Register</w:t>
      </w:r>
      <w:r w:rsidR="00874042" w:rsidRPr="004F7D0D">
        <w:t>.</w:t>
      </w:r>
    </w:p>
    <w:p w:rsidR="00851A84" w:rsidRPr="004F7D0D" w:rsidRDefault="00851A84" w:rsidP="00851A84">
      <w:pPr>
        <w:pStyle w:val="BoxSpace"/>
      </w:pPr>
      <w:r w:rsidRPr="004F7D0D">
        <w:rPr>
          <w:b/>
          <w:vanish/>
          <w:sz w:val="14"/>
        </w:rPr>
        <w:lastRenderedPageBreak/>
        <w:t>Do not delete this return as it gives space between the box and what precedes it.</w:t>
      </w: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4F7D0D" w:rsidRPr="004F7D0D" w:rsidTr="00226E15">
        <w:tc>
          <w:tcPr>
            <w:tcW w:w="8771" w:type="dxa"/>
            <w:tcBorders>
              <w:top w:val="single" w:sz="6" w:space="0" w:color="auto"/>
              <w:bottom w:val="nil"/>
            </w:tcBorders>
          </w:tcPr>
          <w:p w:rsidR="00851A84" w:rsidRPr="004F7D0D" w:rsidRDefault="00851A84" w:rsidP="00226E15">
            <w:pPr>
              <w:pStyle w:val="BoxTitle"/>
            </w:pPr>
            <w:smartTag w:uri="urn:schemas-microsoft-com:office:smarttags" w:element="Street">
              <w:r w:rsidRPr="004F7D0D">
                <w:rPr>
                  <w:b w:val="0"/>
                </w:rPr>
                <w:t>Box</w:t>
              </w:r>
            </w:smartTag>
            <w:r w:rsidRPr="004F7D0D">
              <w:rPr>
                <w:b w:val="0"/>
              </w:rPr>
              <w:t xml:space="preserve"> </w:t>
            </w:r>
            <w:r w:rsidRPr="004F7D0D">
              <w:rPr>
                <w:b w:val="0"/>
              </w:rPr>
              <w:fldChar w:fldCharType="begin"/>
            </w:r>
            <w:r w:rsidRPr="004F7D0D">
              <w:rPr>
                <w:b w:val="0"/>
              </w:rPr>
              <w:instrText xml:space="preserve"> COMMENTS  \* MERGEFORMAT </w:instrText>
            </w:r>
            <w:r w:rsidRPr="004F7D0D">
              <w:rPr>
                <w:b w:val="0"/>
              </w:rPr>
              <w:fldChar w:fldCharType="end"/>
            </w:r>
            <w:r w:rsidRPr="004F7D0D">
              <w:rPr>
                <w:b w:val="0"/>
              </w:rPr>
              <w:fldChar w:fldCharType="begin"/>
            </w:r>
            <w:r w:rsidRPr="004F7D0D">
              <w:rPr>
                <w:b w:val="0"/>
              </w:rPr>
              <w:instrText xml:space="preserve"> SEQ Box \* ARABIC </w:instrText>
            </w:r>
            <w:r w:rsidRPr="004F7D0D">
              <w:rPr>
                <w:b w:val="0"/>
              </w:rPr>
              <w:fldChar w:fldCharType="separate"/>
            </w:r>
            <w:r w:rsidR="003F1C71">
              <w:rPr>
                <w:b w:val="0"/>
                <w:noProof/>
              </w:rPr>
              <w:t>1</w:t>
            </w:r>
            <w:r w:rsidRPr="004F7D0D">
              <w:rPr>
                <w:b w:val="0"/>
              </w:rPr>
              <w:fldChar w:fldCharType="end"/>
            </w:r>
            <w:r w:rsidR="006A6133" w:rsidRPr="004F7D0D">
              <w:tab/>
              <w:t>Comment on data q</w:t>
            </w:r>
            <w:r w:rsidRPr="004F7D0D">
              <w:t>uality</w:t>
            </w:r>
          </w:p>
        </w:tc>
      </w:tr>
      <w:tr w:rsidR="004F7D0D" w:rsidRPr="004F7D0D" w:rsidTr="00226E15">
        <w:trPr>
          <w:cantSplit/>
        </w:trPr>
        <w:tc>
          <w:tcPr>
            <w:tcW w:w="8771" w:type="dxa"/>
            <w:tcBorders>
              <w:top w:val="nil"/>
              <w:left w:val="single" w:sz="6" w:space="0" w:color="auto"/>
              <w:bottom w:val="nil"/>
              <w:right w:val="single" w:sz="6" w:space="0" w:color="auto"/>
            </w:tcBorders>
          </w:tcPr>
          <w:p w:rsidR="001E2C8D" w:rsidRPr="004F7D0D" w:rsidRDefault="001E2C8D" w:rsidP="00E30841">
            <w:pPr>
              <w:pStyle w:val="Box"/>
            </w:pPr>
            <w:r w:rsidRPr="004F7D0D">
              <w:t xml:space="preserve">The DQS for this indicator has been prepared by </w:t>
            </w:r>
            <w:smartTag w:uri="urn:schemas-microsoft-com:office:smarttags" w:element="City">
              <w:smartTag w:uri="urn:schemas-microsoft-com:office:smarttags" w:element="place">
                <w:r w:rsidRPr="004F7D0D">
                  <w:t>DoHA</w:t>
                </w:r>
              </w:smartTag>
            </w:smartTag>
            <w:r w:rsidRPr="004F7D0D">
              <w:t xml:space="preserve"> </w:t>
            </w:r>
            <w:r w:rsidR="00B013BC" w:rsidRPr="004F7D0D">
              <w:t xml:space="preserve">and is included in its original </w:t>
            </w:r>
            <w:r w:rsidRPr="004F7D0D">
              <w:t xml:space="preserve">form in the section in this report titled ‘Data Quality </w:t>
            </w:r>
            <w:r w:rsidR="00B013BC" w:rsidRPr="004F7D0D">
              <w:t>Statement</w:t>
            </w:r>
            <w:r w:rsidR="00B144D8" w:rsidRPr="004F7D0D">
              <w:t>s</w:t>
            </w:r>
            <w:r w:rsidR="00B013BC" w:rsidRPr="004F7D0D">
              <w:t xml:space="preserve">’. Key points from the </w:t>
            </w:r>
            <w:r w:rsidRPr="004F7D0D">
              <w:t>DQS are summarised below.</w:t>
            </w:r>
          </w:p>
          <w:p w:rsidR="001E2C8D" w:rsidRPr="004F7D0D" w:rsidRDefault="001E2C8D" w:rsidP="00D77D29">
            <w:pPr>
              <w:pStyle w:val="BoxListBullet"/>
            </w:pPr>
            <w:r w:rsidRPr="004F7D0D">
              <w:t xml:space="preserve">The data provide relevant information on the </w:t>
            </w:r>
            <w:r w:rsidR="000D6C74" w:rsidRPr="004F7D0D">
              <w:t>proportion of Indigenous children in the three age groups who are fully immunised, by State and Territory</w:t>
            </w:r>
            <w:r w:rsidR="00595D18" w:rsidRPr="004F7D0D">
              <w:t>.</w:t>
            </w:r>
          </w:p>
          <w:p w:rsidR="001E2C8D" w:rsidRPr="004F7D0D" w:rsidRDefault="0095551E" w:rsidP="00D77D29">
            <w:pPr>
              <w:pStyle w:val="BoxListBullet"/>
            </w:pPr>
            <w:r w:rsidRPr="004F7D0D">
              <w:t xml:space="preserve">Data </w:t>
            </w:r>
            <w:r w:rsidR="0071687E" w:rsidRPr="004F7D0D">
              <w:t xml:space="preserve">from </w:t>
            </w:r>
            <w:r w:rsidRPr="004F7D0D">
              <w:t>the A</w:t>
            </w:r>
            <w:r w:rsidR="0071687E" w:rsidRPr="004F7D0D">
              <w:t>ustralian Child Immunisation Register (A</w:t>
            </w:r>
            <w:r w:rsidRPr="004F7D0D">
              <w:t>CIR</w:t>
            </w:r>
            <w:r w:rsidR="0071687E" w:rsidRPr="004F7D0D">
              <w:t>)</w:t>
            </w:r>
            <w:r w:rsidRPr="004F7D0D">
              <w:t xml:space="preserve"> are available quarterly. A minimum </w:t>
            </w:r>
            <w:r w:rsidR="00C26AC8" w:rsidRPr="004F7D0D">
              <w:t>three-</w:t>
            </w:r>
            <w:r w:rsidRPr="004F7D0D">
              <w:t xml:space="preserve">month lag period is allowed for late notification of immunisations to ACIR. </w:t>
            </w:r>
            <w:r w:rsidR="003F1274" w:rsidRPr="004F7D0D">
              <w:t xml:space="preserve">Data are available for the reporting </w:t>
            </w:r>
            <w:r w:rsidR="00FE5462" w:rsidRPr="004F7D0D">
              <w:t xml:space="preserve">period of 1 April </w:t>
            </w:r>
            <w:r w:rsidR="00357A9E" w:rsidRPr="004F7D0D">
              <w:t xml:space="preserve">2012 </w:t>
            </w:r>
            <w:r w:rsidR="00FE5462" w:rsidRPr="004F7D0D">
              <w:t xml:space="preserve">to 31 March </w:t>
            </w:r>
            <w:r w:rsidR="00357A9E" w:rsidRPr="004F7D0D">
              <w:t>2013</w:t>
            </w:r>
            <w:r w:rsidRPr="004F7D0D">
              <w:t>.</w:t>
            </w:r>
          </w:p>
          <w:p w:rsidR="00933165" w:rsidRPr="004F7D0D" w:rsidRDefault="00933165" w:rsidP="00D77D29">
            <w:pPr>
              <w:pStyle w:val="BoxListBullet"/>
            </w:pPr>
            <w:r w:rsidRPr="004F7D0D">
              <w:t>Data ha</w:t>
            </w:r>
            <w:r w:rsidR="00B144D8" w:rsidRPr="004F7D0D">
              <w:t>ve</w:t>
            </w:r>
            <w:r w:rsidRPr="004F7D0D">
              <w:t xml:space="preserve"> been reported using the definition of </w:t>
            </w:r>
            <w:r w:rsidR="00576BB8" w:rsidRPr="004F7D0D">
              <w:t xml:space="preserve">‘fully-immunised’ </w:t>
            </w:r>
            <w:r w:rsidR="00576BB8" w:rsidRPr="004F7D0D">
              <w:rPr>
                <w:rFonts w:cs="Arial"/>
              </w:rPr>
              <w:t xml:space="preserve">as defined by </w:t>
            </w:r>
            <w:r w:rsidR="00576BB8" w:rsidRPr="004F7D0D">
              <w:rPr>
                <w:rFonts w:cs="Arial"/>
                <w:i/>
              </w:rPr>
              <w:t>A New Tax System (Family Assistance) Act 1999</w:t>
            </w:r>
            <w:r w:rsidRPr="004F7D0D">
              <w:t xml:space="preserve">; that is, children who have received all age appropriate immunisations for diphtheria, tetanus, pertussis, hepatitis B, poliomyelitis, </w:t>
            </w:r>
            <w:proofErr w:type="spellStart"/>
            <w:r w:rsidRPr="004F7D0D">
              <w:t>Haemophilus</w:t>
            </w:r>
            <w:proofErr w:type="spellEnd"/>
            <w:r w:rsidRPr="004F7D0D">
              <w:t xml:space="preserve"> </w:t>
            </w:r>
            <w:proofErr w:type="spellStart"/>
            <w:r w:rsidRPr="004F7D0D">
              <w:t>influenzae</w:t>
            </w:r>
            <w:proofErr w:type="spellEnd"/>
            <w:r w:rsidRPr="004F7D0D">
              <w:t xml:space="preserve"> type b, measles, mumps and rubella.</w:t>
            </w:r>
          </w:p>
          <w:p w:rsidR="00D533FD" w:rsidRPr="004F7D0D" w:rsidRDefault="00D533FD" w:rsidP="00D77D29">
            <w:pPr>
              <w:pStyle w:val="BoxListBullet"/>
            </w:pPr>
            <w:r w:rsidRPr="004F7D0D">
              <w:t xml:space="preserve">Vaccination coverage rates calculated using ACIR data </w:t>
            </w:r>
            <w:r w:rsidR="00AB5690" w:rsidRPr="004F7D0D">
              <w:t xml:space="preserve">may </w:t>
            </w:r>
            <w:r w:rsidRPr="004F7D0D">
              <w:t>under</w:t>
            </w:r>
            <w:r w:rsidR="00860BF0" w:rsidRPr="004F7D0D">
              <w:t>-</w:t>
            </w:r>
            <w:r w:rsidRPr="004F7D0D">
              <w:t>estimate actual vaccination rates</w:t>
            </w:r>
            <w:r w:rsidR="0071687E" w:rsidRPr="004F7D0D">
              <w:t>,</w:t>
            </w:r>
            <w:r w:rsidRPr="004F7D0D">
              <w:t xml:space="preserve"> because of under-reporting by immunisation providers. </w:t>
            </w:r>
            <w:r w:rsidR="00D6750E" w:rsidRPr="004F7D0D">
              <w:t>The extent of any under-reporting has not been assessed (although the wastage and leakage calculation (performance benchmark 3) includes an adjustment factor of 1.03 to account for under-reporting to ACIR).</w:t>
            </w:r>
          </w:p>
          <w:p w:rsidR="001E2C8D" w:rsidRPr="004F7D0D" w:rsidRDefault="0071687E" w:rsidP="00D77D29">
            <w:pPr>
              <w:pStyle w:val="BoxListBullet"/>
            </w:pPr>
            <w:r w:rsidRPr="004F7D0D">
              <w:t>D</w:t>
            </w:r>
            <w:r w:rsidR="00860BF0" w:rsidRPr="004F7D0D">
              <w:t>isaggregation by</w:t>
            </w:r>
            <w:r w:rsidR="001E2C8D" w:rsidRPr="004F7D0D">
              <w:t xml:space="preserve"> State and Territory is based on postcode of residence of the child as recorded on ACIR. As children may receive vaccinations in locations other than where they live, </w:t>
            </w:r>
            <w:r w:rsidRPr="004F7D0D">
              <w:t xml:space="preserve">these </w:t>
            </w:r>
            <w:r w:rsidR="001E2C8D" w:rsidRPr="004F7D0D">
              <w:t>data do not necessarily reflect the location in which services were received.</w:t>
            </w:r>
          </w:p>
          <w:p w:rsidR="000D6C74" w:rsidRPr="004F7D0D" w:rsidRDefault="001E2C8D" w:rsidP="00842B44">
            <w:pPr>
              <w:pStyle w:val="BoxListBullet"/>
            </w:pPr>
            <w:r w:rsidRPr="004F7D0D">
              <w:t>ACIR is considered to have high levels of Indigenous identification (estimated to be 95 per cent in 2005).</w:t>
            </w:r>
            <w:r w:rsidR="00EE75F0" w:rsidRPr="004F7D0D">
              <w:t xml:space="preserve"> Further i</w:t>
            </w:r>
            <w:r w:rsidR="00842B44" w:rsidRPr="004F7D0D">
              <w:t xml:space="preserve">nformation on coverage rates for Indigenous Australians is currently publicly </w:t>
            </w:r>
            <w:r w:rsidR="00EE75F0" w:rsidRPr="004F7D0D">
              <w:t>available</w:t>
            </w:r>
            <w:r w:rsidR="00842B44" w:rsidRPr="004F7D0D">
              <w:t xml:space="preserve"> by Medicare Local catchment on the National Health Performance Authority (</w:t>
            </w:r>
            <w:proofErr w:type="spellStart"/>
            <w:r w:rsidR="00842B44" w:rsidRPr="004F7D0D">
              <w:t>NHPA</w:t>
            </w:r>
            <w:proofErr w:type="spellEnd"/>
            <w:r w:rsidR="00842B44" w:rsidRPr="004F7D0D">
              <w:t xml:space="preserve">) website </w:t>
            </w:r>
            <w:proofErr w:type="spellStart"/>
            <w:r w:rsidR="00842B44" w:rsidRPr="004F7D0D">
              <w:t>www.nhpa.gov.au</w:t>
            </w:r>
            <w:proofErr w:type="spellEnd"/>
            <w:r w:rsidR="00842B44" w:rsidRPr="004F7D0D">
              <w:t>.</w:t>
            </w:r>
          </w:p>
          <w:p w:rsidR="000F160C" w:rsidRPr="004F7D0D" w:rsidRDefault="000F160C" w:rsidP="000F160C">
            <w:pPr>
              <w:pStyle w:val="BoxListBullet"/>
              <w:numPr>
                <w:ilvl w:val="0"/>
                <w:numId w:val="0"/>
              </w:numPr>
            </w:pPr>
            <w:r w:rsidRPr="004F7D0D">
              <w:t>The Steering Committee has no additional issues for noting with this indicator.</w:t>
            </w:r>
          </w:p>
        </w:tc>
      </w:tr>
      <w:tr w:rsidR="004F7D0D" w:rsidRPr="004F7D0D" w:rsidTr="00226E15">
        <w:trPr>
          <w:cantSplit/>
        </w:trPr>
        <w:tc>
          <w:tcPr>
            <w:tcW w:w="8771" w:type="dxa"/>
            <w:tcBorders>
              <w:top w:val="nil"/>
              <w:left w:val="single" w:sz="6" w:space="0" w:color="auto"/>
              <w:bottom w:val="single" w:sz="6" w:space="0" w:color="auto"/>
              <w:right w:val="single" w:sz="6" w:space="0" w:color="auto"/>
            </w:tcBorders>
          </w:tcPr>
          <w:p w:rsidR="00851A84" w:rsidRPr="004F7D0D" w:rsidRDefault="00851A84" w:rsidP="00226E15">
            <w:pPr>
              <w:pStyle w:val="Box"/>
              <w:spacing w:before="0" w:line="120" w:lineRule="exact"/>
            </w:pPr>
          </w:p>
        </w:tc>
      </w:tr>
      <w:tr w:rsidR="004F7D0D" w:rsidRPr="004F7D0D" w:rsidTr="00226E15">
        <w:tc>
          <w:tcPr>
            <w:tcW w:w="8771" w:type="dxa"/>
            <w:tcBorders>
              <w:top w:val="nil"/>
              <w:left w:val="nil"/>
              <w:bottom w:val="nil"/>
              <w:right w:val="nil"/>
            </w:tcBorders>
          </w:tcPr>
          <w:p w:rsidR="00851A84" w:rsidRPr="004F7D0D" w:rsidRDefault="00851A84" w:rsidP="00226E15">
            <w:pPr>
              <w:pStyle w:val="Box"/>
              <w:keepNext w:val="0"/>
              <w:spacing w:before="60" w:after="60" w:line="80" w:lineRule="exact"/>
              <w:rPr>
                <w:b/>
                <w:sz w:val="14"/>
              </w:rPr>
            </w:pPr>
          </w:p>
        </w:tc>
      </w:tr>
    </w:tbl>
    <w:p w:rsidR="00851A84" w:rsidRPr="004F7D0D" w:rsidRDefault="00851A84" w:rsidP="00851A84">
      <w:pPr>
        <w:pStyle w:val="Heading3"/>
      </w:pPr>
      <w:r w:rsidRPr="004F7D0D">
        <w:br w:type="page"/>
      </w:r>
      <w:r w:rsidRPr="004F7D0D">
        <w:lastRenderedPageBreak/>
        <w:t>Performance benchmark 2 — Maintaining or increasing vaccine coverage in agreed areas of low immunisation coverage</w:t>
      </w:r>
    </w:p>
    <w:p w:rsidR="00851A84" w:rsidRPr="004F7D0D" w:rsidRDefault="00851A84" w:rsidP="00851A84">
      <w:pPr>
        <w:pStyle w:val="BoxSpace"/>
      </w:pPr>
    </w:p>
    <w:tbl>
      <w:tblPr>
        <w:tblW w:w="0" w:type="auto"/>
        <w:tblLook w:val="01E0" w:firstRow="1" w:lastRow="1" w:firstColumn="1" w:lastColumn="1" w:noHBand="0" w:noVBand="0"/>
      </w:tblPr>
      <w:tblGrid>
        <w:gridCol w:w="1877"/>
        <w:gridCol w:w="6946"/>
      </w:tblGrid>
      <w:tr w:rsidR="004F7D0D" w:rsidRPr="004F7D0D" w:rsidTr="00C74B12">
        <w:tc>
          <w:tcPr>
            <w:tcW w:w="1877" w:type="dxa"/>
            <w:shd w:val="clear" w:color="auto" w:fill="auto"/>
          </w:tcPr>
          <w:p w:rsidR="00851A84" w:rsidRPr="004F7D0D" w:rsidRDefault="00851A84" w:rsidP="00C74B12">
            <w:pPr>
              <w:pStyle w:val="TableBodyText"/>
              <w:jc w:val="left"/>
            </w:pPr>
            <w:r w:rsidRPr="004F7D0D">
              <w:t>Performance benchmark</w:t>
            </w:r>
            <w:r w:rsidR="0017195E" w:rsidRPr="004F7D0D">
              <w:t>:</w:t>
            </w:r>
          </w:p>
          <w:p w:rsidR="00851A84" w:rsidRPr="004F7D0D" w:rsidRDefault="00851A84" w:rsidP="00C74B12">
            <w:pPr>
              <w:pStyle w:val="TableBodyText"/>
              <w:jc w:val="left"/>
            </w:pPr>
          </w:p>
        </w:tc>
        <w:tc>
          <w:tcPr>
            <w:tcW w:w="6946" w:type="dxa"/>
            <w:shd w:val="clear" w:color="auto" w:fill="auto"/>
          </w:tcPr>
          <w:p w:rsidR="00851A84" w:rsidRPr="004F7D0D" w:rsidRDefault="00851A84" w:rsidP="00C74B12">
            <w:pPr>
              <w:pStyle w:val="TableBodyText"/>
              <w:jc w:val="left"/>
            </w:pPr>
            <w:r w:rsidRPr="004F7D0D">
              <w:t xml:space="preserve">Maintaining or increasing coverage in agreed areas of low </w:t>
            </w:r>
            <w:r w:rsidR="006F7731" w:rsidRPr="004F7D0D">
              <w:t xml:space="preserve">immunisation </w:t>
            </w:r>
            <w:r w:rsidRPr="004F7D0D">
              <w:t>coverage</w:t>
            </w:r>
          </w:p>
        </w:tc>
      </w:tr>
      <w:tr w:rsidR="004F7D0D" w:rsidRPr="004F7D0D" w:rsidTr="00C74B12">
        <w:tc>
          <w:tcPr>
            <w:tcW w:w="1877" w:type="dxa"/>
            <w:shd w:val="clear" w:color="auto" w:fill="auto"/>
          </w:tcPr>
          <w:p w:rsidR="00851A84" w:rsidRPr="004F7D0D" w:rsidRDefault="00851A84" w:rsidP="00C74B12">
            <w:pPr>
              <w:pStyle w:val="TableBodyText"/>
              <w:jc w:val="left"/>
            </w:pPr>
            <w:r w:rsidRPr="004F7D0D">
              <w:t>Measure</w:t>
            </w:r>
            <w:r w:rsidR="0017195E" w:rsidRPr="004F7D0D">
              <w:t>:</w:t>
            </w:r>
          </w:p>
          <w:p w:rsidR="00851A84" w:rsidRPr="004F7D0D" w:rsidRDefault="00851A84" w:rsidP="00C74B12">
            <w:pPr>
              <w:pStyle w:val="TableBodyText"/>
              <w:jc w:val="left"/>
            </w:pPr>
          </w:p>
        </w:tc>
        <w:tc>
          <w:tcPr>
            <w:tcW w:w="6946" w:type="dxa"/>
            <w:shd w:val="clear" w:color="auto" w:fill="auto"/>
          </w:tcPr>
          <w:p w:rsidR="00DF5984" w:rsidRPr="004F7D0D" w:rsidRDefault="008A2A74" w:rsidP="00C74B12">
            <w:pPr>
              <w:pStyle w:val="TableBodyText"/>
              <w:framePr w:w="2155" w:hSpace="227" w:vSpace="181" w:wrap="around" w:vAnchor="text" w:hAnchor="page" w:xAlign="outside" w:y="1"/>
              <w:jc w:val="left"/>
            </w:pPr>
            <w:r w:rsidRPr="004F7D0D">
              <w:t>Proportion of Australian children resident in an area of low immunisation coverage that are reported as fully immunised</w:t>
            </w:r>
          </w:p>
          <w:p w:rsidR="008A2A74" w:rsidRPr="004F7D0D" w:rsidRDefault="008A2A74" w:rsidP="00C74B12">
            <w:pPr>
              <w:pStyle w:val="TableBodyText"/>
              <w:jc w:val="left"/>
            </w:pPr>
          </w:p>
          <w:p w:rsidR="00633B4F" w:rsidRPr="004F7D0D" w:rsidRDefault="00633B4F" w:rsidP="00C74B12">
            <w:pPr>
              <w:pStyle w:val="TableBodyText"/>
              <w:jc w:val="left"/>
            </w:pPr>
            <w:r w:rsidRPr="004F7D0D">
              <w:t>The measure is defined as:</w:t>
            </w:r>
          </w:p>
          <w:p w:rsidR="00DF5984" w:rsidRPr="004F7D0D" w:rsidRDefault="00633B4F" w:rsidP="00DF5984">
            <w:pPr>
              <w:pStyle w:val="TableBullet"/>
            </w:pPr>
            <w:r w:rsidRPr="004F7D0D">
              <w:rPr>
                <w:i/>
              </w:rPr>
              <w:t>N</w:t>
            </w:r>
            <w:r w:rsidR="00DF5984" w:rsidRPr="004F7D0D">
              <w:rPr>
                <w:i/>
              </w:rPr>
              <w:t>umerator</w:t>
            </w:r>
            <w:r w:rsidR="00DF5984" w:rsidRPr="004F7D0D">
              <w:t xml:space="preserve"> — the number of children</w:t>
            </w:r>
            <w:r w:rsidR="00D30FCF" w:rsidRPr="004F7D0D">
              <w:t xml:space="preserve"> resident</w:t>
            </w:r>
            <w:r w:rsidR="00DF5984" w:rsidRPr="004F7D0D">
              <w:t xml:space="preserve"> in </w:t>
            </w:r>
            <w:r w:rsidR="006F7731" w:rsidRPr="004F7D0D">
              <w:t xml:space="preserve">nominated </w:t>
            </w:r>
            <w:r w:rsidR="00D30FCF" w:rsidRPr="004F7D0D">
              <w:t>area</w:t>
            </w:r>
            <w:r w:rsidR="006F7731" w:rsidRPr="004F7D0D">
              <w:t>s</w:t>
            </w:r>
            <w:r w:rsidR="00D30FCF" w:rsidRPr="004F7D0D">
              <w:t xml:space="preserve"> of </w:t>
            </w:r>
            <w:r w:rsidR="00DF5984" w:rsidRPr="004F7D0D">
              <w:t xml:space="preserve">low </w:t>
            </w:r>
            <w:r w:rsidR="00D30FCF" w:rsidRPr="004F7D0D">
              <w:t xml:space="preserve">immunisation </w:t>
            </w:r>
            <w:r w:rsidR="00DF5984" w:rsidRPr="004F7D0D">
              <w:t xml:space="preserve">coverage reported as fully immunised </w:t>
            </w:r>
            <w:r w:rsidR="00D77D29" w:rsidRPr="004F7D0D">
              <w:t xml:space="preserve">in the ACIR </w:t>
            </w:r>
            <w:r w:rsidR="00A97791" w:rsidRPr="004F7D0D">
              <w:t>aged 12 </w:t>
            </w:r>
            <w:r w:rsidR="00DD23D6" w:rsidRPr="004F7D0D">
              <w:rPr>
                <w:rFonts w:cs="Arial"/>
                <w:u w:val="single"/>
              </w:rPr>
              <w:t>&lt;</w:t>
            </w:r>
            <w:r w:rsidR="00DF5984" w:rsidRPr="004F7D0D">
              <w:t xml:space="preserve"> 15 months and 60 </w:t>
            </w:r>
            <w:r w:rsidR="00DD23D6" w:rsidRPr="004F7D0D">
              <w:rPr>
                <w:rFonts w:cs="Arial"/>
                <w:u w:val="single"/>
              </w:rPr>
              <w:t>&lt;</w:t>
            </w:r>
            <w:r w:rsidR="00DF5984" w:rsidRPr="004F7D0D">
              <w:t xml:space="preserve"> 63 months</w:t>
            </w:r>
          </w:p>
          <w:p w:rsidR="00DF5984" w:rsidRPr="004F7D0D" w:rsidRDefault="00633B4F" w:rsidP="00DF5984">
            <w:pPr>
              <w:pStyle w:val="TableBullet"/>
            </w:pPr>
            <w:r w:rsidRPr="004F7D0D">
              <w:rPr>
                <w:i/>
              </w:rPr>
              <w:t>D</w:t>
            </w:r>
            <w:r w:rsidR="00DF5984" w:rsidRPr="004F7D0D">
              <w:rPr>
                <w:i/>
              </w:rPr>
              <w:t>enominator</w:t>
            </w:r>
            <w:r w:rsidR="00DF5984" w:rsidRPr="004F7D0D">
              <w:t xml:space="preserve"> — total number of children </w:t>
            </w:r>
            <w:r w:rsidR="00272CF9" w:rsidRPr="004F7D0D">
              <w:t xml:space="preserve">resident in nominated </w:t>
            </w:r>
            <w:r w:rsidR="00D30FCF" w:rsidRPr="004F7D0D">
              <w:t>area</w:t>
            </w:r>
            <w:r w:rsidR="00272CF9" w:rsidRPr="004F7D0D">
              <w:t>s</w:t>
            </w:r>
            <w:r w:rsidR="00D30FCF" w:rsidRPr="004F7D0D">
              <w:t xml:space="preserve"> of low immunisation coverage</w:t>
            </w:r>
            <w:r w:rsidR="00D77D29" w:rsidRPr="004F7D0D">
              <w:t xml:space="preserve"> as registered in the ACIR</w:t>
            </w:r>
            <w:r w:rsidR="00D30FCF" w:rsidRPr="004F7D0D">
              <w:t xml:space="preserve"> </w:t>
            </w:r>
            <w:r w:rsidR="00DF5984" w:rsidRPr="004F7D0D">
              <w:t xml:space="preserve">aged 12 </w:t>
            </w:r>
            <w:r w:rsidR="00DD23D6" w:rsidRPr="004F7D0D">
              <w:rPr>
                <w:rFonts w:cs="Arial"/>
                <w:u w:val="single"/>
              </w:rPr>
              <w:t>&lt;</w:t>
            </w:r>
            <w:r w:rsidR="00056FCF" w:rsidRPr="004F7D0D">
              <w:t xml:space="preserve"> 15 months</w:t>
            </w:r>
            <w:r w:rsidR="00DF5984" w:rsidRPr="004F7D0D">
              <w:t xml:space="preserve"> and 60 </w:t>
            </w:r>
            <w:r w:rsidR="00DD23D6" w:rsidRPr="004F7D0D">
              <w:rPr>
                <w:rFonts w:cs="Arial"/>
                <w:u w:val="single"/>
              </w:rPr>
              <w:t>&lt;</w:t>
            </w:r>
            <w:r w:rsidR="00DF5984" w:rsidRPr="004F7D0D">
              <w:t xml:space="preserve"> 63 </w:t>
            </w:r>
            <w:r w:rsidR="00056FCF" w:rsidRPr="004F7D0D">
              <w:t>months</w:t>
            </w:r>
          </w:p>
          <w:p w:rsidR="00DF5984" w:rsidRPr="004F7D0D" w:rsidRDefault="00DF5984" w:rsidP="00C74B12">
            <w:pPr>
              <w:pStyle w:val="TableBodyText"/>
              <w:jc w:val="left"/>
              <w:rPr>
                <w:i/>
              </w:rPr>
            </w:pPr>
            <w:r w:rsidRPr="004F7D0D">
              <w:t xml:space="preserve">and is expressed as a </w:t>
            </w:r>
            <w:r w:rsidRPr="004F7D0D">
              <w:rPr>
                <w:i/>
              </w:rPr>
              <w:t>percentage</w:t>
            </w:r>
          </w:p>
          <w:p w:rsidR="006F7731" w:rsidRPr="004F7D0D" w:rsidRDefault="006F7731" w:rsidP="00C74B12">
            <w:pPr>
              <w:pStyle w:val="TableBodyText"/>
              <w:jc w:val="left"/>
            </w:pPr>
          </w:p>
          <w:p w:rsidR="006F7731" w:rsidRPr="004F7D0D" w:rsidRDefault="006F7731" w:rsidP="00C74B12">
            <w:pPr>
              <w:pStyle w:val="TableBodyText"/>
              <w:jc w:val="left"/>
            </w:pPr>
            <w:r w:rsidRPr="004F7D0D">
              <w:t xml:space="preserve">‘Maintaining or increasing’ is defined as the average coverage rate (ie, the average across the identified low immunisation areas) for each age </w:t>
            </w:r>
            <w:r w:rsidR="00BE39B8" w:rsidRPr="004F7D0D">
              <w:t>cohort being</w:t>
            </w:r>
            <w:r w:rsidRPr="004F7D0D">
              <w:t xml:space="preserve"> equal </w:t>
            </w:r>
            <w:r w:rsidR="00272CF9" w:rsidRPr="004F7D0D">
              <w:t xml:space="preserve">to </w:t>
            </w:r>
            <w:r w:rsidRPr="004F7D0D">
              <w:t>or greater than the average coverage rate</w:t>
            </w:r>
            <w:r w:rsidR="00272CF9" w:rsidRPr="004F7D0D">
              <w:t xml:space="preserve"> for the equivalent age cohort</w:t>
            </w:r>
            <w:r w:rsidRPr="004F7D0D">
              <w:t xml:space="preserve"> for the previous period.</w:t>
            </w:r>
          </w:p>
          <w:p w:rsidR="006F7731" w:rsidRPr="004F7D0D" w:rsidRDefault="006F7731" w:rsidP="00C74B12">
            <w:pPr>
              <w:pStyle w:val="TableBodyText"/>
              <w:jc w:val="left"/>
            </w:pPr>
          </w:p>
          <w:p w:rsidR="00682696" w:rsidRPr="004F7D0D" w:rsidRDefault="00682696" w:rsidP="00013C00">
            <w:pPr>
              <w:pStyle w:val="TableBodyText"/>
              <w:jc w:val="left"/>
              <w:rPr>
                <w:i/>
              </w:rPr>
            </w:pPr>
            <w:r w:rsidRPr="004F7D0D">
              <w:rPr>
                <w:i/>
              </w:rPr>
              <w:t>A child is fully immunised when they are up-to-date, and recorded in ACIR as having received the standard vaccination schedule for their age or are on a suitable catch-up program based on the National Immu</w:t>
            </w:r>
            <w:r w:rsidR="005C79AE">
              <w:rPr>
                <w:i/>
              </w:rPr>
              <w:t>nisation Program (NIP) schedule.</w:t>
            </w:r>
          </w:p>
          <w:p w:rsidR="00DD23D6" w:rsidRPr="004F7D0D" w:rsidRDefault="00DD23D6" w:rsidP="00C74B12">
            <w:pPr>
              <w:pStyle w:val="TableBodyText"/>
              <w:jc w:val="left"/>
              <w:rPr>
                <w:i/>
              </w:rPr>
            </w:pPr>
          </w:p>
          <w:p w:rsidR="00DD23D6" w:rsidRPr="004F7D0D" w:rsidRDefault="00DD23D6" w:rsidP="00C74B12">
            <w:pPr>
              <w:pStyle w:val="TableBodyText"/>
              <w:jc w:val="left"/>
              <w:rPr>
                <w:i/>
              </w:rPr>
            </w:pPr>
            <w:r w:rsidRPr="004F7D0D">
              <w:rPr>
                <w:i/>
              </w:rPr>
              <w:t xml:space="preserve">Low immunisation coverage areas consist of local government areas (LGAs) (or if LGA data is unavailable Divisions of General Practice (DGP)) that have an immunisation coverage rate that is more than </w:t>
            </w:r>
            <w:r w:rsidRPr="004F7D0D">
              <w:rPr>
                <w:i/>
                <w:u w:val="single"/>
              </w:rPr>
              <w:t xml:space="preserve">5 per cent </w:t>
            </w:r>
            <w:r w:rsidRPr="004F7D0D">
              <w:rPr>
                <w:i/>
              </w:rPr>
              <w:t>below the national average and, in combination (where applicable) contain a minimum of 2 per cent of the relevant age cohort for the State or Territory as a whole</w:t>
            </w:r>
            <w:r w:rsidR="00E30841" w:rsidRPr="004F7D0D">
              <w:rPr>
                <w:i/>
              </w:rPr>
              <w:t>.</w:t>
            </w:r>
          </w:p>
          <w:p w:rsidR="00DF5984" w:rsidRPr="004F7D0D" w:rsidRDefault="00DF5984" w:rsidP="00C74B12">
            <w:pPr>
              <w:pStyle w:val="TableBodyText"/>
              <w:jc w:val="left"/>
            </w:pPr>
          </w:p>
        </w:tc>
      </w:tr>
      <w:tr w:rsidR="004F7D0D" w:rsidRPr="004F7D0D" w:rsidTr="00C74B12">
        <w:tc>
          <w:tcPr>
            <w:tcW w:w="1877" w:type="dxa"/>
            <w:shd w:val="clear" w:color="auto" w:fill="auto"/>
          </w:tcPr>
          <w:p w:rsidR="00D51D1F" w:rsidRPr="004F7D0D" w:rsidRDefault="00D51D1F" w:rsidP="00C74B12">
            <w:pPr>
              <w:pStyle w:val="TableBodyText"/>
              <w:jc w:val="left"/>
            </w:pPr>
            <w:r w:rsidRPr="004F7D0D">
              <w:t>Data source</w:t>
            </w:r>
          </w:p>
        </w:tc>
        <w:tc>
          <w:tcPr>
            <w:tcW w:w="6946" w:type="dxa"/>
            <w:shd w:val="clear" w:color="auto" w:fill="auto"/>
          </w:tcPr>
          <w:p w:rsidR="00D51D1F" w:rsidRPr="004F7D0D" w:rsidRDefault="00D51D1F" w:rsidP="00D51D1F">
            <w:pPr>
              <w:pStyle w:val="TableBodyText"/>
              <w:jc w:val="left"/>
            </w:pPr>
            <w:r w:rsidRPr="004F7D0D">
              <w:rPr>
                <w:i/>
              </w:rPr>
              <w:t xml:space="preserve">Numerator and denominator </w:t>
            </w:r>
            <w:r w:rsidRPr="004F7D0D">
              <w:t xml:space="preserve">— </w:t>
            </w:r>
            <w:r w:rsidRPr="004F7D0D">
              <w:rPr>
                <w:u w:val="single"/>
              </w:rPr>
              <w:t>Australian Childhood Immunisation Register</w:t>
            </w:r>
            <w:r w:rsidRPr="004F7D0D">
              <w:t xml:space="preserve"> (ACIR)</w:t>
            </w:r>
          </w:p>
          <w:p w:rsidR="00D51D1F" w:rsidRPr="004F7D0D" w:rsidRDefault="00D51D1F" w:rsidP="00C74B12">
            <w:pPr>
              <w:pStyle w:val="TableBodyText"/>
              <w:framePr w:w="2155" w:hSpace="227" w:vSpace="181" w:wrap="around" w:vAnchor="text" w:hAnchor="page" w:xAlign="outside" w:y="1"/>
              <w:jc w:val="left"/>
            </w:pPr>
          </w:p>
        </w:tc>
      </w:tr>
      <w:tr w:rsidR="004F7D0D" w:rsidRPr="004F7D0D" w:rsidTr="00C74B12">
        <w:tc>
          <w:tcPr>
            <w:tcW w:w="1877" w:type="dxa"/>
            <w:shd w:val="clear" w:color="auto" w:fill="auto"/>
          </w:tcPr>
          <w:p w:rsidR="00D51D1F" w:rsidRPr="004F7D0D" w:rsidRDefault="00D51D1F" w:rsidP="00C74B12">
            <w:pPr>
              <w:pStyle w:val="TableBodyText"/>
              <w:jc w:val="left"/>
            </w:pPr>
            <w:r w:rsidRPr="004F7D0D">
              <w:t>Data provider:</w:t>
            </w:r>
          </w:p>
          <w:p w:rsidR="00D51D1F" w:rsidRPr="004F7D0D" w:rsidRDefault="00D51D1F" w:rsidP="00C74B12">
            <w:pPr>
              <w:pStyle w:val="TableBodyText"/>
              <w:jc w:val="left"/>
            </w:pPr>
          </w:p>
        </w:tc>
        <w:tc>
          <w:tcPr>
            <w:tcW w:w="6946" w:type="dxa"/>
            <w:shd w:val="clear" w:color="auto" w:fill="auto"/>
          </w:tcPr>
          <w:p w:rsidR="00D51D1F" w:rsidRPr="004F7D0D" w:rsidRDefault="00D51D1F" w:rsidP="00C74B12">
            <w:pPr>
              <w:pStyle w:val="TableBodyText"/>
              <w:framePr w:w="2155" w:hSpace="227" w:vSpace="181" w:wrap="around" w:vAnchor="text" w:hAnchor="page" w:xAlign="outside" w:y="1"/>
              <w:jc w:val="left"/>
            </w:pPr>
            <w:smartTag w:uri="urn:schemas-microsoft-com:office:smarttags" w:element="place">
              <w:smartTag w:uri="urn:schemas-microsoft-com:office:smarttags" w:element="City">
                <w:r w:rsidRPr="004F7D0D">
                  <w:t>DoHA</w:t>
                </w:r>
              </w:smartTag>
            </w:smartTag>
          </w:p>
        </w:tc>
      </w:tr>
      <w:tr w:rsidR="004F7D0D" w:rsidRPr="004F7D0D" w:rsidTr="00C74B12">
        <w:tc>
          <w:tcPr>
            <w:tcW w:w="1877" w:type="dxa"/>
            <w:shd w:val="clear" w:color="auto" w:fill="auto"/>
          </w:tcPr>
          <w:p w:rsidR="00D51D1F" w:rsidRPr="004F7D0D" w:rsidRDefault="00D51D1F" w:rsidP="00D51D1F">
            <w:pPr>
              <w:pStyle w:val="TableBodyText"/>
              <w:jc w:val="left"/>
            </w:pPr>
            <w:r w:rsidRPr="004F7D0D">
              <w:t>Data availability:</w:t>
            </w:r>
          </w:p>
          <w:p w:rsidR="00D51D1F" w:rsidRPr="004F7D0D" w:rsidRDefault="00D51D1F" w:rsidP="00C74B12">
            <w:pPr>
              <w:pStyle w:val="TableBodyText"/>
              <w:jc w:val="left"/>
            </w:pPr>
          </w:p>
        </w:tc>
        <w:tc>
          <w:tcPr>
            <w:tcW w:w="6946" w:type="dxa"/>
            <w:shd w:val="clear" w:color="auto" w:fill="auto"/>
          </w:tcPr>
          <w:p w:rsidR="00D51D1F" w:rsidRPr="004F7D0D" w:rsidRDefault="00D51D1F" w:rsidP="00C74B12">
            <w:pPr>
              <w:pStyle w:val="TableBodyText"/>
              <w:framePr w:w="2155" w:hSpace="227" w:vSpace="181" w:wrap="around" w:vAnchor="text" w:hAnchor="page" w:xAlign="outside" w:y="1"/>
              <w:jc w:val="left"/>
            </w:pPr>
            <w:r w:rsidRPr="004F7D0D">
              <w:t>1 April 2012 to 31 March 2013</w:t>
            </w:r>
          </w:p>
        </w:tc>
      </w:tr>
      <w:tr w:rsidR="00D51D1F" w:rsidRPr="004F7D0D" w:rsidTr="00C74B12">
        <w:tc>
          <w:tcPr>
            <w:tcW w:w="1877" w:type="dxa"/>
            <w:shd w:val="clear" w:color="auto" w:fill="auto"/>
          </w:tcPr>
          <w:p w:rsidR="00D51D1F" w:rsidRPr="004F7D0D" w:rsidRDefault="00D51D1F" w:rsidP="00D51D1F">
            <w:pPr>
              <w:pStyle w:val="TableBodyText"/>
              <w:jc w:val="left"/>
            </w:pPr>
            <w:r w:rsidRPr="004F7D0D">
              <w:t>Cross tabulations:</w:t>
            </w:r>
          </w:p>
          <w:p w:rsidR="00D51D1F" w:rsidRPr="004F7D0D" w:rsidRDefault="00D51D1F" w:rsidP="00D51D1F">
            <w:pPr>
              <w:pStyle w:val="TableBodyText"/>
              <w:jc w:val="left"/>
            </w:pPr>
          </w:p>
        </w:tc>
        <w:tc>
          <w:tcPr>
            <w:tcW w:w="6946" w:type="dxa"/>
            <w:shd w:val="clear" w:color="auto" w:fill="auto"/>
          </w:tcPr>
          <w:p w:rsidR="00D51D1F" w:rsidRPr="004F7D0D" w:rsidRDefault="00D51D1F" w:rsidP="00D51D1F">
            <w:pPr>
              <w:pStyle w:val="TableBodyText"/>
              <w:jc w:val="left"/>
            </w:pPr>
            <w:r w:rsidRPr="004F7D0D">
              <w:t>State and Territory, by:</w:t>
            </w:r>
          </w:p>
          <w:p w:rsidR="00D51D1F" w:rsidRPr="004F7D0D" w:rsidRDefault="00D51D1F" w:rsidP="008554F9">
            <w:pPr>
              <w:pStyle w:val="TableBullet"/>
            </w:pPr>
            <w:r w:rsidRPr="004F7D0D">
              <w:t xml:space="preserve">Age (12 </w:t>
            </w:r>
            <w:r w:rsidRPr="004F7D0D">
              <w:rPr>
                <w:rFonts w:cs="Arial"/>
                <w:u w:val="single"/>
              </w:rPr>
              <w:t>&lt;</w:t>
            </w:r>
            <w:r w:rsidRPr="004F7D0D">
              <w:t xml:space="preserve"> 15 months, 60</w:t>
            </w:r>
            <w:r w:rsidRPr="004F7D0D">
              <w:rPr>
                <w:rFonts w:cs="Arial"/>
                <w:u w:val="single"/>
              </w:rPr>
              <w:t>&lt;</w:t>
            </w:r>
            <w:r w:rsidRPr="004F7D0D">
              <w:t xml:space="preserve"> 63 months)</w:t>
            </w:r>
          </w:p>
        </w:tc>
      </w:tr>
    </w:tbl>
    <w:p w:rsidR="00851A84" w:rsidRPr="004F7D0D" w:rsidRDefault="00851A84" w:rsidP="00A35115">
      <w:pPr>
        <w:pStyle w:val="BodyText"/>
      </w:pPr>
    </w:p>
    <w:p w:rsidR="00851A84" w:rsidRPr="004F7D0D" w:rsidRDefault="00851A84" w:rsidP="00851A84">
      <w:pPr>
        <w:pStyle w:val="TableTitle"/>
        <w:rPr>
          <w:rStyle w:val="NoteLabel"/>
          <w:b/>
        </w:rPr>
      </w:pPr>
      <w:r w:rsidRPr="004F7D0D">
        <w:rPr>
          <w:b w:val="0"/>
        </w:rPr>
        <w:lastRenderedPageBreak/>
        <w:t xml:space="preserve">Table </w:t>
      </w:r>
      <w:r w:rsidRPr="004F7D0D">
        <w:rPr>
          <w:b w:val="0"/>
        </w:rPr>
        <w:fldChar w:fldCharType="begin"/>
      </w:r>
      <w:r w:rsidRPr="004F7D0D">
        <w:rPr>
          <w:b w:val="0"/>
        </w:rPr>
        <w:instrText xml:space="preserve"> SEQ Table \* ARABIC </w:instrText>
      </w:r>
      <w:r w:rsidRPr="004F7D0D">
        <w:rPr>
          <w:b w:val="0"/>
        </w:rPr>
        <w:fldChar w:fldCharType="separate"/>
      </w:r>
      <w:r w:rsidR="003F1C71">
        <w:rPr>
          <w:b w:val="0"/>
          <w:noProof/>
        </w:rPr>
        <w:t>2</w:t>
      </w:r>
      <w:r w:rsidRPr="004F7D0D">
        <w:rPr>
          <w:b w:val="0"/>
        </w:rPr>
        <w:fldChar w:fldCharType="end"/>
      </w:r>
      <w:r w:rsidRPr="004F7D0D">
        <w:tab/>
      </w:r>
      <w:r w:rsidR="00056FCF" w:rsidRPr="004F7D0D">
        <w:t xml:space="preserve">Proportion of </w:t>
      </w:r>
      <w:r w:rsidR="00DF4739" w:rsidRPr="004F7D0D">
        <w:t xml:space="preserve">Australian </w:t>
      </w:r>
      <w:r w:rsidR="00056FCF" w:rsidRPr="004F7D0D">
        <w:t xml:space="preserve">children fully vaccinated </w:t>
      </w:r>
      <w:r w:rsidR="00DF4739" w:rsidRPr="004F7D0D">
        <w:t xml:space="preserve">resident </w:t>
      </w:r>
      <w:r w:rsidR="00056FCF" w:rsidRPr="004F7D0D">
        <w:t>in agreed area</w:t>
      </w:r>
      <w:r w:rsidR="00640238" w:rsidRPr="004F7D0D">
        <w:t>s of low immunisation coverage</w:t>
      </w:r>
      <w:r w:rsidR="00FD1539" w:rsidRPr="004F7D0D">
        <w:t xml:space="preserve">, </w:t>
      </w:r>
      <w:r w:rsidR="008A2A74" w:rsidRPr="004F7D0D">
        <w:t xml:space="preserve">by </w:t>
      </w:r>
      <w:r w:rsidR="00A22D64" w:rsidRPr="004F7D0D">
        <w:t>age</w:t>
      </w:r>
      <w:r w:rsidR="00DF4739" w:rsidRPr="004F7D0D">
        <w:t xml:space="preserve"> cohort (per cent</w:t>
      </w:r>
      <w:r w:rsidR="00253D5F" w:rsidRPr="004F7D0D">
        <w:t>)</w:t>
      </w:r>
      <w:r w:rsidR="00253D5F" w:rsidRPr="004F7D0D">
        <w:rPr>
          <w:rStyle w:val="NoteLabel"/>
          <w:b/>
        </w:rPr>
        <w:t xml:space="preserve"> a</w:t>
      </w:r>
      <w:r w:rsidR="00122BAE" w:rsidRPr="004F7D0D">
        <w:rPr>
          <w:rStyle w:val="NoteLabel"/>
          <w:b/>
        </w:rPr>
        <w:t>, b, c</w:t>
      </w:r>
    </w:p>
    <w:tbl>
      <w:tblPr>
        <w:tblW w:w="5000" w:type="pct"/>
        <w:tblLayout w:type="fixed"/>
        <w:tblCellMar>
          <w:left w:w="0" w:type="dxa"/>
          <w:right w:w="0" w:type="dxa"/>
        </w:tblCellMar>
        <w:tblLook w:val="0000" w:firstRow="0" w:lastRow="0" w:firstColumn="0" w:lastColumn="0" w:noHBand="0" w:noVBand="0"/>
      </w:tblPr>
      <w:tblGrid>
        <w:gridCol w:w="3059"/>
        <w:gridCol w:w="721"/>
        <w:gridCol w:w="721"/>
        <w:gridCol w:w="721"/>
        <w:gridCol w:w="721"/>
        <w:gridCol w:w="721"/>
        <w:gridCol w:w="719"/>
        <w:gridCol w:w="717"/>
        <w:gridCol w:w="689"/>
      </w:tblGrid>
      <w:tr w:rsidR="004F7D0D" w:rsidRPr="004F7D0D" w:rsidTr="00C74215">
        <w:tc>
          <w:tcPr>
            <w:tcW w:w="1741" w:type="pct"/>
            <w:tcBorders>
              <w:top w:val="single" w:sz="6" w:space="0" w:color="auto"/>
              <w:bottom w:val="single" w:sz="6" w:space="0" w:color="auto"/>
            </w:tcBorders>
            <w:shd w:val="clear" w:color="auto" w:fill="auto"/>
          </w:tcPr>
          <w:p w:rsidR="008554F9" w:rsidRPr="004F7D0D" w:rsidRDefault="008554F9" w:rsidP="00C74215">
            <w:pPr>
              <w:pStyle w:val="TableColumnHeading"/>
              <w:jc w:val="left"/>
            </w:pPr>
          </w:p>
        </w:tc>
        <w:tc>
          <w:tcPr>
            <w:tcW w:w="410" w:type="pct"/>
            <w:tcBorders>
              <w:top w:val="single" w:sz="6" w:space="0" w:color="auto"/>
              <w:bottom w:val="single" w:sz="6" w:space="0" w:color="auto"/>
            </w:tcBorders>
            <w:shd w:val="clear" w:color="auto" w:fill="auto"/>
          </w:tcPr>
          <w:p w:rsidR="008554F9" w:rsidRPr="004F7D0D" w:rsidRDefault="008554F9" w:rsidP="00C74215">
            <w:pPr>
              <w:pStyle w:val="TableColumnHeading"/>
              <w:ind w:right="28"/>
            </w:pPr>
            <w:r w:rsidRPr="004F7D0D">
              <w:t>NSW</w:t>
            </w:r>
          </w:p>
        </w:tc>
        <w:tc>
          <w:tcPr>
            <w:tcW w:w="410" w:type="pct"/>
            <w:tcBorders>
              <w:top w:val="single" w:sz="6" w:space="0" w:color="auto"/>
              <w:bottom w:val="single" w:sz="6" w:space="0" w:color="auto"/>
            </w:tcBorders>
          </w:tcPr>
          <w:p w:rsidR="008554F9" w:rsidRPr="004F7D0D" w:rsidRDefault="008554F9" w:rsidP="00C74215">
            <w:pPr>
              <w:pStyle w:val="TableColumnHeading"/>
              <w:ind w:right="28"/>
            </w:pPr>
            <w:r w:rsidRPr="004F7D0D">
              <w:t>Vic</w:t>
            </w:r>
          </w:p>
        </w:tc>
        <w:tc>
          <w:tcPr>
            <w:tcW w:w="410" w:type="pct"/>
            <w:tcBorders>
              <w:top w:val="single" w:sz="6" w:space="0" w:color="auto"/>
              <w:bottom w:val="single" w:sz="6" w:space="0" w:color="auto"/>
            </w:tcBorders>
          </w:tcPr>
          <w:p w:rsidR="008554F9" w:rsidRPr="004F7D0D" w:rsidRDefault="008554F9" w:rsidP="00C74215">
            <w:pPr>
              <w:pStyle w:val="TableColumnHeading"/>
              <w:ind w:right="28"/>
            </w:pPr>
            <w:r w:rsidRPr="004F7D0D">
              <w:t>Qld</w:t>
            </w:r>
          </w:p>
        </w:tc>
        <w:tc>
          <w:tcPr>
            <w:tcW w:w="410" w:type="pct"/>
            <w:tcBorders>
              <w:top w:val="single" w:sz="6" w:space="0" w:color="auto"/>
              <w:bottom w:val="single" w:sz="6" w:space="0" w:color="auto"/>
            </w:tcBorders>
          </w:tcPr>
          <w:p w:rsidR="008554F9" w:rsidRPr="004F7D0D" w:rsidRDefault="008554F9" w:rsidP="00C74215">
            <w:pPr>
              <w:pStyle w:val="TableColumnHeading"/>
              <w:ind w:right="28"/>
            </w:pPr>
            <w:r w:rsidRPr="004F7D0D">
              <w:t>WA</w:t>
            </w:r>
          </w:p>
        </w:tc>
        <w:tc>
          <w:tcPr>
            <w:tcW w:w="410" w:type="pct"/>
            <w:tcBorders>
              <w:top w:val="single" w:sz="6" w:space="0" w:color="auto"/>
              <w:bottom w:val="single" w:sz="6" w:space="0" w:color="auto"/>
            </w:tcBorders>
          </w:tcPr>
          <w:p w:rsidR="008554F9" w:rsidRPr="004F7D0D" w:rsidRDefault="008554F9" w:rsidP="00C74215">
            <w:pPr>
              <w:pStyle w:val="TableColumnHeading"/>
              <w:ind w:right="28"/>
            </w:pPr>
            <w:r w:rsidRPr="004F7D0D">
              <w:t>SA</w:t>
            </w:r>
          </w:p>
        </w:tc>
        <w:tc>
          <w:tcPr>
            <w:tcW w:w="409" w:type="pct"/>
            <w:tcBorders>
              <w:top w:val="single" w:sz="6" w:space="0" w:color="auto"/>
              <w:bottom w:val="single" w:sz="6" w:space="0" w:color="auto"/>
            </w:tcBorders>
          </w:tcPr>
          <w:p w:rsidR="008554F9" w:rsidRPr="004F7D0D" w:rsidRDefault="008554F9" w:rsidP="00C74215">
            <w:pPr>
              <w:pStyle w:val="TableColumnHeading"/>
              <w:ind w:right="28"/>
            </w:pPr>
            <w:r w:rsidRPr="004F7D0D">
              <w:t>Tas</w:t>
            </w:r>
          </w:p>
        </w:tc>
        <w:tc>
          <w:tcPr>
            <w:tcW w:w="408" w:type="pct"/>
            <w:tcBorders>
              <w:top w:val="single" w:sz="6" w:space="0" w:color="auto"/>
              <w:bottom w:val="single" w:sz="6" w:space="0" w:color="auto"/>
            </w:tcBorders>
          </w:tcPr>
          <w:p w:rsidR="008554F9" w:rsidRPr="004F7D0D" w:rsidRDefault="008554F9" w:rsidP="00C74215">
            <w:pPr>
              <w:pStyle w:val="TableColumnHeading"/>
              <w:ind w:right="28"/>
            </w:pPr>
            <w:r w:rsidRPr="004F7D0D">
              <w:t>ACT</w:t>
            </w:r>
          </w:p>
        </w:tc>
        <w:tc>
          <w:tcPr>
            <w:tcW w:w="392" w:type="pct"/>
            <w:tcBorders>
              <w:top w:val="single" w:sz="6" w:space="0" w:color="auto"/>
              <w:bottom w:val="single" w:sz="6" w:space="0" w:color="auto"/>
            </w:tcBorders>
          </w:tcPr>
          <w:p w:rsidR="008554F9" w:rsidRPr="004F7D0D" w:rsidRDefault="008554F9" w:rsidP="00C74215">
            <w:pPr>
              <w:pStyle w:val="TableColumnHeading"/>
              <w:ind w:right="28"/>
            </w:pPr>
            <w:r w:rsidRPr="004F7D0D">
              <w:t>NT</w:t>
            </w:r>
          </w:p>
        </w:tc>
      </w:tr>
      <w:tr w:rsidR="004F7D0D" w:rsidRPr="004F7D0D" w:rsidTr="00C74215">
        <w:tc>
          <w:tcPr>
            <w:tcW w:w="5000" w:type="pct"/>
            <w:gridSpan w:val="9"/>
          </w:tcPr>
          <w:p w:rsidR="008554F9" w:rsidRPr="004F7D0D" w:rsidDel="00D77D29" w:rsidRDefault="008554F9" w:rsidP="008554F9">
            <w:pPr>
              <w:pStyle w:val="TableUnitsRow"/>
              <w:jc w:val="left"/>
            </w:pPr>
            <w:r w:rsidRPr="004F7D0D">
              <w:t>Baseline (1 April 2011 – 31 March 2012)</w:t>
            </w:r>
          </w:p>
        </w:tc>
      </w:tr>
      <w:tr w:rsidR="004F7D0D" w:rsidRPr="004F7D0D" w:rsidTr="00C74215">
        <w:tc>
          <w:tcPr>
            <w:tcW w:w="1741" w:type="pct"/>
          </w:tcPr>
          <w:p w:rsidR="008554F9" w:rsidRPr="004F7D0D" w:rsidRDefault="008554F9" w:rsidP="00C74215">
            <w:pPr>
              <w:pStyle w:val="TableBodyText"/>
              <w:ind w:left="283" w:hanging="113"/>
              <w:jc w:val="left"/>
            </w:pPr>
            <w:r w:rsidRPr="004F7D0D">
              <w:t xml:space="preserve">Aged 12 </w:t>
            </w:r>
            <w:r w:rsidRPr="004F7D0D">
              <w:rPr>
                <w:rFonts w:cs="Arial"/>
                <w:u w:val="single"/>
              </w:rPr>
              <w:t>&lt;</w:t>
            </w:r>
            <w:r w:rsidRPr="004F7D0D">
              <w:t xml:space="preserve"> 15 months</w:t>
            </w:r>
          </w:p>
        </w:tc>
        <w:tc>
          <w:tcPr>
            <w:tcW w:w="410" w:type="pct"/>
          </w:tcPr>
          <w:p w:rsidR="008554F9" w:rsidRPr="004F7D0D" w:rsidRDefault="0031325D" w:rsidP="00C74215">
            <w:pPr>
              <w:pStyle w:val="TableBodyText"/>
              <w:ind w:right="0"/>
            </w:pPr>
            <w:r w:rsidRPr="004F7D0D">
              <w:t>81.4</w:t>
            </w:r>
          </w:p>
        </w:tc>
        <w:tc>
          <w:tcPr>
            <w:tcW w:w="410" w:type="pct"/>
          </w:tcPr>
          <w:p w:rsidR="008554F9" w:rsidRPr="004F7D0D" w:rsidRDefault="0031325D" w:rsidP="00C74215">
            <w:pPr>
              <w:pStyle w:val="TableBodyText"/>
              <w:ind w:right="0"/>
            </w:pPr>
            <w:r w:rsidRPr="004F7D0D">
              <w:t>..</w:t>
            </w:r>
          </w:p>
        </w:tc>
        <w:tc>
          <w:tcPr>
            <w:tcW w:w="410" w:type="pct"/>
          </w:tcPr>
          <w:p w:rsidR="008554F9" w:rsidRPr="004F7D0D" w:rsidRDefault="0031325D" w:rsidP="00C74215">
            <w:pPr>
              <w:pStyle w:val="TableBodyText"/>
              <w:ind w:right="0"/>
            </w:pPr>
            <w:r w:rsidRPr="004F7D0D">
              <w:t>..</w:t>
            </w:r>
          </w:p>
        </w:tc>
        <w:tc>
          <w:tcPr>
            <w:tcW w:w="410" w:type="pct"/>
          </w:tcPr>
          <w:p w:rsidR="008554F9" w:rsidRPr="004F7D0D" w:rsidRDefault="0031325D" w:rsidP="00C74215">
            <w:pPr>
              <w:pStyle w:val="TableBodyText"/>
              <w:ind w:right="0"/>
            </w:pPr>
            <w:r w:rsidRPr="004F7D0D">
              <w:t>83.1</w:t>
            </w:r>
          </w:p>
        </w:tc>
        <w:tc>
          <w:tcPr>
            <w:tcW w:w="410" w:type="pct"/>
          </w:tcPr>
          <w:p w:rsidR="008554F9" w:rsidRPr="004F7D0D" w:rsidRDefault="0031325D" w:rsidP="00C74215">
            <w:pPr>
              <w:pStyle w:val="TableBodyText"/>
              <w:ind w:right="0"/>
            </w:pPr>
            <w:r w:rsidRPr="004F7D0D">
              <w:t>..</w:t>
            </w:r>
          </w:p>
        </w:tc>
        <w:tc>
          <w:tcPr>
            <w:tcW w:w="409" w:type="pct"/>
          </w:tcPr>
          <w:p w:rsidR="008554F9" w:rsidRPr="004F7D0D" w:rsidRDefault="0031325D" w:rsidP="0031325D">
            <w:pPr>
              <w:pStyle w:val="TableBodyText"/>
              <w:ind w:right="0"/>
            </w:pPr>
            <w:r w:rsidRPr="004F7D0D">
              <w:t>84.2</w:t>
            </w:r>
          </w:p>
        </w:tc>
        <w:tc>
          <w:tcPr>
            <w:tcW w:w="408" w:type="pct"/>
          </w:tcPr>
          <w:p w:rsidR="008554F9" w:rsidRPr="004F7D0D" w:rsidRDefault="0031325D" w:rsidP="00C74215">
            <w:pPr>
              <w:pStyle w:val="TableBodyText"/>
              <w:ind w:right="0"/>
            </w:pPr>
            <w:r w:rsidRPr="004F7D0D">
              <w:t>..</w:t>
            </w:r>
          </w:p>
        </w:tc>
        <w:tc>
          <w:tcPr>
            <w:tcW w:w="392" w:type="pct"/>
          </w:tcPr>
          <w:p w:rsidR="008554F9" w:rsidRPr="004F7D0D" w:rsidDel="00D77D29" w:rsidRDefault="0031325D" w:rsidP="00C74215">
            <w:pPr>
              <w:pStyle w:val="TableBodyText"/>
              <w:ind w:right="0"/>
            </w:pPr>
            <w:r w:rsidRPr="004F7D0D">
              <w:t>..</w:t>
            </w:r>
          </w:p>
        </w:tc>
      </w:tr>
      <w:tr w:rsidR="004F7D0D" w:rsidRPr="004F7D0D" w:rsidTr="00C74215">
        <w:tc>
          <w:tcPr>
            <w:tcW w:w="1741" w:type="pct"/>
          </w:tcPr>
          <w:p w:rsidR="008554F9" w:rsidRPr="004F7D0D" w:rsidRDefault="008554F9" w:rsidP="00C74215">
            <w:pPr>
              <w:pStyle w:val="TableBodyText"/>
              <w:ind w:left="283" w:hanging="113"/>
              <w:jc w:val="left"/>
            </w:pPr>
            <w:r w:rsidRPr="004F7D0D">
              <w:t xml:space="preserve">Aged 60 </w:t>
            </w:r>
            <w:r w:rsidRPr="004F7D0D">
              <w:rPr>
                <w:rFonts w:cs="Arial"/>
                <w:u w:val="single"/>
              </w:rPr>
              <w:t>&lt;</w:t>
            </w:r>
            <w:r w:rsidRPr="004F7D0D">
              <w:t xml:space="preserve"> 63 months</w:t>
            </w:r>
          </w:p>
        </w:tc>
        <w:tc>
          <w:tcPr>
            <w:tcW w:w="410" w:type="pct"/>
          </w:tcPr>
          <w:p w:rsidR="008554F9" w:rsidRPr="004F7D0D" w:rsidRDefault="0031325D" w:rsidP="00C74215">
            <w:pPr>
              <w:pStyle w:val="TableBodyText"/>
              <w:ind w:right="0"/>
            </w:pPr>
            <w:r w:rsidRPr="004F7D0D">
              <w:t>81.7</w:t>
            </w:r>
          </w:p>
        </w:tc>
        <w:tc>
          <w:tcPr>
            <w:tcW w:w="410" w:type="pct"/>
          </w:tcPr>
          <w:p w:rsidR="008554F9" w:rsidRPr="004F7D0D" w:rsidRDefault="0031325D" w:rsidP="00C74215">
            <w:pPr>
              <w:pStyle w:val="TableBodyText"/>
              <w:ind w:right="0"/>
            </w:pPr>
            <w:r w:rsidRPr="004F7D0D">
              <w:t>..</w:t>
            </w:r>
          </w:p>
        </w:tc>
        <w:tc>
          <w:tcPr>
            <w:tcW w:w="410" w:type="pct"/>
          </w:tcPr>
          <w:p w:rsidR="008554F9" w:rsidRPr="004F7D0D" w:rsidRDefault="0031325D" w:rsidP="00C74215">
            <w:pPr>
              <w:pStyle w:val="TableBodyText"/>
              <w:ind w:right="0"/>
            </w:pPr>
            <w:r w:rsidRPr="004F7D0D">
              <w:t>..</w:t>
            </w:r>
          </w:p>
        </w:tc>
        <w:tc>
          <w:tcPr>
            <w:tcW w:w="410" w:type="pct"/>
          </w:tcPr>
          <w:p w:rsidR="008554F9" w:rsidRPr="004F7D0D" w:rsidRDefault="0031325D" w:rsidP="00C74215">
            <w:pPr>
              <w:pStyle w:val="TableBodyText"/>
              <w:ind w:right="0"/>
            </w:pPr>
            <w:r w:rsidRPr="004F7D0D">
              <w:t>81.2</w:t>
            </w:r>
          </w:p>
        </w:tc>
        <w:tc>
          <w:tcPr>
            <w:tcW w:w="410" w:type="pct"/>
          </w:tcPr>
          <w:p w:rsidR="008554F9" w:rsidRPr="004F7D0D" w:rsidRDefault="0031325D" w:rsidP="00C74215">
            <w:pPr>
              <w:pStyle w:val="TableBodyText"/>
              <w:ind w:right="0"/>
            </w:pPr>
            <w:r w:rsidRPr="004F7D0D">
              <w:t>84.1</w:t>
            </w:r>
          </w:p>
        </w:tc>
        <w:tc>
          <w:tcPr>
            <w:tcW w:w="409" w:type="pct"/>
          </w:tcPr>
          <w:p w:rsidR="008554F9" w:rsidRPr="004F7D0D" w:rsidRDefault="0031325D" w:rsidP="00C74215">
            <w:pPr>
              <w:pStyle w:val="TableBodyText"/>
              <w:ind w:right="0"/>
            </w:pPr>
            <w:r w:rsidRPr="004F7D0D">
              <w:t>88.7</w:t>
            </w:r>
          </w:p>
        </w:tc>
        <w:tc>
          <w:tcPr>
            <w:tcW w:w="408" w:type="pct"/>
          </w:tcPr>
          <w:p w:rsidR="008554F9" w:rsidRPr="004F7D0D" w:rsidRDefault="0031325D" w:rsidP="00C74215">
            <w:pPr>
              <w:pStyle w:val="TableBodyText"/>
              <w:ind w:right="0"/>
            </w:pPr>
            <w:r w:rsidRPr="004F7D0D">
              <w:t>..</w:t>
            </w:r>
          </w:p>
        </w:tc>
        <w:tc>
          <w:tcPr>
            <w:tcW w:w="392" w:type="pct"/>
          </w:tcPr>
          <w:p w:rsidR="008554F9" w:rsidRPr="004F7D0D" w:rsidDel="00D77D29" w:rsidRDefault="0031325D" w:rsidP="00C74215">
            <w:pPr>
              <w:pStyle w:val="TableBodyText"/>
              <w:ind w:right="0"/>
            </w:pPr>
            <w:r w:rsidRPr="004F7D0D">
              <w:t>84.7</w:t>
            </w:r>
          </w:p>
        </w:tc>
      </w:tr>
      <w:tr w:rsidR="004F7D0D" w:rsidRPr="004F7D0D" w:rsidTr="00C74215">
        <w:tc>
          <w:tcPr>
            <w:tcW w:w="5000" w:type="pct"/>
            <w:gridSpan w:val="9"/>
          </w:tcPr>
          <w:p w:rsidR="008554F9" w:rsidRPr="004F7D0D" w:rsidDel="00D77D29" w:rsidRDefault="008554F9" w:rsidP="008554F9">
            <w:pPr>
              <w:pStyle w:val="TableUnitsRow"/>
              <w:jc w:val="left"/>
            </w:pPr>
            <w:r w:rsidRPr="004F7D0D">
              <w:t>Assessment period (1 April 2012 – 31 March 2013)</w:t>
            </w:r>
          </w:p>
        </w:tc>
      </w:tr>
      <w:tr w:rsidR="004F7D0D" w:rsidRPr="004F7D0D" w:rsidTr="00C74215">
        <w:tc>
          <w:tcPr>
            <w:tcW w:w="1741" w:type="pct"/>
          </w:tcPr>
          <w:p w:rsidR="008554F9" w:rsidRPr="004F7D0D" w:rsidRDefault="008554F9" w:rsidP="00C74215">
            <w:pPr>
              <w:pStyle w:val="TableBodyText"/>
              <w:ind w:left="283" w:hanging="113"/>
              <w:jc w:val="left"/>
            </w:pPr>
            <w:r w:rsidRPr="004F7D0D">
              <w:t xml:space="preserve">Aged 12 </w:t>
            </w:r>
            <w:r w:rsidRPr="004F7D0D">
              <w:rPr>
                <w:rFonts w:cs="Arial"/>
                <w:u w:val="single"/>
              </w:rPr>
              <w:t>&lt;</w:t>
            </w:r>
            <w:r w:rsidRPr="004F7D0D">
              <w:t xml:space="preserve"> 15 months</w:t>
            </w:r>
          </w:p>
        </w:tc>
        <w:tc>
          <w:tcPr>
            <w:tcW w:w="410" w:type="pct"/>
          </w:tcPr>
          <w:p w:rsidR="008554F9" w:rsidRPr="004F7D0D" w:rsidRDefault="0031325D" w:rsidP="000C2E23">
            <w:pPr>
              <w:pStyle w:val="TableBodyText"/>
              <w:ind w:right="0"/>
            </w:pPr>
            <w:r w:rsidRPr="004F7D0D">
              <w:t>81.</w:t>
            </w:r>
            <w:r w:rsidR="000C2E23" w:rsidRPr="004F7D0D">
              <w:t>1</w:t>
            </w:r>
          </w:p>
        </w:tc>
        <w:tc>
          <w:tcPr>
            <w:tcW w:w="410" w:type="pct"/>
          </w:tcPr>
          <w:p w:rsidR="008554F9" w:rsidRPr="004F7D0D" w:rsidRDefault="0031325D" w:rsidP="00C74215">
            <w:pPr>
              <w:pStyle w:val="TableBodyText"/>
              <w:ind w:right="0"/>
            </w:pPr>
            <w:r w:rsidRPr="004F7D0D">
              <w:t>..</w:t>
            </w:r>
          </w:p>
        </w:tc>
        <w:tc>
          <w:tcPr>
            <w:tcW w:w="410" w:type="pct"/>
          </w:tcPr>
          <w:p w:rsidR="008554F9" w:rsidRPr="004F7D0D" w:rsidRDefault="0031325D" w:rsidP="00C74215">
            <w:pPr>
              <w:pStyle w:val="TableBodyText"/>
              <w:ind w:right="0"/>
            </w:pPr>
            <w:r w:rsidRPr="004F7D0D">
              <w:t>..</w:t>
            </w:r>
          </w:p>
        </w:tc>
        <w:tc>
          <w:tcPr>
            <w:tcW w:w="410" w:type="pct"/>
          </w:tcPr>
          <w:p w:rsidR="008554F9" w:rsidRPr="004F7D0D" w:rsidRDefault="0031325D" w:rsidP="00C74215">
            <w:pPr>
              <w:pStyle w:val="TableBodyText"/>
              <w:ind w:right="0"/>
            </w:pPr>
            <w:r w:rsidRPr="004F7D0D">
              <w:t>86.2</w:t>
            </w:r>
          </w:p>
        </w:tc>
        <w:tc>
          <w:tcPr>
            <w:tcW w:w="410" w:type="pct"/>
          </w:tcPr>
          <w:p w:rsidR="008554F9" w:rsidRPr="004F7D0D" w:rsidRDefault="0031325D" w:rsidP="00C74215">
            <w:pPr>
              <w:pStyle w:val="TableBodyText"/>
              <w:ind w:right="0"/>
            </w:pPr>
            <w:r w:rsidRPr="004F7D0D">
              <w:t>..</w:t>
            </w:r>
          </w:p>
        </w:tc>
        <w:tc>
          <w:tcPr>
            <w:tcW w:w="409" w:type="pct"/>
          </w:tcPr>
          <w:p w:rsidR="008554F9" w:rsidRPr="004F7D0D" w:rsidRDefault="0031325D" w:rsidP="00C74215">
            <w:pPr>
              <w:pStyle w:val="TableBodyText"/>
              <w:ind w:right="0"/>
            </w:pPr>
            <w:r w:rsidRPr="004F7D0D">
              <w:t>89.8</w:t>
            </w:r>
          </w:p>
        </w:tc>
        <w:tc>
          <w:tcPr>
            <w:tcW w:w="408" w:type="pct"/>
          </w:tcPr>
          <w:p w:rsidR="008554F9" w:rsidRPr="004F7D0D" w:rsidRDefault="0031325D" w:rsidP="00C74215">
            <w:pPr>
              <w:pStyle w:val="TableBodyText"/>
              <w:ind w:right="0"/>
            </w:pPr>
            <w:r w:rsidRPr="004F7D0D">
              <w:t>..</w:t>
            </w:r>
          </w:p>
        </w:tc>
        <w:tc>
          <w:tcPr>
            <w:tcW w:w="392" w:type="pct"/>
          </w:tcPr>
          <w:p w:rsidR="008554F9" w:rsidRPr="004F7D0D" w:rsidDel="00D77D29" w:rsidRDefault="0031325D" w:rsidP="00C74215">
            <w:pPr>
              <w:pStyle w:val="TableBodyText"/>
              <w:ind w:right="0"/>
            </w:pPr>
            <w:r w:rsidRPr="004F7D0D">
              <w:t>..</w:t>
            </w:r>
          </w:p>
        </w:tc>
      </w:tr>
      <w:tr w:rsidR="004F7D0D" w:rsidRPr="004F7D0D" w:rsidTr="00C74215">
        <w:tc>
          <w:tcPr>
            <w:tcW w:w="1741" w:type="pct"/>
            <w:tcBorders>
              <w:bottom w:val="single" w:sz="4" w:space="0" w:color="auto"/>
            </w:tcBorders>
          </w:tcPr>
          <w:p w:rsidR="008554F9" w:rsidRPr="004F7D0D" w:rsidRDefault="008554F9" w:rsidP="00C74215">
            <w:pPr>
              <w:pStyle w:val="TableBodyText"/>
              <w:ind w:left="283" w:hanging="113"/>
              <w:jc w:val="left"/>
            </w:pPr>
            <w:r w:rsidRPr="004F7D0D">
              <w:t xml:space="preserve">Aged 60 </w:t>
            </w:r>
            <w:r w:rsidRPr="004F7D0D">
              <w:rPr>
                <w:rFonts w:cs="Arial"/>
                <w:u w:val="single"/>
              </w:rPr>
              <w:t>&lt;</w:t>
            </w:r>
            <w:r w:rsidRPr="004F7D0D">
              <w:t xml:space="preserve"> 63 months</w:t>
            </w:r>
          </w:p>
        </w:tc>
        <w:tc>
          <w:tcPr>
            <w:tcW w:w="410" w:type="pct"/>
            <w:tcBorders>
              <w:bottom w:val="single" w:sz="4" w:space="0" w:color="auto"/>
            </w:tcBorders>
          </w:tcPr>
          <w:p w:rsidR="008554F9" w:rsidRPr="004F7D0D" w:rsidRDefault="0031325D" w:rsidP="00C74215">
            <w:pPr>
              <w:pStyle w:val="TableBodyText"/>
              <w:ind w:right="0"/>
            </w:pPr>
            <w:r w:rsidRPr="004F7D0D">
              <w:t>84.3</w:t>
            </w:r>
          </w:p>
        </w:tc>
        <w:tc>
          <w:tcPr>
            <w:tcW w:w="410" w:type="pct"/>
            <w:tcBorders>
              <w:bottom w:val="single" w:sz="4" w:space="0" w:color="auto"/>
            </w:tcBorders>
          </w:tcPr>
          <w:p w:rsidR="008554F9" w:rsidRPr="004F7D0D" w:rsidRDefault="0031325D" w:rsidP="00C74215">
            <w:pPr>
              <w:pStyle w:val="TableBodyText"/>
              <w:ind w:right="0"/>
            </w:pPr>
            <w:r w:rsidRPr="004F7D0D">
              <w:t>..</w:t>
            </w:r>
          </w:p>
        </w:tc>
        <w:tc>
          <w:tcPr>
            <w:tcW w:w="410" w:type="pct"/>
            <w:tcBorders>
              <w:bottom w:val="single" w:sz="4" w:space="0" w:color="auto"/>
            </w:tcBorders>
          </w:tcPr>
          <w:p w:rsidR="008554F9" w:rsidRPr="004F7D0D" w:rsidRDefault="0031325D" w:rsidP="00C74215">
            <w:pPr>
              <w:pStyle w:val="TableBodyText"/>
              <w:ind w:right="0"/>
            </w:pPr>
            <w:r w:rsidRPr="004F7D0D">
              <w:t>..</w:t>
            </w:r>
          </w:p>
        </w:tc>
        <w:tc>
          <w:tcPr>
            <w:tcW w:w="410" w:type="pct"/>
            <w:tcBorders>
              <w:bottom w:val="single" w:sz="4" w:space="0" w:color="auto"/>
            </w:tcBorders>
          </w:tcPr>
          <w:p w:rsidR="008554F9" w:rsidRPr="004F7D0D" w:rsidRDefault="0031325D" w:rsidP="00C74215">
            <w:pPr>
              <w:pStyle w:val="TableBodyText"/>
              <w:ind w:right="0"/>
            </w:pPr>
            <w:r w:rsidRPr="004F7D0D">
              <w:t>87.8</w:t>
            </w:r>
          </w:p>
        </w:tc>
        <w:tc>
          <w:tcPr>
            <w:tcW w:w="410" w:type="pct"/>
            <w:tcBorders>
              <w:bottom w:val="single" w:sz="4" w:space="0" w:color="auto"/>
            </w:tcBorders>
          </w:tcPr>
          <w:p w:rsidR="008554F9" w:rsidRPr="004F7D0D" w:rsidRDefault="0031325D" w:rsidP="00C74215">
            <w:pPr>
              <w:pStyle w:val="TableBodyText"/>
              <w:ind w:right="0"/>
            </w:pPr>
            <w:r w:rsidRPr="004F7D0D">
              <w:t>89.7</w:t>
            </w:r>
          </w:p>
        </w:tc>
        <w:tc>
          <w:tcPr>
            <w:tcW w:w="409" w:type="pct"/>
            <w:tcBorders>
              <w:bottom w:val="single" w:sz="4" w:space="0" w:color="auto"/>
            </w:tcBorders>
          </w:tcPr>
          <w:p w:rsidR="008554F9" w:rsidRPr="004F7D0D" w:rsidRDefault="0031325D" w:rsidP="00C74215">
            <w:pPr>
              <w:pStyle w:val="TableBodyText"/>
              <w:ind w:right="0"/>
            </w:pPr>
            <w:r w:rsidRPr="004F7D0D">
              <w:t>87.3</w:t>
            </w:r>
          </w:p>
        </w:tc>
        <w:tc>
          <w:tcPr>
            <w:tcW w:w="408" w:type="pct"/>
            <w:tcBorders>
              <w:bottom w:val="single" w:sz="4" w:space="0" w:color="auto"/>
            </w:tcBorders>
          </w:tcPr>
          <w:p w:rsidR="008554F9" w:rsidRPr="004F7D0D" w:rsidRDefault="0031325D" w:rsidP="00C74215">
            <w:pPr>
              <w:pStyle w:val="TableBodyText"/>
              <w:ind w:right="0"/>
            </w:pPr>
            <w:r w:rsidRPr="004F7D0D">
              <w:t>..</w:t>
            </w:r>
          </w:p>
        </w:tc>
        <w:tc>
          <w:tcPr>
            <w:tcW w:w="392" w:type="pct"/>
            <w:tcBorders>
              <w:bottom w:val="single" w:sz="4" w:space="0" w:color="auto"/>
            </w:tcBorders>
          </w:tcPr>
          <w:p w:rsidR="008554F9" w:rsidRPr="004F7D0D" w:rsidDel="00D77D29" w:rsidRDefault="0031325D" w:rsidP="00C74215">
            <w:pPr>
              <w:pStyle w:val="TableBodyText"/>
              <w:ind w:right="0"/>
            </w:pPr>
            <w:r w:rsidRPr="004F7D0D">
              <w:t>85.7</w:t>
            </w:r>
          </w:p>
        </w:tc>
      </w:tr>
    </w:tbl>
    <w:p w:rsidR="004C38DF" w:rsidRPr="004F7D0D" w:rsidRDefault="00851A84" w:rsidP="00823AF2">
      <w:pPr>
        <w:pStyle w:val="Note"/>
      </w:pPr>
      <w:proofErr w:type="spellStart"/>
      <w:r w:rsidRPr="004F7D0D">
        <w:rPr>
          <w:rStyle w:val="NoteLabel"/>
        </w:rPr>
        <w:t>a</w:t>
      </w:r>
      <w:proofErr w:type="spellEnd"/>
      <w:r w:rsidRPr="004F7D0D">
        <w:rPr>
          <w:rFonts w:cs="Arial"/>
        </w:rPr>
        <w:t xml:space="preserve"> </w:t>
      </w:r>
      <w:proofErr w:type="spellStart"/>
      <w:r w:rsidR="00682696" w:rsidRPr="004F7D0D">
        <w:t>A</w:t>
      </w:r>
      <w:proofErr w:type="spellEnd"/>
      <w:r w:rsidR="00682696" w:rsidRPr="004F7D0D">
        <w:t xml:space="preserve"> child is fully immunised when they are up-to-date, and recorded in ACIR as having received the standard vaccination schedule for their age or are on a suitable catch-up program based on the National Immunisation Program (NIP) schedule.</w:t>
      </w:r>
      <w:r w:rsidR="00122BAE" w:rsidRPr="004F7D0D">
        <w:rPr>
          <w:rStyle w:val="NoteLabel"/>
        </w:rPr>
        <w:t xml:space="preserve"> b</w:t>
      </w:r>
      <w:r w:rsidR="00122BAE" w:rsidRPr="004F7D0D">
        <w:t xml:space="preserve"> Areas of low immunisation are identified</w:t>
      </w:r>
      <w:r w:rsidR="001524FA" w:rsidRPr="004F7D0D">
        <w:t xml:space="preserve"> and agreed</w:t>
      </w:r>
      <w:r w:rsidR="00122BAE" w:rsidRPr="004F7D0D">
        <w:t xml:space="preserve"> by the Commonwealth and states and territories and contain </w:t>
      </w:r>
      <w:r w:rsidR="00914DCC" w:rsidRPr="004F7D0D">
        <w:t>at least</w:t>
      </w:r>
      <w:r w:rsidR="00122BAE" w:rsidRPr="004F7D0D">
        <w:t xml:space="preserve"> two per cent of the </w:t>
      </w:r>
      <w:r w:rsidR="00914DCC" w:rsidRPr="004F7D0D">
        <w:t xml:space="preserve">relevant age </w:t>
      </w:r>
      <w:r w:rsidR="00122BAE" w:rsidRPr="004F7D0D">
        <w:t xml:space="preserve">cohort </w:t>
      </w:r>
      <w:r w:rsidR="00914DCC" w:rsidRPr="004F7D0D">
        <w:t>for the State or Territory as a whole.</w:t>
      </w:r>
      <w:r w:rsidR="00122BAE" w:rsidRPr="004F7D0D">
        <w:t xml:space="preserve"> </w:t>
      </w:r>
      <w:r w:rsidR="00122BAE" w:rsidRPr="004F7D0D">
        <w:rPr>
          <w:rStyle w:val="NoteLabel"/>
        </w:rPr>
        <w:t xml:space="preserve">c </w:t>
      </w:r>
      <w:r w:rsidR="00122BAE" w:rsidRPr="004F7D0D">
        <w:t>Areas of low immunisation have a minimum size of at le</w:t>
      </w:r>
      <w:r w:rsidR="001524FA" w:rsidRPr="004F7D0D">
        <w:t>a</w:t>
      </w:r>
      <w:r w:rsidR="00122BAE" w:rsidRPr="004F7D0D">
        <w:t>st one post code. Areas may be LGA or Division of General Practice</w:t>
      </w:r>
      <w:r w:rsidR="00682696" w:rsidRPr="004F7D0D">
        <w:t>.</w:t>
      </w:r>
      <w:r w:rsidR="00704128" w:rsidRPr="004F7D0D">
        <w:t xml:space="preserve">. </w:t>
      </w:r>
      <w:r w:rsidR="004C38DF" w:rsidRPr="004F7D0D">
        <w:t>.. Not applicable</w:t>
      </w:r>
      <w:r w:rsidR="00B144D8" w:rsidRPr="004F7D0D">
        <w:t xml:space="preserve"> as no areas </w:t>
      </w:r>
      <w:r w:rsidR="00682696" w:rsidRPr="004F7D0D">
        <w:t xml:space="preserve">that meet the criteria </w:t>
      </w:r>
      <w:r w:rsidR="00B144D8" w:rsidRPr="004F7D0D">
        <w:t>of low immunisation coverage</w:t>
      </w:r>
      <w:r w:rsidR="00682696" w:rsidRPr="004F7D0D">
        <w:t xml:space="preserve"> for the relevant age cohort</w:t>
      </w:r>
      <w:r w:rsidR="003634B9" w:rsidRPr="004F7D0D">
        <w:t>.</w:t>
      </w:r>
      <w:r w:rsidR="00682696" w:rsidRPr="004F7D0D">
        <w:t xml:space="preserve"> </w:t>
      </w:r>
    </w:p>
    <w:p w:rsidR="00851A84" w:rsidRPr="004F7D0D" w:rsidRDefault="00851A84" w:rsidP="00823AF2">
      <w:pPr>
        <w:pStyle w:val="Source"/>
      </w:pPr>
      <w:r w:rsidRPr="004F7D0D">
        <w:rPr>
          <w:i/>
        </w:rPr>
        <w:t>Source</w:t>
      </w:r>
      <w:r w:rsidRPr="004F7D0D">
        <w:t xml:space="preserve">: </w:t>
      </w:r>
      <w:smartTag w:uri="urn:schemas-microsoft-com:office:smarttags" w:element="City">
        <w:smartTag w:uri="urn:schemas-microsoft-com:office:smarttags" w:element="place">
          <w:r w:rsidR="007A6A9B" w:rsidRPr="004F7D0D">
            <w:t>DoHA</w:t>
          </w:r>
        </w:smartTag>
      </w:smartTag>
      <w:r w:rsidR="007A6A9B" w:rsidRPr="004F7D0D">
        <w:t xml:space="preserve"> (unpublished) Australian Childhood Immunisation Register</w:t>
      </w:r>
      <w:r w:rsidR="00874042" w:rsidRPr="004F7D0D">
        <w:t>.</w:t>
      </w:r>
    </w:p>
    <w:p w:rsidR="00E82842" w:rsidRPr="004F7D0D" w:rsidRDefault="00E82842" w:rsidP="00851A84">
      <w:pPr>
        <w:pStyle w:val="BoxSpace"/>
        <w:rPr>
          <w:b/>
          <w:vanish/>
          <w:sz w:val="14"/>
        </w:rPr>
      </w:pPr>
    </w:p>
    <w:p w:rsidR="00851A84" w:rsidRPr="004F7D0D" w:rsidRDefault="00851A84" w:rsidP="00851A84">
      <w:pPr>
        <w:pStyle w:val="BoxSpace"/>
      </w:pPr>
      <w:r w:rsidRPr="004F7D0D">
        <w:rPr>
          <w:b/>
          <w:vanish/>
          <w:sz w:val="14"/>
        </w:rPr>
        <w:t>Do not delete this return as it gives space between the box and what precedes it.</w:t>
      </w: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4F7D0D" w:rsidRPr="004F7D0D" w:rsidTr="00226E15">
        <w:tc>
          <w:tcPr>
            <w:tcW w:w="8771" w:type="dxa"/>
            <w:tcBorders>
              <w:top w:val="single" w:sz="6" w:space="0" w:color="auto"/>
              <w:bottom w:val="nil"/>
            </w:tcBorders>
          </w:tcPr>
          <w:p w:rsidR="00851A84" w:rsidRPr="004F7D0D" w:rsidRDefault="00851A84" w:rsidP="00226E15">
            <w:pPr>
              <w:pStyle w:val="BoxTitle"/>
            </w:pPr>
            <w:smartTag w:uri="urn:schemas-microsoft-com:office:smarttags" w:element="Street">
              <w:r w:rsidRPr="004F7D0D">
                <w:rPr>
                  <w:b w:val="0"/>
                </w:rPr>
                <w:t>Box</w:t>
              </w:r>
            </w:smartTag>
            <w:r w:rsidRPr="004F7D0D">
              <w:rPr>
                <w:b w:val="0"/>
              </w:rPr>
              <w:t xml:space="preserve"> </w:t>
            </w:r>
            <w:r w:rsidRPr="004F7D0D">
              <w:rPr>
                <w:b w:val="0"/>
              </w:rPr>
              <w:fldChar w:fldCharType="begin"/>
            </w:r>
            <w:r w:rsidRPr="004F7D0D">
              <w:rPr>
                <w:b w:val="0"/>
              </w:rPr>
              <w:instrText xml:space="preserve"> SEQ Box \* ARABIC </w:instrText>
            </w:r>
            <w:r w:rsidRPr="004F7D0D">
              <w:rPr>
                <w:b w:val="0"/>
              </w:rPr>
              <w:fldChar w:fldCharType="separate"/>
            </w:r>
            <w:r w:rsidR="003F1C71">
              <w:rPr>
                <w:b w:val="0"/>
                <w:noProof/>
              </w:rPr>
              <w:t>2</w:t>
            </w:r>
            <w:r w:rsidRPr="004F7D0D">
              <w:rPr>
                <w:b w:val="0"/>
              </w:rPr>
              <w:fldChar w:fldCharType="end"/>
            </w:r>
            <w:r w:rsidRPr="004F7D0D">
              <w:tab/>
              <w:t xml:space="preserve">Comment on </w:t>
            </w:r>
            <w:r w:rsidR="0057129A" w:rsidRPr="004F7D0D">
              <w:t>data quality</w:t>
            </w:r>
          </w:p>
        </w:tc>
      </w:tr>
      <w:tr w:rsidR="004F7D0D" w:rsidRPr="004F7D0D" w:rsidTr="00226E15">
        <w:trPr>
          <w:cantSplit/>
        </w:trPr>
        <w:tc>
          <w:tcPr>
            <w:tcW w:w="8771" w:type="dxa"/>
            <w:tcBorders>
              <w:top w:val="nil"/>
              <w:left w:val="single" w:sz="6" w:space="0" w:color="auto"/>
              <w:bottom w:val="nil"/>
              <w:right w:val="single" w:sz="6" w:space="0" w:color="auto"/>
            </w:tcBorders>
          </w:tcPr>
          <w:p w:rsidR="005478B8" w:rsidRPr="004F7D0D" w:rsidRDefault="005478B8" w:rsidP="005478B8">
            <w:pPr>
              <w:pStyle w:val="Box"/>
            </w:pPr>
            <w:r w:rsidRPr="004F7D0D">
              <w:t xml:space="preserve">The DQS for this indicator has been prepared by </w:t>
            </w:r>
            <w:smartTag w:uri="urn:schemas-microsoft-com:office:smarttags" w:element="place">
              <w:smartTag w:uri="urn:schemas-microsoft-com:office:smarttags" w:element="City">
                <w:r w:rsidRPr="004F7D0D">
                  <w:t>DoHA</w:t>
                </w:r>
              </w:smartTag>
            </w:smartTag>
            <w:r w:rsidRPr="004F7D0D">
              <w:t xml:space="preserve"> </w:t>
            </w:r>
            <w:r w:rsidR="003634B9" w:rsidRPr="004F7D0D">
              <w:t xml:space="preserve">and is included in its original </w:t>
            </w:r>
            <w:r w:rsidRPr="004F7D0D">
              <w:t xml:space="preserve">form in the section in this report titled ‘Data Quality </w:t>
            </w:r>
            <w:r w:rsidR="003634B9" w:rsidRPr="004F7D0D">
              <w:t>Statement</w:t>
            </w:r>
            <w:r w:rsidR="00B144D8" w:rsidRPr="004F7D0D">
              <w:t>s</w:t>
            </w:r>
            <w:r w:rsidR="003634B9" w:rsidRPr="004F7D0D">
              <w:t xml:space="preserve">’. Key points from the </w:t>
            </w:r>
            <w:r w:rsidRPr="004F7D0D">
              <w:t>DQS are summarised below.</w:t>
            </w:r>
          </w:p>
          <w:p w:rsidR="005478B8" w:rsidRPr="004F7D0D" w:rsidRDefault="005478B8" w:rsidP="005478B8">
            <w:pPr>
              <w:pStyle w:val="BoxListBullet"/>
            </w:pPr>
            <w:r w:rsidRPr="004F7D0D">
              <w:t xml:space="preserve">The data provide relevant information on the </w:t>
            </w:r>
            <w:r w:rsidR="000D6C74" w:rsidRPr="004F7D0D">
              <w:t xml:space="preserve">proportion of children in low coverage areas </w:t>
            </w:r>
            <w:r w:rsidR="00006F05" w:rsidRPr="004F7D0D">
              <w:t>(more</w:t>
            </w:r>
            <w:r w:rsidR="00483AC0" w:rsidRPr="004F7D0D">
              <w:t xml:space="preserve"> than 5 per cent below the national average) </w:t>
            </w:r>
            <w:r w:rsidR="000D6C74" w:rsidRPr="004F7D0D">
              <w:t xml:space="preserve">in a jurisdiction that </w:t>
            </w:r>
            <w:r w:rsidR="0057129A" w:rsidRPr="004F7D0D">
              <w:t xml:space="preserve">has </w:t>
            </w:r>
            <w:r w:rsidR="000D6C74" w:rsidRPr="004F7D0D">
              <w:t>been fully immunised, by State and Territory</w:t>
            </w:r>
            <w:r w:rsidRPr="004F7D0D">
              <w:t>.</w:t>
            </w:r>
          </w:p>
          <w:p w:rsidR="004238AE" w:rsidRPr="004F7D0D" w:rsidRDefault="0071687E" w:rsidP="005478B8">
            <w:pPr>
              <w:pStyle w:val="BoxListBullet"/>
            </w:pPr>
            <w:r w:rsidRPr="004F7D0D">
              <w:t xml:space="preserve">Data from the Australian Child Immunisation Register (ACIR) </w:t>
            </w:r>
            <w:r w:rsidR="004238AE" w:rsidRPr="004F7D0D">
              <w:t xml:space="preserve">are available quarterly. A minimum </w:t>
            </w:r>
            <w:r w:rsidR="003634B9" w:rsidRPr="004F7D0D">
              <w:t>three-</w:t>
            </w:r>
            <w:r w:rsidR="004238AE" w:rsidRPr="004F7D0D">
              <w:t xml:space="preserve">month lag period is allowed for late notification of immunisations to ACIR. </w:t>
            </w:r>
            <w:r w:rsidR="003F1274" w:rsidRPr="004F7D0D">
              <w:t xml:space="preserve">Data are available for the </w:t>
            </w:r>
            <w:r w:rsidR="00483AC0" w:rsidRPr="004F7D0D">
              <w:t xml:space="preserve">reporting period of 1 April </w:t>
            </w:r>
            <w:r w:rsidR="00357A9E" w:rsidRPr="004F7D0D">
              <w:t xml:space="preserve">2012 </w:t>
            </w:r>
            <w:r w:rsidR="00483AC0" w:rsidRPr="004F7D0D">
              <w:t xml:space="preserve">to 31 March </w:t>
            </w:r>
            <w:r w:rsidR="00357A9E" w:rsidRPr="004F7D0D">
              <w:t>2013</w:t>
            </w:r>
            <w:r w:rsidR="003F1274" w:rsidRPr="004F7D0D">
              <w:t>.</w:t>
            </w:r>
          </w:p>
          <w:p w:rsidR="00933165" w:rsidRPr="004F7D0D" w:rsidRDefault="00933165" w:rsidP="00933165">
            <w:pPr>
              <w:pStyle w:val="BoxListBullet"/>
            </w:pPr>
            <w:r w:rsidRPr="004F7D0D">
              <w:t xml:space="preserve">Data </w:t>
            </w:r>
            <w:r w:rsidR="008B22A0" w:rsidRPr="004F7D0D">
              <w:t xml:space="preserve">have </w:t>
            </w:r>
            <w:r w:rsidRPr="004F7D0D">
              <w:t xml:space="preserve">been reported using the definition of </w:t>
            </w:r>
            <w:r w:rsidR="00576BB8" w:rsidRPr="004F7D0D">
              <w:t>‘</w:t>
            </w:r>
            <w:r w:rsidRPr="004F7D0D">
              <w:t>fully-immunised</w:t>
            </w:r>
            <w:r w:rsidR="00576BB8" w:rsidRPr="004F7D0D">
              <w:t xml:space="preserve">’ </w:t>
            </w:r>
            <w:r w:rsidR="00576BB8" w:rsidRPr="004F7D0D">
              <w:rPr>
                <w:rFonts w:cs="Arial"/>
              </w:rPr>
              <w:t xml:space="preserve">as defined by </w:t>
            </w:r>
            <w:r w:rsidR="00576BB8" w:rsidRPr="004F7D0D">
              <w:rPr>
                <w:rFonts w:cs="Arial"/>
                <w:i/>
              </w:rPr>
              <w:t>A New Tax System (Family Assistance) Act 1999</w:t>
            </w:r>
            <w:r w:rsidRPr="004F7D0D">
              <w:t xml:space="preserve">; that is, children who have received all age appropriate immunisations for diphtheria, tetanus, pertussis, hepatitis B, poliomyelitis, </w:t>
            </w:r>
            <w:proofErr w:type="spellStart"/>
            <w:r w:rsidRPr="004F7D0D">
              <w:t>haemophilus</w:t>
            </w:r>
            <w:proofErr w:type="spellEnd"/>
            <w:r w:rsidRPr="004F7D0D">
              <w:t xml:space="preserve"> </w:t>
            </w:r>
            <w:proofErr w:type="spellStart"/>
            <w:r w:rsidRPr="004F7D0D">
              <w:t>influenzae</w:t>
            </w:r>
            <w:proofErr w:type="spellEnd"/>
            <w:r w:rsidRPr="004F7D0D">
              <w:t xml:space="preserve"> type B, measles, mumps and rubella.</w:t>
            </w:r>
          </w:p>
          <w:p w:rsidR="00D533FD" w:rsidRPr="004F7D0D" w:rsidRDefault="00D533FD" w:rsidP="00D533FD">
            <w:pPr>
              <w:pStyle w:val="BoxListBullet"/>
            </w:pPr>
            <w:r w:rsidRPr="004F7D0D">
              <w:t xml:space="preserve">Vaccination coverage rates calculated using ACIR data </w:t>
            </w:r>
            <w:r w:rsidR="00AB5690" w:rsidRPr="004F7D0D">
              <w:t xml:space="preserve">may </w:t>
            </w:r>
            <w:r w:rsidRPr="004F7D0D">
              <w:t>under</w:t>
            </w:r>
            <w:r w:rsidR="000D40C1" w:rsidRPr="004F7D0D">
              <w:t>-</w:t>
            </w:r>
            <w:r w:rsidRPr="004F7D0D">
              <w:t>estimate actual vaccination rates</w:t>
            </w:r>
            <w:r w:rsidR="0071687E" w:rsidRPr="004F7D0D">
              <w:t>,</w:t>
            </w:r>
            <w:r w:rsidRPr="004F7D0D">
              <w:t xml:space="preserve"> because of under-reporting by immunisation providers.</w:t>
            </w:r>
            <w:r w:rsidR="00D6750E" w:rsidRPr="004F7D0D">
              <w:t xml:space="preserve"> T</w:t>
            </w:r>
            <w:r w:rsidRPr="004F7D0D">
              <w:t>he extent of any under-</w:t>
            </w:r>
            <w:r w:rsidR="000C4EF0" w:rsidRPr="004F7D0D">
              <w:t>reporting has not been assessed</w:t>
            </w:r>
            <w:r w:rsidR="00D6750E" w:rsidRPr="004F7D0D">
              <w:t xml:space="preserve"> (although the wastage and leakage calculation (performance benchmark 3) includes an adjustment factor of 1.03 to account for under-reporting to ACIR).</w:t>
            </w:r>
          </w:p>
          <w:p w:rsidR="005478B8" w:rsidRPr="004F7D0D" w:rsidRDefault="0071687E" w:rsidP="005478B8">
            <w:pPr>
              <w:pStyle w:val="BoxListBullet"/>
            </w:pPr>
            <w:r w:rsidRPr="004F7D0D">
              <w:t>D</w:t>
            </w:r>
            <w:r w:rsidR="000D40C1" w:rsidRPr="004F7D0D">
              <w:t>isaggregation by</w:t>
            </w:r>
            <w:r w:rsidR="005478B8" w:rsidRPr="004F7D0D">
              <w:t xml:space="preserve"> State and Territory </w:t>
            </w:r>
            <w:r w:rsidR="00D533FD" w:rsidRPr="004F7D0D">
              <w:t xml:space="preserve">and Local Government Area </w:t>
            </w:r>
            <w:r w:rsidR="005F0D59" w:rsidRPr="004F7D0D">
              <w:t xml:space="preserve">(the level of geography used for low coverage areas) </w:t>
            </w:r>
            <w:r w:rsidR="005478B8" w:rsidRPr="004F7D0D">
              <w:t xml:space="preserve">is based on postcode of residence of the child as recorded on ACIR. As children may receive vaccinations in locations other than where they live, </w:t>
            </w:r>
            <w:r w:rsidRPr="004F7D0D">
              <w:t xml:space="preserve">these </w:t>
            </w:r>
            <w:r w:rsidR="005478B8" w:rsidRPr="004F7D0D">
              <w:t>data do not necessarily reflect the location in which services were received.</w:t>
            </w:r>
          </w:p>
          <w:p w:rsidR="00D533FD" w:rsidRPr="004F7D0D" w:rsidRDefault="00D533FD" w:rsidP="00D533FD">
            <w:pPr>
              <w:pStyle w:val="BoxListBullet"/>
              <w:numPr>
                <w:ilvl w:val="0"/>
                <w:numId w:val="0"/>
              </w:numPr>
            </w:pPr>
            <w:r w:rsidRPr="004F7D0D">
              <w:t>The Steering Committee also notes the following issue</w:t>
            </w:r>
            <w:r w:rsidR="00E96DE7" w:rsidRPr="004F7D0D">
              <w:t>:</w:t>
            </w:r>
          </w:p>
          <w:p w:rsidR="008B22A0" w:rsidRPr="004F7D0D" w:rsidRDefault="00E45D61" w:rsidP="00B144D8">
            <w:pPr>
              <w:pStyle w:val="BoxListBullet"/>
            </w:pPr>
            <w:r w:rsidRPr="004F7D0D">
              <w:t>Only</w:t>
            </w:r>
            <w:r w:rsidR="0062000C" w:rsidRPr="004F7D0D">
              <w:t xml:space="preserve"> </w:t>
            </w:r>
            <w:r w:rsidR="00E82842" w:rsidRPr="004F7D0D">
              <w:t>NSW,</w:t>
            </w:r>
            <w:r w:rsidR="000C2E23" w:rsidRPr="004F7D0D">
              <w:t xml:space="preserve"> </w:t>
            </w:r>
            <w:r w:rsidR="00E82842" w:rsidRPr="004F7D0D">
              <w:t xml:space="preserve">WA and </w:t>
            </w:r>
            <w:r w:rsidR="003C5CAE" w:rsidRPr="004F7D0D">
              <w:t xml:space="preserve">Tasmania </w:t>
            </w:r>
            <w:r w:rsidR="0008118A" w:rsidRPr="004F7D0D">
              <w:t>have areas of ‘low coverage</w:t>
            </w:r>
            <w:r w:rsidR="0062000C" w:rsidRPr="004F7D0D">
              <w:t xml:space="preserve">’ for both age cohorts. </w:t>
            </w:r>
            <w:r w:rsidR="00E82842" w:rsidRPr="004F7D0D">
              <w:t xml:space="preserve">SA and </w:t>
            </w:r>
            <w:r w:rsidR="003C5CAE" w:rsidRPr="004F7D0D">
              <w:t xml:space="preserve">the </w:t>
            </w:r>
            <w:r w:rsidR="00E82842" w:rsidRPr="004F7D0D">
              <w:t xml:space="preserve">NT </w:t>
            </w:r>
            <w:r w:rsidR="0008118A" w:rsidRPr="004F7D0D">
              <w:t>ha</w:t>
            </w:r>
            <w:r w:rsidR="003C5CAE" w:rsidRPr="004F7D0D">
              <w:t>ve</w:t>
            </w:r>
            <w:r w:rsidR="0062000C" w:rsidRPr="004F7D0D">
              <w:t xml:space="preserve"> areas of ‘low coverage’ for one of the two age cohorts. </w:t>
            </w:r>
            <w:r w:rsidR="0008118A" w:rsidRPr="004F7D0D">
              <w:t>Victoria, Queensland</w:t>
            </w:r>
            <w:r w:rsidR="00E82842" w:rsidRPr="004F7D0D">
              <w:t xml:space="preserve"> and the</w:t>
            </w:r>
            <w:r w:rsidR="003C5CAE" w:rsidRPr="004F7D0D">
              <w:t xml:space="preserve"> </w:t>
            </w:r>
            <w:r w:rsidR="0008118A" w:rsidRPr="004F7D0D">
              <w:t>ACT do not have</w:t>
            </w:r>
            <w:r w:rsidR="0062000C" w:rsidRPr="004F7D0D">
              <w:t xml:space="preserve"> </w:t>
            </w:r>
            <w:r w:rsidR="0008118A" w:rsidRPr="004F7D0D">
              <w:t xml:space="preserve">any </w:t>
            </w:r>
            <w:r w:rsidR="0062000C" w:rsidRPr="004F7D0D">
              <w:t>areas of ‘low coverage’ for either age cohort.</w:t>
            </w:r>
            <w:r w:rsidR="00FE3CB0" w:rsidRPr="004F7D0D">
              <w:t xml:space="preserve"> </w:t>
            </w:r>
          </w:p>
          <w:p w:rsidR="00B144D8" w:rsidRPr="004F7D0D" w:rsidRDefault="008B22A0" w:rsidP="008B22A0">
            <w:pPr>
              <w:pStyle w:val="BoxListBullet"/>
              <w:rPr>
                <w:rStyle w:val="DraftingNote"/>
                <w:b w:val="0"/>
                <w:color w:val="auto"/>
                <w:sz w:val="22"/>
                <w:u w:val="none"/>
              </w:rPr>
            </w:pPr>
            <w:r w:rsidRPr="004F7D0D">
              <w:t xml:space="preserve">Jurisdictions that do not have areas of low coverage could be considered to be closer to achieving the outcomes of the NP than those jurisdictions with areas of low coverage. </w:t>
            </w:r>
          </w:p>
        </w:tc>
      </w:tr>
      <w:tr w:rsidR="004F7D0D" w:rsidRPr="004F7D0D" w:rsidTr="00226E15">
        <w:trPr>
          <w:cantSplit/>
        </w:trPr>
        <w:tc>
          <w:tcPr>
            <w:tcW w:w="8771" w:type="dxa"/>
            <w:tcBorders>
              <w:top w:val="nil"/>
              <w:left w:val="single" w:sz="6" w:space="0" w:color="auto"/>
              <w:bottom w:val="single" w:sz="6" w:space="0" w:color="auto"/>
              <w:right w:val="single" w:sz="6" w:space="0" w:color="auto"/>
            </w:tcBorders>
          </w:tcPr>
          <w:p w:rsidR="00851A84" w:rsidRPr="004F7D0D" w:rsidRDefault="00851A84" w:rsidP="00226E15">
            <w:pPr>
              <w:pStyle w:val="Box"/>
              <w:spacing w:before="0" w:line="120" w:lineRule="exact"/>
            </w:pPr>
          </w:p>
        </w:tc>
      </w:tr>
      <w:tr w:rsidR="004F7D0D" w:rsidRPr="004F7D0D" w:rsidTr="00226E15">
        <w:tc>
          <w:tcPr>
            <w:tcW w:w="8771" w:type="dxa"/>
            <w:tcBorders>
              <w:top w:val="nil"/>
              <w:left w:val="nil"/>
              <w:bottom w:val="nil"/>
              <w:right w:val="nil"/>
            </w:tcBorders>
          </w:tcPr>
          <w:p w:rsidR="00851A84" w:rsidRPr="004F7D0D" w:rsidRDefault="00851A84" w:rsidP="00226E15">
            <w:pPr>
              <w:pStyle w:val="Box"/>
              <w:keepNext w:val="0"/>
              <w:spacing w:before="60" w:after="60" w:line="80" w:lineRule="exact"/>
              <w:rPr>
                <w:b/>
                <w:sz w:val="14"/>
              </w:rPr>
            </w:pPr>
          </w:p>
        </w:tc>
      </w:tr>
    </w:tbl>
    <w:p w:rsidR="00851A84" w:rsidRPr="004F7D0D" w:rsidRDefault="00851A84" w:rsidP="00851A84">
      <w:pPr>
        <w:pStyle w:val="Heading3"/>
      </w:pPr>
      <w:r w:rsidRPr="004F7D0D">
        <w:br w:type="page"/>
      </w:r>
      <w:r w:rsidRPr="004F7D0D">
        <w:lastRenderedPageBreak/>
        <w:t>Performance benchmark 3 — Maintaining or decreasing wastage and leakage</w:t>
      </w:r>
    </w:p>
    <w:p w:rsidR="00851A84" w:rsidRPr="004F7D0D" w:rsidRDefault="00851A84" w:rsidP="00851A84">
      <w:pPr>
        <w:pStyle w:val="BoxSpace"/>
      </w:pPr>
    </w:p>
    <w:tbl>
      <w:tblPr>
        <w:tblW w:w="0" w:type="auto"/>
        <w:tblLook w:val="01E0" w:firstRow="1" w:lastRow="1" w:firstColumn="1" w:lastColumn="1" w:noHBand="0" w:noVBand="0"/>
      </w:tblPr>
      <w:tblGrid>
        <w:gridCol w:w="1877"/>
        <w:gridCol w:w="6946"/>
      </w:tblGrid>
      <w:tr w:rsidR="004F7D0D" w:rsidRPr="004F7D0D" w:rsidTr="00C74B12">
        <w:tc>
          <w:tcPr>
            <w:tcW w:w="1877" w:type="dxa"/>
            <w:shd w:val="clear" w:color="auto" w:fill="auto"/>
          </w:tcPr>
          <w:p w:rsidR="00851A84" w:rsidRPr="004F7D0D" w:rsidRDefault="00851A84" w:rsidP="00C74B12">
            <w:pPr>
              <w:pStyle w:val="TableBodyText"/>
              <w:jc w:val="left"/>
            </w:pPr>
            <w:r w:rsidRPr="004F7D0D">
              <w:t>Performance benchmark</w:t>
            </w:r>
            <w:r w:rsidR="0017195E" w:rsidRPr="004F7D0D">
              <w:t>:</w:t>
            </w:r>
          </w:p>
          <w:p w:rsidR="00851A84" w:rsidRPr="004F7D0D" w:rsidRDefault="00851A84" w:rsidP="00C74B12">
            <w:pPr>
              <w:pStyle w:val="TableBodyText"/>
              <w:jc w:val="left"/>
            </w:pPr>
          </w:p>
        </w:tc>
        <w:tc>
          <w:tcPr>
            <w:tcW w:w="6946" w:type="dxa"/>
            <w:shd w:val="clear" w:color="auto" w:fill="auto"/>
          </w:tcPr>
          <w:p w:rsidR="00851A84" w:rsidRPr="004F7D0D" w:rsidRDefault="00851A84" w:rsidP="00C74B12">
            <w:pPr>
              <w:pStyle w:val="TableBodyText"/>
              <w:jc w:val="left"/>
            </w:pPr>
            <w:r w:rsidRPr="004F7D0D">
              <w:t>Maintaining or decreasing wastage and leakage</w:t>
            </w:r>
          </w:p>
        </w:tc>
      </w:tr>
      <w:tr w:rsidR="004F7D0D" w:rsidRPr="004F7D0D" w:rsidTr="00C74B12">
        <w:tc>
          <w:tcPr>
            <w:tcW w:w="1877" w:type="dxa"/>
            <w:shd w:val="clear" w:color="auto" w:fill="auto"/>
          </w:tcPr>
          <w:p w:rsidR="00851A84" w:rsidRPr="004F7D0D" w:rsidRDefault="00851A84" w:rsidP="00C74B12">
            <w:pPr>
              <w:pStyle w:val="TableBodyText"/>
              <w:jc w:val="left"/>
            </w:pPr>
            <w:r w:rsidRPr="004F7D0D">
              <w:t>Measure</w:t>
            </w:r>
            <w:r w:rsidR="0017195E" w:rsidRPr="004F7D0D">
              <w:t>:</w:t>
            </w:r>
          </w:p>
          <w:p w:rsidR="00851A84" w:rsidRPr="004F7D0D" w:rsidRDefault="00851A84" w:rsidP="00C74B12">
            <w:pPr>
              <w:pStyle w:val="TableBodyText"/>
              <w:jc w:val="left"/>
            </w:pPr>
          </w:p>
        </w:tc>
        <w:tc>
          <w:tcPr>
            <w:tcW w:w="6946" w:type="dxa"/>
            <w:shd w:val="clear" w:color="auto" w:fill="auto"/>
          </w:tcPr>
          <w:p w:rsidR="00851A84" w:rsidRPr="004F7D0D" w:rsidRDefault="007A6A9B" w:rsidP="00C74B12">
            <w:pPr>
              <w:pStyle w:val="TableBodyText"/>
              <w:framePr w:w="2155" w:hSpace="227" w:vSpace="181" w:wrap="around" w:vAnchor="text" w:hAnchor="page" w:xAlign="outside" w:y="1"/>
              <w:jc w:val="left"/>
            </w:pPr>
            <w:r w:rsidRPr="004F7D0D">
              <w:t>The proportion</w:t>
            </w:r>
            <w:r w:rsidR="00744831" w:rsidRPr="004F7D0D">
              <w:t xml:space="preserve"> of</w:t>
            </w:r>
            <w:r w:rsidRPr="004F7D0D">
              <w:t xml:space="preserve"> </w:t>
            </w:r>
            <w:r w:rsidR="00FF74E0" w:rsidRPr="004F7D0D">
              <w:t xml:space="preserve">selected </w:t>
            </w:r>
            <w:r w:rsidR="000A3C64" w:rsidRPr="004F7D0D">
              <w:t xml:space="preserve">National Immunisation Program (NIP) </w:t>
            </w:r>
            <w:r w:rsidRPr="004F7D0D">
              <w:t>vaccines</w:t>
            </w:r>
            <w:r w:rsidR="000A3C64" w:rsidRPr="004F7D0D">
              <w:t xml:space="preserve"> lost to wastage and leakage</w:t>
            </w:r>
          </w:p>
          <w:p w:rsidR="00633B4F" w:rsidRPr="004F7D0D" w:rsidRDefault="00633B4F" w:rsidP="00C74B12">
            <w:pPr>
              <w:pStyle w:val="TableBodyText"/>
              <w:jc w:val="left"/>
            </w:pPr>
          </w:p>
          <w:p w:rsidR="007A6A9B" w:rsidRPr="004F7D0D" w:rsidRDefault="00633B4F" w:rsidP="00C74B12">
            <w:pPr>
              <w:pStyle w:val="TableBodyText"/>
              <w:jc w:val="left"/>
            </w:pPr>
            <w:r w:rsidRPr="004F7D0D">
              <w:t>The measure is defined as:</w:t>
            </w:r>
          </w:p>
          <w:p w:rsidR="007A6A9B" w:rsidRPr="004F7D0D" w:rsidRDefault="00633B4F" w:rsidP="007A6A9B">
            <w:pPr>
              <w:pStyle w:val="TableBullet"/>
            </w:pPr>
            <w:r w:rsidRPr="004F7D0D">
              <w:rPr>
                <w:i/>
              </w:rPr>
              <w:t>N</w:t>
            </w:r>
            <w:r w:rsidR="007A6A9B" w:rsidRPr="004F7D0D">
              <w:rPr>
                <w:i/>
              </w:rPr>
              <w:t>umerator</w:t>
            </w:r>
            <w:r w:rsidR="007A6A9B" w:rsidRPr="004F7D0D">
              <w:t xml:space="preserve"> — the number of</w:t>
            </w:r>
            <w:r w:rsidR="000A3C64" w:rsidRPr="004F7D0D">
              <w:t xml:space="preserve"> NIP</w:t>
            </w:r>
            <w:r w:rsidR="007A6A9B" w:rsidRPr="004F7D0D">
              <w:t xml:space="preserve"> vaccines lost to wastage and leakage </w:t>
            </w:r>
            <w:r w:rsidR="000A3C64" w:rsidRPr="004F7D0D">
              <w:t>(</w:t>
            </w:r>
            <w:r w:rsidR="007A6A9B" w:rsidRPr="004F7D0D">
              <w:t>defined</w:t>
            </w:r>
            <w:r w:rsidR="00D445AB" w:rsidRPr="004F7D0D">
              <w:t xml:space="preserve"> as</w:t>
            </w:r>
            <w:r w:rsidR="007A6A9B" w:rsidRPr="004F7D0D">
              <w:t xml:space="preserve"> </w:t>
            </w:r>
            <w:r w:rsidR="00D445AB" w:rsidRPr="004F7D0D">
              <w:t>(</w:t>
            </w:r>
            <w:r w:rsidR="007A6A9B" w:rsidRPr="004F7D0D">
              <w:t xml:space="preserve">total distributed doses, less </w:t>
            </w:r>
            <w:r w:rsidR="007A2134" w:rsidRPr="004F7D0D">
              <w:t>administered vaccine doses</w:t>
            </w:r>
            <w:r w:rsidR="00D445AB" w:rsidRPr="004F7D0D">
              <w:t>)</w:t>
            </w:r>
            <w:r w:rsidR="007A2134" w:rsidRPr="004F7D0D">
              <w:t xml:space="preserve"> multiplied by 1.03, less </w:t>
            </w:r>
            <w:r w:rsidR="000A3C64" w:rsidRPr="004F7D0D">
              <w:t>vaccines lost due to uncontrollable events)</w:t>
            </w:r>
          </w:p>
          <w:p w:rsidR="000A3C64" w:rsidRPr="004F7D0D" w:rsidRDefault="00633B4F" w:rsidP="007A6A9B">
            <w:pPr>
              <w:pStyle w:val="TableBullet"/>
            </w:pPr>
            <w:r w:rsidRPr="004F7D0D">
              <w:rPr>
                <w:i/>
              </w:rPr>
              <w:t>D</w:t>
            </w:r>
            <w:r w:rsidR="007A6A9B" w:rsidRPr="004F7D0D">
              <w:rPr>
                <w:i/>
              </w:rPr>
              <w:t>enominator</w:t>
            </w:r>
            <w:r w:rsidR="007A6A9B" w:rsidRPr="004F7D0D">
              <w:t xml:space="preserve"> — total number of</w:t>
            </w:r>
            <w:r w:rsidR="000A3C64" w:rsidRPr="004F7D0D">
              <w:t xml:space="preserve"> </w:t>
            </w:r>
            <w:r w:rsidR="00FF74E0" w:rsidRPr="004F7D0D">
              <w:t>N</w:t>
            </w:r>
            <w:r w:rsidR="000A3C64" w:rsidRPr="004F7D0D">
              <w:t>IP</w:t>
            </w:r>
            <w:r w:rsidR="007A6A9B" w:rsidRPr="004F7D0D">
              <w:t xml:space="preserve"> vaccines distributed</w:t>
            </w:r>
          </w:p>
          <w:p w:rsidR="007A6A9B" w:rsidRPr="004F7D0D" w:rsidRDefault="007A6A9B" w:rsidP="00C74B12">
            <w:pPr>
              <w:pStyle w:val="TableBullet"/>
              <w:numPr>
                <w:ilvl w:val="0"/>
                <w:numId w:val="0"/>
              </w:numPr>
              <w:rPr>
                <w:i/>
              </w:rPr>
            </w:pPr>
            <w:r w:rsidRPr="004F7D0D">
              <w:t xml:space="preserve">and is expressed as a </w:t>
            </w:r>
            <w:r w:rsidRPr="004F7D0D">
              <w:rPr>
                <w:i/>
              </w:rPr>
              <w:t>percentage</w:t>
            </w:r>
          </w:p>
          <w:p w:rsidR="00FF74E0" w:rsidRPr="004F7D0D" w:rsidRDefault="00FF74E0" w:rsidP="00C74B12">
            <w:pPr>
              <w:pStyle w:val="TableBullet"/>
              <w:numPr>
                <w:ilvl w:val="0"/>
                <w:numId w:val="0"/>
              </w:numPr>
              <w:rPr>
                <w:i/>
              </w:rPr>
            </w:pPr>
          </w:p>
          <w:p w:rsidR="00FF74E0" w:rsidRPr="004F7D0D" w:rsidRDefault="00FF74E0" w:rsidP="00C74B12">
            <w:pPr>
              <w:pStyle w:val="TableBodyText"/>
              <w:jc w:val="left"/>
              <w:rPr>
                <w:i/>
              </w:rPr>
            </w:pPr>
            <w:r w:rsidRPr="004F7D0D">
              <w:t>‘Maintaining or decreasing’ is defined as wastage or leakage of 10 per cent or less.</w:t>
            </w:r>
          </w:p>
          <w:p w:rsidR="007A6A9B" w:rsidRPr="004F7D0D" w:rsidRDefault="007A6A9B" w:rsidP="00C74B12">
            <w:pPr>
              <w:pStyle w:val="TableBodyText"/>
              <w:jc w:val="left"/>
            </w:pPr>
          </w:p>
          <w:p w:rsidR="00FF74E0" w:rsidRPr="004F7D0D" w:rsidRDefault="00FF74E0" w:rsidP="00C74B12">
            <w:pPr>
              <w:pStyle w:val="TableBodyText"/>
              <w:jc w:val="left"/>
              <w:rPr>
                <w:i/>
              </w:rPr>
            </w:pPr>
            <w:r w:rsidRPr="004F7D0D">
              <w:rPr>
                <w:i/>
              </w:rPr>
              <w:t>The group of NIP vaccines included in this measure are selected prior to the commencement of the reporting period.</w:t>
            </w:r>
          </w:p>
          <w:p w:rsidR="00FF74E0" w:rsidRPr="004F7D0D" w:rsidRDefault="00FF74E0" w:rsidP="00C74B12">
            <w:pPr>
              <w:pStyle w:val="TableBodyText"/>
              <w:jc w:val="left"/>
            </w:pPr>
          </w:p>
          <w:p w:rsidR="007A6A9B" w:rsidRPr="004F7D0D" w:rsidRDefault="007A6A9B" w:rsidP="00C74B12">
            <w:pPr>
              <w:pStyle w:val="TableBodyText"/>
              <w:jc w:val="left"/>
              <w:rPr>
                <w:i/>
              </w:rPr>
            </w:pPr>
            <w:r w:rsidRPr="004F7D0D">
              <w:rPr>
                <w:i/>
              </w:rPr>
              <w:t xml:space="preserve">Total distributed doses is </w:t>
            </w:r>
            <w:r w:rsidR="000A3C64" w:rsidRPr="004F7D0D">
              <w:rPr>
                <w:i/>
              </w:rPr>
              <w:t>the total stock held by a jurisdiction at the start of the reporting period, plus the number of vaccines purchased during the reporting period, minus the vaccines held by jurisdictions at the end of the period.</w:t>
            </w:r>
          </w:p>
          <w:p w:rsidR="007A2134" w:rsidRPr="004F7D0D" w:rsidRDefault="007A2134" w:rsidP="00C74B12">
            <w:pPr>
              <w:pStyle w:val="TableBodyText"/>
              <w:jc w:val="left"/>
              <w:rPr>
                <w:i/>
              </w:rPr>
            </w:pPr>
          </w:p>
          <w:p w:rsidR="007A2134" w:rsidRPr="004F7D0D" w:rsidRDefault="000A3C64" w:rsidP="00C74B12">
            <w:pPr>
              <w:pStyle w:val="TableBodyText"/>
              <w:jc w:val="left"/>
              <w:rPr>
                <w:i/>
              </w:rPr>
            </w:pPr>
            <w:r w:rsidRPr="004F7D0D">
              <w:rPr>
                <w:i/>
              </w:rPr>
              <w:t xml:space="preserve">Uncontrollable events are </w:t>
            </w:r>
            <w:r w:rsidR="00542D9B" w:rsidRPr="004F7D0D">
              <w:rPr>
                <w:i/>
              </w:rPr>
              <w:t>vaccines lost to natural</w:t>
            </w:r>
            <w:r w:rsidR="007A2134" w:rsidRPr="004F7D0D">
              <w:rPr>
                <w:i/>
              </w:rPr>
              <w:t xml:space="preserve"> disasters, power outages</w:t>
            </w:r>
            <w:r w:rsidRPr="004F7D0D">
              <w:rPr>
                <w:i/>
              </w:rPr>
              <w:t xml:space="preserve"> or refrigeration failure. </w:t>
            </w:r>
          </w:p>
          <w:p w:rsidR="007A6A9B" w:rsidRPr="004F7D0D" w:rsidRDefault="007A6A9B" w:rsidP="00C74B12">
            <w:pPr>
              <w:pStyle w:val="TableBodyText"/>
              <w:jc w:val="left"/>
            </w:pPr>
          </w:p>
        </w:tc>
      </w:tr>
      <w:tr w:rsidR="004F7D0D" w:rsidRPr="004F7D0D" w:rsidTr="00C74B12">
        <w:tc>
          <w:tcPr>
            <w:tcW w:w="1877" w:type="dxa"/>
            <w:shd w:val="clear" w:color="auto" w:fill="auto"/>
          </w:tcPr>
          <w:p w:rsidR="008554F9" w:rsidRPr="004F7D0D" w:rsidRDefault="008554F9" w:rsidP="008554F9">
            <w:pPr>
              <w:pStyle w:val="TableBodyText"/>
              <w:jc w:val="left"/>
            </w:pPr>
            <w:r w:rsidRPr="004F7D0D">
              <w:t>Data source:</w:t>
            </w:r>
          </w:p>
          <w:p w:rsidR="008554F9" w:rsidRPr="004F7D0D" w:rsidRDefault="008554F9" w:rsidP="00C74B12">
            <w:pPr>
              <w:pStyle w:val="TableBodyText"/>
              <w:jc w:val="left"/>
            </w:pPr>
          </w:p>
        </w:tc>
        <w:tc>
          <w:tcPr>
            <w:tcW w:w="6946" w:type="dxa"/>
            <w:shd w:val="clear" w:color="auto" w:fill="auto"/>
          </w:tcPr>
          <w:p w:rsidR="008554F9" w:rsidRPr="004F7D0D" w:rsidRDefault="008554F9" w:rsidP="008554F9">
            <w:pPr>
              <w:pStyle w:val="TableBodyText"/>
              <w:jc w:val="left"/>
              <w:rPr>
                <w:u w:val="single"/>
              </w:rPr>
            </w:pPr>
            <w:r w:rsidRPr="004F7D0D">
              <w:rPr>
                <w:i/>
              </w:rPr>
              <w:t xml:space="preserve">Numerator — </w:t>
            </w:r>
            <w:r w:rsidRPr="004F7D0D">
              <w:rPr>
                <w:u w:val="single"/>
              </w:rPr>
              <w:t>Certified wastage and leakage reports from states and territories</w:t>
            </w:r>
            <w:r w:rsidRPr="004F7D0D">
              <w:rPr>
                <w:i/>
              </w:rPr>
              <w:t xml:space="preserve"> </w:t>
            </w:r>
            <w:r w:rsidRPr="004F7D0D">
              <w:t xml:space="preserve">for total distributed doses and vaccines lost to uncontrollable events and </w:t>
            </w:r>
            <w:r w:rsidRPr="004F7D0D">
              <w:rPr>
                <w:u w:val="single"/>
              </w:rPr>
              <w:t xml:space="preserve">ACIR </w:t>
            </w:r>
            <w:r w:rsidRPr="004F7D0D">
              <w:t xml:space="preserve">for number of vaccine doses administered. </w:t>
            </w:r>
          </w:p>
          <w:p w:rsidR="008554F9" w:rsidRPr="004F7D0D" w:rsidRDefault="008554F9" w:rsidP="008554F9">
            <w:pPr>
              <w:pStyle w:val="TableBodyText"/>
              <w:jc w:val="left"/>
            </w:pPr>
          </w:p>
          <w:p w:rsidR="008554F9" w:rsidRPr="004F7D0D" w:rsidRDefault="008554F9" w:rsidP="008554F9">
            <w:pPr>
              <w:pStyle w:val="TableBodyText"/>
              <w:jc w:val="left"/>
              <w:rPr>
                <w:i/>
              </w:rPr>
            </w:pPr>
            <w:r w:rsidRPr="004F7D0D">
              <w:rPr>
                <w:i/>
              </w:rPr>
              <w:t xml:space="preserve">Denominator — </w:t>
            </w:r>
            <w:r w:rsidRPr="004F7D0D">
              <w:rPr>
                <w:u w:val="single"/>
              </w:rPr>
              <w:t>Certified wastage and leakage reports from states and territories.</w:t>
            </w:r>
            <w:r w:rsidRPr="004F7D0D">
              <w:rPr>
                <w:i/>
              </w:rPr>
              <w:t xml:space="preserve"> </w:t>
            </w:r>
          </w:p>
          <w:p w:rsidR="008554F9" w:rsidRPr="004F7D0D" w:rsidRDefault="008554F9" w:rsidP="00C74B12">
            <w:pPr>
              <w:pStyle w:val="TableBodyText"/>
              <w:framePr w:w="2155" w:hSpace="227" w:vSpace="181" w:wrap="around" w:vAnchor="text" w:hAnchor="page" w:xAlign="outside" w:y="1"/>
              <w:jc w:val="left"/>
            </w:pPr>
          </w:p>
        </w:tc>
      </w:tr>
      <w:tr w:rsidR="004F7D0D" w:rsidRPr="004F7D0D" w:rsidTr="00C74B12">
        <w:tc>
          <w:tcPr>
            <w:tcW w:w="1877" w:type="dxa"/>
            <w:shd w:val="clear" w:color="auto" w:fill="auto"/>
          </w:tcPr>
          <w:p w:rsidR="008554F9" w:rsidRPr="004F7D0D" w:rsidRDefault="008554F9" w:rsidP="008554F9">
            <w:pPr>
              <w:pStyle w:val="TableBodyText"/>
              <w:spacing w:before="40"/>
              <w:jc w:val="left"/>
            </w:pPr>
            <w:r w:rsidRPr="004F7D0D">
              <w:t>Data provider:</w:t>
            </w:r>
          </w:p>
          <w:p w:rsidR="008554F9" w:rsidRPr="004F7D0D" w:rsidRDefault="008554F9" w:rsidP="00C74B12">
            <w:pPr>
              <w:pStyle w:val="TableBodyText"/>
              <w:jc w:val="left"/>
            </w:pPr>
          </w:p>
        </w:tc>
        <w:tc>
          <w:tcPr>
            <w:tcW w:w="6946" w:type="dxa"/>
            <w:shd w:val="clear" w:color="auto" w:fill="auto"/>
          </w:tcPr>
          <w:p w:rsidR="009D3684" w:rsidRDefault="008554F9" w:rsidP="008554F9">
            <w:pPr>
              <w:pStyle w:val="TableBodyText"/>
              <w:spacing w:before="40"/>
              <w:jc w:val="left"/>
            </w:pPr>
            <w:r w:rsidRPr="004F7D0D">
              <w:t>DoHA</w:t>
            </w:r>
          </w:p>
          <w:p w:rsidR="008554F9" w:rsidRPr="004F7D0D" w:rsidRDefault="008554F9" w:rsidP="008554F9">
            <w:pPr>
              <w:pStyle w:val="TableBodyText"/>
              <w:spacing w:before="40"/>
              <w:jc w:val="left"/>
            </w:pPr>
            <w:r w:rsidRPr="004F7D0D">
              <w:t>State and Territory administrative data</w:t>
            </w:r>
          </w:p>
          <w:p w:rsidR="008554F9" w:rsidRPr="004F7D0D" w:rsidRDefault="008554F9" w:rsidP="00C74B12">
            <w:pPr>
              <w:pStyle w:val="TableBodyText"/>
              <w:framePr w:w="2155" w:hSpace="227" w:vSpace="181" w:wrap="around" w:vAnchor="text" w:hAnchor="page" w:xAlign="outside" w:y="1"/>
              <w:jc w:val="left"/>
            </w:pPr>
          </w:p>
        </w:tc>
      </w:tr>
      <w:tr w:rsidR="004F7D0D" w:rsidRPr="004F7D0D" w:rsidTr="00C74B12">
        <w:tc>
          <w:tcPr>
            <w:tcW w:w="1877" w:type="dxa"/>
            <w:shd w:val="clear" w:color="auto" w:fill="auto"/>
          </w:tcPr>
          <w:p w:rsidR="008554F9" w:rsidRPr="004F7D0D" w:rsidRDefault="008554F9" w:rsidP="008554F9">
            <w:pPr>
              <w:pStyle w:val="TableBodyText"/>
              <w:spacing w:before="40"/>
              <w:jc w:val="left"/>
            </w:pPr>
            <w:r w:rsidRPr="004F7D0D">
              <w:t>Data availability:</w:t>
            </w:r>
          </w:p>
          <w:p w:rsidR="008554F9" w:rsidRPr="004F7D0D" w:rsidRDefault="008554F9" w:rsidP="00C74B12">
            <w:pPr>
              <w:pStyle w:val="TableBodyText"/>
              <w:jc w:val="left"/>
            </w:pPr>
          </w:p>
        </w:tc>
        <w:tc>
          <w:tcPr>
            <w:tcW w:w="6946" w:type="dxa"/>
            <w:shd w:val="clear" w:color="auto" w:fill="auto"/>
          </w:tcPr>
          <w:p w:rsidR="008554F9" w:rsidRPr="004F7D0D" w:rsidRDefault="008554F9" w:rsidP="008554F9">
            <w:pPr>
              <w:pStyle w:val="TableBodyText"/>
              <w:spacing w:before="40"/>
              <w:jc w:val="left"/>
            </w:pPr>
            <w:r w:rsidRPr="004F7D0D">
              <w:t>1 April 2012 to 31 March 2013</w:t>
            </w:r>
          </w:p>
        </w:tc>
      </w:tr>
      <w:tr w:rsidR="008554F9" w:rsidRPr="004F7D0D" w:rsidTr="00C74B12">
        <w:tc>
          <w:tcPr>
            <w:tcW w:w="1877" w:type="dxa"/>
            <w:shd w:val="clear" w:color="auto" w:fill="auto"/>
          </w:tcPr>
          <w:p w:rsidR="008554F9" w:rsidRPr="004F7D0D" w:rsidRDefault="008554F9" w:rsidP="008554F9">
            <w:pPr>
              <w:pStyle w:val="TableBodyText"/>
              <w:spacing w:before="40"/>
              <w:jc w:val="left"/>
            </w:pPr>
            <w:r w:rsidRPr="004F7D0D">
              <w:t>Cross tabulations:</w:t>
            </w:r>
          </w:p>
          <w:p w:rsidR="008554F9" w:rsidRPr="004F7D0D" w:rsidRDefault="008554F9" w:rsidP="008554F9">
            <w:pPr>
              <w:pStyle w:val="TableBodyText"/>
              <w:jc w:val="left"/>
            </w:pPr>
          </w:p>
        </w:tc>
        <w:tc>
          <w:tcPr>
            <w:tcW w:w="6946" w:type="dxa"/>
            <w:shd w:val="clear" w:color="auto" w:fill="auto"/>
          </w:tcPr>
          <w:p w:rsidR="008554F9" w:rsidRPr="004F7D0D" w:rsidRDefault="008554F9" w:rsidP="008554F9">
            <w:pPr>
              <w:pStyle w:val="TableBodyText"/>
              <w:spacing w:before="40"/>
              <w:jc w:val="left"/>
            </w:pPr>
            <w:r w:rsidRPr="004F7D0D">
              <w:t>State and Territory</w:t>
            </w:r>
          </w:p>
        </w:tc>
      </w:tr>
    </w:tbl>
    <w:p w:rsidR="00851A84" w:rsidRPr="004F7D0D" w:rsidRDefault="00851A84" w:rsidP="00A35115">
      <w:pPr>
        <w:pStyle w:val="BodyText"/>
      </w:pPr>
    </w:p>
    <w:p w:rsidR="00851A84" w:rsidRPr="004F7D0D" w:rsidRDefault="00851A84" w:rsidP="0028404E">
      <w:pPr>
        <w:pStyle w:val="TableTitle"/>
        <w:shd w:val="clear" w:color="auto" w:fill="FFFFFF" w:themeFill="background1"/>
      </w:pPr>
      <w:r w:rsidRPr="004F7D0D">
        <w:rPr>
          <w:b w:val="0"/>
        </w:rPr>
        <w:lastRenderedPageBreak/>
        <w:t xml:space="preserve">Table </w:t>
      </w:r>
      <w:r w:rsidRPr="004F7D0D">
        <w:rPr>
          <w:b w:val="0"/>
        </w:rPr>
        <w:fldChar w:fldCharType="begin"/>
      </w:r>
      <w:r w:rsidRPr="004F7D0D">
        <w:rPr>
          <w:b w:val="0"/>
        </w:rPr>
        <w:instrText xml:space="preserve"> SEQ Table \* ARABIC </w:instrText>
      </w:r>
      <w:r w:rsidRPr="004F7D0D">
        <w:rPr>
          <w:b w:val="0"/>
        </w:rPr>
        <w:fldChar w:fldCharType="separate"/>
      </w:r>
      <w:r w:rsidR="003F1C71">
        <w:rPr>
          <w:b w:val="0"/>
          <w:noProof/>
        </w:rPr>
        <w:t>3</w:t>
      </w:r>
      <w:r w:rsidRPr="004F7D0D">
        <w:rPr>
          <w:b w:val="0"/>
        </w:rPr>
        <w:fldChar w:fldCharType="end"/>
      </w:r>
      <w:r w:rsidRPr="004F7D0D">
        <w:tab/>
      </w:r>
      <w:r w:rsidR="007A2134" w:rsidRPr="004F7D0D">
        <w:t xml:space="preserve">Wastage and leakage of agreed vaccines </w:t>
      </w:r>
      <w:r w:rsidR="006757D9" w:rsidRPr="004F7D0D">
        <w:t xml:space="preserve">1 </w:t>
      </w:r>
      <w:r w:rsidR="00FF6EC6" w:rsidRPr="004F7D0D">
        <w:t>April</w:t>
      </w:r>
      <w:r w:rsidR="007A2134" w:rsidRPr="004F7D0D">
        <w:t> </w:t>
      </w:r>
      <w:r w:rsidR="00E31F46" w:rsidRPr="004F7D0D">
        <w:t>201</w:t>
      </w:r>
      <w:r w:rsidR="00E2069D" w:rsidRPr="004F7D0D">
        <w:t>2</w:t>
      </w:r>
      <w:r w:rsidR="00E31F46" w:rsidRPr="004F7D0D">
        <w:t xml:space="preserve"> </w:t>
      </w:r>
      <w:r w:rsidR="007A2134" w:rsidRPr="004F7D0D">
        <w:t xml:space="preserve">to </w:t>
      </w:r>
      <w:r w:rsidR="006757D9" w:rsidRPr="004F7D0D">
        <w:t>31 </w:t>
      </w:r>
      <w:r w:rsidR="007A2134" w:rsidRPr="004F7D0D">
        <w:t>March </w:t>
      </w:r>
      <w:r w:rsidR="00E31F46" w:rsidRPr="004F7D0D">
        <w:t>201</w:t>
      </w:r>
      <w:r w:rsidR="00E2069D" w:rsidRPr="004F7D0D">
        <w:t>3</w:t>
      </w:r>
      <w:r w:rsidR="00990EF4" w:rsidRPr="004F7D0D">
        <w:t xml:space="preserve"> (per cent</w:t>
      </w:r>
      <w:r w:rsidR="00253D5F" w:rsidRPr="004F7D0D">
        <w:t>)</w:t>
      </w:r>
      <w:r w:rsidR="00253D5F" w:rsidRPr="004F7D0D">
        <w:rPr>
          <w:rStyle w:val="NoteLabel"/>
          <w:b/>
        </w:rPr>
        <w:t>a</w:t>
      </w:r>
      <w:r w:rsidR="008D2C48" w:rsidRPr="004F7D0D">
        <w:rPr>
          <w:rStyle w:val="NoteLabel"/>
          <w:b/>
        </w:rPr>
        <w:t>, b</w:t>
      </w:r>
      <w:r w:rsidR="006308DE" w:rsidRPr="004F7D0D">
        <w:rPr>
          <w:rStyle w:val="NoteLabel"/>
          <w:b/>
        </w:rPr>
        <w:t>, c</w:t>
      </w:r>
    </w:p>
    <w:tbl>
      <w:tblPr>
        <w:tblW w:w="8607" w:type="dxa"/>
        <w:tblCellMar>
          <w:left w:w="0" w:type="dxa"/>
          <w:right w:w="0" w:type="dxa"/>
        </w:tblCellMar>
        <w:tblLook w:val="0000" w:firstRow="0" w:lastRow="0" w:firstColumn="0" w:lastColumn="0" w:noHBand="0" w:noVBand="0"/>
      </w:tblPr>
      <w:tblGrid>
        <w:gridCol w:w="2700"/>
        <w:gridCol w:w="656"/>
        <w:gridCol w:w="656"/>
        <w:gridCol w:w="657"/>
        <w:gridCol w:w="656"/>
        <w:gridCol w:w="656"/>
        <w:gridCol w:w="657"/>
        <w:gridCol w:w="656"/>
        <w:gridCol w:w="656"/>
        <w:gridCol w:w="657"/>
      </w:tblGrid>
      <w:tr w:rsidR="004F7D0D" w:rsidRPr="004F7D0D" w:rsidTr="0028404E">
        <w:tc>
          <w:tcPr>
            <w:tcW w:w="2700" w:type="dxa"/>
            <w:tcBorders>
              <w:top w:val="single" w:sz="6" w:space="0" w:color="auto"/>
              <w:bottom w:val="single" w:sz="6" w:space="0" w:color="auto"/>
            </w:tcBorders>
            <w:shd w:val="clear" w:color="auto" w:fill="auto"/>
          </w:tcPr>
          <w:p w:rsidR="006160C2" w:rsidRPr="004F7D0D" w:rsidRDefault="006160C2" w:rsidP="00851A84">
            <w:pPr>
              <w:pStyle w:val="TableColumnHeading"/>
              <w:jc w:val="left"/>
            </w:pPr>
          </w:p>
        </w:tc>
        <w:tc>
          <w:tcPr>
            <w:tcW w:w="656" w:type="dxa"/>
            <w:tcBorders>
              <w:top w:val="single" w:sz="6" w:space="0" w:color="auto"/>
              <w:bottom w:val="single" w:sz="6" w:space="0" w:color="auto"/>
            </w:tcBorders>
            <w:shd w:val="clear" w:color="auto" w:fill="auto"/>
          </w:tcPr>
          <w:p w:rsidR="006160C2" w:rsidRPr="004F7D0D" w:rsidRDefault="006160C2" w:rsidP="00851A84">
            <w:pPr>
              <w:pStyle w:val="TableColumnHeading"/>
              <w:ind w:right="28"/>
            </w:pPr>
            <w:r w:rsidRPr="004F7D0D">
              <w:t>NSW</w:t>
            </w:r>
          </w:p>
        </w:tc>
        <w:tc>
          <w:tcPr>
            <w:tcW w:w="656" w:type="dxa"/>
            <w:tcBorders>
              <w:top w:val="single" w:sz="6" w:space="0" w:color="auto"/>
              <w:bottom w:val="single" w:sz="6" w:space="0" w:color="auto"/>
            </w:tcBorders>
          </w:tcPr>
          <w:p w:rsidR="006160C2" w:rsidRPr="004F7D0D" w:rsidRDefault="006160C2" w:rsidP="00851A84">
            <w:pPr>
              <w:pStyle w:val="TableColumnHeading"/>
              <w:ind w:right="28"/>
            </w:pPr>
            <w:r w:rsidRPr="004F7D0D">
              <w:t>Vic</w:t>
            </w:r>
          </w:p>
        </w:tc>
        <w:tc>
          <w:tcPr>
            <w:tcW w:w="657" w:type="dxa"/>
            <w:tcBorders>
              <w:top w:val="single" w:sz="6" w:space="0" w:color="auto"/>
              <w:bottom w:val="single" w:sz="6" w:space="0" w:color="auto"/>
            </w:tcBorders>
          </w:tcPr>
          <w:p w:rsidR="006160C2" w:rsidRPr="004F7D0D" w:rsidRDefault="006160C2" w:rsidP="00851A84">
            <w:pPr>
              <w:pStyle w:val="TableColumnHeading"/>
              <w:ind w:right="28"/>
            </w:pPr>
            <w:r w:rsidRPr="004F7D0D">
              <w:t>Qld</w:t>
            </w:r>
          </w:p>
        </w:tc>
        <w:tc>
          <w:tcPr>
            <w:tcW w:w="656" w:type="dxa"/>
            <w:tcBorders>
              <w:top w:val="single" w:sz="6" w:space="0" w:color="auto"/>
              <w:bottom w:val="single" w:sz="6" w:space="0" w:color="auto"/>
            </w:tcBorders>
          </w:tcPr>
          <w:p w:rsidR="006160C2" w:rsidRPr="004F7D0D" w:rsidRDefault="006160C2" w:rsidP="00851A84">
            <w:pPr>
              <w:pStyle w:val="TableColumnHeading"/>
              <w:ind w:right="28"/>
            </w:pPr>
            <w:r w:rsidRPr="004F7D0D">
              <w:t>WA</w:t>
            </w:r>
          </w:p>
        </w:tc>
        <w:tc>
          <w:tcPr>
            <w:tcW w:w="656" w:type="dxa"/>
            <w:tcBorders>
              <w:top w:val="single" w:sz="6" w:space="0" w:color="auto"/>
              <w:bottom w:val="single" w:sz="6" w:space="0" w:color="auto"/>
            </w:tcBorders>
          </w:tcPr>
          <w:p w:rsidR="006160C2" w:rsidRPr="004F7D0D" w:rsidRDefault="006160C2" w:rsidP="00851A84">
            <w:pPr>
              <w:pStyle w:val="TableColumnHeading"/>
              <w:ind w:right="28"/>
            </w:pPr>
            <w:r w:rsidRPr="004F7D0D">
              <w:t>SA</w:t>
            </w:r>
          </w:p>
        </w:tc>
        <w:tc>
          <w:tcPr>
            <w:tcW w:w="657" w:type="dxa"/>
            <w:tcBorders>
              <w:top w:val="single" w:sz="6" w:space="0" w:color="auto"/>
              <w:bottom w:val="single" w:sz="6" w:space="0" w:color="auto"/>
            </w:tcBorders>
          </w:tcPr>
          <w:p w:rsidR="006160C2" w:rsidRPr="004F7D0D" w:rsidRDefault="006160C2" w:rsidP="00851A84">
            <w:pPr>
              <w:pStyle w:val="TableColumnHeading"/>
              <w:ind w:right="28"/>
            </w:pPr>
            <w:r w:rsidRPr="004F7D0D">
              <w:t>Tas</w:t>
            </w:r>
          </w:p>
        </w:tc>
        <w:tc>
          <w:tcPr>
            <w:tcW w:w="656" w:type="dxa"/>
            <w:tcBorders>
              <w:top w:val="single" w:sz="6" w:space="0" w:color="auto"/>
              <w:bottom w:val="single" w:sz="6" w:space="0" w:color="auto"/>
            </w:tcBorders>
          </w:tcPr>
          <w:p w:rsidR="006160C2" w:rsidRPr="004F7D0D" w:rsidRDefault="006160C2" w:rsidP="00851A84">
            <w:pPr>
              <w:pStyle w:val="TableColumnHeading"/>
              <w:ind w:right="28"/>
            </w:pPr>
            <w:r w:rsidRPr="004F7D0D">
              <w:t>ACT</w:t>
            </w:r>
          </w:p>
        </w:tc>
        <w:tc>
          <w:tcPr>
            <w:tcW w:w="656" w:type="dxa"/>
            <w:tcBorders>
              <w:top w:val="single" w:sz="6" w:space="0" w:color="auto"/>
              <w:bottom w:val="single" w:sz="6" w:space="0" w:color="auto"/>
            </w:tcBorders>
          </w:tcPr>
          <w:p w:rsidR="006160C2" w:rsidRPr="004F7D0D" w:rsidRDefault="006160C2" w:rsidP="00851A84">
            <w:pPr>
              <w:pStyle w:val="TableColumnHeading"/>
              <w:ind w:right="28"/>
            </w:pPr>
            <w:r w:rsidRPr="004F7D0D">
              <w:t>NT</w:t>
            </w:r>
          </w:p>
        </w:tc>
        <w:tc>
          <w:tcPr>
            <w:tcW w:w="657" w:type="dxa"/>
            <w:tcBorders>
              <w:top w:val="single" w:sz="6" w:space="0" w:color="auto"/>
              <w:bottom w:val="single" w:sz="6" w:space="0" w:color="auto"/>
            </w:tcBorders>
          </w:tcPr>
          <w:p w:rsidR="006160C2" w:rsidRPr="004F7D0D" w:rsidRDefault="006160C2" w:rsidP="00851A84">
            <w:pPr>
              <w:pStyle w:val="TableColumnHeading"/>
              <w:ind w:right="28"/>
            </w:pPr>
            <w:r w:rsidRPr="004F7D0D">
              <w:t>Aust</w:t>
            </w:r>
          </w:p>
        </w:tc>
      </w:tr>
      <w:tr w:rsidR="004F7D0D" w:rsidRPr="004F7D0D" w:rsidTr="0028404E">
        <w:tc>
          <w:tcPr>
            <w:tcW w:w="2700" w:type="dxa"/>
            <w:tcBorders>
              <w:bottom w:val="single" w:sz="6" w:space="0" w:color="auto"/>
            </w:tcBorders>
            <w:shd w:val="clear" w:color="auto" w:fill="auto"/>
          </w:tcPr>
          <w:p w:rsidR="00E7507D" w:rsidRPr="004F7D0D" w:rsidRDefault="00E7507D" w:rsidP="00B144D8">
            <w:pPr>
              <w:pStyle w:val="TableUnitsRow"/>
              <w:spacing w:after="40"/>
              <w:ind w:right="28"/>
              <w:jc w:val="left"/>
            </w:pPr>
            <w:r w:rsidRPr="004F7D0D">
              <w:t>Proportion of NIP vaccines lost to wastage/ leakage</w:t>
            </w:r>
            <w:r w:rsidR="006308DE" w:rsidRPr="004F7D0D">
              <w:rPr>
                <w:rStyle w:val="NoteLabel"/>
              </w:rPr>
              <w:t>d</w:t>
            </w:r>
          </w:p>
        </w:tc>
        <w:tc>
          <w:tcPr>
            <w:tcW w:w="656" w:type="dxa"/>
            <w:tcBorders>
              <w:bottom w:val="single" w:sz="6" w:space="0" w:color="auto"/>
            </w:tcBorders>
            <w:shd w:val="clear" w:color="auto" w:fill="auto"/>
          </w:tcPr>
          <w:p w:rsidR="00E7507D" w:rsidRPr="004F7D0D" w:rsidRDefault="00E2069D" w:rsidP="00107251">
            <w:pPr>
              <w:pStyle w:val="TableUnitsRow"/>
              <w:framePr w:w="2155" w:hSpace="227" w:vSpace="181" w:wrap="around" w:vAnchor="text" w:hAnchor="page" w:xAlign="outside" w:y="1"/>
              <w:ind w:right="0"/>
              <w:rPr>
                <w:i/>
              </w:rPr>
            </w:pPr>
            <w:r w:rsidRPr="004F7D0D">
              <w:t>9.0</w:t>
            </w:r>
          </w:p>
        </w:tc>
        <w:tc>
          <w:tcPr>
            <w:tcW w:w="656" w:type="dxa"/>
            <w:tcBorders>
              <w:bottom w:val="single" w:sz="6" w:space="0" w:color="auto"/>
            </w:tcBorders>
          </w:tcPr>
          <w:p w:rsidR="00E7507D" w:rsidRPr="004F7D0D" w:rsidRDefault="00E2069D" w:rsidP="00107251">
            <w:pPr>
              <w:pStyle w:val="TableUnitsRow"/>
              <w:framePr w:w="2155" w:hSpace="227" w:vSpace="181" w:wrap="around" w:vAnchor="text" w:hAnchor="page" w:xAlign="outside" w:y="1"/>
              <w:ind w:right="0"/>
              <w:rPr>
                <w:i/>
              </w:rPr>
            </w:pPr>
            <w:r w:rsidRPr="004F7D0D">
              <w:t>6.9</w:t>
            </w:r>
          </w:p>
        </w:tc>
        <w:tc>
          <w:tcPr>
            <w:tcW w:w="657" w:type="dxa"/>
            <w:tcBorders>
              <w:bottom w:val="single" w:sz="6" w:space="0" w:color="auto"/>
            </w:tcBorders>
          </w:tcPr>
          <w:p w:rsidR="00E7507D" w:rsidRPr="004F7D0D" w:rsidRDefault="00E2069D" w:rsidP="00107251">
            <w:pPr>
              <w:pStyle w:val="TableUnitsRow"/>
              <w:framePr w:w="2155" w:hSpace="227" w:vSpace="181" w:wrap="around" w:vAnchor="text" w:hAnchor="page" w:xAlign="outside" w:y="1"/>
              <w:ind w:right="0"/>
              <w:rPr>
                <w:i/>
              </w:rPr>
            </w:pPr>
            <w:r w:rsidRPr="004F7D0D">
              <w:t>4.5</w:t>
            </w:r>
          </w:p>
        </w:tc>
        <w:tc>
          <w:tcPr>
            <w:tcW w:w="656" w:type="dxa"/>
            <w:tcBorders>
              <w:bottom w:val="single" w:sz="6" w:space="0" w:color="auto"/>
            </w:tcBorders>
          </w:tcPr>
          <w:p w:rsidR="00E7507D" w:rsidRPr="004F7D0D" w:rsidRDefault="00E2069D" w:rsidP="00107251">
            <w:pPr>
              <w:pStyle w:val="TableUnitsRow"/>
              <w:framePr w:w="2155" w:hSpace="227" w:vSpace="181" w:wrap="around" w:vAnchor="text" w:hAnchor="page" w:xAlign="outside" w:y="1"/>
              <w:ind w:right="0"/>
              <w:rPr>
                <w:i/>
              </w:rPr>
            </w:pPr>
            <w:r w:rsidRPr="004F7D0D">
              <w:t>5.1</w:t>
            </w:r>
          </w:p>
        </w:tc>
        <w:tc>
          <w:tcPr>
            <w:tcW w:w="656" w:type="dxa"/>
            <w:tcBorders>
              <w:bottom w:val="single" w:sz="6" w:space="0" w:color="auto"/>
            </w:tcBorders>
          </w:tcPr>
          <w:p w:rsidR="00E7507D" w:rsidRPr="004F7D0D" w:rsidRDefault="00E2069D" w:rsidP="00107251">
            <w:pPr>
              <w:pStyle w:val="TableUnitsRow"/>
              <w:framePr w:w="2155" w:hSpace="227" w:vSpace="181" w:wrap="around" w:vAnchor="text" w:hAnchor="page" w:xAlign="outside" w:y="1"/>
              <w:ind w:right="0"/>
              <w:rPr>
                <w:i/>
              </w:rPr>
            </w:pPr>
            <w:r w:rsidRPr="004F7D0D">
              <w:t>6.5</w:t>
            </w:r>
          </w:p>
        </w:tc>
        <w:tc>
          <w:tcPr>
            <w:tcW w:w="657" w:type="dxa"/>
            <w:tcBorders>
              <w:bottom w:val="single" w:sz="6" w:space="0" w:color="auto"/>
            </w:tcBorders>
          </w:tcPr>
          <w:p w:rsidR="00E7507D" w:rsidRPr="004F7D0D" w:rsidRDefault="00E2069D" w:rsidP="00E2069D">
            <w:pPr>
              <w:pStyle w:val="TableUnitsRow"/>
              <w:framePr w:w="2155" w:hSpace="227" w:vSpace="181" w:wrap="around" w:vAnchor="text" w:hAnchor="page" w:xAlign="outside" w:y="1"/>
              <w:ind w:right="0"/>
              <w:rPr>
                <w:i/>
              </w:rPr>
            </w:pPr>
            <w:r w:rsidRPr="004F7D0D">
              <w:t>9.0</w:t>
            </w:r>
          </w:p>
        </w:tc>
        <w:tc>
          <w:tcPr>
            <w:tcW w:w="656" w:type="dxa"/>
            <w:tcBorders>
              <w:bottom w:val="single" w:sz="6" w:space="0" w:color="auto"/>
            </w:tcBorders>
          </w:tcPr>
          <w:p w:rsidR="00E7507D" w:rsidRPr="004F7D0D" w:rsidRDefault="00E2069D" w:rsidP="00107251">
            <w:pPr>
              <w:pStyle w:val="TableUnitsRow"/>
              <w:framePr w:w="2155" w:hSpace="227" w:vSpace="181" w:wrap="around" w:vAnchor="text" w:hAnchor="page" w:xAlign="outside" w:y="1"/>
              <w:ind w:right="0"/>
              <w:rPr>
                <w:i/>
              </w:rPr>
            </w:pPr>
            <w:r w:rsidRPr="004F7D0D">
              <w:t>2.7</w:t>
            </w:r>
          </w:p>
        </w:tc>
        <w:tc>
          <w:tcPr>
            <w:tcW w:w="656" w:type="dxa"/>
            <w:tcBorders>
              <w:bottom w:val="single" w:sz="6" w:space="0" w:color="auto"/>
            </w:tcBorders>
          </w:tcPr>
          <w:p w:rsidR="00E7507D" w:rsidRPr="004F7D0D" w:rsidRDefault="00E2069D" w:rsidP="00107251">
            <w:pPr>
              <w:pStyle w:val="TableUnitsRow"/>
              <w:framePr w:w="2155" w:hSpace="227" w:vSpace="181" w:wrap="around" w:vAnchor="text" w:hAnchor="page" w:xAlign="outside" w:y="1"/>
              <w:ind w:right="0"/>
              <w:rPr>
                <w:i/>
              </w:rPr>
            </w:pPr>
            <w:r w:rsidRPr="004F7D0D">
              <w:t>8.9</w:t>
            </w:r>
          </w:p>
        </w:tc>
        <w:tc>
          <w:tcPr>
            <w:tcW w:w="657" w:type="dxa"/>
            <w:tcBorders>
              <w:bottom w:val="single" w:sz="6" w:space="0" w:color="auto"/>
            </w:tcBorders>
          </w:tcPr>
          <w:p w:rsidR="00E7507D" w:rsidRPr="004F7D0D" w:rsidRDefault="00E2069D" w:rsidP="00107251">
            <w:pPr>
              <w:pStyle w:val="TableUnitsRow"/>
              <w:framePr w:w="2155" w:hSpace="227" w:vSpace="181" w:wrap="around" w:vAnchor="text" w:hAnchor="page" w:xAlign="outside" w:y="1"/>
              <w:ind w:right="0"/>
              <w:rPr>
                <w:i/>
              </w:rPr>
            </w:pPr>
            <w:r w:rsidRPr="004F7D0D">
              <w:t>6.9</w:t>
            </w:r>
          </w:p>
        </w:tc>
      </w:tr>
    </w:tbl>
    <w:p w:rsidR="00851A84" w:rsidRPr="004F7D0D" w:rsidRDefault="00851A84" w:rsidP="00107251">
      <w:pPr>
        <w:pStyle w:val="Note"/>
      </w:pPr>
      <w:r w:rsidRPr="004F7D0D">
        <w:rPr>
          <w:rStyle w:val="NoteLabel"/>
        </w:rPr>
        <w:t>a</w:t>
      </w:r>
      <w:r w:rsidRPr="004F7D0D">
        <w:t xml:space="preserve"> </w:t>
      </w:r>
      <w:r w:rsidR="00E2069D" w:rsidRPr="004F7D0D">
        <w:t xml:space="preserve">Vaccine wastage is defined as vaccine that needs to be destroyed because the cold chain breaks down, the vaccine passes its expiry date or because of breakage </w:t>
      </w:r>
      <w:r w:rsidR="0029216E" w:rsidRPr="004F7D0D">
        <w:t xml:space="preserve">or </w:t>
      </w:r>
      <w:r w:rsidR="00E2069D" w:rsidRPr="004F7D0D">
        <w:t>loss of stock for any other reason.</w:t>
      </w:r>
      <w:r w:rsidR="008D2C48" w:rsidRPr="004F7D0D">
        <w:rPr>
          <w:rStyle w:val="NoteLabel"/>
        </w:rPr>
        <w:t>b</w:t>
      </w:r>
      <w:r w:rsidR="008D2C48" w:rsidRPr="004F7D0D">
        <w:t xml:space="preserve"> </w:t>
      </w:r>
      <w:r w:rsidR="00E2069D" w:rsidRPr="004F7D0D">
        <w:t>Vaccine leakage is defined as vaccines that have been administered to non-cohort population.</w:t>
      </w:r>
      <w:r w:rsidR="006308DE" w:rsidRPr="004F7D0D">
        <w:t xml:space="preserve"> </w:t>
      </w:r>
      <w:r w:rsidR="006308DE" w:rsidRPr="004F7D0D">
        <w:rPr>
          <w:rStyle w:val="NoteLabel"/>
        </w:rPr>
        <w:t>c</w:t>
      </w:r>
      <w:r w:rsidR="005F0D59" w:rsidRPr="004F7D0D">
        <w:rPr>
          <w:rStyle w:val="NoteLabel"/>
        </w:rPr>
        <w:t> </w:t>
      </w:r>
      <w:r w:rsidR="008D2C48" w:rsidRPr="004F7D0D">
        <w:t xml:space="preserve">Agreed vaccines included in the calculation of this measure are </w:t>
      </w:r>
      <w:proofErr w:type="spellStart"/>
      <w:r w:rsidR="008D2C48" w:rsidRPr="004F7D0D">
        <w:t>Infanrix</w:t>
      </w:r>
      <w:proofErr w:type="spellEnd"/>
      <w:r w:rsidR="008D2C48" w:rsidRPr="004F7D0D">
        <w:t xml:space="preserve"> </w:t>
      </w:r>
      <w:proofErr w:type="spellStart"/>
      <w:r w:rsidR="008D2C48" w:rsidRPr="004F7D0D">
        <w:t>Hexa</w:t>
      </w:r>
      <w:proofErr w:type="spellEnd"/>
      <w:r w:rsidR="008D2C48" w:rsidRPr="004F7D0D">
        <w:t xml:space="preserve"> and </w:t>
      </w:r>
      <w:proofErr w:type="spellStart"/>
      <w:r w:rsidR="008D2C48" w:rsidRPr="004F7D0D">
        <w:t>Hiberix</w:t>
      </w:r>
      <w:proofErr w:type="spellEnd"/>
      <w:r w:rsidR="008D2C48" w:rsidRPr="004F7D0D">
        <w:t>/</w:t>
      </w:r>
      <w:proofErr w:type="spellStart"/>
      <w:r w:rsidR="008D2C48" w:rsidRPr="004F7D0D">
        <w:t>Pedvax</w:t>
      </w:r>
      <w:proofErr w:type="spellEnd"/>
      <w:r w:rsidR="008D2C48" w:rsidRPr="004F7D0D">
        <w:t xml:space="preserve"> </w:t>
      </w:r>
      <w:proofErr w:type="spellStart"/>
      <w:r w:rsidR="008D2C48" w:rsidRPr="004F7D0D">
        <w:t>HIB</w:t>
      </w:r>
      <w:proofErr w:type="spellEnd"/>
      <w:r w:rsidR="008D2C48" w:rsidRPr="004F7D0D">
        <w:t>.</w:t>
      </w:r>
      <w:r w:rsidR="008567CF" w:rsidRPr="004F7D0D">
        <w:t xml:space="preserve"> </w:t>
      </w:r>
      <w:r w:rsidR="006308DE" w:rsidRPr="004F7D0D">
        <w:rPr>
          <w:rStyle w:val="NoteLabel"/>
        </w:rPr>
        <w:t>d</w:t>
      </w:r>
      <w:r w:rsidR="005F0D59" w:rsidRPr="004F7D0D">
        <w:t> </w:t>
      </w:r>
      <w:r w:rsidR="008567CF" w:rsidRPr="004F7D0D">
        <w:t>The proportion is derived by dividing the total wastage/leakage (</w:t>
      </w:r>
      <w:r w:rsidR="00EE05B3" w:rsidRPr="004F7D0D">
        <w:t>accounting for loss due to uncontrollable events</w:t>
      </w:r>
      <w:r w:rsidR="008567CF" w:rsidRPr="004F7D0D">
        <w:t>) by the total number of distributed doses.</w:t>
      </w:r>
    </w:p>
    <w:p w:rsidR="00851A84" w:rsidRPr="004F7D0D" w:rsidRDefault="00851A84" w:rsidP="00851A84">
      <w:pPr>
        <w:pStyle w:val="Source"/>
      </w:pPr>
      <w:r w:rsidRPr="004F7D0D">
        <w:rPr>
          <w:i/>
        </w:rPr>
        <w:t>Source</w:t>
      </w:r>
      <w:r w:rsidRPr="004F7D0D">
        <w:t xml:space="preserve">: </w:t>
      </w:r>
      <w:smartTag w:uri="urn:schemas-microsoft-com:office:smarttags" w:element="place">
        <w:smartTag w:uri="urn:schemas-microsoft-com:office:smarttags" w:element="City">
          <w:r w:rsidR="007A2134" w:rsidRPr="004F7D0D">
            <w:t>DoHA</w:t>
          </w:r>
        </w:smartTag>
      </w:smartTag>
      <w:r w:rsidR="007A2134" w:rsidRPr="004F7D0D">
        <w:t xml:space="preserve"> (unpublished) Australian Childhood Immunisation Register</w:t>
      </w:r>
      <w:r w:rsidR="00B1240F" w:rsidRPr="004F7D0D">
        <w:t>, State and Territory Administrative data (unpublished)</w:t>
      </w:r>
      <w:r w:rsidR="00930E6B">
        <w:t>.</w:t>
      </w:r>
    </w:p>
    <w:p w:rsidR="00851A84" w:rsidRPr="004F7D0D" w:rsidRDefault="00851A84">
      <w:pPr>
        <w:pStyle w:val="BoxSpace"/>
      </w:pPr>
      <w:r w:rsidRPr="004F7D0D">
        <w:rPr>
          <w:b/>
          <w:vanish/>
          <w:sz w:val="14"/>
        </w:rPr>
        <w:t>Do not delete this return as it gives space between the box and what precedes it.</w:t>
      </w: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4F7D0D" w:rsidRPr="004F7D0D">
        <w:tc>
          <w:tcPr>
            <w:tcW w:w="8771" w:type="dxa"/>
            <w:tcBorders>
              <w:top w:val="single" w:sz="6" w:space="0" w:color="auto"/>
              <w:bottom w:val="nil"/>
            </w:tcBorders>
          </w:tcPr>
          <w:p w:rsidR="00851A84" w:rsidRPr="004F7D0D" w:rsidRDefault="00851A84">
            <w:pPr>
              <w:pStyle w:val="BoxTitle"/>
            </w:pPr>
            <w:r w:rsidRPr="004F7D0D">
              <w:rPr>
                <w:b w:val="0"/>
              </w:rPr>
              <w:t xml:space="preserve">Box </w:t>
            </w:r>
            <w:r w:rsidRPr="004F7D0D">
              <w:rPr>
                <w:b w:val="0"/>
              </w:rPr>
              <w:fldChar w:fldCharType="begin"/>
            </w:r>
            <w:r w:rsidRPr="004F7D0D">
              <w:rPr>
                <w:b w:val="0"/>
              </w:rPr>
              <w:instrText xml:space="preserve"> SEQ Box \* ARABIC </w:instrText>
            </w:r>
            <w:r w:rsidRPr="004F7D0D">
              <w:rPr>
                <w:b w:val="0"/>
              </w:rPr>
              <w:fldChar w:fldCharType="separate"/>
            </w:r>
            <w:r w:rsidR="003F1C71">
              <w:rPr>
                <w:b w:val="0"/>
                <w:noProof/>
              </w:rPr>
              <w:t>3</w:t>
            </w:r>
            <w:r w:rsidRPr="004F7D0D">
              <w:rPr>
                <w:b w:val="0"/>
              </w:rPr>
              <w:fldChar w:fldCharType="end"/>
            </w:r>
            <w:r w:rsidRPr="004F7D0D">
              <w:tab/>
              <w:t xml:space="preserve">Comment on </w:t>
            </w:r>
            <w:r w:rsidR="0057129A" w:rsidRPr="004F7D0D">
              <w:t>data quality</w:t>
            </w:r>
          </w:p>
        </w:tc>
      </w:tr>
      <w:tr w:rsidR="004F7D0D" w:rsidRPr="004F7D0D">
        <w:trPr>
          <w:cantSplit/>
        </w:trPr>
        <w:tc>
          <w:tcPr>
            <w:tcW w:w="8771" w:type="dxa"/>
            <w:tcBorders>
              <w:top w:val="nil"/>
              <w:left w:val="single" w:sz="6" w:space="0" w:color="auto"/>
              <w:bottom w:val="nil"/>
              <w:right w:val="single" w:sz="6" w:space="0" w:color="auto"/>
            </w:tcBorders>
          </w:tcPr>
          <w:p w:rsidR="00D533FD" w:rsidRPr="004F7D0D" w:rsidRDefault="00D533FD" w:rsidP="00D533FD">
            <w:pPr>
              <w:pStyle w:val="Box"/>
            </w:pPr>
            <w:r w:rsidRPr="004F7D0D">
              <w:t xml:space="preserve">The DQS for this indicator has been prepared by </w:t>
            </w:r>
            <w:smartTag w:uri="urn:schemas-microsoft-com:office:smarttags" w:element="City">
              <w:smartTag w:uri="urn:schemas-microsoft-com:office:smarttags" w:element="place">
                <w:r w:rsidRPr="004F7D0D">
                  <w:t>DoHA</w:t>
                </w:r>
              </w:smartTag>
            </w:smartTag>
            <w:r w:rsidRPr="004F7D0D">
              <w:t xml:space="preserve"> </w:t>
            </w:r>
            <w:r w:rsidR="00744831" w:rsidRPr="004F7D0D">
              <w:t xml:space="preserve">and is included in its original </w:t>
            </w:r>
            <w:r w:rsidRPr="004F7D0D">
              <w:t xml:space="preserve">form in the section in this report titled ‘Data Quality </w:t>
            </w:r>
            <w:r w:rsidR="00744831" w:rsidRPr="004F7D0D">
              <w:t>Statement</w:t>
            </w:r>
            <w:r w:rsidR="00B144D8" w:rsidRPr="004F7D0D">
              <w:t>s</w:t>
            </w:r>
            <w:r w:rsidR="00744831" w:rsidRPr="004F7D0D">
              <w:t xml:space="preserve">’. Key points from the </w:t>
            </w:r>
            <w:r w:rsidRPr="004F7D0D">
              <w:t>DQS are summarised below.</w:t>
            </w:r>
          </w:p>
          <w:p w:rsidR="00FA540F" w:rsidRPr="004F7D0D" w:rsidRDefault="00FA540F" w:rsidP="00FA540F">
            <w:pPr>
              <w:pStyle w:val="BoxListBullet"/>
            </w:pPr>
            <w:r w:rsidRPr="004F7D0D">
              <w:t>The data prov</w:t>
            </w:r>
            <w:r w:rsidR="00B0243C" w:rsidRPr="004F7D0D">
              <w:t xml:space="preserve">ide relevant information on wastage and leakage of </w:t>
            </w:r>
            <w:r w:rsidR="00FF74E0" w:rsidRPr="004F7D0D">
              <w:t>selected</w:t>
            </w:r>
            <w:r w:rsidR="00B0243C" w:rsidRPr="004F7D0D">
              <w:t xml:space="preserve"> </w:t>
            </w:r>
            <w:r w:rsidR="00D6750E" w:rsidRPr="004F7D0D">
              <w:t xml:space="preserve">National Immunisation Program (NIP) </w:t>
            </w:r>
            <w:r w:rsidR="00B0243C" w:rsidRPr="004F7D0D">
              <w:t>vaccines</w:t>
            </w:r>
            <w:r w:rsidR="00744831" w:rsidRPr="004F7D0D">
              <w:t>, by</w:t>
            </w:r>
            <w:r w:rsidR="00B0243C" w:rsidRPr="004F7D0D">
              <w:t xml:space="preserve"> </w:t>
            </w:r>
            <w:r w:rsidR="00744831" w:rsidRPr="004F7D0D">
              <w:t>S</w:t>
            </w:r>
            <w:r w:rsidR="00B0243C" w:rsidRPr="004F7D0D">
              <w:t xml:space="preserve">tate and </w:t>
            </w:r>
            <w:r w:rsidR="00744831" w:rsidRPr="004F7D0D">
              <w:t>T</w:t>
            </w:r>
            <w:r w:rsidR="00B0243C" w:rsidRPr="004F7D0D">
              <w:t>erritor</w:t>
            </w:r>
            <w:r w:rsidR="00744831" w:rsidRPr="004F7D0D">
              <w:t>y</w:t>
            </w:r>
            <w:r w:rsidR="00B0243C" w:rsidRPr="004F7D0D">
              <w:t>.</w:t>
            </w:r>
          </w:p>
          <w:p w:rsidR="006160C2" w:rsidRPr="004F7D0D" w:rsidRDefault="009F1EE9" w:rsidP="009F1EE9">
            <w:pPr>
              <w:pStyle w:val="BoxListBullet"/>
            </w:pPr>
            <w:r w:rsidRPr="004F7D0D">
              <w:t xml:space="preserve">The wastage and leakage calculation </w:t>
            </w:r>
            <w:r w:rsidR="00D6750E" w:rsidRPr="004F7D0D">
              <w:t xml:space="preserve">allows </w:t>
            </w:r>
            <w:r w:rsidRPr="004F7D0D">
              <w:t>for vaccines lost due to uncontrollable events</w:t>
            </w:r>
            <w:r w:rsidR="0057129A" w:rsidRPr="004F7D0D">
              <w:t>,</w:t>
            </w:r>
            <w:r w:rsidRPr="004F7D0D">
              <w:t xml:space="preserve"> such as natural disasters, power outages or refrigeration failure. </w:t>
            </w:r>
          </w:p>
          <w:p w:rsidR="009F1EE9" w:rsidRPr="004F7D0D" w:rsidRDefault="009F1EE9" w:rsidP="00750D1A">
            <w:pPr>
              <w:pStyle w:val="BoxListBullet"/>
            </w:pPr>
            <w:r w:rsidRPr="004F7D0D">
              <w:t xml:space="preserve">States and territories provide </w:t>
            </w:r>
            <w:r w:rsidR="00750D1A" w:rsidRPr="004F7D0D">
              <w:t xml:space="preserve">information outlining </w:t>
            </w:r>
            <w:r w:rsidRPr="004F7D0D">
              <w:t>any known wastage that has occurred due to uncontrollable events.</w:t>
            </w:r>
            <w:r w:rsidR="006160C2" w:rsidRPr="004F7D0D">
              <w:t xml:space="preserve"> </w:t>
            </w:r>
            <w:r w:rsidR="005C2FEE" w:rsidRPr="004F7D0D">
              <w:t>S</w:t>
            </w:r>
            <w:r w:rsidR="00750D1A" w:rsidRPr="004F7D0D">
              <w:t xml:space="preserve">tates and territories also provide quarterly reports that include information </w:t>
            </w:r>
            <w:r w:rsidR="006160C2" w:rsidRPr="004F7D0D">
              <w:t>on the total stock held at the start and finish of the reporting period, and the number of vaccines distributed during the reporting period. These reports are not publicly available.</w:t>
            </w:r>
          </w:p>
          <w:p w:rsidR="00D6750E" w:rsidRPr="004F7D0D" w:rsidRDefault="00D6750E" w:rsidP="00750D1A">
            <w:pPr>
              <w:pStyle w:val="BoxListBullet"/>
            </w:pPr>
            <w:r w:rsidRPr="004F7D0D">
              <w:t>Data from the Australian Child Immunisation Register (ACIR) are</w:t>
            </w:r>
            <w:r w:rsidR="00750D1A" w:rsidRPr="004F7D0D">
              <w:t xml:space="preserve"> provided on an annual basis for this benchmark</w:t>
            </w:r>
            <w:r w:rsidRPr="004F7D0D">
              <w:t xml:space="preserve">. A minimum three-month lag period is allowed for late notification of immunisations to ACIR. Data are available for the </w:t>
            </w:r>
            <w:r w:rsidR="006160C2" w:rsidRPr="004F7D0D">
              <w:t xml:space="preserve">reporting period of 1 April </w:t>
            </w:r>
            <w:r w:rsidR="00357A9E" w:rsidRPr="004F7D0D">
              <w:t xml:space="preserve">2012 </w:t>
            </w:r>
            <w:r w:rsidR="006160C2" w:rsidRPr="004F7D0D">
              <w:t xml:space="preserve">to 31 March </w:t>
            </w:r>
            <w:r w:rsidR="00357A9E" w:rsidRPr="004F7D0D">
              <w:t>2013</w:t>
            </w:r>
            <w:r w:rsidRPr="004F7D0D">
              <w:t>.</w:t>
            </w:r>
          </w:p>
          <w:p w:rsidR="00FA540F" w:rsidRPr="004F7D0D" w:rsidRDefault="00FA540F" w:rsidP="00B0243C">
            <w:pPr>
              <w:pStyle w:val="BoxListBullet"/>
            </w:pPr>
            <w:r w:rsidRPr="004F7D0D">
              <w:t xml:space="preserve">The wastage and leakage calculation is an estimate only. Vaccination coverage rates calculated using ACIR data </w:t>
            </w:r>
            <w:r w:rsidR="00AB5690" w:rsidRPr="004F7D0D">
              <w:t xml:space="preserve">may </w:t>
            </w:r>
            <w:r w:rsidRPr="004F7D0D">
              <w:t>underestimate actual vaccination rates because of under-reporting by immunisation providers. The wastage and leakage calculation includes an adjustment factor of 1.03 to account for under</w:t>
            </w:r>
            <w:r w:rsidR="00744831" w:rsidRPr="004F7D0D">
              <w:t>-</w:t>
            </w:r>
            <w:r w:rsidRPr="004F7D0D">
              <w:t>reporting to ACIR.</w:t>
            </w:r>
          </w:p>
          <w:p w:rsidR="00F14711" w:rsidRPr="004F7D0D" w:rsidRDefault="00C23772" w:rsidP="00C23772">
            <w:pPr>
              <w:pStyle w:val="Continued"/>
            </w:pPr>
            <w:r w:rsidRPr="004F7D0D">
              <w:rPr>
                <w:rStyle w:val="DraftingNote"/>
                <w:b w:val="0"/>
                <w:color w:val="auto"/>
                <w:sz w:val="18"/>
                <w:u w:val="none"/>
              </w:rPr>
              <w:t>(Continued next page)</w:t>
            </w:r>
          </w:p>
        </w:tc>
      </w:tr>
      <w:tr w:rsidR="004F7D0D" w:rsidRPr="004F7D0D">
        <w:trPr>
          <w:cantSplit/>
        </w:trPr>
        <w:tc>
          <w:tcPr>
            <w:tcW w:w="8771" w:type="dxa"/>
            <w:tcBorders>
              <w:top w:val="nil"/>
              <w:left w:val="single" w:sz="6" w:space="0" w:color="auto"/>
              <w:bottom w:val="single" w:sz="6" w:space="0" w:color="auto"/>
              <w:right w:val="single" w:sz="6" w:space="0" w:color="auto"/>
            </w:tcBorders>
          </w:tcPr>
          <w:p w:rsidR="00851A84" w:rsidRPr="004F7D0D" w:rsidRDefault="00851A84">
            <w:pPr>
              <w:pStyle w:val="Box"/>
              <w:spacing w:before="0" w:line="120" w:lineRule="exact"/>
            </w:pPr>
          </w:p>
        </w:tc>
      </w:tr>
      <w:tr w:rsidR="004F7D0D" w:rsidRPr="004F7D0D">
        <w:tc>
          <w:tcPr>
            <w:tcW w:w="8771" w:type="dxa"/>
            <w:tcBorders>
              <w:top w:val="nil"/>
              <w:left w:val="nil"/>
              <w:bottom w:val="nil"/>
              <w:right w:val="nil"/>
            </w:tcBorders>
          </w:tcPr>
          <w:p w:rsidR="00851A84" w:rsidRPr="004F7D0D" w:rsidRDefault="00851A84">
            <w:pPr>
              <w:pStyle w:val="Box"/>
              <w:keepNext w:val="0"/>
              <w:spacing w:before="60" w:after="60" w:line="80" w:lineRule="exact"/>
              <w:rPr>
                <w:b/>
                <w:sz w:val="14"/>
              </w:rPr>
            </w:pPr>
          </w:p>
        </w:tc>
      </w:tr>
    </w:tbl>
    <w:p w:rsidR="00C23772" w:rsidRPr="004F7D0D" w:rsidRDefault="00851A84" w:rsidP="00851A84">
      <w:pPr>
        <w:pStyle w:val="Heading3"/>
      </w:pPr>
      <w:r w:rsidRPr="004F7D0D">
        <w:br w:type="page"/>
      </w: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4F7D0D" w:rsidRPr="004F7D0D" w:rsidTr="00D82E5A">
        <w:tc>
          <w:tcPr>
            <w:tcW w:w="8771" w:type="dxa"/>
            <w:tcBorders>
              <w:top w:val="single" w:sz="6" w:space="0" w:color="auto"/>
              <w:bottom w:val="nil"/>
            </w:tcBorders>
          </w:tcPr>
          <w:p w:rsidR="00C23772" w:rsidRPr="004F7D0D" w:rsidRDefault="00DF6743" w:rsidP="00C37C36">
            <w:pPr>
              <w:pStyle w:val="BoxTitle"/>
            </w:pPr>
            <w:r w:rsidRPr="004F7D0D">
              <w:rPr>
                <w:b w:val="0"/>
              </w:rPr>
              <w:lastRenderedPageBreak/>
              <w:t>Box</w:t>
            </w:r>
            <w:r w:rsidR="00C37C36" w:rsidRPr="004F7D0D">
              <w:rPr>
                <w:b w:val="0"/>
              </w:rPr>
              <w:t xml:space="preserve"> 3</w:t>
            </w:r>
            <w:r w:rsidR="00C23772" w:rsidRPr="004F7D0D">
              <w:tab/>
            </w:r>
            <w:r w:rsidR="00C23772" w:rsidRPr="004F7D0D">
              <w:rPr>
                <w:sz w:val="18"/>
                <w:szCs w:val="18"/>
              </w:rPr>
              <w:t>(continued)</w:t>
            </w:r>
          </w:p>
        </w:tc>
      </w:tr>
      <w:tr w:rsidR="004F7D0D" w:rsidRPr="004F7D0D" w:rsidTr="00D82E5A">
        <w:trPr>
          <w:cantSplit/>
        </w:trPr>
        <w:tc>
          <w:tcPr>
            <w:tcW w:w="8771" w:type="dxa"/>
            <w:tcBorders>
              <w:top w:val="nil"/>
              <w:left w:val="single" w:sz="6" w:space="0" w:color="auto"/>
              <w:bottom w:val="nil"/>
              <w:right w:val="single" w:sz="6" w:space="0" w:color="auto"/>
            </w:tcBorders>
          </w:tcPr>
          <w:p w:rsidR="00C23772" w:rsidRPr="004F7D0D" w:rsidRDefault="00C23772" w:rsidP="003C5CAE">
            <w:pPr>
              <w:pStyle w:val="Box"/>
            </w:pPr>
            <w:r w:rsidRPr="004F7D0D">
              <w:t>The Steering Committee also notes the following issue:</w:t>
            </w:r>
          </w:p>
          <w:p w:rsidR="00C23772" w:rsidRPr="004F7D0D" w:rsidRDefault="00C23772" w:rsidP="003C5CAE">
            <w:pPr>
              <w:pStyle w:val="BoxListBullet"/>
            </w:pPr>
            <w:r w:rsidRPr="004F7D0D">
              <w:rPr>
                <w:rStyle w:val="DraftingNote"/>
                <w:b w:val="0"/>
                <w:color w:val="auto"/>
                <w:sz w:val="22"/>
                <w:u w:val="none"/>
              </w:rPr>
              <w:t>As noted in the Steering Committee’s previous performance report</w:t>
            </w:r>
            <w:r w:rsidR="001B0311" w:rsidRPr="004F7D0D">
              <w:rPr>
                <w:rStyle w:val="DraftingNote"/>
                <w:b w:val="0"/>
                <w:color w:val="auto"/>
                <w:sz w:val="22"/>
                <w:u w:val="none"/>
              </w:rPr>
              <w:t>s</w:t>
            </w:r>
            <w:r w:rsidRPr="004F7D0D">
              <w:rPr>
                <w:rStyle w:val="DraftingNote"/>
                <w:b w:val="0"/>
                <w:color w:val="auto"/>
                <w:sz w:val="22"/>
                <w:u w:val="none"/>
              </w:rPr>
              <w:t xml:space="preserve">, Queensland and the NT maintain their own databases for recording the number of doses administered, and upload directly to ACIR on a monthly basis. </w:t>
            </w:r>
          </w:p>
        </w:tc>
      </w:tr>
      <w:tr w:rsidR="004F7D0D" w:rsidRPr="004F7D0D" w:rsidTr="00D82E5A">
        <w:trPr>
          <w:cantSplit/>
        </w:trPr>
        <w:tc>
          <w:tcPr>
            <w:tcW w:w="8771" w:type="dxa"/>
            <w:tcBorders>
              <w:top w:val="nil"/>
              <w:left w:val="single" w:sz="6" w:space="0" w:color="auto"/>
              <w:bottom w:val="single" w:sz="6" w:space="0" w:color="auto"/>
              <w:right w:val="single" w:sz="6" w:space="0" w:color="auto"/>
            </w:tcBorders>
          </w:tcPr>
          <w:p w:rsidR="00C23772" w:rsidRPr="004F7D0D" w:rsidRDefault="00C23772" w:rsidP="00D82E5A">
            <w:pPr>
              <w:pStyle w:val="Box"/>
              <w:spacing w:before="0" w:line="120" w:lineRule="exact"/>
            </w:pPr>
          </w:p>
        </w:tc>
      </w:tr>
      <w:tr w:rsidR="004F7D0D" w:rsidRPr="004F7D0D" w:rsidTr="00D82E5A">
        <w:tc>
          <w:tcPr>
            <w:tcW w:w="8771" w:type="dxa"/>
            <w:tcBorders>
              <w:top w:val="nil"/>
              <w:left w:val="nil"/>
              <w:bottom w:val="nil"/>
              <w:right w:val="nil"/>
            </w:tcBorders>
          </w:tcPr>
          <w:p w:rsidR="00C23772" w:rsidRPr="004F7D0D" w:rsidRDefault="00C23772" w:rsidP="00D82E5A">
            <w:pPr>
              <w:pStyle w:val="Box"/>
              <w:keepNext w:val="0"/>
              <w:spacing w:before="60" w:after="60" w:line="80" w:lineRule="exact"/>
              <w:rPr>
                <w:b/>
                <w:sz w:val="14"/>
              </w:rPr>
            </w:pPr>
          </w:p>
        </w:tc>
      </w:tr>
    </w:tbl>
    <w:p w:rsidR="003C5CAE" w:rsidRPr="004F7D0D" w:rsidRDefault="003C5CAE" w:rsidP="003C5CAE">
      <w:pPr>
        <w:pStyle w:val="BodyText"/>
        <w:rPr>
          <w:rFonts w:ascii="Arial" w:hAnsi="Arial"/>
        </w:rPr>
      </w:pPr>
      <w:r w:rsidRPr="004F7D0D">
        <w:br w:type="page"/>
      </w:r>
    </w:p>
    <w:p w:rsidR="00851A84" w:rsidRPr="004F7D0D" w:rsidRDefault="00851A84" w:rsidP="00851A84">
      <w:pPr>
        <w:pStyle w:val="Heading3"/>
      </w:pPr>
      <w:r w:rsidRPr="004F7D0D">
        <w:lastRenderedPageBreak/>
        <w:t>Performance benchmark 4 — Maintaining or increasing vaccination coverage for four year olds</w:t>
      </w:r>
    </w:p>
    <w:p w:rsidR="00851A84" w:rsidRPr="004F7D0D" w:rsidRDefault="00851A84" w:rsidP="00851A84">
      <w:pPr>
        <w:pStyle w:val="BoxSpace"/>
      </w:pPr>
    </w:p>
    <w:tbl>
      <w:tblPr>
        <w:tblW w:w="0" w:type="auto"/>
        <w:tblInd w:w="137" w:type="dxa"/>
        <w:tblLook w:val="01E0" w:firstRow="1" w:lastRow="1" w:firstColumn="1" w:lastColumn="1" w:noHBand="0" w:noVBand="0"/>
      </w:tblPr>
      <w:tblGrid>
        <w:gridCol w:w="1740"/>
        <w:gridCol w:w="7049"/>
      </w:tblGrid>
      <w:tr w:rsidR="004F7D0D" w:rsidRPr="004F7D0D" w:rsidTr="008554F9">
        <w:tc>
          <w:tcPr>
            <w:tcW w:w="1740" w:type="dxa"/>
            <w:shd w:val="clear" w:color="auto" w:fill="auto"/>
          </w:tcPr>
          <w:p w:rsidR="00851A84" w:rsidRPr="004F7D0D" w:rsidRDefault="00851A84" w:rsidP="00C74B12">
            <w:pPr>
              <w:pStyle w:val="TableBodyText"/>
              <w:jc w:val="left"/>
            </w:pPr>
            <w:r w:rsidRPr="004F7D0D">
              <w:t>Performance benchmark</w:t>
            </w:r>
            <w:r w:rsidR="0017195E" w:rsidRPr="004F7D0D">
              <w:t>:</w:t>
            </w:r>
          </w:p>
          <w:p w:rsidR="00851A84" w:rsidRPr="004F7D0D" w:rsidRDefault="00851A84" w:rsidP="00C74B12">
            <w:pPr>
              <w:pStyle w:val="TableBodyText"/>
              <w:jc w:val="left"/>
            </w:pPr>
          </w:p>
        </w:tc>
        <w:tc>
          <w:tcPr>
            <w:tcW w:w="7049" w:type="dxa"/>
            <w:shd w:val="clear" w:color="auto" w:fill="auto"/>
          </w:tcPr>
          <w:p w:rsidR="00851A84" w:rsidRPr="004F7D0D" w:rsidRDefault="00851A84" w:rsidP="00C74B12">
            <w:pPr>
              <w:pStyle w:val="TableBodyText"/>
              <w:jc w:val="left"/>
            </w:pPr>
            <w:r w:rsidRPr="004F7D0D">
              <w:t>Maintaining or increasing vaccination coverage for four year olds</w:t>
            </w:r>
          </w:p>
        </w:tc>
      </w:tr>
      <w:tr w:rsidR="004F7D0D" w:rsidRPr="004F7D0D" w:rsidTr="008554F9">
        <w:tc>
          <w:tcPr>
            <w:tcW w:w="1740" w:type="dxa"/>
            <w:shd w:val="clear" w:color="auto" w:fill="auto"/>
          </w:tcPr>
          <w:p w:rsidR="00851A84" w:rsidRPr="004F7D0D" w:rsidRDefault="00851A84" w:rsidP="00C74B12">
            <w:pPr>
              <w:pStyle w:val="TableBodyText"/>
              <w:jc w:val="left"/>
            </w:pPr>
            <w:r w:rsidRPr="004F7D0D">
              <w:t>Measure</w:t>
            </w:r>
          </w:p>
          <w:p w:rsidR="00851A84" w:rsidRPr="004F7D0D" w:rsidRDefault="00851A84" w:rsidP="00C74B12">
            <w:pPr>
              <w:pStyle w:val="TableBodyText"/>
              <w:jc w:val="left"/>
            </w:pPr>
          </w:p>
        </w:tc>
        <w:tc>
          <w:tcPr>
            <w:tcW w:w="7049" w:type="dxa"/>
            <w:shd w:val="clear" w:color="auto" w:fill="auto"/>
          </w:tcPr>
          <w:p w:rsidR="00B85E22" w:rsidRPr="004F7D0D" w:rsidRDefault="00B85E22" w:rsidP="00C74B12">
            <w:pPr>
              <w:pStyle w:val="TableBodyText"/>
              <w:framePr w:w="2155" w:hSpace="227" w:vSpace="181" w:wrap="around" w:vAnchor="text" w:hAnchor="page" w:xAlign="outside" w:y="1"/>
              <w:jc w:val="left"/>
            </w:pPr>
            <w:r w:rsidRPr="004F7D0D">
              <w:t xml:space="preserve">The proportion of children, who are fully vaccinated, as defined </w:t>
            </w:r>
            <w:r w:rsidR="002C1C0C" w:rsidRPr="004F7D0D">
              <w:t>in</w:t>
            </w:r>
            <w:r w:rsidRPr="004F7D0D">
              <w:t xml:space="preserve"> the </w:t>
            </w:r>
            <w:r w:rsidRPr="004F7D0D">
              <w:rPr>
                <w:u w:val="single"/>
              </w:rPr>
              <w:t>Australian Childhood Immunisation Register</w:t>
            </w:r>
            <w:r w:rsidRPr="004F7D0D">
              <w:t xml:space="preserve"> (ACIR</w:t>
            </w:r>
            <w:r w:rsidR="00AD6371" w:rsidRPr="004F7D0D">
              <w:t>)</w:t>
            </w:r>
            <w:r w:rsidR="002C1C0C" w:rsidRPr="004F7D0D">
              <w:t>.</w:t>
            </w:r>
          </w:p>
          <w:p w:rsidR="00633B4F" w:rsidRPr="004F7D0D" w:rsidRDefault="00633B4F" w:rsidP="00C74B12">
            <w:pPr>
              <w:pStyle w:val="TableBodyText"/>
              <w:jc w:val="left"/>
            </w:pPr>
          </w:p>
          <w:p w:rsidR="00633B4F" w:rsidRPr="004F7D0D" w:rsidRDefault="00633B4F" w:rsidP="00C74B12">
            <w:pPr>
              <w:pStyle w:val="TableBodyText"/>
              <w:jc w:val="left"/>
            </w:pPr>
            <w:r w:rsidRPr="004F7D0D">
              <w:t>The measure is defined as:</w:t>
            </w:r>
          </w:p>
          <w:p w:rsidR="00B85E22" w:rsidRPr="004F7D0D" w:rsidRDefault="00633B4F" w:rsidP="00B85E22">
            <w:pPr>
              <w:pStyle w:val="TableBullet"/>
            </w:pPr>
            <w:r w:rsidRPr="004F7D0D">
              <w:rPr>
                <w:i/>
              </w:rPr>
              <w:t>N</w:t>
            </w:r>
            <w:r w:rsidR="00B85E22" w:rsidRPr="004F7D0D">
              <w:rPr>
                <w:i/>
              </w:rPr>
              <w:t>umerator</w:t>
            </w:r>
            <w:r w:rsidR="00B85E22" w:rsidRPr="004F7D0D">
              <w:t xml:space="preserve"> — the number of children reported as fully immunised as defined by the ACIR aged 60 months </w:t>
            </w:r>
            <w:r w:rsidR="00AD6371" w:rsidRPr="004F7D0D">
              <w:rPr>
                <w:rFonts w:cs="Arial"/>
                <w:u w:val="single"/>
              </w:rPr>
              <w:t>&lt;</w:t>
            </w:r>
            <w:r w:rsidR="00AD6371" w:rsidRPr="004F7D0D">
              <w:t xml:space="preserve"> </w:t>
            </w:r>
            <w:r w:rsidR="00B85E22" w:rsidRPr="004F7D0D">
              <w:t>63 months</w:t>
            </w:r>
          </w:p>
          <w:p w:rsidR="00B85E22" w:rsidRPr="004F7D0D" w:rsidRDefault="00633B4F" w:rsidP="00B85E22">
            <w:pPr>
              <w:pStyle w:val="TableBullet"/>
            </w:pPr>
            <w:r w:rsidRPr="004F7D0D">
              <w:rPr>
                <w:i/>
              </w:rPr>
              <w:t>D</w:t>
            </w:r>
            <w:r w:rsidR="00B85E22" w:rsidRPr="004F7D0D">
              <w:rPr>
                <w:i/>
              </w:rPr>
              <w:t>enominator</w:t>
            </w:r>
            <w:r w:rsidR="00B85E22" w:rsidRPr="004F7D0D">
              <w:t xml:space="preserve"> — total number of children aged 60 months </w:t>
            </w:r>
            <w:r w:rsidR="00AD6371" w:rsidRPr="004F7D0D">
              <w:rPr>
                <w:rFonts w:cs="Arial"/>
                <w:u w:val="single"/>
              </w:rPr>
              <w:t>&lt;</w:t>
            </w:r>
            <w:r w:rsidR="00AD6371" w:rsidRPr="004F7D0D">
              <w:t xml:space="preserve"> </w:t>
            </w:r>
            <w:r w:rsidR="00B85E22" w:rsidRPr="004F7D0D">
              <w:t>63 months registered on the ACIR</w:t>
            </w:r>
          </w:p>
          <w:p w:rsidR="009737F8" w:rsidRPr="004F7D0D" w:rsidRDefault="009737F8" w:rsidP="00C74B12">
            <w:pPr>
              <w:pStyle w:val="TableBodyText"/>
              <w:jc w:val="left"/>
              <w:rPr>
                <w:i/>
              </w:rPr>
            </w:pPr>
            <w:r w:rsidRPr="004F7D0D">
              <w:t xml:space="preserve">and is expressed as a </w:t>
            </w:r>
            <w:r w:rsidRPr="004F7D0D">
              <w:rPr>
                <w:i/>
              </w:rPr>
              <w:t>percentage</w:t>
            </w:r>
          </w:p>
          <w:p w:rsidR="009737F8" w:rsidRPr="004F7D0D" w:rsidRDefault="009737F8" w:rsidP="00C74B12">
            <w:pPr>
              <w:pStyle w:val="TableBodyText"/>
              <w:jc w:val="left"/>
            </w:pPr>
          </w:p>
          <w:p w:rsidR="00C42934" w:rsidRPr="004F7D0D" w:rsidRDefault="00C42934" w:rsidP="00C74B12">
            <w:pPr>
              <w:pStyle w:val="TableBodyText"/>
              <w:jc w:val="left"/>
            </w:pPr>
            <w:r w:rsidRPr="004F7D0D">
              <w:t>‘Maintaining or increasing’ is defined as the coverage rate being equal to or greater than:</w:t>
            </w:r>
          </w:p>
          <w:p w:rsidR="00C42934" w:rsidRPr="004F7D0D" w:rsidRDefault="00C42934" w:rsidP="00C42934">
            <w:pPr>
              <w:pStyle w:val="TableBullet"/>
            </w:pPr>
            <w:r w:rsidRPr="004F7D0D">
              <w:t>the baseline, or</w:t>
            </w:r>
          </w:p>
          <w:p w:rsidR="00C42934" w:rsidRPr="004F7D0D" w:rsidRDefault="00C42934" w:rsidP="00C42934">
            <w:pPr>
              <w:pStyle w:val="TableBullet"/>
            </w:pPr>
            <w:r w:rsidRPr="004F7D0D">
              <w:t>92.5 per cent (even if the annual coverage rate has fallen from the previous year).</w:t>
            </w:r>
          </w:p>
          <w:p w:rsidR="00682696" w:rsidRPr="004F7D0D" w:rsidRDefault="00682696" w:rsidP="00682696">
            <w:pPr>
              <w:pStyle w:val="TableBullet"/>
              <w:numPr>
                <w:ilvl w:val="0"/>
                <w:numId w:val="0"/>
              </w:numPr>
              <w:ind w:left="170"/>
            </w:pPr>
          </w:p>
          <w:p w:rsidR="00682696" w:rsidRPr="004F7D0D" w:rsidRDefault="00682696" w:rsidP="00013C00">
            <w:pPr>
              <w:pStyle w:val="TableBodyText"/>
              <w:jc w:val="left"/>
              <w:rPr>
                <w:i/>
              </w:rPr>
            </w:pPr>
            <w:r w:rsidRPr="004F7D0D">
              <w:rPr>
                <w:i/>
              </w:rPr>
              <w:t>A child is fully immunised when they are up-to-date, and recorded in ACIR as having received the standard vaccination schedule for their age or are on a suitable catch-up program based on the National Immunisation Program (NIP) schedule</w:t>
            </w:r>
            <w:r w:rsidR="005C79AE">
              <w:rPr>
                <w:i/>
              </w:rPr>
              <w:t>.</w:t>
            </w:r>
          </w:p>
          <w:p w:rsidR="00B85E22" w:rsidRPr="004F7D0D" w:rsidRDefault="00B85E22" w:rsidP="00C74B12">
            <w:pPr>
              <w:pStyle w:val="TableBodyText"/>
              <w:jc w:val="left"/>
            </w:pPr>
          </w:p>
        </w:tc>
      </w:tr>
      <w:tr w:rsidR="004F7D0D" w:rsidRPr="004F7D0D" w:rsidTr="008554F9">
        <w:tc>
          <w:tcPr>
            <w:tcW w:w="1740" w:type="dxa"/>
            <w:shd w:val="clear" w:color="auto" w:fill="auto"/>
          </w:tcPr>
          <w:p w:rsidR="008554F9" w:rsidRPr="004F7D0D" w:rsidRDefault="008554F9" w:rsidP="008554F9">
            <w:pPr>
              <w:pStyle w:val="TableBodyText"/>
              <w:jc w:val="left"/>
            </w:pPr>
            <w:r w:rsidRPr="004F7D0D">
              <w:t>Data source:</w:t>
            </w:r>
          </w:p>
          <w:p w:rsidR="008554F9" w:rsidRPr="004F7D0D" w:rsidRDefault="008554F9" w:rsidP="00C74B12">
            <w:pPr>
              <w:pStyle w:val="TableBodyText"/>
              <w:jc w:val="left"/>
            </w:pPr>
          </w:p>
        </w:tc>
        <w:tc>
          <w:tcPr>
            <w:tcW w:w="7049" w:type="dxa"/>
            <w:shd w:val="clear" w:color="auto" w:fill="auto"/>
          </w:tcPr>
          <w:p w:rsidR="008554F9" w:rsidRPr="004F7D0D" w:rsidRDefault="008554F9" w:rsidP="00C74B12">
            <w:pPr>
              <w:pStyle w:val="TableBodyText"/>
              <w:framePr w:w="2155" w:hSpace="227" w:vSpace="181" w:wrap="around" w:vAnchor="text" w:hAnchor="page" w:xAlign="outside" w:y="1"/>
              <w:jc w:val="left"/>
            </w:pPr>
            <w:r w:rsidRPr="004F7D0D">
              <w:rPr>
                <w:i/>
              </w:rPr>
              <w:t xml:space="preserve">Numerator and denominator </w:t>
            </w:r>
            <w:r w:rsidRPr="004F7D0D">
              <w:t xml:space="preserve">— </w:t>
            </w:r>
            <w:r w:rsidRPr="004F7D0D">
              <w:rPr>
                <w:u w:val="single"/>
              </w:rPr>
              <w:t>Australian Childhood Immunisation Register</w:t>
            </w:r>
            <w:r w:rsidRPr="004F7D0D">
              <w:t xml:space="preserve"> (ACIR)</w:t>
            </w:r>
          </w:p>
          <w:p w:rsidR="008554F9" w:rsidRPr="004F7D0D" w:rsidRDefault="008554F9" w:rsidP="00C74B12">
            <w:pPr>
              <w:pStyle w:val="TableBodyText"/>
              <w:framePr w:w="2155" w:hSpace="227" w:vSpace="181" w:wrap="around" w:vAnchor="text" w:hAnchor="page" w:xAlign="outside" w:y="1"/>
              <w:jc w:val="left"/>
            </w:pPr>
          </w:p>
        </w:tc>
      </w:tr>
      <w:tr w:rsidR="004F7D0D" w:rsidRPr="004F7D0D" w:rsidTr="008554F9">
        <w:tc>
          <w:tcPr>
            <w:tcW w:w="1740" w:type="dxa"/>
            <w:shd w:val="clear" w:color="auto" w:fill="auto"/>
          </w:tcPr>
          <w:p w:rsidR="008554F9" w:rsidRPr="004F7D0D" w:rsidRDefault="008554F9" w:rsidP="008554F9">
            <w:pPr>
              <w:pStyle w:val="TableBodyText"/>
              <w:jc w:val="left"/>
            </w:pPr>
            <w:r w:rsidRPr="004F7D0D">
              <w:t>Data provider:</w:t>
            </w:r>
          </w:p>
          <w:p w:rsidR="008554F9" w:rsidRPr="004F7D0D" w:rsidRDefault="008554F9" w:rsidP="00C74B12">
            <w:pPr>
              <w:pStyle w:val="TableBodyText"/>
              <w:jc w:val="left"/>
            </w:pPr>
          </w:p>
        </w:tc>
        <w:tc>
          <w:tcPr>
            <w:tcW w:w="7049" w:type="dxa"/>
            <w:shd w:val="clear" w:color="auto" w:fill="auto"/>
          </w:tcPr>
          <w:p w:rsidR="008554F9" w:rsidRPr="004F7D0D" w:rsidRDefault="008554F9" w:rsidP="00C74B12">
            <w:pPr>
              <w:pStyle w:val="TableBodyText"/>
              <w:framePr w:w="2155" w:hSpace="227" w:vSpace="181" w:wrap="around" w:vAnchor="text" w:hAnchor="page" w:xAlign="outside" w:y="1"/>
              <w:jc w:val="left"/>
            </w:pPr>
            <w:smartTag w:uri="urn:schemas-microsoft-com:office:smarttags" w:element="City">
              <w:smartTag w:uri="urn:schemas-microsoft-com:office:smarttags" w:element="place">
                <w:r w:rsidRPr="004F7D0D">
                  <w:t>DoHA</w:t>
                </w:r>
              </w:smartTag>
            </w:smartTag>
          </w:p>
        </w:tc>
      </w:tr>
      <w:tr w:rsidR="004F7D0D" w:rsidRPr="004F7D0D" w:rsidTr="008554F9">
        <w:tc>
          <w:tcPr>
            <w:tcW w:w="1740" w:type="dxa"/>
            <w:shd w:val="clear" w:color="auto" w:fill="auto"/>
          </w:tcPr>
          <w:p w:rsidR="008554F9" w:rsidRPr="004F7D0D" w:rsidRDefault="008554F9" w:rsidP="008554F9">
            <w:pPr>
              <w:pStyle w:val="TableBodyText"/>
              <w:jc w:val="left"/>
            </w:pPr>
            <w:r w:rsidRPr="004F7D0D">
              <w:t>Data availability:</w:t>
            </w:r>
          </w:p>
          <w:p w:rsidR="008554F9" w:rsidRPr="004F7D0D" w:rsidRDefault="008554F9" w:rsidP="00C74B12">
            <w:pPr>
              <w:pStyle w:val="TableBodyText"/>
              <w:jc w:val="left"/>
            </w:pPr>
          </w:p>
        </w:tc>
        <w:tc>
          <w:tcPr>
            <w:tcW w:w="7049" w:type="dxa"/>
            <w:shd w:val="clear" w:color="auto" w:fill="auto"/>
          </w:tcPr>
          <w:p w:rsidR="008554F9" w:rsidRPr="004F7D0D" w:rsidRDefault="008554F9" w:rsidP="008554F9">
            <w:pPr>
              <w:pStyle w:val="TableBodyText"/>
              <w:framePr w:w="2155" w:hSpace="227" w:vSpace="181" w:wrap="around" w:vAnchor="text" w:hAnchor="page" w:xAlign="outside" w:y="1"/>
              <w:jc w:val="left"/>
            </w:pPr>
            <w:r w:rsidRPr="004F7D0D">
              <w:t>1 April 2012 to 31 March 2013</w:t>
            </w:r>
          </w:p>
        </w:tc>
      </w:tr>
      <w:tr w:rsidR="004F7D0D" w:rsidRPr="004F7D0D" w:rsidTr="008554F9">
        <w:tc>
          <w:tcPr>
            <w:tcW w:w="1740" w:type="dxa"/>
            <w:shd w:val="clear" w:color="auto" w:fill="auto"/>
          </w:tcPr>
          <w:p w:rsidR="008554F9" w:rsidRPr="004F7D0D" w:rsidRDefault="008554F9" w:rsidP="00C74B12">
            <w:pPr>
              <w:pStyle w:val="TableBodyText"/>
              <w:jc w:val="left"/>
            </w:pPr>
            <w:r w:rsidRPr="004F7D0D">
              <w:t>Cross tabulations:</w:t>
            </w:r>
          </w:p>
        </w:tc>
        <w:tc>
          <w:tcPr>
            <w:tcW w:w="7049" w:type="dxa"/>
            <w:shd w:val="clear" w:color="auto" w:fill="auto"/>
          </w:tcPr>
          <w:p w:rsidR="008554F9" w:rsidRPr="004F7D0D" w:rsidRDefault="008554F9" w:rsidP="00C74B12">
            <w:pPr>
              <w:pStyle w:val="TableBodyText"/>
              <w:framePr w:w="2155" w:hSpace="227" w:vSpace="181" w:wrap="around" w:vAnchor="text" w:hAnchor="page" w:xAlign="outside" w:y="1"/>
              <w:jc w:val="left"/>
            </w:pPr>
            <w:r w:rsidRPr="004F7D0D">
              <w:t>State and Territory</w:t>
            </w:r>
          </w:p>
        </w:tc>
      </w:tr>
    </w:tbl>
    <w:p w:rsidR="008554F9" w:rsidRPr="004F7D0D" w:rsidRDefault="008554F9" w:rsidP="00851A84">
      <w:pPr>
        <w:pStyle w:val="TableTitle"/>
        <w:rPr>
          <w:b w:val="0"/>
        </w:rPr>
      </w:pPr>
    </w:p>
    <w:p w:rsidR="008554F9" w:rsidRPr="004F7D0D" w:rsidRDefault="008554F9">
      <w:pPr>
        <w:rPr>
          <w:rFonts w:ascii="Arial" w:hAnsi="Arial"/>
        </w:rPr>
      </w:pPr>
      <w:r w:rsidRPr="004F7D0D">
        <w:rPr>
          <w:b/>
        </w:rPr>
        <w:br w:type="page"/>
      </w:r>
    </w:p>
    <w:p w:rsidR="00851A84" w:rsidRPr="004F7D0D" w:rsidRDefault="00851A84" w:rsidP="00851A84">
      <w:pPr>
        <w:pStyle w:val="TableTitle"/>
      </w:pPr>
      <w:r w:rsidRPr="004F7D0D">
        <w:rPr>
          <w:b w:val="0"/>
        </w:rPr>
        <w:lastRenderedPageBreak/>
        <w:t xml:space="preserve">Table </w:t>
      </w:r>
      <w:r w:rsidRPr="004F7D0D">
        <w:rPr>
          <w:b w:val="0"/>
        </w:rPr>
        <w:fldChar w:fldCharType="begin"/>
      </w:r>
      <w:r w:rsidRPr="004F7D0D">
        <w:rPr>
          <w:b w:val="0"/>
        </w:rPr>
        <w:instrText xml:space="preserve"> SEQ Table \* ARABIC </w:instrText>
      </w:r>
      <w:r w:rsidRPr="004F7D0D">
        <w:rPr>
          <w:b w:val="0"/>
        </w:rPr>
        <w:fldChar w:fldCharType="separate"/>
      </w:r>
      <w:r w:rsidR="003F1C71">
        <w:rPr>
          <w:b w:val="0"/>
          <w:noProof/>
        </w:rPr>
        <w:t>4</w:t>
      </w:r>
      <w:r w:rsidRPr="004F7D0D">
        <w:rPr>
          <w:b w:val="0"/>
        </w:rPr>
        <w:fldChar w:fldCharType="end"/>
      </w:r>
      <w:r w:rsidRPr="004F7D0D">
        <w:tab/>
      </w:r>
      <w:r w:rsidR="009737F8" w:rsidRPr="004F7D0D">
        <w:t>Proportion of children</w:t>
      </w:r>
      <w:r w:rsidR="006308DE" w:rsidRPr="004F7D0D">
        <w:t xml:space="preserve"> aged 60 months to less than 63 </w:t>
      </w:r>
      <w:r w:rsidR="009737F8" w:rsidRPr="004F7D0D">
        <w:t>months who are fully vaccinated</w:t>
      </w:r>
      <w:r w:rsidR="00422313" w:rsidRPr="004F7D0D">
        <w:t xml:space="preserve"> </w:t>
      </w:r>
      <w:r w:rsidR="005C71D4" w:rsidRPr="004F7D0D">
        <w:t>(per cent)</w:t>
      </w:r>
      <w:r w:rsidR="00422313" w:rsidRPr="004F7D0D">
        <w:rPr>
          <w:rStyle w:val="NoteLabel"/>
          <w:b/>
        </w:rPr>
        <w:t>a</w:t>
      </w:r>
    </w:p>
    <w:tbl>
      <w:tblPr>
        <w:tblW w:w="5000" w:type="pct"/>
        <w:tblCellMar>
          <w:left w:w="0" w:type="dxa"/>
          <w:right w:w="0" w:type="dxa"/>
        </w:tblCellMar>
        <w:tblLook w:val="0000" w:firstRow="0" w:lastRow="0" w:firstColumn="0" w:lastColumn="0" w:noHBand="0" w:noVBand="0"/>
      </w:tblPr>
      <w:tblGrid>
        <w:gridCol w:w="2517"/>
        <w:gridCol w:w="679"/>
        <w:gridCol w:w="677"/>
        <w:gridCol w:w="677"/>
        <w:gridCol w:w="677"/>
        <w:gridCol w:w="677"/>
        <w:gridCol w:w="677"/>
        <w:gridCol w:w="677"/>
        <w:gridCol w:w="677"/>
        <w:gridCol w:w="854"/>
      </w:tblGrid>
      <w:tr w:rsidR="004F7D0D" w:rsidRPr="004F7D0D" w:rsidTr="00E2069D">
        <w:tc>
          <w:tcPr>
            <w:tcW w:w="1432" w:type="pct"/>
            <w:tcBorders>
              <w:top w:val="single" w:sz="6" w:space="0" w:color="auto"/>
              <w:bottom w:val="single" w:sz="6" w:space="0" w:color="auto"/>
            </w:tcBorders>
            <w:shd w:val="clear" w:color="auto" w:fill="auto"/>
          </w:tcPr>
          <w:p w:rsidR="006104A8" w:rsidRPr="004F7D0D" w:rsidRDefault="006104A8" w:rsidP="00E2069D">
            <w:pPr>
              <w:pStyle w:val="TableColumnHeading"/>
              <w:jc w:val="left"/>
            </w:pPr>
          </w:p>
        </w:tc>
        <w:tc>
          <w:tcPr>
            <w:tcW w:w="386" w:type="pct"/>
            <w:tcBorders>
              <w:top w:val="single" w:sz="6" w:space="0" w:color="auto"/>
              <w:bottom w:val="single" w:sz="6" w:space="0" w:color="auto"/>
            </w:tcBorders>
            <w:shd w:val="clear" w:color="auto" w:fill="auto"/>
          </w:tcPr>
          <w:p w:rsidR="006104A8" w:rsidRPr="004F7D0D" w:rsidRDefault="006104A8" w:rsidP="00E2069D">
            <w:pPr>
              <w:pStyle w:val="TableColumnHeading"/>
              <w:ind w:right="28"/>
            </w:pPr>
            <w:r w:rsidRPr="004F7D0D">
              <w:t>NSW</w:t>
            </w:r>
          </w:p>
        </w:tc>
        <w:tc>
          <w:tcPr>
            <w:tcW w:w="385" w:type="pct"/>
            <w:tcBorders>
              <w:top w:val="single" w:sz="6" w:space="0" w:color="auto"/>
              <w:bottom w:val="single" w:sz="6" w:space="0" w:color="auto"/>
            </w:tcBorders>
          </w:tcPr>
          <w:p w:rsidR="006104A8" w:rsidRPr="004F7D0D" w:rsidRDefault="006104A8" w:rsidP="00E2069D">
            <w:pPr>
              <w:pStyle w:val="TableColumnHeading"/>
              <w:ind w:right="28"/>
            </w:pPr>
            <w:r w:rsidRPr="004F7D0D">
              <w:t>Vic</w:t>
            </w:r>
          </w:p>
        </w:tc>
        <w:tc>
          <w:tcPr>
            <w:tcW w:w="385" w:type="pct"/>
            <w:tcBorders>
              <w:top w:val="single" w:sz="6" w:space="0" w:color="auto"/>
              <w:bottom w:val="single" w:sz="6" w:space="0" w:color="auto"/>
            </w:tcBorders>
          </w:tcPr>
          <w:p w:rsidR="006104A8" w:rsidRPr="004F7D0D" w:rsidRDefault="006104A8" w:rsidP="00E2069D">
            <w:pPr>
              <w:pStyle w:val="TableColumnHeading"/>
              <w:ind w:right="28"/>
            </w:pPr>
            <w:r w:rsidRPr="004F7D0D">
              <w:t>Qld</w:t>
            </w:r>
          </w:p>
        </w:tc>
        <w:tc>
          <w:tcPr>
            <w:tcW w:w="385" w:type="pct"/>
            <w:tcBorders>
              <w:top w:val="single" w:sz="6" w:space="0" w:color="auto"/>
              <w:bottom w:val="single" w:sz="6" w:space="0" w:color="auto"/>
            </w:tcBorders>
          </w:tcPr>
          <w:p w:rsidR="006104A8" w:rsidRPr="004F7D0D" w:rsidRDefault="006104A8" w:rsidP="00E2069D">
            <w:pPr>
              <w:pStyle w:val="TableColumnHeading"/>
              <w:ind w:right="28"/>
            </w:pPr>
            <w:r w:rsidRPr="004F7D0D">
              <w:t>WA</w:t>
            </w:r>
          </w:p>
        </w:tc>
        <w:tc>
          <w:tcPr>
            <w:tcW w:w="385" w:type="pct"/>
            <w:tcBorders>
              <w:top w:val="single" w:sz="6" w:space="0" w:color="auto"/>
              <w:bottom w:val="single" w:sz="6" w:space="0" w:color="auto"/>
            </w:tcBorders>
          </w:tcPr>
          <w:p w:rsidR="006104A8" w:rsidRPr="004F7D0D" w:rsidRDefault="006104A8" w:rsidP="00E2069D">
            <w:pPr>
              <w:pStyle w:val="TableColumnHeading"/>
              <w:ind w:right="28"/>
            </w:pPr>
            <w:r w:rsidRPr="004F7D0D">
              <w:t>SA</w:t>
            </w:r>
          </w:p>
        </w:tc>
        <w:tc>
          <w:tcPr>
            <w:tcW w:w="385" w:type="pct"/>
            <w:tcBorders>
              <w:top w:val="single" w:sz="6" w:space="0" w:color="auto"/>
              <w:bottom w:val="single" w:sz="6" w:space="0" w:color="auto"/>
            </w:tcBorders>
          </w:tcPr>
          <w:p w:rsidR="006104A8" w:rsidRPr="004F7D0D" w:rsidRDefault="006104A8" w:rsidP="00E2069D">
            <w:pPr>
              <w:pStyle w:val="TableColumnHeading"/>
              <w:ind w:right="28"/>
            </w:pPr>
            <w:r w:rsidRPr="004F7D0D">
              <w:t>Tas</w:t>
            </w:r>
          </w:p>
        </w:tc>
        <w:tc>
          <w:tcPr>
            <w:tcW w:w="385" w:type="pct"/>
            <w:tcBorders>
              <w:top w:val="single" w:sz="6" w:space="0" w:color="auto"/>
              <w:bottom w:val="single" w:sz="6" w:space="0" w:color="auto"/>
            </w:tcBorders>
          </w:tcPr>
          <w:p w:rsidR="006104A8" w:rsidRPr="004F7D0D" w:rsidRDefault="006104A8" w:rsidP="00E2069D">
            <w:pPr>
              <w:pStyle w:val="TableColumnHeading"/>
              <w:ind w:right="28"/>
            </w:pPr>
            <w:r w:rsidRPr="004F7D0D">
              <w:t>ACT</w:t>
            </w:r>
          </w:p>
        </w:tc>
        <w:tc>
          <w:tcPr>
            <w:tcW w:w="385" w:type="pct"/>
            <w:tcBorders>
              <w:top w:val="single" w:sz="6" w:space="0" w:color="auto"/>
              <w:bottom w:val="single" w:sz="6" w:space="0" w:color="auto"/>
            </w:tcBorders>
          </w:tcPr>
          <w:p w:rsidR="006104A8" w:rsidRPr="004F7D0D" w:rsidRDefault="006104A8" w:rsidP="00E2069D">
            <w:pPr>
              <w:pStyle w:val="TableColumnHeading"/>
              <w:ind w:right="28"/>
            </w:pPr>
            <w:r w:rsidRPr="004F7D0D">
              <w:t>NT</w:t>
            </w:r>
          </w:p>
        </w:tc>
        <w:tc>
          <w:tcPr>
            <w:tcW w:w="486" w:type="pct"/>
            <w:tcBorders>
              <w:top w:val="single" w:sz="6" w:space="0" w:color="auto"/>
              <w:bottom w:val="single" w:sz="6" w:space="0" w:color="auto"/>
            </w:tcBorders>
          </w:tcPr>
          <w:p w:rsidR="006104A8" w:rsidRPr="004F7D0D" w:rsidRDefault="006104A8" w:rsidP="00E2069D">
            <w:pPr>
              <w:pStyle w:val="TableColumnHeading"/>
              <w:ind w:right="28"/>
            </w:pPr>
            <w:r w:rsidRPr="004F7D0D">
              <w:t>Aust</w:t>
            </w:r>
          </w:p>
        </w:tc>
      </w:tr>
      <w:tr w:rsidR="004F7D0D" w:rsidRPr="004F7D0D" w:rsidTr="00E2069D">
        <w:tc>
          <w:tcPr>
            <w:tcW w:w="1432" w:type="pct"/>
          </w:tcPr>
          <w:p w:rsidR="006104A8" w:rsidRPr="004F7D0D" w:rsidRDefault="006104A8" w:rsidP="006104A8">
            <w:pPr>
              <w:pStyle w:val="TableUnitsRow"/>
              <w:jc w:val="left"/>
            </w:pPr>
            <w:r w:rsidRPr="004F7D0D">
              <w:t>Baseline</w:t>
            </w:r>
            <w:r w:rsidRPr="004F7D0D">
              <w:rPr>
                <w:rStyle w:val="NoteLabel"/>
              </w:rPr>
              <w:t>b</w:t>
            </w:r>
          </w:p>
        </w:tc>
        <w:tc>
          <w:tcPr>
            <w:tcW w:w="386" w:type="pct"/>
          </w:tcPr>
          <w:p w:rsidR="006104A8" w:rsidRPr="004F7D0D" w:rsidRDefault="006104A8" w:rsidP="006104A8">
            <w:pPr>
              <w:pStyle w:val="TableUnitsRow"/>
            </w:pPr>
            <w:r w:rsidRPr="004F7D0D">
              <w:t>81.8</w:t>
            </w:r>
          </w:p>
        </w:tc>
        <w:tc>
          <w:tcPr>
            <w:tcW w:w="385" w:type="pct"/>
          </w:tcPr>
          <w:p w:rsidR="006104A8" w:rsidRPr="004F7D0D" w:rsidRDefault="006104A8" w:rsidP="006104A8">
            <w:pPr>
              <w:pStyle w:val="TableUnitsRow"/>
            </w:pPr>
            <w:r w:rsidRPr="004F7D0D">
              <w:t>85.9</w:t>
            </w:r>
          </w:p>
        </w:tc>
        <w:tc>
          <w:tcPr>
            <w:tcW w:w="385" w:type="pct"/>
          </w:tcPr>
          <w:p w:rsidR="006104A8" w:rsidRPr="004F7D0D" w:rsidRDefault="006104A8" w:rsidP="006104A8">
            <w:pPr>
              <w:pStyle w:val="TableUnitsRow"/>
            </w:pPr>
            <w:r w:rsidRPr="004F7D0D">
              <w:t>82.5</w:t>
            </w:r>
          </w:p>
        </w:tc>
        <w:tc>
          <w:tcPr>
            <w:tcW w:w="385" w:type="pct"/>
          </w:tcPr>
          <w:p w:rsidR="006104A8" w:rsidRPr="004F7D0D" w:rsidRDefault="006104A8" w:rsidP="006104A8">
            <w:pPr>
              <w:pStyle w:val="TableUnitsRow"/>
            </w:pPr>
            <w:r w:rsidRPr="004F7D0D">
              <w:t>80.7</w:t>
            </w:r>
          </w:p>
        </w:tc>
        <w:tc>
          <w:tcPr>
            <w:tcW w:w="385" w:type="pct"/>
          </w:tcPr>
          <w:p w:rsidR="006104A8" w:rsidRPr="004F7D0D" w:rsidRDefault="006104A8" w:rsidP="006104A8">
            <w:pPr>
              <w:pStyle w:val="TableUnitsRow"/>
            </w:pPr>
            <w:r w:rsidRPr="004F7D0D">
              <w:t>78.9</w:t>
            </w:r>
          </w:p>
        </w:tc>
        <w:tc>
          <w:tcPr>
            <w:tcW w:w="385" w:type="pct"/>
          </w:tcPr>
          <w:p w:rsidR="006104A8" w:rsidRPr="004F7D0D" w:rsidRDefault="006104A8" w:rsidP="006104A8">
            <w:pPr>
              <w:pStyle w:val="TableUnitsRow"/>
            </w:pPr>
            <w:r w:rsidRPr="004F7D0D">
              <w:t>83.5</w:t>
            </w:r>
          </w:p>
        </w:tc>
        <w:tc>
          <w:tcPr>
            <w:tcW w:w="385" w:type="pct"/>
          </w:tcPr>
          <w:p w:rsidR="006104A8" w:rsidRPr="004F7D0D" w:rsidRDefault="006104A8" w:rsidP="006104A8">
            <w:pPr>
              <w:pStyle w:val="TableUnitsRow"/>
            </w:pPr>
            <w:r w:rsidRPr="004F7D0D">
              <w:t>85.8</w:t>
            </w:r>
          </w:p>
        </w:tc>
        <w:tc>
          <w:tcPr>
            <w:tcW w:w="385" w:type="pct"/>
          </w:tcPr>
          <w:p w:rsidR="006104A8" w:rsidRPr="004F7D0D" w:rsidRDefault="006104A8" w:rsidP="006104A8">
            <w:pPr>
              <w:pStyle w:val="TableUnitsRow"/>
            </w:pPr>
            <w:r w:rsidRPr="004F7D0D">
              <w:t>82.1</w:t>
            </w:r>
          </w:p>
        </w:tc>
        <w:tc>
          <w:tcPr>
            <w:tcW w:w="486" w:type="pct"/>
          </w:tcPr>
          <w:p w:rsidR="006104A8" w:rsidRPr="004F7D0D" w:rsidRDefault="006104A8" w:rsidP="006104A8">
            <w:pPr>
              <w:pStyle w:val="TableUnitsRow"/>
            </w:pPr>
            <w:r w:rsidRPr="004F7D0D">
              <w:t>82.7</w:t>
            </w:r>
          </w:p>
        </w:tc>
      </w:tr>
      <w:tr w:rsidR="004F7D0D" w:rsidRPr="004F7D0D" w:rsidTr="00E2069D">
        <w:tc>
          <w:tcPr>
            <w:tcW w:w="1432" w:type="pct"/>
            <w:tcBorders>
              <w:bottom w:val="single" w:sz="4" w:space="0" w:color="auto"/>
            </w:tcBorders>
          </w:tcPr>
          <w:p w:rsidR="006104A8" w:rsidRPr="004F7D0D" w:rsidRDefault="006104A8" w:rsidP="006104A8">
            <w:pPr>
              <w:pStyle w:val="TableBodyText"/>
              <w:jc w:val="left"/>
            </w:pPr>
            <w:r w:rsidRPr="004F7D0D">
              <w:t xml:space="preserve">Assessment period (1 April 2012 – 31 March 2013) </w:t>
            </w:r>
          </w:p>
        </w:tc>
        <w:tc>
          <w:tcPr>
            <w:tcW w:w="386" w:type="pct"/>
            <w:tcBorders>
              <w:bottom w:val="single" w:sz="4" w:space="0" w:color="auto"/>
            </w:tcBorders>
          </w:tcPr>
          <w:p w:rsidR="006104A8" w:rsidRPr="004F7D0D" w:rsidRDefault="006104A8" w:rsidP="006104A8">
            <w:pPr>
              <w:pStyle w:val="TableBodyText"/>
            </w:pPr>
            <w:r w:rsidRPr="004F7D0D">
              <w:t>91.2</w:t>
            </w:r>
          </w:p>
        </w:tc>
        <w:tc>
          <w:tcPr>
            <w:tcW w:w="385" w:type="pct"/>
            <w:tcBorders>
              <w:bottom w:val="single" w:sz="4" w:space="0" w:color="auto"/>
            </w:tcBorders>
          </w:tcPr>
          <w:p w:rsidR="006104A8" w:rsidRPr="004F7D0D" w:rsidRDefault="006104A8" w:rsidP="006104A8">
            <w:pPr>
              <w:pStyle w:val="TableBodyText"/>
            </w:pPr>
            <w:r w:rsidRPr="004F7D0D">
              <w:t>92.4</w:t>
            </w:r>
          </w:p>
        </w:tc>
        <w:tc>
          <w:tcPr>
            <w:tcW w:w="385" w:type="pct"/>
            <w:tcBorders>
              <w:bottom w:val="single" w:sz="4" w:space="0" w:color="auto"/>
            </w:tcBorders>
          </w:tcPr>
          <w:p w:rsidR="006104A8" w:rsidRPr="004F7D0D" w:rsidRDefault="006104A8" w:rsidP="006104A8">
            <w:pPr>
              <w:pStyle w:val="TableBodyText"/>
            </w:pPr>
            <w:r w:rsidRPr="004F7D0D">
              <w:t>82.5</w:t>
            </w:r>
          </w:p>
        </w:tc>
        <w:tc>
          <w:tcPr>
            <w:tcW w:w="385" w:type="pct"/>
            <w:tcBorders>
              <w:bottom w:val="single" w:sz="4" w:space="0" w:color="auto"/>
            </w:tcBorders>
          </w:tcPr>
          <w:p w:rsidR="006104A8" w:rsidRPr="004F7D0D" w:rsidRDefault="006104A8" w:rsidP="006104A8">
            <w:pPr>
              <w:pStyle w:val="TableBodyText"/>
            </w:pPr>
            <w:r w:rsidRPr="004F7D0D">
              <w:t>88.9</w:t>
            </w:r>
          </w:p>
        </w:tc>
        <w:tc>
          <w:tcPr>
            <w:tcW w:w="385" w:type="pct"/>
            <w:tcBorders>
              <w:bottom w:val="single" w:sz="4" w:space="0" w:color="auto"/>
            </w:tcBorders>
          </w:tcPr>
          <w:p w:rsidR="006104A8" w:rsidRPr="004F7D0D" w:rsidRDefault="006104A8" w:rsidP="006104A8">
            <w:pPr>
              <w:pStyle w:val="TableBodyText"/>
            </w:pPr>
            <w:r w:rsidRPr="004F7D0D">
              <w:t>90.2</w:t>
            </w:r>
          </w:p>
        </w:tc>
        <w:tc>
          <w:tcPr>
            <w:tcW w:w="385" w:type="pct"/>
            <w:tcBorders>
              <w:bottom w:val="single" w:sz="4" w:space="0" w:color="auto"/>
            </w:tcBorders>
          </w:tcPr>
          <w:p w:rsidR="006104A8" w:rsidRPr="004F7D0D" w:rsidRDefault="006104A8" w:rsidP="006104A8">
            <w:pPr>
              <w:pStyle w:val="TableBodyText"/>
            </w:pPr>
            <w:r w:rsidRPr="004F7D0D">
              <w:t>92.2</w:t>
            </w:r>
          </w:p>
        </w:tc>
        <w:tc>
          <w:tcPr>
            <w:tcW w:w="385" w:type="pct"/>
            <w:tcBorders>
              <w:bottom w:val="single" w:sz="4" w:space="0" w:color="auto"/>
            </w:tcBorders>
          </w:tcPr>
          <w:p w:rsidR="006104A8" w:rsidRPr="004F7D0D" w:rsidRDefault="006104A8" w:rsidP="006104A8">
            <w:pPr>
              <w:pStyle w:val="TableBodyText"/>
            </w:pPr>
            <w:r w:rsidRPr="004F7D0D">
              <w:t>92.3</w:t>
            </w:r>
          </w:p>
        </w:tc>
        <w:tc>
          <w:tcPr>
            <w:tcW w:w="385" w:type="pct"/>
            <w:tcBorders>
              <w:bottom w:val="single" w:sz="4" w:space="0" w:color="auto"/>
            </w:tcBorders>
          </w:tcPr>
          <w:p w:rsidR="006104A8" w:rsidRPr="004F7D0D" w:rsidRDefault="006104A8" w:rsidP="006104A8">
            <w:pPr>
              <w:pStyle w:val="TableBodyText"/>
            </w:pPr>
            <w:r w:rsidRPr="004F7D0D">
              <w:t>90.5</w:t>
            </w:r>
          </w:p>
        </w:tc>
        <w:tc>
          <w:tcPr>
            <w:tcW w:w="486" w:type="pct"/>
            <w:tcBorders>
              <w:bottom w:val="single" w:sz="4" w:space="0" w:color="auto"/>
            </w:tcBorders>
          </w:tcPr>
          <w:p w:rsidR="006104A8" w:rsidRPr="004F7D0D" w:rsidRDefault="006104A8" w:rsidP="006104A8">
            <w:pPr>
              <w:pStyle w:val="TableBodyText"/>
            </w:pPr>
            <w:r w:rsidRPr="004F7D0D">
              <w:t>91.2</w:t>
            </w:r>
          </w:p>
        </w:tc>
      </w:tr>
    </w:tbl>
    <w:p w:rsidR="00851A84" w:rsidRPr="004F7D0D" w:rsidRDefault="00851A84" w:rsidP="00851A84">
      <w:pPr>
        <w:pStyle w:val="Note"/>
      </w:pPr>
      <w:proofErr w:type="spellStart"/>
      <w:r w:rsidRPr="004F7D0D">
        <w:rPr>
          <w:rStyle w:val="NoteLabel"/>
        </w:rPr>
        <w:t>a</w:t>
      </w:r>
      <w:proofErr w:type="spellEnd"/>
      <w:r w:rsidRPr="004F7D0D">
        <w:rPr>
          <w:rFonts w:cs="Arial"/>
        </w:rPr>
        <w:t xml:space="preserve"> </w:t>
      </w:r>
      <w:proofErr w:type="spellStart"/>
      <w:r w:rsidR="00422313" w:rsidRPr="004F7D0D">
        <w:t>A</w:t>
      </w:r>
      <w:proofErr w:type="spellEnd"/>
      <w:r w:rsidR="00422313" w:rsidRPr="004F7D0D">
        <w:t xml:space="preserve"> child is fully immunised when they are up-to-date with the standard vaccination schedule for their age or are on a suitable catch-up program based on the NIP schedule as defined </w:t>
      </w:r>
      <w:r w:rsidR="000B7151" w:rsidRPr="004F7D0D">
        <w:t>in</w:t>
      </w:r>
      <w:r w:rsidR="00422313" w:rsidRPr="004F7D0D">
        <w:t xml:space="preserve"> the ACIR.</w:t>
      </w:r>
      <w:r w:rsidR="00C42934" w:rsidRPr="004F7D0D">
        <w:t xml:space="preserve"> </w:t>
      </w:r>
      <w:r w:rsidR="00C42934" w:rsidRPr="004F7D0D">
        <w:rPr>
          <w:rStyle w:val="NoteLabel"/>
        </w:rPr>
        <w:t>b</w:t>
      </w:r>
      <w:r w:rsidR="00C42934" w:rsidRPr="004F7D0D">
        <w:t xml:space="preserve"> The baseline is the </w:t>
      </w:r>
      <w:r w:rsidR="0043445A" w:rsidRPr="004F7D0D">
        <w:t xml:space="preserve">higher of: the </w:t>
      </w:r>
      <w:r w:rsidR="00C42934" w:rsidRPr="004F7D0D">
        <w:t xml:space="preserve">lowest State and Territory coverage rate from the previous three assessment periods, </w:t>
      </w:r>
      <w:r w:rsidR="0043445A" w:rsidRPr="004F7D0D">
        <w:t>or the baseline from the previous report</w:t>
      </w:r>
      <w:r w:rsidR="00C42934" w:rsidRPr="004F7D0D">
        <w:t>.</w:t>
      </w:r>
    </w:p>
    <w:p w:rsidR="00851A84" w:rsidRPr="004F7D0D" w:rsidRDefault="00851A84" w:rsidP="00851A84">
      <w:pPr>
        <w:pStyle w:val="Source"/>
      </w:pPr>
      <w:r w:rsidRPr="004F7D0D">
        <w:rPr>
          <w:i/>
        </w:rPr>
        <w:t>Source</w:t>
      </w:r>
      <w:r w:rsidRPr="004F7D0D">
        <w:t xml:space="preserve">: </w:t>
      </w:r>
      <w:smartTag w:uri="urn:schemas-microsoft-com:office:smarttags" w:element="place">
        <w:smartTag w:uri="urn:schemas-microsoft-com:office:smarttags" w:element="City">
          <w:r w:rsidR="009737F8" w:rsidRPr="004F7D0D">
            <w:t>DoHA</w:t>
          </w:r>
        </w:smartTag>
      </w:smartTag>
      <w:r w:rsidR="009737F8" w:rsidRPr="004F7D0D">
        <w:t xml:space="preserve"> (unpublished) Australian Childhood Immunisation Register</w:t>
      </w:r>
      <w:r w:rsidR="00874042" w:rsidRPr="004F7D0D">
        <w:t>.</w:t>
      </w:r>
    </w:p>
    <w:p w:rsidR="00851A84" w:rsidRPr="004F7D0D" w:rsidRDefault="00851A84" w:rsidP="00851A84">
      <w:pPr>
        <w:pStyle w:val="BoxSpace"/>
      </w:pPr>
      <w:r w:rsidRPr="004F7D0D">
        <w:rPr>
          <w:b/>
          <w:vanish/>
          <w:sz w:val="14"/>
        </w:rPr>
        <w:t>Do not delete this return as it gives space between the box and what precedes it.</w:t>
      </w: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4F7D0D" w:rsidRPr="004F7D0D" w:rsidTr="00226E15">
        <w:tc>
          <w:tcPr>
            <w:tcW w:w="8771" w:type="dxa"/>
            <w:tcBorders>
              <w:top w:val="single" w:sz="6" w:space="0" w:color="auto"/>
              <w:bottom w:val="nil"/>
            </w:tcBorders>
          </w:tcPr>
          <w:p w:rsidR="00851A84" w:rsidRPr="004F7D0D" w:rsidRDefault="00851A84" w:rsidP="005F0D59">
            <w:pPr>
              <w:pStyle w:val="BoxTitle"/>
            </w:pPr>
            <w:r w:rsidRPr="004F7D0D">
              <w:rPr>
                <w:b w:val="0"/>
              </w:rPr>
              <w:t xml:space="preserve">Box </w:t>
            </w:r>
            <w:r w:rsidR="00DF6743" w:rsidRPr="004F7D0D">
              <w:rPr>
                <w:b w:val="0"/>
              </w:rPr>
              <w:t>4</w:t>
            </w:r>
            <w:r w:rsidR="006A6133" w:rsidRPr="004F7D0D">
              <w:tab/>
              <w:t>Comment on data q</w:t>
            </w:r>
            <w:r w:rsidRPr="004F7D0D">
              <w:t>uality</w:t>
            </w:r>
          </w:p>
        </w:tc>
      </w:tr>
      <w:tr w:rsidR="004F7D0D" w:rsidRPr="004F7D0D" w:rsidTr="00226E15">
        <w:trPr>
          <w:cantSplit/>
        </w:trPr>
        <w:tc>
          <w:tcPr>
            <w:tcW w:w="8771" w:type="dxa"/>
            <w:tcBorders>
              <w:top w:val="nil"/>
              <w:left w:val="single" w:sz="6" w:space="0" w:color="auto"/>
              <w:bottom w:val="nil"/>
              <w:right w:val="single" w:sz="6" w:space="0" w:color="auto"/>
            </w:tcBorders>
          </w:tcPr>
          <w:p w:rsidR="0001236F" w:rsidRPr="004F7D0D" w:rsidRDefault="0001236F" w:rsidP="0001236F">
            <w:pPr>
              <w:pStyle w:val="Box"/>
            </w:pPr>
            <w:r w:rsidRPr="004F7D0D">
              <w:t xml:space="preserve">The DQS for this indicator has been prepared by </w:t>
            </w:r>
            <w:smartTag w:uri="urn:schemas-microsoft-com:office:smarttags" w:element="City">
              <w:smartTag w:uri="urn:schemas-microsoft-com:office:smarttags" w:element="place">
                <w:r w:rsidRPr="004F7D0D">
                  <w:t>DoHA</w:t>
                </w:r>
              </w:smartTag>
            </w:smartTag>
            <w:r w:rsidRPr="004F7D0D">
              <w:t xml:space="preserve"> </w:t>
            </w:r>
            <w:r w:rsidR="00744831" w:rsidRPr="004F7D0D">
              <w:t xml:space="preserve">and is included in its original </w:t>
            </w:r>
            <w:r w:rsidRPr="004F7D0D">
              <w:t xml:space="preserve">form in the section in this report titled ‘Data Quality </w:t>
            </w:r>
            <w:r w:rsidR="00744831" w:rsidRPr="004F7D0D">
              <w:t>Statement</w:t>
            </w:r>
            <w:r w:rsidR="0043445A" w:rsidRPr="004F7D0D">
              <w:t>s</w:t>
            </w:r>
            <w:r w:rsidR="00744831" w:rsidRPr="004F7D0D">
              <w:t xml:space="preserve">’. Key points from the </w:t>
            </w:r>
            <w:r w:rsidRPr="004F7D0D">
              <w:t>DQS are summarised below.</w:t>
            </w:r>
          </w:p>
          <w:p w:rsidR="0001236F" w:rsidRPr="004F7D0D" w:rsidRDefault="0001236F" w:rsidP="0001236F">
            <w:pPr>
              <w:pStyle w:val="BoxListBullet"/>
            </w:pPr>
            <w:r w:rsidRPr="004F7D0D">
              <w:t xml:space="preserve">The data provide relevant information on the </w:t>
            </w:r>
            <w:r w:rsidR="000D6C74" w:rsidRPr="004F7D0D">
              <w:t>proportion of children aged 60 to less than</w:t>
            </w:r>
            <w:r w:rsidR="007838C7" w:rsidRPr="004F7D0D">
              <w:t xml:space="preserve"> or equal to</w:t>
            </w:r>
            <w:r w:rsidR="000D6C74" w:rsidRPr="004F7D0D">
              <w:t xml:space="preserve"> 63 months on the </w:t>
            </w:r>
            <w:r w:rsidR="00D6750E" w:rsidRPr="004F7D0D">
              <w:t xml:space="preserve">Australian Child Immunisation Register (ACIR) </w:t>
            </w:r>
            <w:r w:rsidR="000D6C74" w:rsidRPr="004F7D0D">
              <w:t>who are fully immunised, by State and Territory</w:t>
            </w:r>
            <w:r w:rsidR="009F1EE9" w:rsidRPr="004F7D0D">
              <w:t>.</w:t>
            </w:r>
          </w:p>
          <w:p w:rsidR="004C38DF" w:rsidRPr="004F7D0D" w:rsidRDefault="004C38DF" w:rsidP="003C5CAE">
            <w:pPr>
              <w:pStyle w:val="BoxListBullet"/>
            </w:pPr>
            <w:r w:rsidRPr="004F7D0D">
              <w:t xml:space="preserve">Data for the ACIR are available quarterly. A minimum </w:t>
            </w:r>
            <w:r w:rsidR="000D6C74" w:rsidRPr="004F7D0D">
              <w:t>three-</w:t>
            </w:r>
            <w:r w:rsidRPr="004F7D0D">
              <w:t xml:space="preserve">month lag period is allowed for late notification of immunisations to ACIR. </w:t>
            </w:r>
            <w:r w:rsidR="00190A6C" w:rsidRPr="004F7D0D">
              <w:t xml:space="preserve">Data are available for the </w:t>
            </w:r>
            <w:r w:rsidR="00EE1995" w:rsidRPr="004F7D0D">
              <w:t xml:space="preserve">reporting period of 1 April </w:t>
            </w:r>
            <w:r w:rsidR="00357A9E" w:rsidRPr="004F7D0D">
              <w:t xml:space="preserve">2012 </w:t>
            </w:r>
            <w:r w:rsidR="00EE1995" w:rsidRPr="004F7D0D">
              <w:t xml:space="preserve">to 31 March </w:t>
            </w:r>
            <w:r w:rsidR="00357A9E" w:rsidRPr="004F7D0D">
              <w:t>2013</w:t>
            </w:r>
            <w:r w:rsidR="00190A6C" w:rsidRPr="004F7D0D">
              <w:t>.</w:t>
            </w:r>
          </w:p>
          <w:p w:rsidR="00293C28" w:rsidRPr="004F7D0D" w:rsidRDefault="00C42934" w:rsidP="003C5CAE">
            <w:pPr>
              <w:pStyle w:val="BoxListBullet"/>
            </w:pPr>
            <w:r w:rsidRPr="004F7D0D">
              <w:t xml:space="preserve">Data </w:t>
            </w:r>
            <w:r w:rsidR="00D6750E" w:rsidRPr="004F7D0D">
              <w:t>are</w:t>
            </w:r>
            <w:r w:rsidR="0001236F" w:rsidRPr="004F7D0D">
              <w:t xml:space="preserve"> reported using the definition </w:t>
            </w:r>
            <w:r w:rsidR="00576BB8" w:rsidRPr="004F7D0D">
              <w:t xml:space="preserve">‘fully-immunised’ </w:t>
            </w:r>
            <w:r w:rsidR="00576BB8" w:rsidRPr="004F7D0D">
              <w:rPr>
                <w:rFonts w:cs="Arial"/>
              </w:rPr>
              <w:t xml:space="preserve">as defined by </w:t>
            </w:r>
            <w:r w:rsidR="00576BB8" w:rsidRPr="004F7D0D">
              <w:rPr>
                <w:rFonts w:cs="Arial"/>
                <w:i/>
              </w:rPr>
              <w:t>A New Tax System (Family Assistance) Act 1999</w:t>
            </w:r>
            <w:r w:rsidR="00324185" w:rsidRPr="004F7D0D">
              <w:rPr>
                <w:rFonts w:cs="Arial"/>
                <w:i/>
              </w:rPr>
              <w:t xml:space="preserve">; </w:t>
            </w:r>
            <w:r w:rsidR="00324185" w:rsidRPr="004F7D0D">
              <w:t>that</w:t>
            </w:r>
            <w:r w:rsidR="00EE1995" w:rsidRPr="004F7D0D">
              <w:t xml:space="preserve"> is, </w:t>
            </w:r>
            <w:r w:rsidR="0001236F" w:rsidRPr="004F7D0D">
              <w:t xml:space="preserve">children </w:t>
            </w:r>
            <w:r w:rsidR="00576BB8" w:rsidRPr="004F7D0D">
              <w:t xml:space="preserve">at 60 to less than 63 months </w:t>
            </w:r>
            <w:r w:rsidR="0001236F" w:rsidRPr="004F7D0D">
              <w:t>who have received immunisations</w:t>
            </w:r>
            <w:r w:rsidR="003C5CAE" w:rsidRPr="004F7D0D">
              <w:t xml:space="preserve"> for diphtheria, tetanus, pertussis, poliomyelitis, measles, mumps and rubella.</w:t>
            </w:r>
            <w:r w:rsidR="0001236F" w:rsidRPr="004F7D0D">
              <w:t xml:space="preserve"> </w:t>
            </w:r>
          </w:p>
          <w:p w:rsidR="00190A6C" w:rsidRPr="004F7D0D" w:rsidRDefault="00190A6C" w:rsidP="00190A6C">
            <w:pPr>
              <w:pStyle w:val="BoxListBullet"/>
            </w:pPr>
            <w:r w:rsidRPr="004F7D0D">
              <w:t xml:space="preserve">Vaccination coverage rates calculated using ACIR data </w:t>
            </w:r>
            <w:r w:rsidR="00AB5690" w:rsidRPr="004F7D0D">
              <w:t>may</w:t>
            </w:r>
            <w:r w:rsidRPr="004F7D0D">
              <w:t xml:space="preserve"> under</w:t>
            </w:r>
            <w:r w:rsidR="000C4EF0" w:rsidRPr="004F7D0D">
              <w:t>-</w:t>
            </w:r>
            <w:r w:rsidRPr="004F7D0D">
              <w:t xml:space="preserve">estimate actual vaccination rates because of under-reporting by immunisation providers. </w:t>
            </w:r>
            <w:r w:rsidR="00D6750E" w:rsidRPr="004F7D0D">
              <w:t>The extent of any under-reporting has not been assessed (although the wastage and leakage calculation (performance benchmark 3) includes an adjustment factor of 1.03 to account for under-reporting to ACIR).</w:t>
            </w:r>
          </w:p>
          <w:p w:rsidR="00F14711" w:rsidRPr="004F7D0D" w:rsidRDefault="006F6EC2" w:rsidP="00E96DE7">
            <w:pPr>
              <w:pStyle w:val="BoxListBullet"/>
            </w:pPr>
            <w:r w:rsidRPr="004F7D0D">
              <w:t xml:space="preserve">The </w:t>
            </w:r>
            <w:r w:rsidR="000C4EF0" w:rsidRPr="004F7D0D">
              <w:t>disaggregation</w:t>
            </w:r>
            <w:r w:rsidRPr="004F7D0D">
              <w:t xml:space="preserve"> by State and T</w:t>
            </w:r>
            <w:r w:rsidR="0001236F" w:rsidRPr="004F7D0D">
              <w:t>erritory is based on postcode of residence of the child as recorded on ACIR. As children may receive vaccinations in locations other than where they live, this data does not necessarily reflect the location in which services were received.</w:t>
            </w:r>
          </w:p>
          <w:p w:rsidR="000F160C" w:rsidRPr="004F7D0D" w:rsidRDefault="000F160C" w:rsidP="000F160C">
            <w:pPr>
              <w:pStyle w:val="BoxListBullet"/>
              <w:numPr>
                <w:ilvl w:val="0"/>
                <w:numId w:val="0"/>
              </w:numPr>
            </w:pPr>
            <w:r w:rsidRPr="004F7D0D">
              <w:t>The Steering Committee has no additional issues for noting with this indicator.</w:t>
            </w:r>
          </w:p>
        </w:tc>
      </w:tr>
      <w:tr w:rsidR="004F7D0D" w:rsidRPr="004F7D0D" w:rsidTr="00226E15">
        <w:trPr>
          <w:cantSplit/>
        </w:trPr>
        <w:tc>
          <w:tcPr>
            <w:tcW w:w="8771" w:type="dxa"/>
            <w:tcBorders>
              <w:top w:val="nil"/>
              <w:left w:val="single" w:sz="6" w:space="0" w:color="auto"/>
              <w:bottom w:val="single" w:sz="6" w:space="0" w:color="auto"/>
              <w:right w:val="single" w:sz="6" w:space="0" w:color="auto"/>
            </w:tcBorders>
          </w:tcPr>
          <w:p w:rsidR="00851A84" w:rsidRPr="004F7D0D" w:rsidRDefault="00851A84" w:rsidP="00226E15">
            <w:pPr>
              <w:pStyle w:val="Box"/>
              <w:spacing w:before="0" w:line="120" w:lineRule="exact"/>
            </w:pPr>
          </w:p>
        </w:tc>
      </w:tr>
      <w:tr w:rsidR="004F7D0D" w:rsidRPr="004F7D0D" w:rsidTr="00226E15">
        <w:tc>
          <w:tcPr>
            <w:tcW w:w="8771" w:type="dxa"/>
            <w:tcBorders>
              <w:top w:val="nil"/>
              <w:left w:val="nil"/>
              <w:bottom w:val="nil"/>
              <w:right w:val="nil"/>
            </w:tcBorders>
          </w:tcPr>
          <w:p w:rsidR="00851A84" w:rsidRPr="004F7D0D" w:rsidRDefault="00851A84" w:rsidP="00226E15">
            <w:pPr>
              <w:pStyle w:val="Box"/>
              <w:keepNext w:val="0"/>
              <w:spacing w:before="60" w:after="60" w:line="80" w:lineRule="exact"/>
              <w:rPr>
                <w:b/>
                <w:sz w:val="14"/>
              </w:rPr>
            </w:pPr>
          </w:p>
        </w:tc>
      </w:tr>
    </w:tbl>
    <w:p w:rsidR="00851A84" w:rsidRPr="004F7D0D" w:rsidRDefault="00851A84" w:rsidP="00851A84">
      <w:pPr>
        <w:pStyle w:val="Heading2"/>
      </w:pPr>
      <w:r w:rsidRPr="004F7D0D">
        <w:br w:type="page"/>
      </w:r>
      <w:r w:rsidR="004D609B" w:rsidRPr="004F7D0D">
        <w:lastRenderedPageBreak/>
        <w:t>Data Quality Statements</w:t>
      </w:r>
    </w:p>
    <w:p w:rsidR="00F75346" w:rsidRPr="004F7D0D" w:rsidRDefault="00BC3B8D" w:rsidP="00F75346">
      <w:pPr>
        <w:pStyle w:val="BodyText"/>
      </w:pPr>
      <w:r w:rsidRPr="004F7D0D">
        <w:t>This section includes the Data Quality Statements</w:t>
      </w:r>
      <w:r w:rsidR="00F75346" w:rsidRPr="004F7D0D">
        <w:t xml:space="preserve"> for the </w:t>
      </w:r>
      <w:r w:rsidRPr="004F7D0D">
        <w:t>Essential Vaccines</w:t>
      </w:r>
      <w:r w:rsidR="00F75346" w:rsidRPr="004F7D0D">
        <w:t xml:space="preserve"> performance benchmark</w:t>
      </w:r>
      <w:r w:rsidR="00930E6B">
        <w:t>s</w:t>
      </w:r>
      <w:r w:rsidR="00F75346" w:rsidRPr="004F7D0D">
        <w:t xml:space="preserve"> as provided by the data provider. </w:t>
      </w:r>
      <w:r w:rsidR="00F75346" w:rsidRPr="004F7D0D">
        <w:rPr>
          <w:u w:val="single"/>
        </w:rPr>
        <w:t xml:space="preserve">The Steering Committee has not made any amendments to the content of </w:t>
      </w:r>
      <w:r w:rsidRPr="004F7D0D">
        <w:rPr>
          <w:u w:val="single"/>
        </w:rPr>
        <w:t>these</w:t>
      </w:r>
      <w:r w:rsidR="00F75346" w:rsidRPr="004F7D0D">
        <w:rPr>
          <w:u w:val="single"/>
        </w:rPr>
        <w:t xml:space="preserve"> DQS.</w:t>
      </w:r>
    </w:p>
    <w:p w:rsidR="004D609B" w:rsidRPr="004F7D0D" w:rsidRDefault="004D609B">
      <w:pPr>
        <w:pStyle w:val="TableTitle"/>
      </w:pPr>
      <w:r w:rsidRPr="004F7D0D">
        <w:rPr>
          <w:b w:val="0"/>
        </w:rPr>
        <w:t xml:space="preserve">Table </w:t>
      </w:r>
      <w:r w:rsidRPr="004F7D0D">
        <w:rPr>
          <w:b w:val="0"/>
        </w:rPr>
        <w:fldChar w:fldCharType="begin"/>
      </w:r>
      <w:r w:rsidRPr="004F7D0D">
        <w:rPr>
          <w:b w:val="0"/>
        </w:rPr>
        <w:instrText xml:space="preserve"> SEQ Table \* ARABIC </w:instrText>
      </w:r>
      <w:r w:rsidRPr="004F7D0D">
        <w:rPr>
          <w:b w:val="0"/>
        </w:rPr>
        <w:fldChar w:fldCharType="separate"/>
      </w:r>
      <w:r w:rsidR="003F1C71">
        <w:rPr>
          <w:b w:val="0"/>
          <w:noProof/>
        </w:rPr>
        <w:t>5</w:t>
      </w:r>
      <w:r w:rsidRPr="004F7D0D">
        <w:rPr>
          <w:b w:val="0"/>
        </w:rPr>
        <w:fldChar w:fldCharType="end"/>
      </w:r>
      <w:r w:rsidR="00EB7E23" w:rsidRPr="004F7D0D">
        <w:tab/>
        <w:t>Data quality statements</w:t>
      </w:r>
    </w:p>
    <w:tbl>
      <w:tblPr>
        <w:tblW w:w="5000" w:type="pct"/>
        <w:tblCellMar>
          <w:left w:w="0" w:type="dxa"/>
          <w:right w:w="0" w:type="dxa"/>
        </w:tblCellMar>
        <w:tblLook w:val="0000" w:firstRow="0" w:lastRow="0" w:firstColumn="0" w:lastColumn="0" w:noHBand="0" w:noVBand="0"/>
      </w:tblPr>
      <w:tblGrid>
        <w:gridCol w:w="7740"/>
        <w:gridCol w:w="1049"/>
      </w:tblGrid>
      <w:tr w:rsidR="004F7D0D" w:rsidRPr="004F7D0D" w:rsidTr="00424C65">
        <w:tc>
          <w:tcPr>
            <w:tcW w:w="7740" w:type="dxa"/>
            <w:tcBorders>
              <w:top w:val="single" w:sz="6" w:space="0" w:color="auto"/>
              <w:bottom w:val="single" w:sz="4" w:space="0" w:color="auto"/>
            </w:tcBorders>
            <w:shd w:val="clear" w:color="auto" w:fill="auto"/>
          </w:tcPr>
          <w:p w:rsidR="004D609B" w:rsidRPr="004F7D0D" w:rsidRDefault="00CC4844" w:rsidP="004D609B">
            <w:pPr>
              <w:pStyle w:val="TableColumnHeading"/>
              <w:jc w:val="left"/>
            </w:pPr>
            <w:r w:rsidRPr="004F7D0D">
              <w:t>Performance benchmark</w:t>
            </w:r>
          </w:p>
        </w:tc>
        <w:tc>
          <w:tcPr>
            <w:tcW w:w="1049" w:type="dxa"/>
            <w:tcBorders>
              <w:top w:val="single" w:sz="6" w:space="0" w:color="auto"/>
              <w:bottom w:val="single" w:sz="4" w:space="0" w:color="auto"/>
            </w:tcBorders>
            <w:shd w:val="clear" w:color="auto" w:fill="auto"/>
          </w:tcPr>
          <w:p w:rsidR="004D609B" w:rsidRPr="004F7D0D" w:rsidRDefault="00CC4844" w:rsidP="004D609B">
            <w:pPr>
              <w:pStyle w:val="TableColumnHeading"/>
              <w:ind w:right="28"/>
            </w:pPr>
            <w:r w:rsidRPr="004F7D0D">
              <w:t>Page no. in this report</w:t>
            </w:r>
          </w:p>
        </w:tc>
      </w:tr>
      <w:tr w:rsidR="004F7D0D" w:rsidRPr="004F7D0D" w:rsidTr="00424C65">
        <w:tc>
          <w:tcPr>
            <w:tcW w:w="7740" w:type="dxa"/>
            <w:tcBorders>
              <w:top w:val="single" w:sz="4" w:space="0" w:color="auto"/>
            </w:tcBorders>
          </w:tcPr>
          <w:p w:rsidR="004D609B" w:rsidRPr="004F7D0D" w:rsidRDefault="00CC4844" w:rsidP="00ED4B65">
            <w:pPr>
              <w:pStyle w:val="TableUnitsRow"/>
              <w:spacing w:after="40"/>
              <w:jc w:val="left"/>
            </w:pPr>
            <w:r w:rsidRPr="004F7D0D">
              <w:t>1. Maintaining or increasing vaccine coverage for Indigenous Australians</w:t>
            </w:r>
          </w:p>
        </w:tc>
        <w:tc>
          <w:tcPr>
            <w:tcW w:w="1049" w:type="dxa"/>
            <w:tcBorders>
              <w:top w:val="single" w:sz="4" w:space="0" w:color="auto"/>
            </w:tcBorders>
          </w:tcPr>
          <w:p w:rsidR="004D609B" w:rsidRPr="004F7D0D" w:rsidRDefault="009F60AB" w:rsidP="0040297F">
            <w:pPr>
              <w:pStyle w:val="TableUnitsRow"/>
              <w:framePr w:w="2155" w:hSpace="227" w:vSpace="181" w:wrap="around" w:vAnchor="text" w:hAnchor="page" w:xAlign="outside" w:y="1"/>
              <w:spacing w:after="40"/>
              <w:ind w:right="28"/>
            </w:pPr>
            <w:r w:rsidRPr="004F7D0D">
              <w:t>1</w:t>
            </w:r>
            <w:r w:rsidR="0040297F" w:rsidRPr="004F7D0D">
              <w:t>7</w:t>
            </w:r>
          </w:p>
        </w:tc>
      </w:tr>
      <w:tr w:rsidR="004F7D0D" w:rsidRPr="004F7D0D" w:rsidTr="00424C65">
        <w:tc>
          <w:tcPr>
            <w:tcW w:w="7740" w:type="dxa"/>
          </w:tcPr>
          <w:p w:rsidR="00C74215" w:rsidRPr="004F7D0D" w:rsidRDefault="00C74215" w:rsidP="00ED4B65">
            <w:pPr>
              <w:pStyle w:val="TableUnitsRow"/>
              <w:spacing w:after="40"/>
              <w:jc w:val="left"/>
            </w:pPr>
            <w:r w:rsidRPr="004F7D0D">
              <w:t>2. Maintaining or increasing coverage in agreed areas of low immunisation coverage</w:t>
            </w:r>
          </w:p>
        </w:tc>
        <w:tc>
          <w:tcPr>
            <w:tcW w:w="1049" w:type="dxa"/>
          </w:tcPr>
          <w:p w:rsidR="00C74215" w:rsidRPr="004F7D0D" w:rsidRDefault="003C5CAE" w:rsidP="003C5CAE">
            <w:pPr>
              <w:pStyle w:val="TableUnitsRow"/>
              <w:framePr w:w="2155" w:hSpace="227" w:vSpace="181" w:wrap="around" w:vAnchor="text" w:hAnchor="page" w:xAlign="outside" w:y="1"/>
              <w:spacing w:after="40"/>
              <w:ind w:right="28"/>
            </w:pPr>
            <w:r w:rsidRPr="004F7D0D">
              <w:t>19</w:t>
            </w:r>
          </w:p>
        </w:tc>
      </w:tr>
      <w:tr w:rsidR="004F7D0D" w:rsidRPr="004F7D0D" w:rsidTr="00424C65">
        <w:tc>
          <w:tcPr>
            <w:tcW w:w="7740" w:type="dxa"/>
          </w:tcPr>
          <w:p w:rsidR="00C74215" w:rsidRPr="004F7D0D" w:rsidRDefault="00C74215" w:rsidP="00ED4B65">
            <w:pPr>
              <w:pStyle w:val="TableUnitsRow"/>
              <w:spacing w:after="40"/>
              <w:jc w:val="left"/>
            </w:pPr>
            <w:r w:rsidRPr="004F7D0D">
              <w:t>3. Maintaining or decreasing wastage and leakage</w:t>
            </w:r>
          </w:p>
        </w:tc>
        <w:tc>
          <w:tcPr>
            <w:tcW w:w="1049" w:type="dxa"/>
          </w:tcPr>
          <w:p w:rsidR="00C74215" w:rsidRPr="004F7D0D" w:rsidRDefault="00C74215" w:rsidP="003C5CAE">
            <w:pPr>
              <w:pStyle w:val="TableUnitsRow"/>
              <w:framePr w:w="2155" w:hSpace="227" w:vSpace="181" w:wrap="around" w:vAnchor="text" w:hAnchor="page" w:xAlign="outside" w:y="1"/>
              <w:spacing w:after="40"/>
              <w:ind w:right="28"/>
            </w:pPr>
            <w:r w:rsidRPr="004F7D0D">
              <w:t>2</w:t>
            </w:r>
            <w:r w:rsidR="003C5CAE" w:rsidRPr="004F7D0D">
              <w:t>1</w:t>
            </w:r>
          </w:p>
        </w:tc>
      </w:tr>
      <w:tr w:rsidR="004F7D0D" w:rsidRPr="004F7D0D" w:rsidTr="00424C65">
        <w:tc>
          <w:tcPr>
            <w:tcW w:w="7740" w:type="dxa"/>
            <w:tcBorders>
              <w:bottom w:val="single" w:sz="4" w:space="0" w:color="auto"/>
            </w:tcBorders>
          </w:tcPr>
          <w:p w:rsidR="00C74215" w:rsidRPr="004F7D0D" w:rsidRDefault="00C74215" w:rsidP="00ED4B65">
            <w:pPr>
              <w:pStyle w:val="TableUnitsRow"/>
              <w:spacing w:after="40"/>
              <w:jc w:val="left"/>
            </w:pPr>
            <w:r w:rsidRPr="004F7D0D">
              <w:t>4. Maintaining or increasing vaccination coverage for four year olds</w:t>
            </w:r>
          </w:p>
        </w:tc>
        <w:tc>
          <w:tcPr>
            <w:tcW w:w="1049" w:type="dxa"/>
            <w:tcBorders>
              <w:bottom w:val="single" w:sz="4" w:space="0" w:color="auto"/>
            </w:tcBorders>
          </w:tcPr>
          <w:p w:rsidR="00C74215" w:rsidRPr="004F7D0D" w:rsidRDefault="00C74215" w:rsidP="0040297F">
            <w:pPr>
              <w:pStyle w:val="TableUnitsRow"/>
              <w:framePr w:w="2155" w:hSpace="227" w:vSpace="181" w:wrap="around" w:vAnchor="text" w:hAnchor="page" w:xAlign="outside" w:y="1"/>
              <w:spacing w:after="40"/>
              <w:ind w:right="28"/>
            </w:pPr>
            <w:r w:rsidRPr="004F7D0D">
              <w:t>2</w:t>
            </w:r>
            <w:r w:rsidR="003C5CAE" w:rsidRPr="004F7D0D">
              <w:t>3</w:t>
            </w:r>
          </w:p>
        </w:tc>
      </w:tr>
    </w:tbl>
    <w:p w:rsidR="00E92976" w:rsidRPr="004F7D0D" w:rsidRDefault="004D609B" w:rsidP="00414FB5">
      <w:pPr>
        <w:pStyle w:val="Heading3"/>
        <w:spacing w:after="480"/>
      </w:pPr>
      <w:r w:rsidRPr="004F7D0D">
        <w:br w:type="page"/>
      </w:r>
      <w:bookmarkStart w:id="21" w:name="_Ref287347515"/>
      <w:r w:rsidR="00E92976" w:rsidRPr="004F7D0D">
        <w:lastRenderedPageBreak/>
        <w:t>Data quality statement —</w:t>
      </w:r>
      <w:r w:rsidR="000C32DD" w:rsidRPr="004F7D0D">
        <w:t xml:space="preserve"> </w:t>
      </w:r>
      <w:r w:rsidR="00E92976" w:rsidRPr="004F7D0D">
        <w:t>Performance benchmark 1: Maintaining or increasing vaccine coverage for Indigenous Australians</w:t>
      </w:r>
      <w:bookmarkEnd w:id="21"/>
    </w:p>
    <w:tbl>
      <w:tblPr>
        <w:tblW w:w="8820" w:type="dxa"/>
        <w:tblInd w:w="108" w:type="dxa"/>
        <w:tblLook w:val="01E0" w:firstRow="1" w:lastRow="1" w:firstColumn="1" w:lastColumn="1" w:noHBand="0" w:noVBand="0"/>
      </w:tblPr>
      <w:tblGrid>
        <w:gridCol w:w="1869"/>
        <w:gridCol w:w="6951"/>
      </w:tblGrid>
      <w:tr w:rsidR="004F7D0D" w:rsidRPr="004F7D0D" w:rsidTr="00C6026E">
        <w:trPr>
          <w:trHeight w:val="741"/>
        </w:trPr>
        <w:tc>
          <w:tcPr>
            <w:tcW w:w="1869" w:type="dxa"/>
          </w:tcPr>
          <w:p w:rsidR="00E92976" w:rsidRPr="004F7D0D" w:rsidRDefault="00E92976" w:rsidP="00E92976">
            <w:pPr>
              <w:pStyle w:val="TableUnitsRow"/>
              <w:jc w:val="left"/>
              <w:rPr>
                <w:b/>
              </w:rPr>
            </w:pPr>
            <w:r w:rsidRPr="004F7D0D">
              <w:rPr>
                <w:b/>
              </w:rPr>
              <w:t>Target/Outcome</w:t>
            </w:r>
          </w:p>
        </w:tc>
        <w:tc>
          <w:tcPr>
            <w:tcW w:w="6951" w:type="dxa"/>
          </w:tcPr>
          <w:p w:rsidR="00C6026E" w:rsidRPr="004F7D0D" w:rsidRDefault="00E92976" w:rsidP="001427B7">
            <w:pPr>
              <w:pStyle w:val="TableUnitsRow"/>
              <w:jc w:val="both"/>
            </w:pPr>
            <w:r w:rsidRPr="004F7D0D">
              <w:t>Maintaining or increasing vaccine coverage for Indigenous Australians</w:t>
            </w:r>
          </w:p>
        </w:tc>
      </w:tr>
      <w:tr w:rsidR="004F7D0D" w:rsidRPr="004F7D0D" w:rsidTr="00E92976">
        <w:trPr>
          <w:trHeight w:val="567"/>
        </w:trPr>
        <w:tc>
          <w:tcPr>
            <w:tcW w:w="1869" w:type="dxa"/>
          </w:tcPr>
          <w:p w:rsidR="00C6026E" w:rsidRPr="004F7D0D" w:rsidRDefault="00C6026E" w:rsidP="00C6026E">
            <w:pPr>
              <w:pStyle w:val="TableUnitsRow"/>
              <w:jc w:val="left"/>
              <w:rPr>
                <w:b/>
              </w:rPr>
            </w:pPr>
            <w:r w:rsidRPr="004F7D0D">
              <w:rPr>
                <w:b/>
              </w:rPr>
              <w:t>Measure (computation)</w:t>
            </w:r>
          </w:p>
        </w:tc>
        <w:tc>
          <w:tcPr>
            <w:tcW w:w="6951" w:type="dxa"/>
          </w:tcPr>
          <w:p w:rsidR="001427B7" w:rsidRPr="004F7D0D" w:rsidRDefault="001427B7" w:rsidP="00DD1446">
            <w:pPr>
              <w:pStyle w:val="TableBodyText"/>
              <w:jc w:val="both"/>
              <w:rPr>
                <w:rFonts w:cs="Arial"/>
                <w:szCs w:val="24"/>
              </w:rPr>
            </w:pPr>
            <w:r w:rsidRPr="004F7D0D">
              <w:rPr>
                <w:rFonts w:cs="Arial"/>
                <w:szCs w:val="24"/>
              </w:rPr>
              <w:t xml:space="preserve">The numerator is the number of Indigenous Australian children reported as fully immunised, as defined in the Australian Childhood Immunisation Register (ACIR) aged: 12≤ 15 months; 24 ≤ 27 months; and 60 ≤ 63 months. </w:t>
            </w:r>
          </w:p>
          <w:p w:rsidR="001427B7" w:rsidRPr="004F7D0D" w:rsidRDefault="001427B7" w:rsidP="00DD1446">
            <w:pPr>
              <w:pStyle w:val="TableBodyText"/>
              <w:jc w:val="both"/>
              <w:rPr>
                <w:rFonts w:cs="Arial"/>
                <w:szCs w:val="24"/>
              </w:rPr>
            </w:pPr>
            <w:r w:rsidRPr="004F7D0D">
              <w:rPr>
                <w:rFonts w:cs="Arial"/>
                <w:szCs w:val="24"/>
              </w:rPr>
              <w:t>The denominator is the number of Indigenous Australian children registered in ACIR aged: 12≤ 15 months; 24 ≤ 27 months; and 60 ≤ 63 months.</w:t>
            </w:r>
          </w:p>
          <w:p w:rsidR="001427B7" w:rsidRPr="004F7D0D" w:rsidRDefault="001427B7" w:rsidP="00DD1446">
            <w:pPr>
              <w:pStyle w:val="TableBodyText"/>
              <w:jc w:val="both"/>
              <w:rPr>
                <w:rFonts w:cs="Arial"/>
                <w:szCs w:val="24"/>
              </w:rPr>
            </w:pPr>
            <w:r w:rsidRPr="004F7D0D">
              <w:rPr>
                <w:rFonts w:cs="Arial"/>
                <w:szCs w:val="24"/>
              </w:rPr>
              <w:t>Calculation is 100 x (Numerator ÷ Denominator) calculated for each age cohort and presented as a rate per 100 children for each age cohort.</w:t>
            </w:r>
          </w:p>
          <w:p w:rsidR="00C6026E" w:rsidRPr="004F7D0D" w:rsidRDefault="001427B7" w:rsidP="00DD1446">
            <w:pPr>
              <w:pStyle w:val="TableBodyText"/>
              <w:jc w:val="both"/>
              <w:rPr>
                <w:rFonts w:cs="Arial"/>
                <w:szCs w:val="24"/>
              </w:rPr>
            </w:pPr>
            <w:r w:rsidRPr="004F7D0D">
              <w:rPr>
                <w:rFonts w:cs="Arial"/>
                <w:szCs w:val="24"/>
              </w:rPr>
              <w:t>The current year coverage rate is compared to a baseline which is the lowest coverage rate from the previous three years. If this establishes a baseline lower than the previous year’s baseline, then the higher baseline applies. For some jurisdictions the previous baseline was used.</w:t>
            </w:r>
          </w:p>
          <w:p w:rsidR="001427B7" w:rsidRPr="004F7D0D" w:rsidRDefault="001427B7" w:rsidP="00DD1446">
            <w:pPr>
              <w:pStyle w:val="TableBodyText"/>
              <w:jc w:val="both"/>
              <w:rPr>
                <w:rFonts w:cs="Arial"/>
                <w:szCs w:val="24"/>
              </w:rPr>
            </w:pPr>
          </w:p>
        </w:tc>
      </w:tr>
      <w:tr w:rsidR="004F7D0D" w:rsidRPr="004F7D0D" w:rsidTr="00E92976">
        <w:trPr>
          <w:trHeight w:val="567"/>
        </w:trPr>
        <w:tc>
          <w:tcPr>
            <w:tcW w:w="1869" w:type="dxa"/>
          </w:tcPr>
          <w:p w:rsidR="00DD1446" w:rsidRPr="004F7D0D" w:rsidRDefault="00DD1446" w:rsidP="00C6026E">
            <w:pPr>
              <w:pStyle w:val="TableUnitsRow"/>
              <w:jc w:val="left"/>
              <w:rPr>
                <w:b/>
              </w:rPr>
            </w:pPr>
            <w:r w:rsidRPr="004F7D0D">
              <w:rPr>
                <w:b/>
              </w:rPr>
              <w:t>Data source/s</w:t>
            </w:r>
          </w:p>
        </w:tc>
        <w:tc>
          <w:tcPr>
            <w:tcW w:w="6951" w:type="dxa"/>
          </w:tcPr>
          <w:p w:rsidR="00DD1446" w:rsidRPr="004F7D0D" w:rsidRDefault="00DD1446" w:rsidP="00DD1446">
            <w:pPr>
              <w:pStyle w:val="TableBodyText"/>
              <w:jc w:val="both"/>
              <w:rPr>
                <w:rFonts w:cs="Arial"/>
              </w:rPr>
            </w:pPr>
            <w:r w:rsidRPr="004F7D0D">
              <w:rPr>
                <w:rFonts w:cs="Arial"/>
              </w:rPr>
              <w:t>ACIR</w:t>
            </w:r>
          </w:p>
          <w:p w:rsidR="00DD1446" w:rsidRPr="004F7D0D" w:rsidRDefault="00DD1446" w:rsidP="00DD1446">
            <w:pPr>
              <w:pStyle w:val="TableBodyText"/>
              <w:jc w:val="both"/>
              <w:rPr>
                <w:rFonts w:cs="Arial"/>
                <w:szCs w:val="24"/>
              </w:rPr>
            </w:pPr>
          </w:p>
        </w:tc>
      </w:tr>
      <w:tr w:rsidR="004F7D0D" w:rsidRPr="004F7D0D" w:rsidTr="00E92976">
        <w:trPr>
          <w:trHeight w:val="567"/>
        </w:trPr>
        <w:tc>
          <w:tcPr>
            <w:tcW w:w="1869" w:type="dxa"/>
          </w:tcPr>
          <w:p w:rsidR="00DD1446" w:rsidRPr="004F7D0D" w:rsidRDefault="00DD1446" w:rsidP="00DD1446">
            <w:pPr>
              <w:pStyle w:val="TableUnitsRow"/>
              <w:jc w:val="left"/>
              <w:rPr>
                <w:b/>
              </w:rPr>
            </w:pPr>
            <w:r w:rsidRPr="004F7D0D">
              <w:rPr>
                <w:b/>
              </w:rPr>
              <w:t>Institutional environment</w:t>
            </w:r>
          </w:p>
        </w:tc>
        <w:tc>
          <w:tcPr>
            <w:tcW w:w="6951" w:type="dxa"/>
          </w:tcPr>
          <w:p w:rsidR="00DD1446" w:rsidRPr="004F7D0D" w:rsidRDefault="00DD1446" w:rsidP="00DD1446">
            <w:pPr>
              <w:pStyle w:val="TableBodyText"/>
              <w:jc w:val="both"/>
              <w:rPr>
                <w:rFonts w:cs="Arial"/>
              </w:rPr>
            </w:pPr>
            <w:r w:rsidRPr="004F7D0D">
              <w:rPr>
                <w:rFonts w:cs="Arial"/>
              </w:rPr>
              <w:t>The ACIR is administered and operated by the Department of Human Services (Medicare) for the Australian Government Department of Health and Ageing (DoHA). Medicare provides DoHA with quarterly coverage reports at the national and state level.</w:t>
            </w:r>
          </w:p>
          <w:p w:rsidR="00DD1446" w:rsidRPr="004F7D0D" w:rsidRDefault="00DD1446" w:rsidP="00DD1446">
            <w:pPr>
              <w:pStyle w:val="TableBodyText"/>
              <w:jc w:val="both"/>
              <w:rPr>
                <w:rFonts w:cs="Arial"/>
              </w:rPr>
            </w:pPr>
            <w:r w:rsidRPr="004F7D0D">
              <w:rPr>
                <w:rFonts w:cs="Arial"/>
              </w:rPr>
              <w:t>Immunisations are notified to Medicare by a range of immunisation providers including General Practitioners, Councils, Aboriginal Medical Services, State and Territory Health departments.</w:t>
            </w:r>
          </w:p>
          <w:p w:rsidR="00DD1446" w:rsidRPr="004F7D0D" w:rsidRDefault="00DD1446" w:rsidP="00DD1446">
            <w:pPr>
              <w:pStyle w:val="TableBodyText"/>
              <w:jc w:val="both"/>
              <w:rPr>
                <w:rFonts w:cs="Arial"/>
              </w:rPr>
            </w:pPr>
            <w:r w:rsidRPr="004F7D0D">
              <w:rPr>
                <w:rFonts w:cs="Arial"/>
              </w:rPr>
              <w:t>For information on the institutional environment of the ACIR, including the legislative obligations of the ACIR, financing and governance arrangements, and mechanisms for scrutiny of ACIR operations, please see http://</w:t>
            </w:r>
            <w:proofErr w:type="spellStart"/>
            <w:r w:rsidRPr="004F7D0D">
              <w:rPr>
                <w:rFonts w:cs="Arial"/>
              </w:rPr>
              <w:t>www.humanservices.gov.au</w:t>
            </w:r>
            <w:proofErr w:type="spellEnd"/>
            <w:r w:rsidRPr="004F7D0D">
              <w:rPr>
                <w:rFonts w:cs="Arial"/>
              </w:rPr>
              <w:t>/public/services/</w:t>
            </w:r>
            <w:proofErr w:type="spellStart"/>
            <w:r w:rsidRPr="004F7D0D">
              <w:rPr>
                <w:rFonts w:cs="Arial"/>
              </w:rPr>
              <w:t>acir</w:t>
            </w:r>
            <w:proofErr w:type="spellEnd"/>
            <w:r w:rsidRPr="004F7D0D">
              <w:rPr>
                <w:rFonts w:cs="Arial"/>
              </w:rPr>
              <w:t>/</w:t>
            </w:r>
            <w:proofErr w:type="spellStart"/>
            <w:r w:rsidRPr="004F7D0D">
              <w:rPr>
                <w:rFonts w:cs="Arial"/>
              </w:rPr>
              <w:t>index.jsp</w:t>
            </w:r>
            <w:proofErr w:type="spellEnd"/>
            <w:r w:rsidRPr="004F7D0D">
              <w:rPr>
                <w:rFonts w:cs="Arial"/>
              </w:rPr>
              <w:t>.</w:t>
            </w:r>
          </w:p>
          <w:p w:rsidR="00DD1446" w:rsidRPr="004F7D0D" w:rsidRDefault="00DD1446" w:rsidP="00DD1446">
            <w:pPr>
              <w:pStyle w:val="TableBodyText"/>
              <w:jc w:val="both"/>
              <w:rPr>
                <w:rFonts w:cs="Arial"/>
              </w:rPr>
            </w:pPr>
            <w:r w:rsidRPr="004F7D0D">
              <w:rPr>
                <w:rFonts w:cs="Arial"/>
              </w:rPr>
              <w:t xml:space="preserve">The tables for this indicator and data quality statement were prepared by DoHA  </w:t>
            </w:r>
          </w:p>
          <w:p w:rsidR="00DD1446" w:rsidRPr="004F7D0D" w:rsidRDefault="00DD1446" w:rsidP="00DD1446">
            <w:pPr>
              <w:pStyle w:val="TableBodyText"/>
              <w:jc w:val="both"/>
              <w:rPr>
                <w:rFonts w:cs="Arial"/>
              </w:rPr>
            </w:pPr>
          </w:p>
        </w:tc>
      </w:tr>
      <w:tr w:rsidR="004F7D0D" w:rsidRPr="004F7D0D" w:rsidTr="00E92976">
        <w:trPr>
          <w:trHeight w:val="567"/>
        </w:trPr>
        <w:tc>
          <w:tcPr>
            <w:tcW w:w="1869" w:type="dxa"/>
          </w:tcPr>
          <w:p w:rsidR="00DD1446" w:rsidRPr="004F7D0D" w:rsidRDefault="00DD1446" w:rsidP="00DD1446">
            <w:pPr>
              <w:pStyle w:val="TableBodyText"/>
              <w:jc w:val="left"/>
              <w:rPr>
                <w:b/>
              </w:rPr>
            </w:pPr>
            <w:r w:rsidRPr="004F7D0D">
              <w:rPr>
                <w:b/>
              </w:rPr>
              <w:t>Relevance</w:t>
            </w:r>
          </w:p>
          <w:p w:rsidR="00DD1446" w:rsidRPr="004F7D0D" w:rsidRDefault="00DD1446" w:rsidP="00DD1446">
            <w:pPr>
              <w:pStyle w:val="TableBodyText"/>
              <w:jc w:val="left"/>
              <w:rPr>
                <w:b/>
              </w:rPr>
            </w:pPr>
          </w:p>
        </w:tc>
        <w:tc>
          <w:tcPr>
            <w:tcW w:w="6951" w:type="dxa"/>
          </w:tcPr>
          <w:p w:rsidR="00DD1446" w:rsidRPr="004F7D0D" w:rsidRDefault="00DD1446" w:rsidP="00DD1446">
            <w:pPr>
              <w:pStyle w:val="TableBodyText"/>
              <w:jc w:val="both"/>
              <w:rPr>
                <w:rFonts w:cs="Arial"/>
              </w:rPr>
            </w:pPr>
            <w:r w:rsidRPr="004F7D0D">
              <w:rPr>
                <w:rFonts w:cs="Arial"/>
              </w:rPr>
              <w:t xml:space="preserve">The ACIR records details of vaccinations given to children under seven years of age who live in Australia.  Reporting for this performance benchmark is only for those children aged: 12≤ 15 months; 24 ≤ 27 months; and 60 ≤ 63 months. </w:t>
            </w:r>
          </w:p>
          <w:p w:rsidR="00DD1446" w:rsidRPr="004F7D0D" w:rsidRDefault="00DD1446" w:rsidP="00DD1446">
            <w:pPr>
              <w:pStyle w:val="TableBodyText"/>
              <w:jc w:val="both"/>
              <w:rPr>
                <w:rFonts w:cs="Arial"/>
              </w:rPr>
            </w:pPr>
            <w:r w:rsidRPr="004F7D0D">
              <w:rPr>
                <w:rFonts w:cs="Arial"/>
              </w:rPr>
              <w:t xml:space="preserve">Data has been reported using the ACIR definition of fully-immunised children; that is, children who have received all age appropriate immunisations for diphtheria, tetanus, pertussis, hepatitis B, poliomyelitis, </w:t>
            </w:r>
            <w:proofErr w:type="spellStart"/>
            <w:r w:rsidRPr="004F7D0D">
              <w:rPr>
                <w:rFonts w:cs="Arial"/>
              </w:rPr>
              <w:t>Haemophilus</w:t>
            </w:r>
            <w:proofErr w:type="spellEnd"/>
            <w:r w:rsidRPr="004F7D0D">
              <w:rPr>
                <w:rFonts w:cs="Arial"/>
              </w:rPr>
              <w:t xml:space="preserve"> </w:t>
            </w:r>
            <w:proofErr w:type="spellStart"/>
            <w:r w:rsidRPr="004F7D0D">
              <w:rPr>
                <w:rFonts w:cs="Arial"/>
              </w:rPr>
              <w:t>influenzae</w:t>
            </w:r>
            <w:proofErr w:type="spellEnd"/>
            <w:r w:rsidRPr="004F7D0D">
              <w:rPr>
                <w:rFonts w:cs="Arial"/>
              </w:rPr>
              <w:t xml:space="preserve"> type b, measles, mumps and rubella.  These are the vaccines which are required for a person to achieve fully immunised status as defined by A New Tax System (Family Assistance) Act 1999.</w:t>
            </w:r>
          </w:p>
          <w:p w:rsidR="00DD1446" w:rsidRPr="004F7D0D" w:rsidRDefault="00DD1446" w:rsidP="00DD1446">
            <w:pPr>
              <w:pStyle w:val="TableBodyText"/>
              <w:jc w:val="both"/>
              <w:rPr>
                <w:rFonts w:cs="Arial"/>
              </w:rPr>
            </w:pPr>
            <w:r w:rsidRPr="004F7D0D">
              <w:rPr>
                <w:rFonts w:cs="Arial"/>
              </w:rPr>
              <w:t>The analysis by state/territory is based on postcode of residence of the child as recorded on ACIR. As children may receive vaccinations in locations other than where they live, this data does not necessarily reflect the location in which services were received.</w:t>
            </w:r>
          </w:p>
          <w:p w:rsidR="00DD1446" w:rsidRPr="004F7D0D" w:rsidRDefault="00DD1446" w:rsidP="00DD1446">
            <w:pPr>
              <w:pStyle w:val="TableBodyText"/>
              <w:jc w:val="both"/>
              <w:rPr>
                <w:rFonts w:cs="Arial"/>
              </w:rPr>
            </w:pPr>
          </w:p>
        </w:tc>
      </w:tr>
      <w:tr w:rsidR="004F7D0D" w:rsidRPr="004F7D0D" w:rsidTr="00E92976">
        <w:trPr>
          <w:trHeight w:val="567"/>
        </w:trPr>
        <w:tc>
          <w:tcPr>
            <w:tcW w:w="1869" w:type="dxa"/>
          </w:tcPr>
          <w:p w:rsidR="00DD1446" w:rsidRPr="004F7D0D" w:rsidRDefault="00DD1446" w:rsidP="00DD1446">
            <w:pPr>
              <w:pStyle w:val="TableUnitsRow"/>
              <w:jc w:val="left"/>
              <w:rPr>
                <w:b/>
              </w:rPr>
            </w:pPr>
            <w:r w:rsidRPr="004F7D0D">
              <w:rPr>
                <w:b/>
              </w:rPr>
              <w:lastRenderedPageBreak/>
              <w:t>Timeliness</w:t>
            </w:r>
          </w:p>
          <w:p w:rsidR="00DD1446" w:rsidRPr="004F7D0D" w:rsidRDefault="00DD1446" w:rsidP="00DD1446">
            <w:pPr>
              <w:pStyle w:val="TableUnitsRow"/>
              <w:jc w:val="left"/>
              <w:rPr>
                <w:b/>
              </w:rPr>
            </w:pPr>
          </w:p>
        </w:tc>
        <w:tc>
          <w:tcPr>
            <w:tcW w:w="6951" w:type="dxa"/>
          </w:tcPr>
          <w:p w:rsidR="00DD1446" w:rsidRPr="004F7D0D" w:rsidRDefault="00DD1446" w:rsidP="00DD1446">
            <w:pPr>
              <w:pStyle w:val="TableBodyText"/>
              <w:jc w:val="both"/>
              <w:rPr>
                <w:rFonts w:cs="Arial"/>
              </w:rPr>
            </w:pPr>
            <w:r w:rsidRPr="004F7D0D">
              <w:rPr>
                <w:rFonts w:cs="Arial"/>
              </w:rPr>
              <w:t xml:space="preserve">The reference period is from 1 April 2012 to 31 March 2013. </w:t>
            </w:r>
          </w:p>
          <w:p w:rsidR="00DD1446" w:rsidRPr="004F7D0D" w:rsidRDefault="00DD1446" w:rsidP="00DD1446">
            <w:pPr>
              <w:pStyle w:val="TableBodyText"/>
              <w:jc w:val="both"/>
              <w:rPr>
                <w:rFonts w:cs="Arial"/>
              </w:rPr>
            </w:pPr>
            <w:r w:rsidRPr="004F7D0D">
              <w:rPr>
                <w:rFonts w:cs="Arial"/>
              </w:rPr>
              <w:t>ACIR data are reported quarterly. A minimum 3-month lag period is allowed for late notification of immunisations to ACIR.</w:t>
            </w:r>
          </w:p>
          <w:p w:rsidR="00DD1446" w:rsidRPr="004F7D0D" w:rsidRDefault="00DD1446" w:rsidP="00DD1446">
            <w:pPr>
              <w:pStyle w:val="TableBodyText"/>
              <w:jc w:val="both"/>
              <w:rPr>
                <w:rFonts w:cs="Arial"/>
              </w:rPr>
            </w:pPr>
          </w:p>
        </w:tc>
      </w:tr>
      <w:tr w:rsidR="004F7D0D" w:rsidRPr="004F7D0D" w:rsidTr="00E92976">
        <w:trPr>
          <w:trHeight w:val="567"/>
        </w:trPr>
        <w:tc>
          <w:tcPr>
            <w:tcW w:w="1869" w:type="dxa"/>
          </w:tcPr>
          <w:p w:rsidR="00DD1446" w:rsidRPr="004F7D0D" w:rsidRDefault="00DD1446" w:rsidP="00DD1446">
            <w:pPr>
              <w:pStyle w:val="TableUnitsRow"/>
              <w:jc w:val="left"/>
              <w:rPr>
                <w:b/>
              </w:rPr>
            </w:pPr>
            <w:r w:rsidRPr="004F7D0D">
              <w:rPr>
                <w:b/>
              </w:rPr>
              <w:t>Accuracy</w:t>
            </w:r>
          </w:p>
          <w:p w:rsidR="00DD1446" w:rsidRPr="004F7D0D" w:rsidRDefault="00DD1446" w:rsidP="00DD1446">
            <w:pPr>
              <w:pStyle w:val="TableUnitsRow"/>
              <w:jc w:val="left"/>
              <w:rPr>
                <w:b/>
              </w:rPr>
            </w:pPr>
          </w:p>
        </w:tc>
        <w:tc>
          <w:tcPr>
            <w:tcW w:w="6951" w:type="dxa"/>
          </w:tcPr>
          <w:p w:rsidR="00DD1446" w:rsidRPr="004F7D0D" w:rsidRDefault="00DD1446" w:rsidP="00DD1446">
            <w:pPr>
              <w:pStyle w:val="TableBodyText"/>
              <w:jc w:val="both"/>
              <w:rPr>
                <w:rFonts w:cs="Arial"/>
              </w:rPr>
            </w:pPr>
            <w:r w:rsidRPr="004F7D0D">
              <w:rPr>
                <w:rFonts w:cs="Arial"/>
              </w:rPr>
              <w:t xml:space="preserve">Vaccination coverage rates calculated using ACIR data are believed to underestimate actual vaccination rates because of under-reporting by immunisation providers. However, the extent of any under-reporting has not been estimated. </w:t>
            </w:r>
          </w:p>
          <w:p w:rsidR="00DD1446" w:rsidRPr="004F7D0D" w:rsidRDefault="00DD1446" w:rsidP="00DD1446">
            <w:pPr>
              <w:pStyle w:val="TableBodyText"/>
              <w:jc w:val="both"/>
              <w:rPr>
                <w:rFonts w:cs="Arial"/>
              </w:rPr>
            </w:pPr>
            <w:r w:rsidRPr="004F7D0D">
              <w:rPr>
                <w:rFonts w:cs="Arial"/>
              </w:rPr>
              <w:t>Programs, such as the General Practice Immunisation Incentive (</w:t>
            </w:r>
            <w:proofErr w:type="spellStart"/>
            <w:r w:rsidRPr="004F7D0D">
              <w:rPr>
                <w:rFonts w:cs="Arial"/>
              </w:rPr>
              <w:t>GPII</w:t>
            </w:r>
            <w:proofErr w:type="spellEnd"/>
            <w:r w:rsidRPr="004F7D0D">
              <w:rPr>
                <w:rFonts w:cs="Arial"/>
              </w:rPr>
              <w:t>), and provider incentive payments have helped minimise under-reporting by providing a financial incentive to report clean and accurate data.</w:t>
            </w:r>
          </w:p>
          <w:p w:rsidR="00DD1446" w:rsidRPr="004F7D0D" w:rsidRDefault="00DD1446" w:rsidP="00DD1446">
            <w:pPr>
              <w:pStyle w:val="TableBodyText"/>
              <w:jc w:val="both"/>
              <w:rPr>
                <w:rFonts w:cs="Arial"/>
              </w:rPr>
            </w:pPr>
            <w:r w:rsidRPr="004F7D0D">
              <w:rPr>
                <w:rFonts w:cs="Arial"/>
              </w:rPr>
              <w:t>The data contains minimal if any duplication of immunisations, as children are identified via their Medicare number. Approximately 99 per cent of children are registered with Medicare by 12 months of age.</w:t>
            </w:r>
          </w:p>
          <w:p w:rsidR="00DD1446" w:rsidRPr="004F7D0D" w:rsidRDefault="00DD1446" w:rsidP="00DD1446">
            <w:pPr>
              <w:pStyle w:val="TableBodyText"/>
              <w:jc w:val="both"/>
              <w:rPr>
                <w:rFonts w:cs="Arial"/>
              </w:rPr>
            </w:pPr>
            <w:r w:rsidRPr="004F7D0D">
              <w:rPr>
                <w:rFonts w:cs="Arial"/>
              </w:rPr>
              <w:t xml:space="preserve">The ACIR covers virtually all children, particularly because participation in the ACIR is via an ‘opt-out’ arrangement. Children enrolled in Medicare are automatically included on the ACIR. Children not enrolled in Medicare are included when an immunisation service provider sends details of an immunisation encounter to ACIR. </w:t>
            </w:r>
          </w:p>
          <w:p w:rsidR="00DD1446" w:rsidRPr="004F7D0D" w:rsidRDefault="00DD1446" w:rsidP="00DD1446">
            <w:pPr>
              <w:pStyle w:val="TableBodyText"/>
              <w:jc w:val="both"/>
              <w:rPr>
                <w:rFonts w:cs="Arial"/>
              </w:rPr>
            </w:pPr>
            <w:r w:rsidRPr="004F7D0D">
              <w:rPr>
                <w:rFonts w:cs="Arial"/>
              </w:rPr>
              <w:t>ACIR is considered to have high levels of Indigenous identification (estimated to be 95 per cent in 2005).</w:t>
            </w:r>
          </w:p>
          <w:p w:rsidR="00DD1446" w:rsidRPr="004F7D0D" w:rsidRDefault="00DD1446" w:rsidP="00DD1446">
            <w:pPr>
              <w:pStyle w:val="TableBodyText"/>
              <w:jc w:val="both"/>
              <w:rPr>
                <w:rFonts w:cs="Arial"/>
              </w:rPr>
            </w:pPr>
          </w:p>
        </w:tc>
      </w:tr>
      <w:tr w:rsidR="004F7D0D" w:rsidRPr="004F7D0D" w:rsidTr="00E92976">
        <w:trPr>
          <w:trHeight w:val="567"/>
        </w:trPr>
        <w:tc>
          <w:tcPr>
            <w:tcW w:w="1869" w:type="dxa"/>
          </w:tcPr>
          <w:p w:rsidR="00DD1446" w:rsidRPr="004F7D0D" w:rsidRDefault="00DD1446" w:rsidP="00DD1446">
            <w:pPr>
              <w:pStyle w:val="TableUnitsRow"/>
              <w:jc w:val="left"/>
              <w:rPr>
                <w:b/>
              </w:rPr>
            </w:pPr>
            <w:r w:rsidRPr="004F7D0D">
              <w:rPr>
                <w:b/>
              </w:rPr>
              <w:t>Coherence</w:t>
            </w:r>
          </w:p>
          <w:p w:rsidR="00DD1446" w:rsidRPr="004F7D0D" w:rsidRDefault="00DD1446" w:rsidP="00DD1446">
            <w:pPr>
              <w:pStyle w:val="TableUnitsRow"/>
              <w:jc w:val="left"/>
              <w:rPr>
                <w:b/>
              </w:rPr>
            </w:pPr>
          </w:p>
        </w:tc>
        <w:tc>
          <w:tcPr>
            <w:tcW w:w="6951" w:type="dxa"/>
          </w:tcPr>
          <w:p w:rsidR="00DD1446" w:rsidRPr="004F7D0D" w:rsidRDefault="00DD1446" w:rsidP="00DD1446">
            <w:pPr>
              <w:pStyle w:val="TableBodyText"/>
              <w:jc w:val="both"/>
              <w:rPr>
                <w:rFonts w:cs="Arial"/>
              </w:rPr>
            </w:pPr>
            <w:r w:rsidRPr="004F7D0D">
              <w:rPr>
                <w:rFonts w:cs="Arial"/>
              </w:rPr>
              <w:t>The numerators and denominators have been consistent since the inception of the ACIR in 1996</w:t>
            </w:r>
            <w:r w:rsidR="000C2E23" w:rsidRPr="004F7D0D">
              <w:rPr>
                <w:rFonts w:cs="Arial"/>
              </w:rPr>
              <w:t>.</w:t>
            </w:r>
          </w:p>
        </w:tc>
      </w:tr>
      <w:tr w:rsidR="004F7D0D" w:rsidRPr="004F7D0D" w:rsidTr="00E92976">
        <w:trPr>
          <w:trHeight w:val="567"/>
        </w:trPr>
        <w:tc>
          <w:tcPr>
            <w:tcW w:w="1869" w:type="dxa"/>
          </w:tcPr>
          <w:p w:rsidR="00DD1446" w:rsidRPr="004F7D0D" w:rsidRDefault="00DD1446" w:rsidP="00DD1446">
            <w:pPr>
              <w:pStyle w:val="TableBodyText"/>
              <w:jc w:val="left"/>
              <w:rPr>
                <w:b/>
              </w:rPr>
            </w:pPr>
            <w:r w:rsidRPr="004F7D0D">
              <w:rPr>
                <w:b/>
              </w:rPr>
              <w:t>Accessibility</w:t>
            </w:r>
          </w:p>
          <w:p w:rsidR="00DD1446" w:rsidRPr="004F7D0D" w:rsidRDefault="00DD1446" w:rsidP="00DD1446">
            <w:pPr>
              <w:pStyle w:val="TableBodyText"/>
              <w:jc w:val="left"/>
              <w:rPr>
                <w:b/>
              </w:rPr>
            </w:pPr>
          </w:p>
        </w:tc>
        <w:tc>
          <w:tcPr>
            <w:tcW w:w="6951" w:type="dxa"/>
          </w:tcPr>
          <w:p w:rsidR="00DD1446" w:rsidRPr="004F7D0D" w:rsidRDefault="00DD1446" w:rsidP="00DD1446">
            <w:pPr>
              <w:pStyle w:val="TableBodyText"/>
              <w:jc w:val="both"/>
              <w:rPr>
                <w:lang w:val="en"/>
              </w:rPr>
            </w:pPr>
            <w:r w:rsidRPr="004F7D0D">
              <w:rPr>
                <w:lang w:val="en"/>
              </w:rPr>
              <w:t>Information on coverage rates for Indigenous Australians is currently publicly accessible by Medicare Local catchment on the National Health Performance Authority (</w:t>
            </w:r>
            <w:proofErr w:type="spellStart"/>
            <w:r w:rsidRPr="004F7D0D">
              <w:rPr>
                <w:lang w:val="en"/>
              </w:rPr>
              <w:t>NHPA</w:t>
            </w:r>
            <w:proofErr w:type="spellEnd"/>
            <w:r w:rsidRPr="004F7D0D">
              <w:rPr>
                <w:lang w:val="en"/>
              </w:rPr>
              <w:t xml:space="preserve">) website </w:t>
            </w:r>
            <w:proofErr w:type="spellStart"/>
            <w:r w:rsidRPr="004F7D0D">
              <w:rPr>
                <w:lang w:val="en"/>
              </w:rPr>
              <w:t>www.nhpa.gov.au</w:t>
            </w:r>
            <w:proofErr w:type="spellEnd"/>
            <w:r w:rsidRPr="004F7D0D">
              <w:rPr>
                <w:lang w:val="en"/>
              </w:rPr>
              <w:t xml:space="preserve">. </w:t>
            </w:r>
          </w:p>
          <w:p w:rsidR="00DD1446" w:rsidRPr="004F7D0D" w:rsidRDefault="00DD1446" w:rsidP="00DD1446">
            <w:pPr>
              <w:pStyle w:val="TableBodyText"/>
              <w:jc w:val="both"/>
              <w:rPr>
                <w:lang w:val="en"/>
              </w:rPr>
            </w:pPr>
            <w:r w:rsidRPr="004F7D0D">
              <w:rPr>
                <w:lang w:val="en"/>
              </w:rPr>
              <w:t xml:space="preserve">Medicare publishes current immunisation coverage from the ACIR on its web site, </w:t>
            </w:r>
            <w:proofErr w:type="spellStart"/>
            <w:r w:rsidRPr="004F7D0D">
              <w:rPr>
                <w:lang w:val="en"/>
              </w:rPr>
              <w:t>www.humanservices.gov.au</w:t>
            </w:r>
            <w:proofErr w:type="spellEnd"/>
            <w:r w:rsidRPr="004F7D0D">
              <w:rPr>
                <w:lang w:val="en"/>
              </w:rPr>
              <w:t xml:space="preserve">. Authorised </w:t>
            </w:r>
            <w:proofErr w:type="spellStart"/>
            <w:r w:rsidRPr="004F7D0D">
              <w:rPr>
                <w:lang w:val="en"/>
              </w:rPr>
              <w:t>immunisation</w:t>
            </w:r>
            <w:proofErr w:type="spellEnd"/>
            <w:r w:rsidRPr="004F7D0D">
              <w:rPr>
                <w:lang w:val="en"/>
              </w:rPr>
              <w:t xml:space="preserve"> providers can access detailed reports via a secured area of the Medicare web site.</w:t>
            </w:r>
          </w:p>
          <w:p w:rsidR="00DD1446" w:rsidRPr="004F7D0D" w:rsidRDefault="00DD1446" w:rsidP="00DD1446">
            <w:pPr>
              <w:pStyle w:val="TableBodyText"/>
              <w:jc w:val="both"/>
              <w:rPr>
                <w:lang w:val="en"/>
              </w:rPr>
            </w:pPr>
            <w:r w:rsidRPr="004F7D0D">
              <w:rPr>
                <w:lang w:val="en"/>
              </w:rPr>
              <w:t xml:space="preserve">Immunisation coverage data derived from the ACIR have been reported in Communicable Disease Intelligence since early 1998. Data for 3 key milestone ages (12 months, 24 months and 5 years (6 years prior to 2008)), nationally and by jurisdiction are published quarterly. </w:t>
            </w:r>
            <w:proofErr w:type="spellStart"/>
            <w:r w:rsidRPr="004F7D0D">
              <w:rPr>
                <w:lang w:val="en"/>
              </w:rPr>
              <w:t>NHPA</w:t>
            </w:r>
            <w:proofErr w:type="spellEnd"/>
            <w:r w:rsidRPr="004F7D0D">
              <w:rPr>
                <w:lang w:val="en"/>
              </w:rPr>
              <w:t xml:space="preserve"> has published </w:t>
            </w:r>
            <w:proofErr w:type="spellStart"/>
            <w:r w:rsidRPr="004F7D0D">
              <w:rPr>
                <w:lang w:val="en"/>
              </w:rPr>
              <w:t>immunisation</w:t>
            </w:r>
            <w:proofErr w:type="spellEnd"/>
            <w:r w:rsidRPr="004F7D0D">
              <w:rPr>
                <w:lang w:val="en"/>
              </w:rPr>
              <w:t xml:space="preserve"> coverage for 2011-2012 from derived ACIR data for the 3 key milestone ages at the Medicare Local Statistical Area 3 and postcode catchments.</w:t>
            </w:r>
          </w:p>
          <w:p w:rsidR="00DD1446" w:rsidRPr="004F7D0D" w:rsidRDefault="00DD1446" w:rsidP="00DD1446">
            <w:pPr>
              <w:pStyle w:val="TableBodyText"/>
              <w:jc w:val="both"/>
              <w:rPr>
                <w:lang w:val="en"/>
              </w:rPr>
            </w:pPr>
          </w:p>
        </w:tc>
      </w:tr>
      <w:tr w:rsidR="004F7D0D" w:rsidRPr="004F7D0D" w:rsidTr="00E92976">
        <w:trPr>
          <w:trHeight w:val="567"/>
        </w:trPr>
        <w:tc>
          <w:tcPr>
            <w:tcW w:w="1869" w:type="dxa"/>
          </w:tcPr>
          <w:p w:rsidR="00DD1446" w:rsidRPr="004F7D0D" w:rsidRDefault="00DD1446" w:rsidP="00DD1446">
            <w:pPr>
              <w:pStyle w:val="TableBodyText"/>
              <w:rPr>
                <w:b/>
              </w:rPr>
            </w:pPr>
            <w:r w:rsidRPr="004F7D0D">
              <w:rPr>
                <w:b/>
              </w:rPr>
              <w:t>Interpretability</w:t>
            </w:r>
          </w:p>
        </w:tc>
        <w:tc>
          <w:tcPr>
            <w:tcW w:w="6951" w:type="dxa"/>
          </w:tcPr>
          <w:p w:rsidR="00DD1446" w:rsidRPr="004F7D0D" w:rsidRDefault="00DD1446" w:rsidP="00DD1446">
            <w:pPr>
              <w:pStyle w:val="TableBodyText"/>
              <w:jc w:val="both"/>
              <w:rPr>
                <w:rFonts w:cs="Arial"/>
              </w:rPr>
            </w:pPr>
            <w:r w:rsidRPr="004F7D0D">
              <w:rPr>
                <w:rFonts w:cs="Arial"/>
              </w:rPr>
              <w:t>Further information on the ACIR can be found at: http://</w:t>
            </w:r>
            <w:proofErr w:type="spellStart"/>
            <w:r w:rsidRPr="004F7D0D">
              <w:rPr>
                <w:rFonts w:cs="Arial"/>
              </w:rPr>
              <w:t>www.humanservices.gov.au</w:t>
            </w:r>
            <w:proofErr w:type="spellEnd"/>
            <w:r w:rsidRPr="004F7D0D">
              <w:rPr>
                <w:rFonts w:cs="Arial"/>
              </w:rPr>
              <w:t>/public/services/</w:t>
            </w:r>
            <w:proofErr w:type="spellStart"/>
            <w:r w:rsidRPr="004F7D0D">
              <w:rPr>
                <w:rFonts w:cs="Arial"/>
              </w:rPr>
              <w:t>acir</w:t>
            </w:r>
            <w:proofErr w:type="spellEnd"/>
            <w:r w:rsidRPr="004F7D0D">
              <w:rPr>
                <w:rFonts w:cs="Arial"/>
              </w:rPr>
              <w:t>/</w:t>
            </w:r>
            <w:proofErr w:type="spellStart"/>
            <w:r w:rsidRPr="004F7D0D">
              <w:rPr>
                <w:rFonts w:cs="Arial"/>
              </w:rPr>
              <w:t>index.jsp</w:t>
            </w:r>
            <w:proofErr w:type="spellEnd"/>
          </w:p>
          <w:p w:rsidR="00DD1446" w:rsidRPr="004F7D0D" w:rsidRDefault="00DD1446" w:rsidP="00DD1446">
            <w:pPr>
              <w:pStyle w:val="TableBodyText"/>
              <w:jc w:val="both"/>
              <w:rPr>
                <w:rFonts w:cs="Arial"/>
              </w:rPr>
            </w:pPr>
            <w:r w:rsidRPr="004F7D0D">
              <w:rPr>
                <w:rFonts w:cs="Arial"/>
              </w:rPr>
              <w:t>Information on the National Immunisation Program and vaccinations can be found at http://</w:t>
            </w:r>
            <w:proofErr w:type="spellStart"/>
            <w:r w:rsidRPr="004F7D0D">
              <w:rPr>
                <w:rFonts w:cs="Arial"/>
              </w:rPr>
              <w:t>www.immunise.health.gov.au</w:t>
            </w:r>
            <w:proofErr w:type="spellEnd"/>
            <w:r w:rsidRPr="004F7D0D">
              <w:rPr>
                <w:rFonts w:cs="Arial"/>
              </w:rPr>
              <w:t>/</w:t>
            </w:r>
          </w:p>
        </w:tc>
      </w:tr>
    </w:tbl>
    <w:p w:rsidR="00E92976" w:rsidRPr="004F7D0D" w:rsidRDefault="00E92976" w:rsidP="00F71BC3">
      <w:pPr>
        <w:pStyle w:val="Heading3"/>
        <w:spacing w:after="480"/>
      </w:pPr>
      <w:r w:rsidRPr="004F7D0D">
        <w:br w:type="page"/>
      </w:r>
      <w:bookmarkStart w:id="22" w:name="_Ref287347522"/>
      <w:r w:rsidRPr="004F7D0D">
        <w:lastRenderedPageBreak/>
        <w:t>Data quality statement —</w:t>
      </w:r>
      <w:r w:rsidR="000C32DD" w:rsidRPr="004F7D0D">
        <w:t xml:space="preserve"> </w:t>
      </w:r>
      <w:r w:rsidRPr="004F7D0D">
        <w:t>Performance benchmark 2: Maintaining or increasing coverage in agreed areas of low immunisation coverage.</w:t>
      </w:r>
      <w:bookmarkEnd w:id="22"/>
    </w:p>
    <w:tbl>
      <w:tblPr>
        <w:tblW w:w="8818" w:type="dxa"/>
        <w:tblInd w:w="108" w:type="dxa"/>
        <w:tblLayout w:type="fixed"/>
        <w:tblLook w:val="01E0" w:firstRow="1" w:lastRow="1" w:firstColumn="1" w:lastColumn="1" w:noHBand="0" w:noVBand="0"/>
      </w:tblPr>
      <w:tblGrid>
        <w:gridCol w:w="1980"/>
        <w:gridCol w:w="6838"/>
      </w:tblGrid>
      <w:tr w:rsidR="004F7D0D" w:rsidRPr="004F7D0D" w:rsidTr="00DD1446">
        <w:trPr>
          <w:trHeight w:val="741"/>
        </w:trPr>
        <w:tc>
          <w:tcPr>
            <w:tcW w:w="1980" w:type="dxa"/>
          </w:tcPr>
          <w:p w:rsidR="00E92976" w:rsidRPr="004F7D0D" w:rsidRDefault="00E92976" w:rsidP="00E45D61">
            <w:pPr>
              <w:pStyle w:val="TableUnitsRow"/>
              <w:jc w:val="left"/>
              <w:rPr>
                <w:b/>
              </w:rPr>
            </w:pPr>
            <w:r w:rsidRPr="004F7D0D">
              <w:rPr>
                <w:b/>
              </w:rPr>
              <w:t>Target/Outcome</w:t>
            </w:r>
          </w:p>
        </w:tc>
        <w:tc>
          <w:tcPr>
            <w:tcW w:w="6838" w:type="dxa"/>
          </w:tcPr>
          <w:p w:rsidR="00E92976" w:rsidRPr="004F7D0D" w:rsidRDefault="00E92976" w:rsidP="001427B7">
            <w:pPr>
              <w:pStyle w:val="TableUnitsRow"/>
              <w:jc w:val="both"/>
            </w:pPr>
            <w:r w:rsidRPr="004F7D0D">
              <w:t>Maintaining or increasing coverage in agreed areas of low immunisation coverage.</w:t>
            </w:r>
          </w:p>
        </w:tc>
      </w:tr>
      <w:tr w:rsidR="004F7D0D" w:rsidRPr="004F7D0D" w:rsidTr="00DD1446">
        <w:trPr>
          <w:trHeight w:val="567"/>
        </w:trPr>
        <w:tc>
          <w:tcPr>
            <w:tcW w:w="1980" w:type="dxa"/>
          </w:tcPr>
          <w:p w:rsidR="00117F55" w:rsidRPr="004F7D0D" w:rsidRDefault="00117F55" w:rsidP="00E45D61">
            <w:pPr>
              <w:pStyle w:val="TableBodyText"/>
              <w:jc w:val="left"/>
              <w:rPr>
                <w:b/>
                <w:bCs/>
              </w:rPr>
            </w:pPr>
            <w:r w:rsidRPr="004F7D0D">
              <w:rPr>
                <w:b/>
                <w:bCs/>
              </w:rPr>
              <w:t>Measure (computation)</w:t>
            </w:r>
          </w:p>
        </w:tc>
        <w:tc>
          <w:tcPr>
            <w:tcW w:w="6838" w:type="dxa"/>
          </w:tcPr>
          <w:p w:rsidR="001427B7" w:rsidRPr="004F7D0D" w:rsidRDefault="001427B7" w:rsidP="001427B7">
            <w:pPr>
              <w:pStyle w:val="TableBodyText"/>
              <w:framePr w:w="2155" w:hSpace="227" w:vSpace="181" w:wrap="around" w:vAnchor="text" w:hAnchor="page" w:xAlign="outside" w:y="1"/>
              <w:jc w:val="both"/>
              <w:rPr>
                <w:rFonts w:cs="Arial"/>
              </w:rPr>
            </w:pPr>
            <w:r w:rsidRPr="004F7D0D">
              <w:rPr>
                <w:rFonts w:cs="Arial"/>
              </w:rPr>
              <w:t xml:space="preserve">The numerator is the number of Australian children resident in an area of low immunisation coverage reported as fully immunised in ACIR at: </w:t>
            </w:r>
          </w:p>
          <w:p w:rsidR="001427B7" w:rsidRPr="004F7D0D" w:rsidRDefault="001427B7" w:rsidP="00842EA5">
            <w:pPr>
              <w:pStyle w:val="TableBodyText"/>
              <w:jc w:val="both"/>
              <w:rPr>
                <w:rFonts w:cs="Arial"/>
              </w:rPr>
            </w:pPr>
            <w:r w:rsidRPr="004F7D0D">
              <w:rPr>
                <w:rFonts w:cs="Arial"/>
              </w:rPr>
              <w:t>12 ≤ 15 months; and 60 ≤ 63 months.</w:t>
            </w:r>
          </w:p>
          <w:p w:rsidR="001427B7" w:rsidRPr="004F7D0D" w:rsidRDefault="001427B7" w:rsidP="00233EE3">
            <w:pPr>
              <w:pStyle w:val="TableBodyText"/>
              <w:jc w:val="both"/>
              <w:rPr>
                <w:rFonts w:cs="Arial"/>
              </w:rPr>
            </w:pPr>
            <w:r w:rsidRPr="004F7D0D">
              <w:rPr>
                <w:rFonts w:cs="Arial"/>
              </w:rPr>
              <w:t>The denominator is the total number of Australian children resident in an area of low immunisation coverage as registered in ACIR aged: 12 ≤ 15 months; and 60 ≤ 63 months.</w:t>
            </w:r>
          </w:p>
          <w:p w:rsidR="001427B7" w:rsidRPr="004F7D0D" w:rsidRDefault="001427B7" w:rsidP="007A6CD9">
            <w:pPr>
              <w:pStyle w:val="TableBodyText"/>
              <w:jc w:val="both"/>
              <w:rPr>
                <w:rFonts w:cs="Arial"/>
              </w:rPr>
            </w:pPr>
            <w:r w:rsidRPr="004F7D0D">
              <w:rPr>
                <w:rFonts w:cs="Arial"/>
              </w:rPr>
              <w:t>Calculation is 100 x (Numerator ÷ Denominator) calculated for each age cohort and presented as a rate per 100 children for each age cohort.</w:t>
            </w:r>
          </w:p>
          <w:p w:rsidR="00117F55" w:rsidRPr="004F7D0D" w:rsidRDefault="001427B7" w:rsidP="00532AA5">
            <w:pPr>
              <w:pStyle w:val="TableBodyText"/>
              <w:jc w:val="both"/>
              <w:rPr>
                <w:rFonts w:cs="Arial"/>
              </w:rPr>
            </w:pPr>
            <w:r w:rsidRPr="004F7D0D">
              <w:rPr>
                <w:rFonts w:cs="Arial"/>
              </w:rPr>
              <w:t>The current year coverage rate is compared to the previous year coverage rate</w:t>
            </w:r>
          </w:p>
          <w:p w:rsidR="00842EA5" w:rsidRPr="004F7D0D" w:rsidRDefault="00842EA5" w:rsidP="00532AA5">
            <w:pPr>
              <w:pStyle w:val="TableBodyText"/>
              <w:jc w:val="both"/>
              <w:rPr>
                <w:rFonts w:cs="Arial"/>
              </w:rPr>
            </w:pPr>
          </w:p>
        </w:tc>
      </w:tr>
      <w:tr w:rsidR="004F7D0D" w:rsidRPr="004F7D0D" w:rsidTr="00DD1446">
        <w:trPr>
          <w:trHeight w:val="567"/>
        </w:trPr>
        <w:tc>
          <w:tcPr>
            <w:tcW w:w="1980" w:type="dxa"/>
          </w:tcPr>
          <w:p w:rsidR="00DD1446" w:rsidRPr="004F7D0D" w:rsidRDefault="00DD1446" w:rsidP="00DD1446">
            <w:pPr>
              <w:pStyle w:val="TableBodyText"/>
              <w:jc w:val="left"/>
              <w:rPr>
                <w:b/>
                <w:bCs/>
              </w:rPr>
            </w:pPr>
            <w:r w:rsidRPr="004F7D0D">
              <w:rPr>
                <w:b/>
                <w:bCs/>
              </w:rPr>
              <w:t>Data source/s</w:t>
            </w:r>
          </w:p>
        </w:tc>
        <w:tc>
          <w:tcPr>
            <w:tcW w:w="6838" w:type="dxa"/>
          </w:tcPr>
          <w:p w:rsidR="00DD1446" w:rsidRPr="004F7D0D" w:rsidRDefault="00DD1446" w:rsidP="00DD1446">
            <w:pPr>
              <w:pStyle w:val="TableBodyText"/>
              <w:jc w:val="both"/>
              <w:rPr>
                <w:rFonts w:cs="Arial"/>
              </w:rPr>
            </w:pPr>
            <w:r w:rsidRPr="004F7D0D">
              <w:rPr>
                <w:rFonts w:cs="Arial"/>
              </w:rPr>
              <w:t>ACIR</w:t>
            </w:r>
          </w:p>
        </w:tc>
      </w:tr>
      <w:tr w:rsidR="004F7D0D" w:rsidRPr="004F7D0D" w:rsidTr="00DD1446">
        <w:trPr>
          <w:trHeight w:val="567"/>
        </w:trPr>
        <w:tc>
          <w:tcPr>
            <w:tcW w:w="1980" w:type="dxa"/>
          </w:tcPr>
          <w:p w:rsidR="00DD1446" w:rsidRPr="004F7D0D" w:rsidRDefault="00DD1446" w:rsidP="00DD1446">
            <w:pPr>
              <w:pStyle w:val="TableBodyText"/>
              <w:jc w:val="left"/>
              <w:rPr>
                <w:b/>
                <w:bCs/>
              </w:rPr>
            </w:pPr>
            <w:r w:rsidRPr="004F7D0D">
              <w:rPr>
                <w:b/>
                <w:bCs/>
              </w:rPr>
              <w:t>Institutional environment</w:t>
            </w:r>
          </w:p>
        </w:tc>
        <w:tc>
          <w:tcPr>
            <w:tcW w:w="6838" w:type="dxa"/>
          </w:tcPr>
          <w:p w:rsidR="00DD1446" w:rsidRPr="004F7D0D" w:rsidRDefault="00DD1446" w:rsidP="00DD1446">
            <w:pPr>
              <w:pStyle w:val="TableBodyText"/>
              <w:jc w:val="both"/>
              <w:rPr>
                <w:rFonts w:cs="Arial"/>
                <w:szCs w:val="24"/>
              </w:rPr>
            </w:pPr>
            <w:r w:rsidRPr="004F7D0D">
              <w:rPr>
                <w:rFonts w:cs="Arial"/>
                <w:szCs w:val="24"/>
              </w:rPr>
              <w:t>The ACIR is administered and operated by the Department of Human Services (Medicare) for the Australian Government Department of Health and Ageing (DoHA). Medicare provides DoHA with quarterly coverage reports at the national and state level.</w:t>
            </w:r>
          </w:p>
          <w:p w:rsidR="00DD1446" w:rsidRPr="004F7D0D" w:rsidRDefault="00DD1446" w:rsidP="00DD1446">
            <w:pPr>
              <w:pStyle w:val="TableBodyText"/>
              <w:jc w:val="both"/>
              <w:rPr>
                <w:rFonts w:cs="Arial"/>
                <w:szCs w:val="24"/>
              </w:rPr>
            </w:pPr>
            <w:r w:rsidRPr="004F7D0D">
              <w:rPr>
                <w:rFonts w:cs="Arial"/>
                <w:szCs w:val="24"/>
              </w:rPr>
              <w:t>Immunisations are notified to Medicare by a range of immunisation providers including General Practitioners, Councils, Aboriginal Medical Services, State and Territory Health departments.</w:t>
            </w:r>
          </w:p>
          <w:p w:rsidR="00DD1446" w:rsidRPr="004F7D0D" w:rsidRDefault="00DD1446" w:rsidP="00DD1446">
            <w:pPr>
              <w:pStyle w:val="TableBodyText"/>
              <w:jc w:val="both"/>
              <w:rPr>
                <w:rFonts w:cs="Arial"/>
                <w:szCs w:val="24"/>
              </w:rPr>
            </w:pPr>
            <w:r w:rsidRPr="004F7D0D">
              <w:rPr>
                <w:rFonts w:cs="Arial"/>
                <w:szCs w:val="24"/>
              </w:rPr>
              <w:t>For information on the institutional environment of the ACIR, including the legislative obligations of the ACIR, financing and governance arrangements, and mechanisms for scrutiny of ACIR operations, please see http://</w:t>
            </w:r>
            <w:proofErr w:type="spellStart"/>
            <w:r w:rsidRPr="004F7D0D">
              <w:rPr>
                <w:rFonts w:cs="Arial"/>
                <w:szCs w:val="24"/>
              </w:rPr>
              <w:t>www.humanservices.gov.au</w:t>
            </w:r>
            <w:proofErr w:type="spellEnd"/>
            <w:r w:rsidRPr="004F7D0D">
              <w:rPr>
                <w:rFonts w:cs="Arial"/>
                <w:szCs w:val="24"/>
              </w:rPr>
              <w:t>/public/services/</w:t>
            </w:r>
            <w:proofErr w:type="spellStart"/>
            <w:r w:rsidRPr="004F7D0D">
              <w:rPr>
                <w:rFonts w:cs="Arial"/>
                <w:szCs w:val="24"/>
              </w:rPr>
              <w:t>acir</w:t>
            </w:r>
            <w:proofErr w:type="spellEnd"/>
            <w:r w:rsidRPr="004F7D0D">
              <w:rPr>
                <w:rFonts w:cs="Arial"/>
                <w:szCs w:val="24"/>
              </w:rPr>
              <w:t>/</w:t>
            </w:r>
            <w:proofErr w:type="spellStart"/>
            <w:r w:rsidRPr="004F7D0D">
              <w:rPr>
                <w:rFonts w:cs="Arial"/>
                <w:szCs w:val="24"/>
              </w:rPr>
              <w:t>index.jsp</w:t>
            </w:r>
            <w:proofErr w:type="spellEnd"/>
            <w:r w:rsidRPr="004F7D0D">
              <w:rPr>
                <w:rFonts w:cs="Arial"/>
                <w:szCs w:val="24"/>
              </w:rPr>
              <w:t>.</w:t>
            </w:r>
          </w:p>
          <w:p w:rsidR="00DD1446" w:rsidRPr="004F7D0D" w:rsidRDefault="00DD1446" w:rsidP="00DD1446">
            <w:pPr>
              <w:pStyle w:val="TableBodyText"/>
              <w:jc w:val="both"/>
              <w:rPr>
                <w:rFonts w:cs="Arial"/>
                <w:szCs w:val="24"/>
              </w:rPr>
            </w:pPr>
            <w:r w:rsidRPr="004F7D0D">
              <w:rPr>
                <w:rFonts w:cs="Arial"/>
                <w:szCs w:val="24"/>
              </w:rPr>
              <w:t>The tables for this indicator and data quality statement were prepared by DoHA.</w:t>
            </w:r>
          </w:p>
          <w:p w:rsidR="00DD1446" w:rsidRPr="004F7D0D" w:rsidRDefault="00DD1446" w:rsidP="00DD1446">
            <w:pPr>
              <w:pStyle w:val="TableBodyText"/>
              <w:jc w:val="both"/>
              <w:rPr>
                <w:rFonts w:cs="Arial"/>
                <w:szCs w:val="24"/>
              </w:rPr>
            </w:pPr>
          </w:p>
        </w:tc>
      </w:tr>
      <w:tr w:rsidR="004F7D0D" w:rsidRPr="004F7D0D" w:rsidTr="00DD1446">
        <w:trPr>
          <w:trHeight w:val="567"/>
        </w:trPr>
        <w:tc>
          <w:tcPr>
            <w:tcW w:w="1980" w:type="dxa"/>
          </w:tcPr>
          <w:p w:rsidR="00DD1446" w:rsidRPr="004F7D0D" w:rsidRDefault="00DD1446" w:rsidP="00DD1446">
            <w:pPr>
              <w:pStyle w:val="TableBodyText"/>
              <w:jc w:val="left"/>
              <w:rPr>
                <w:b/>
                <w:bCs/>
              </w:rPr>
            </w:pPr>
            <w:r w:rsidRPr="004F7D0D">
              <w:rPr>
                <w:b/>
                <w:bCs/>
              </w:rPr>
              <w:t>Relevance</w:t>
            </w:r>
          </w:p>
          <w:p w:rsidR="00DD1446" w:rsidRPr="004F7D0D" w:rsidRDefault="00DD1446" w:rsidP="00DD1446">
            <w:pPr>
              <w:pStyle w:val="TableBodyText"/>
              <w:jc w:val="left"/>
              <w:rPr>
                <w:b/>
                <w:bCs/>
              </w:rPr>
            </w:pPr>
          </w:p>
        </w:tc>
        <w:tc>
          <w:tcPr>
            <w:tcW w:w="6838" w:type="dxa"/>
          </w:tcPr>
          <w:p w:rsidR="00DD1446" w:rsidRPr="004F7D0D" w:rsidRDefault="00DD1446" w:rsidP="00DD1446">
            <w:pPr>
              <w:pStyle w:val="TableBodyText"/>
              <w:jc w:val="both"/>
              <w:rPr>
                <w:rFonts w:cs="Arial"/>
              </w:rPr>
            </w:pPr>
            <w:r w:rsidRPr="004F7D0D">
              <w:rPr>
                <w:rFonts w:cs="Arial"/>
              </w:rPr>
              <w:t>The ACIR records details of vaccinations given to children under seven years of age who live in Australia. Reporting for this performance benchmark is only for those children aged: 12 ≤ 15 months; and 60 ≤ 63 months.</w:t>
            </w:r>
          </w:p>
          <w:p w:rsidR="00DD1446" w:rsidRPr="004F7D0D" w:rsidRDefault="00DD1446" w:rsidP="00DD1446">
            <w:pPr>
              <w:pStyle w:val="TableBodyText"/>
              <w:jc w:val="both"/>
              <w:rPr>
                <w:rFonts w:cs="Arial"/>
              </w:rPr>
            </w:pPr>
            <w:r w:rsidRPr="004F7D0D">
              <w:rPr>
                <w:rFonts w:cs="Arial"/>
              </w:rPr>
              <w:t xml:space="preserve">Data has been reported using the ACIR definition of fully-immunised children; that is, children who have received all age appropriate immunisations for diphtheria, tetanus, pertussis, hepatitis B, poliomyelitis, </w:t>
            </w:r>
            <w:proofErr w:type="spellStart"/>
            <w:r w:rsidRPr="004F7D0D">
              <w:rPr>
                <w:rFonts w:cs="Arial"/>
              </w:rPr>
              <w:t>haemophilus</w:t>
            </w:r>
            <w:proofErr w:type="spellEnd"/>
            <w:r w:rsidRPr="004F7D0D">
              <w:rPr>
                <w:rFonts w:cs="Arial"/>
              </w:rPr>
              <w:t xml:space="preserve"> </w:t>
            </w:r>
            <w:proofErr w:type="spellStart"/>
            <w:r w:rsidRPr="004F7D0D">
              <w:rPr>
                <w:rFonts w:cs="Arial"/>
              </w:rPr>
              <w:t>influenzae</w:t>
            </w:r>
            <w:proofErr w:type="spellEnd"/>
            <w:r w:rsidRPr="004F7D0D">
              <w:rPr>
                <w:rFonts w:cs="Arial"/>
              </w:rPr>
              <w:t xml:space="preserve"> type B, measles, mumps and rubella.  These are the vaccines which are required for a person to achieve fully immunised status as defined by A New Tax System (Family Assistance) Act 1999.</w:t>
            </w:r>
          </w:p>
          <w:p w:rsidR="00DD1446" w:rsidRPr="004F7D0D" w:rsidRDefault="00DD1446" w:rsidP="00DD1446">
            <w:pPr>
              <w:pStyle w:val="TableBodyText"/>
              <w:jc w:val="both"/>
              <w:rPr>
                <w:rFonts w:cs="Arial"/>
              </w:rPr>
            </w:pPr>
            <w:r w:rsidRPr="004F7D0D">
              <w:rPr>
                <w:rFonts w:cs="Arial"/>
              </w:rPr>
              <w:t>The analyses by state/territory and Local Government Area are based on postcode of residence of the child as recorded on ACIR. As children may receive vaccinations in locations other than where they live, this data does not necessarily reflect the location in which services were received.</w:t>
            </w:r>
          </w:p>
          <w:p w:rsidR="00DD1446" w:rsidRPr="004F7D0D" w:rsidRDefault="00DD1446" w:rsidP="00DD1446">
            <w:pPr>
              <w:pStyle w:val="TableBodyText"/>
              <w:jc w:val="both"/>
              <w:rPr>
                <w:rFonts w:cs="Arial"/>
              </w:rPr>
            </w:pPr>
          </w:p>
        </w:tc>
      </w:tr>
      <w:tr w:rsidR="004F7D0D" w:rsidRPr="004F7D0D" w:rsidTr="00DD1446">
        <w:trPr>
          <w:trHeight w:val="567"/>
        </w:trPr>
        <w:tc>
          <w:tcPr>
            <w:tcW w:w="1980" w:type="dxa"/>
          </w:tcPr>
          <w:p w:rsidR="00DD1446" w:rsidRPr="004F7D0D" w:rsidRDefault="00DD1446" w:rsidP="00DD1446">
            <w:pPr>
              <w:pStyle w:val="TableBodyText"/>
              <w:jc w:val="left"/>
              <w:rPr>
                <w:b/>
                <w:bCs/>
              </w:rPr>
            </w:pPr>
            <w:r w:rsidRPr="004F7D0D">
              <w:rPr>
                <w:b/>
                <w:bCs/>
              </w:rPr>
              <w:lastRenderedPageBreak/>
              <w:t>Timeliness</w:t>
            </w:r>
          </w:p>
          <w:p w:rsidR="00DD1446" w:rsidRPr="004F7D0D" w:rsidRDefault="00DD1446" w:rsidP="00DD1446">
            <w:pPr>
              <w:pStyle w:val="TableBodyText"/>
              <w:jc w:val="left"/>
              <w:rPr>
                <w:b/>
                <w:bCs/>
              </w:rPr>
            </w:pPr>
          </w:p>
        </w:tc>
        <w:tc>
          <w:tcPr>
            <w:tcW w:w="6838" w:type="dxa"/>
          </w:tcPr>
          <w:p w:rsidR="00DD1446" w:rsidRPr="004F7D0D" w:rsidRDefault="00DD1446" w:rsidP="00DD1446">
            <w:pPr>
              <w:pStyle w:val="TableBodyText"/>
              <w:jc w:val="both"/>
              <w:rPr>
                <w:rFonts w:cs="Arial"/>
              </w:rPr>
            </w:pPr>
            <w:r w:rsidRPr="004F7D0D">
              <w:rPr>
                <w:rFonts w:cs="Arial"/>
              </w:rPr>
              <w:t xml:space="preserve">The reference period is from 1 April 2012 to 31 March 2013. </w:t>
            </w:r>
          </w:p>
          <w:p w:rsidR="00DD1446" w:rsidRPr="004F7D0D" w:rsidRDefault="00DD1446" w:rsidP="00DD1446">
            <w:pPr>
              <w:pStyle w:val="TableBodyText"/>
              <w:jc w:val="both"/>
              <w:rPr>
                <w:rFonts w:cs="Arial"/>
              </w:rPr>
            </w:pPr>
            <w:r w:rsidRPr="004F7D0D">
              <w:rPr>
                <w:rFonts w:cs="Arial"/>
              </w:rPr>
              <w:t>ACIR data are reported quarterly. A minimum 3-month lag period is allowed for late notification of immunisations to ACIR.</w:t>
            </w:r>
          </w:p>
          <w:p w:rsidR="00DD1446" w:rsidRPr="004F7D0D" w:rsidRDefault="00DD1446" w:rsidP="00DD1446">
            <w:pPr>
              <w:pStyle w:val="TableBodyText"/>
              <w:jc w:val="both"/>
              <w:rPr>
                <w:rFonts w:cs="Arial"/>
              </w:rPr>
            </w:pPr>
          </w:p>
        </w:tc>
      </w:tr>
      <w:tr w:rsidR="004F7D0D" w:rsidRPr="004F7D0D" w:rsidTr="00DD1446">
        <w:trPr>
          <w:trHeight w:val="567"/>
        </w:trPr>
        <w:tc>
          <w:tcPr>
            <w:tcW w:w="1980" w:type="dxa"/>
          </w:tcPr>
          <w:p w:rsidR="00DD1446" w:rsidRPr="004F7D0D" w:rsidRDefault="00DD1446" w:rsidP="00DD1446">
            <w:pPr>
              <w:pStyle w:val="TableBodyText"/>
              <w:jc w:val="left"/>
              <w:rPr>
                <w:b/>
                <w:bCs/>
              </w:rPr>
            </w:pPr>
            <w:r w:rsidRPr="004F7D0D">
              <w:rPr>
                <w:b/>
                <w:bCs/>
              </w:rPr>
              <w:t>Accuracy</w:t>
            </w:r>
          </w:p>
          <w:p w:rsidR="00DD1446" w:rsidRPr="004F7D0D" w:rsidRDefault="00DD1446" w:rsidP="00DD1446">
            <w:pPr>
              <w:pStyle w:val="TableBodyText"/>
              <w:jc w:val="left"/>
              <w:rPr>
                <w:b/>
                <w:bCs/>
              </w:rPr>
            </w:pPr>
          </w:p>
        </w:tc>
        <w:tc>
          <w:tcPr>
            <w:tcW w:w="6838" w:type="dxa"/>
          </w:tcPr>
          <w:p w:rsidR="00DD1446" w:rsidRPr="004F7D0D" w:rsidRDefault="00DD1446" w:rsidP="00DD1446">
            <w:pPr>
              <w:pStyle w:val="TableBodyText"/>
              <w:jc w:val="both"/>
              <w:rPr>
                <w:rFonts w:cs="Arial"/>
              </w:rPr>
            </w:pPr>
            <w:r w:rsidRPr="004F7D0D">
              <w:rPr>
                <w:rFonts w:cs="Arial"/>
              </w:rPr>
              <w:t xml:space="preserve">Vaccination coverage rates calculated using ACIR data are believed to underestimate actual vaccination rates because of under-reporting by immunisation providers. However, the extent of any under-reporting has not been estimated. </w:t>
            </w:r>
          </w:p>
          <w:p w:rsidR="00DD1446" w:rsidRPr="004F7D0D" w:rsidRDefault="00DD1446" w:rsidP="00DD1446">
            <w:pPr>
              <w:pStyle w:val="TableBodyText"/>
              <w:jc w:val="both"/>
              <w:rPr>
                <w:rFonts w:cs="Arial"/>
              </w:rPr>
            </w:pPr>
            <w:r w:rsidRPr="004F7D0D">
              <w:rPr>
                <w:rFonts w:cs="Arial"/>
              </w:rPr>
              <w:t>Programs, such as the General Practice Immunisation Incentive (</w:t>
            </w:r>
            <w:proofErr w:type="spellStart"/>
            <w:r w:rsidRPr="004F7D0D">
              <w:rPr>
                <w:rFonts w:cs="Arial"/>
              </w:rPr>
              <w:t>GPII</w:t>
            </w:r>
            <w:proofErr w:type="spellEnd"/>
            <w:r w:rsidRPr="004F7D0D">
              <w:rPr>
                <w:rFonts w:cs="Arial"/>
              </w:rPr>
              <w:t>), and provider incentive payments have helped minimise under-reporting by providing a financial incentive to report clean and accurate data.</w:t>
            </w:r>
          </w:p>
          <w:p w:rsidR="00DD1446" w:rsidRPr="004F7D0D" w:rsidRDefault="00DD1446" w:rsidP="00DD1446">
            <w:pPr>
              <w:pStyle w:val="TableBodyText"/>
              <w:jc w:val="both"/>
              <w:rPr>
                <w:rFonts w:cs="Arial"/>
              </w:rPr>
            </w:pPr>
            <w:r w:rsidRPr="004F7D0D">
              <w:rPr>
                <w:rFonts w:cs="Arial"/>
              </w:rPr>
              <w:t>The data contains minimal if any duplication of immunisations, as children are identified via their Medicare number. Approximately 99 per cent of children are registered with Medicare by 12 months of age.</w:t>
            </w:r>
          </w:p>
          <w:p w:rsidR="00DD1446" w:rsidRPr="004F7D0D" w:rsidRDefault="00DD1446" w:rsidP="00DD1446">
            <w:pPr>
              <w:pStyle w:val="TableBodyText"/>
              <w:jc w:val="both"/>
              <w:rPr>
                <w:rFonts w:cs="Arial"/>
              </w:rPr>
            </w:pPr>
            <w:r w:rsidRPr="004F7D0D">
              <w:rPr>
                <w:rFonts w:cs="Arial"/>
              </w:rPr>
              <w:t>The ACIR covers virtually all children, particularly because participation in the ACIR is via an ‘opt-out’ arrangement. Children enrolled in Medicare are automatically included on the ACIR. Children not enrolled in Medicare are included when an immunisation service provider sends details of an immunisation encounter to ACIR.</w:t>
            </w:r>
          </w:p>
          <w:p w:rsidR="00DD1446" w:rsidRPr="004F7D0D" w:rsidRDefault="00DD1446" w:rsidP="00DD1446">
            <w:pPr>
              <w:pStyle w:val="TableBodyText"/>
              <w:jc w:val="both"/>
              <w:rPr>
                <w:rFonts w:cs="Arial"/>
              </w:rPr>
            </w:pPr>
          </w:p>
        </w:tc>
      </w:tr>
      <w:tr w:rsidR="004F7D0D" w:rsidRPr="004F7D0D" w:rsidTr="00DD1446">
        <w:trPr>
          <w:trHeight w:val="567"/>
        </w:trPr>
        <w:tc>
          <w:tcPr>
            <w:tcW w:w="1980" w:type="dxa"/>
          </w:tcPr>
          <w:p w:rsidR="00DD1446" w:rsidRPr="004F7D0D" w:rsidRDefault="00DD1446" w:rsidP="00DD1446">
            <w:pPr>
              <w:pStyle w:val="TableBodyText"/>
              <w:jc w:val="left"/>
              <w:rPr>
                <w:b/>
                <w:bCs/>
              </w:rPr>
            </w:pPr>
            <w:r w:rsidRPr="004F7D0D">
              <w:rPr>
                <w:b/>
                <w:bCs/>
              </w:rPr>
              <w:t>Coherence</w:t>
            </w:r>
          </w:p>
          <w:p w:rsidR="00DD1446" w:rsidRPr="004F7D0D" w:rsidRDefault="00DD1446" w:rsidP="00DD1446">
            <w:pPr>
              <w:pStyle w:val="TableBodyText"/>
              <w:jc w:val="left"/>
              <w:rPr>
                <w:b/>
                <w:bCs/>
              </w:rPr>
            </w:pPr>
          </w:p>
        </w:tc>
        <w:tc>
          <w:tcPr>
            <w:tcW w:w="6838" w:type="dxa"/>
          </w:tcPr>
          <w:p w:rsidR="00DD1446" w:rsidRPr="004F7D0D" w:rsidRDefault="00DD1446" w:rsidP="00DD1446">
            <w:pPr>
              <w:pStyle w:val="TableBodyText"/>
              <w:jc w:val="both"/>
              <w:rPr>
                <w:rFonts w:cs="Arial"/>
              </w:rPr>
            </w:pPr>
            <w:r w:rsidRPr="004F7D0D">
              <w:rPr>
                <w:rFonts w:cs="Arial"/>
              </w:rPr>
              <w:t>The numerators and denominators have been consistent since the inception of the ACIR in 1996.</w:t>
            </w:r>
          </w:p>
          <w:p w:rsidR="00DD1446" w:rsidRPr="004F7D0D" w:rsidRDefault="00DD1446" w:rsidP="00DD1446">
            <w:pPr>
              <w:pStyle w:val="TableBodyText"/>
              <w:jc w:val="both"/>
              <w:rPr>
                <w:rFonts w:cs="Arial"/>
              </w:rPr>
            </w:pPr>
          </w:p>
        </w:tc>
      </w:tr>
      <w:tr w:rsidR="004F7D0D" w:rsidRPr="004F7D0D" w:rsidTr="00DD1446">
        <w:trPr>
          <w:trHeight w:val="567"/>
        </w:trPr>
        <w:tc>
          <w:tcPr>
            <w:tcW w:w="1980" w:type="dxa"/>
          </w:tcPr>
          <w:p w:rsidR="00DD1446" w:rsidRPr="004F7D0D" w:rsidRDefault="00DD1446" w:rsidP="00DD1446">
            <w:pPr>
              <w:pStyle w:val="TableBodyText"/>
              <w:jc w:val="left"/>
              <w:rPr>
                <w:rFonts w:cs="Arial"/>
                <w:b/>
                <w:bCs/>
              </w:rPr>
            </w:pPr>
            <w:r w:rsidRPr="004F7D0D">
              <w:rPr>
                <w:rFonts w:cs="Arial"/>
                <w:b/>
                <w:bCs/>
              </w:rPr>
              <w:t>Accessibility</w:t>
            </w:r>
          </w:p>
          <w:p w:rsidR="00DD1446" w:rsidRPr="004F7D0D" w:rsidRDefault="00DD1446" w:rsidP="00DD1446">
            <w:pPr>
              <w:pStyle w:val="TableBodyText"/>
              <w:jc w:val="left"/>
              <w:rPr>
                <w:rFonts w:cs="Arial"/>
                <w:b/>
                <w:bCs/>
              </w:rPr>
            </w:pPr>
          </w:p>
        </w:tc>
        <w:tc>
          <w:tcPr>
            <w:tcW w:w="6838" w:type="dxa"/>
          </w:tcPr>
          <w:p w:rsidR="00DD1446" w:rsidRPr="004F7D0D" w:rsidRDefault="00DD1446" w:rsidP="00DD1446">
            <w:pPr>
              <w:pStyle w:val="TableBodyText"/>
              <w:jc w:val="both"/>
              <w:rPr>
                <w:rFonts w:cs="Arial"/>
              </w:rPr>
            </w:pPr>
            <w:r w:rsidRPr="004F7D0D">
              <w:rPr>
                <w:rFonts w:cs="Arial"/>
              </w:rPr>
              <w:t xml:space="preserve">Information on coverage rates by Local Government Areas is not currently publicly accessible. </w:t>
            </w:r>
          </w:p>
          <w:p w:rsidR="00DD1446" w:rsidRPr="004F7D0D" w:rsidRDefault="00DD1446" w:rsidP="00DD1446">
            <w:pPr>
              <w:pStyle w:val="TableBodyText"/>
              <w:jc w:val="both"/>
              <w:rPr>
                <w:rFonts w:cs="Arial"/>
              </w:rPr>
            </w:pPr>
            <w:r w:rsidRPr="004F7D0D">
              <w:rPr>
                <w:rFonts w:cs="Arial"/>
              </w:rPr>
              <w:t xml:space="preserve">Medicare publishes current immunisation coverage from the ACIR on its web site, </w:t>
            </w:r>
            <w:proofErr w:type="spellStart"/>
            <w:r w:rsidRPr="004F7D0D">
              <w:rPr>
                <w:rFonts w:cs="Arial"/>
              </w:rPr>
              <w:t>www.humanservices.gov.au</w:t>
            </w:r>
            <w:proofErr w:type="spellEnd"/>
            <w:r w:rsidRPr="004F7D0D">
              <w:rPr>
                <w:rFonts w:cs="Arial"/>
              </w:rPr>
              <w:t>. Authorised immunisation providers can access detailed reports via a secured area of the Medicare web site.</w:t>
            </w:r>
          </w:p>
          <w:p w:rsidR="00DD1446" w:rsidRPr="004F7D0D" w:rsidRDefault="00DD1446" w:rsidP="00DD1446">
            <w:pPr>
              <w:pStyle w:val="TableBodyText"/>
              <w:jc w:val="both"/>
              <w:rPr>
                <w:rFonts w:cs="Arial"/>
              </w:rPr>
            </w:pPr>
            <w:r w:rsidRPr="004F7D0D">
              <w:rPr>
                <w:rFonts w:cs="Arial"/>
              </w:rPr>
              <w:t>Immunisation coverage data derived from the ACIR have been reported in Communicable Disease Intelligence since early 1998. Data for 3 key milestone ages (12 months, 24 months and 5 years (6 years prior to 2008)), nationally and by jurisdiction are published quarterly. NHPA has published immunisation coverage for 2011-2012 from derived ACIR data for the 3 key milestone ages. Standard coverage at the Medicare Local Statistical Area 3 and postcode catchments. Indigenous coverage at the Medicare Local catchment for the 3 key milestone ages.</w:t>
            </w:r>
          </w:p>
          <w:p w:rsidR="00DD1446" w:rsidRPr="004F7D0D" w:rsidRDefault="00DD1446" w:rsidP="00DD1446">
            <w:pPr>
              <w:pStyle w:val="TableBodyText"/>
              <w:jc w:val="both"/>
              <w:rPr>
                <w:rFonts w:cs="Arial"/>
              </w:rPr>
            </w:pPr>
          </w:p>
        </w:tc>
      </w:tr>
      <w:tr w:rsidR="004F7D0D" w:rsidRPr="004F7D0D" w:rsidTr="00DD1446">
        <w:trPr>
          <w:trHeight w:val="567"/>
        </w:trPr>
        <w:tc>
          <w:tcPr>
            <w:tcW w:w="1980" w:type="dxa"/>
          </w:tcPr>
          <w:p w:rsidR="00DD1446" w:rsidRPr="004F7D0D" w:rsidRDefault="00DD1446" w:rsidP="00DD1446">
            <w:pPr>
              <w:pStyle w:val="TableBodyText"/>
              <w:jc w:val="left"/>
              <w:rPr>
                <w:b/>
                <w:bCs/>
              </w:rPr>
            </w:pPr>
            <w:r w:rsidRPr="004F7D0D">
              <w:rPr>
                <w:b/>
                <w:bCs/>
              </w:rPr>
              <w:t>Interpretability</w:t>
            </w:r>
          </w:p>
        </w:tc>
        <w:tc>
          <w:tcPr>
            <w:tcW w:w="6838" w:type="dxa"/>
          </w:tcPr>
          <w:p w:rsidR="00DD1446" w:rsidRPr="004F7D0D" w:rsidRDefault="00DD1446" w:rsidP="00DD1446">
            <w:pPr>
              <w:pStyle w:val="TableBodyText"/>
              <w:jc w:val="both"/>
              <w:rPr>
                <w:lang w:val="en"/>
              </w:rPr>
            </w:pPr>
            <w:r w:rsidRPr="004F7D0D">
              <w:rPr>
                <w:lang w:val="en"/>
              </w:rPr>
              <w:t xml:space="preserve">Further information on the ACIR can be found at: http://www. </w:t>
            </w:r>
            <w:proofErr w:type="spellStart"/>
            <w:r w:rsidRPr="004F7D0D">
              <w:rPr>
                <w:lang w:val="en"/>
              </w:rPr>
              <w:t>humanservices.gov.au</w:t>
            </w:r>
            <w:proofErr w:type="spellEnd"/>
            <w:r w:rsidRPr="004F7D0D">
              <w:rPr>
                <w:lang w:val="en"/>
              </w:rPr>
              <w:t>/public/services/</w:t>
            </w:r>
            <w:proofErr w:type="spellStart"/>
            <w:r w:rsidRPr="004F7D0D">
              <w:rPr>
                <w:lang w:val="en"/>
              </w:rPr>
              <w:t>acir</w:t>
            </w:r>
            <w:proofErr w:type="spellEnd"/>
            <w:r w:rsidRPr="004F7D0D">
              <w:rPr>
                <w:lang w:val="en"/>
              </w:rPr>
              <w:t>/</w:t>
            </w:r>
            <w:proofErr w:type="spellStart"/>
            <w:r w:rsidRPr="004F7D0D">
              <w:rPr>
                <w:lang w:val="en"/>
              </w:rPr>
              <w:t>index.jsp</w:t>
            </w:r>
            <w:proofErr w:type="spellEnd"/>
          </w:p>
          <w:p w:rsidR="00DD1446" w:rsidRPr="004F7D0D" w:rsidRDefault="00DD1446" w:rsidP="00DD1446">
            <w:pPr>
              <w:pStyle w:val="TableBodyText"/>
              <w:jc w:val="both"/>
              <w:rPr>
                <w:lang w:val="en"/>
              </w:rPr>
            </w:pPr>
            <w:r w:rsidRPr="004F7D0D">
              <w:rPr>
                <w:lang w:val="en"/>
              </w:rPr>
              <w:t xml:space="preserve">Information on the National Immunisation Program and vaccinations can be found at </w:t>
            </w:r>
            <w:hyperlink r:id="rId28" w:history="1">
              <w:r w:rsidRPr="004F7D0D">
                <w:rPr>
                  <w:rStyle w:val="Hyperlink"/>
                  <w:color w:val="auto"/>
                  <w:lang w:val="en"/>
                </w:rPr>
                <w:t>http://</w:t>
              </w:r>
              <w:proofErr w:type="spellStart"/>
              <w:r w:rsidRPr="004F7D0D">
                <w:rPr>
                  <w:rStyle w:val="Hyperlink"/>
                  <w:color w:val="auto"/>
                  <w:lang w:val="en"/>
                </w:rPr>
                <w:t>www.immunise.health.gov.au</w:t>
              </w:r>
              <w:proofErr w:type="spellEnd"/>
              <w:r w:rsidRPr="004F7D0D">
                <w:rPr>
                  <w:rStyle w:val="Hyperlink"/>
                  <w:color w:val="auto"/>
                  <w:lang w:val="en"/>
                </w:rPr>
                <w:t>/</w:t>
              </w:r>
            </w:hyperlink>
          </w:p>
        </w:tc>
      </w:tr>
    </w:tbl>
    <w:p w:rsidR="00E92976" w:rsidRPr="004F7D0D" w:rsidRDefault="00E92976" w:rsidP="00F71BC3">
      <w:pPr>
        <w:pStyle w:val="Heading3"/>
        <w:spacing w:after="480"/>
      </w:pPr>
      <w:r w:rsidRPr="004F7D0D">
        <w:br w:type="page"/>
      </w:r>
      <w:bookmarkStart w:id="23" w:name="_Ref287347528"/>
      <w:r w:rsidRPr="004F7D0D">
        <w:lastRenderedPageBreak/>
        <w:t>Data quality statement —</w:t>
      </w:r>
      <w:r w:rsidR="000C32DD" w:rsidRPr="004F7D0D">
        <w:t xml:space="preserve"> </w:t>
      </w:r>
      <w:r w:rsidRPr="004F7D0D">
        <w:t xml:space="preserve">Performance benchmark </w:t>
      </w:r>
      <w:r w:rsidR="00DA6FB1" w:rsidRPr="004F7D0D">
        <w:t>3</w:t>
      </w:r>
      <w:r w:rsidRPr="004F7D0D">
        <w:t xml:space="preserve">: </w:t>
      </w:r>
      <w:r w:rsidR="00DA6FB1" w:rsidRPr="004F7D0D">
        <w:t>Maintaining or decreasing wastage and leakage</w:t>
      </w:r>
      <w:bookmarkEnd w:id="23"/>
    </w:p>
    <w:tbl>
      <w:tblPr>
        <w:tblW w:w="8820" w:type="dxa"/>
        <w:tblInd w:w="108" w:type="dxa"/>
        <w:tblLook w:val="01E0" w:firstRow="1" w:lastRow="1" w:firstColumn="1" w:lastColumn="1" w:noHBand="0" w:noVBand="0"/>
      </w:tblPr>
      <w:tblGrid>
        <w:gridCol w:w="1869"/>
        <w:gridCol w:w="6951"/>
      </w:tblGrid>
      <w:tr w:rsidR="004F7D0D" w:rsidRPr="004F7D0D" w:rsidTr="00EF3FD8">
        <w:trPr>
          <w:trHeight w:val="567"/>
        </w:trPr>
        <w:tc>
          <w:tcPr>
            <w:tcW w:w="1869" w:type="dxa"/>
          </w:tcPr>
          <w:p w:rsidR="00F71BC3" w:rsidRPr="004F7D0D" w:rsidRDefault="00F71BC3" w:rsidP="00E45D61">
            <w:pPr>
              <w:pStyle w:val="TableUnitsRow"/>
              <w:jc w:val="left"/>
              <w:rPr>
                <w:b/>
                <w:bCs/>
              </w:rPr>
            </w:pPr>
            <w:r w:rsidRPr="004F7D0D">
              <w:rPr>
                <w:b/>
                <w:bCs/>
              </w:rPr>
              <w:t>Target/Outcome</w:t>
            </w:r>
          </w:p>
        </w:tc>
        <w:tc>
          <w:tcPr>
            <w:tcW w:w="6951" w:type="dxa"/>
          </w:tcPr>
          <w:p w:rsidR="00F71BC3" w:rsidRPr="004F7D0D" w:rsidRDefault="00F71BC3" w:rsidP="007A6CD9">
            <w:pPr>
              <w:pStyle w:val="TableBodyText"/>
              <w:jc w:val="both"/>
              <w:rPr>
                <w:b/>
                <w:bCs/>
              </w:rPr>
            </w:pPr>
            <w:r w:rsidRPr="004F7D0D">
              <w:t>Maintaining or decreasing wastage and leakage</w:t>
            </w:r>
          </w:p>
        </w:tc>
      </w:tr>
      <w:tr w:rsidR="004F7D0D" w:rsidRPr="004F7D0D" w:rsidTr="00EF3FD8">
        <w:trPr>
          <w:trHeight w:val="567"/>
        </w:trPr>
        <w:tc>
          <w:tcPr>
            <w:tcW w:w="1869" w:type="dxa"/>
          </w:tcPr>
          <w:p w:rsidR="00117F55" w:rsidRPr="004F7D0D" w:rsidRDefault="00117F55" w:rsidP="00E45D61">
            <w:pPr>
              <w:pStyle w:val="TableBodyText"/>
              <w:jc w:val="left"/>
              <w:rPr>
                <w:b/>
              </w:rPr>
            </w:pPr>
            <w:r w:rsidRPr="004F7D0D">
              <w:rPr>
                <w:b/>
              </w:rPr>
              <w:t>Measure (computation)</w:t>
            </w:r>
          </w:p>
        </w:tc>
        <w:tc>
          <w:tcPr>
            <w:tcW w:w="6951" w:type="dxa"/>
          </w:tcPr>
          <w:p w:rsidR="007A6CD9" w:rsidRPr="004F7D0D" w:rsidRDefault="007A6CD9" w:rsidP="007A6CD9">
            <w:pPr>
              <w:pStyle w:val="TableBodyText"/>
              <w:framePr w:w="2155" w:hSpace="227" w:vSpace="181" w:wrap="around" w:vAnchor="text" w:hAnchor="page" w:xAlign="outside" w:y="1"/>
              <w:jc w:val="both"/>
            </w:pPr>
            <w:r w:rsidRPr="004F7D0D">
              <w:t xml:space="preserve">The numerator is the number of National Immunisation Program (NIP) vaccines lost to wastage / leakage. </w:t>
            </w:r>
          </w:p>
          <w:p w:rsidR="007A6CD9" w:rsidRPr="004F7D0D" w:rsidRDefault="007A6CD9" w:rsidP="00532AA5">
            <w:pPr>
              <w:pStyle w:val="TableBodyText"/>
              <w:jc w:val="both"/>
            </w:pPr>
            <w:r w:rsidRPr="004F7D0D">
              <w:t>The denominator is the total number of NIP vaccines distributed.</w:t>
            </w:r>
          </w:p>
          <w:p w:rsidR="007A6CD9" w:rsidRPr="004F7D0D" w:rsidRDefault="007A6CD9" w:rsidP="00532AA5">
            <w:pPr>
              <w:pStyle w:val="TableBodyText"/>
              <w:jc w:val="both"/>
            </w:pPr>
            <w:r w:rsidRPr="004F7D0D">
              <w:t>Calculation is 100 x (Numerator ÷ Denominator).</w:t>
            </w:r>
          </w:p>
          <w:p w:rsidR="00117F55" w:rsidRPr="004F7D0D" w:rsidRDefault="007A6CD9" w:rsidP="00842B44">
            <w:pPr>
              <w:pStyle w:val="TableBodyText"/>
              <w:jc w:val="both"/>
            </w:pPr>
            <w:r w:rsidRPr="004F7D0D">
              <w:t>The wastage and leakage rate is compared to a 10 per cent or less benchmark</w:t>
            </w:r>
          </w:p>
          <w:p w:rsidR="007A6CD9" w:rsidRPr="004F7D0D" w:rsidRDefault="007A6CD9" w:rsidP="00842B44">
            <w:pPr>
              <w:pStyle w:val="TableBodyText"/>
              <w:jc w:val="both"/>
            </w:pPr>
          </w:p>
        </w:tc>
      </w:tr>
      <w:tr w:rsidR="004F7D0D" w:rsidRPr="004F7D0D" w:rsidTr="00EF3FD8">
        <w:trPr>
          <w:trHeight w:val="567"/>
        </w:trPr>
        <w:tc>
          <w:tcPr>
            <w:tcW w:w="1869" w:type="dxa"/>
          </w:tcPr>
          <w:p w:rsidR="00EF3FD8" w:rsidRPr="004F7D0D" w:rsidRDefault="00EF3FD8" w:rsidP="00EF3FD8">
            <w:pPr>
              <w:pStyle w:val="TableBodyText"/>
              <w:jc w:val="left"/>
              <w:rPr>
                <w:b/>
              </w:rPr>
            </w:pPr>
            <w:r w:rsidRPr="004F7D0D">
              <w:rPr>
                <w:b/>
              </w:rPr>
              <w:t>Data source/s</w:t>
            </w:r>
          </w:p>
        </w:tc>
        <w:tc>
          <w:tcPr>
            <w:tcW w:w="6951" w:type="dxa"/>
          </w:tcPr>
          <w:p w:rsidR="00EF3FD8" w:rsidRPr="004F7D0D" w:rsidRDefault="00EF3FD8" w:rsidP="00EF3FD8">
            <w:pPr>
              <w:pStyle w:val="TableBodyText"/>
              <w:jc w:val="both"/>
            </w:pPr>
            <w:r w:rsidRPr="004F7D0D">
              <w:t>ACIR and certified wastage and leakage reports from states and territories</w:t>
            </w:r>
          </w:p>
        </w:tc>
      </w:tr>
      <w:tr w:rsidR="004F7D0D" w:rsidRPr="004F7D0D" w:rsidTr="00EF3FD8">
        <w:trPr>
          <w:trHeight w:val="567"/>
        </w:trPr>
        <w:tc>
          <w:tcPr>
            <w:tcW w:w="1869" w:type="dxa"/>
          </w:tcPr>
          <w:p w:rsidR="00EF3FD8" w:rsidRPr="004F7D0D" w:rsidRDefault="00EF3FD8" w:rsidP="00EF3FD8">
            <w:pPr>
              <w:pStyle w:val="TableBodyText"/>
              <w:jc w:val="left"/>
              <w:rPr>
                <w:b/>
              </w:rPr>
            </w:pPr>
            <w:r w:rsidRPr="004F7D0D">
              <w:rPr>
                <w:b/>
              </w:rPr>
              <w:t>Institutional environment</w:t>
            </w:r>
          </w:p>
        </w:tc>
        <w:tc>
          <w:tcPr>
            <w:tcW w:w="6951" w:type="dxa"/>
          </w:tcPr>
          <w:p w:rsidR="00EF3FD8" w:rsidRPr="004F7D0D" w:rsidRDefault="00EF3FD8" w:rsidP="00EF3FD8">
            <w:pPr>
              <w:pStyle w:val="TableBodyText"/>
              <w:jc w:val="both"/>
            </w:pPr>
            <w:r w:rsidRPr="004F7D0D">
              <w:t>The ACIR is administered and operated by the Department of Human Services (Medicare) for the Australian Government Department of Health and Ageing (DoHA). Medicare provides DoHA with quarterly coverage reports at the national and state level.</w:t>
            </w:r>
          </w:p>
          <w:p w:rsidR="00EF3FD8" w:rsidRPr="004F7D0D" w:rsidRDefault="00EF3FD8" w:rsidP="00EF3FD8">
            <w:pPr>
              <w:pStyle w:val="TableBodyText"/>
              <w:jc w:val="both"/>
            </w:pPr>
            <w:r w:rsidRPr="004F7D0D">
              <w:t>Immunisations are notified to Medicare by a range of immunisation providers including General Practitioners, Councils, Aboriginal Medical Services, State and Territory Health departments.</w:t>
            </w:r>
          </w:p>
          <w:p w:rsidR="00EF3FD8" w:rsidRPr="004F7D0D" w:rsidRDefault="00EF3FD8" w:rsidP="00EF3FD8">
            <w:pPr>
              <w:pStyle w:val="TableBodyText"/>
              <w:jc w:val="both"/>
            </w:pPr>
            <w:r w:rsidRPr="004F7D0D">
              <w:t>For information on the institutional environment of the ACIR, including the legislative obligations of the ACIR, financing and governance arrangements, and mechanisms for scrutiny of ACIR operations, please see http://</w:t>
            </w:r>
            <w:proofErr w:type="spellStart"/>
            <w:r w:rsidRPr="004F7D0D">
              <w:t>www.humanservices.gov.au</w:t>
            </w:r>
            <w:proofErr w:type="spellEnd"/>
            <w:r w:rsidRPr="004F7D0D">
              <w:t>/public/services/</w:t>
            </w:r>
            <w:proofErr w:type="spellStart"/>
            <w:r w:rsidRPr="004F7D0D">
              <w:t>acir</w:t>
            </w:r>
            <w:proofErr w:type="spellEnd"/>
            <w:r w:rsidRPr="004F7D0D">
              <w:t>/</w:t>
            </w:r>
            <w:proofErr w:type="spellStart"/>
            <w:r w:rsidRPr="004F7D0D">
              <w:t>index.jsp</w:t>
            </w:r>
            <w:proofErr w:type="spellEnd"/>
            <w:r w:rsidRPr="004F7D0D">
              <w:t>.</w:t>
            </w:r>
          </w:p>
          <w:p w:rsidR="00EF3FD8" w:rsidRPr="004F7D0D" w:rsidRDefault="00EF3FD8" w:rsidP="00EF3FD8">
            <w:pPr>
              <w:pStyle w:val="TableBodyText"/>
              <w:jc w:val="both"/>
            </w:pPr>
            <w:r w:rsidRPr="004F7D0D">
              <w:t xml:space="preserve">States and territories record vaccine stock distribution for their own planning purposes. Certified wastage and leakage reports are supplied by states and territories to DoHA at the end of the reporting period. </w:t>
            </w:r>
          </w:p>
          <w:p w:rsidR="00EF3FD8" w:rsidRPr="004F7D0D" w:rsidRDefault="00EF3FD8" w:rsidP="00EF3FD8">
            <w:pPr>
              <w:pStyle w:val="TableBodyText"/>
              <w:jc w:val="both"/>
            </w:pPr>
            <w:r w:rsidRPr="004F7D0D">
              <w:t>The tables for this indicator and data quality statement were prepared by DoHA.</w:t>
            </w:r>
          </w:p>
          <w:p w:rsidR="00EF3FD8" w:rsidRPr="004F7D0D" w:rsidRDefault="00EF3FD8" w:rsidP="00EF3FD8">
            <w:pPr>
              <w:pStyle w:val="TableBodyText"/>
              <w:jc w:val="both"/>
            </w:pPr>
          </w:p>
        </w:tc>
      </w:tr>
      <w:tr w:rsidR="004F7D0D" w:rsidRPr="004F7D0D" w:rsidTr="00EF3FD8">
        <w:trPr>
          <w:trHeight w:val="567"/>
        </w:trPr>
        <w:tc>
          <w:tcPr>
            <w:tcW w:w="1869" w:type="dxa"/>
          </w:tcPr>
          <w:p w:rsidR="00EF3FD8" w:rsidRPr="004F7D0D" w:rsidRDefault="00EF3FD8" w:rsidP="00EF3FD8">
            <w:pPr>
              <w:pStyle w:val="TableBodyText"/>
              <w:jc w:val="left"/>
              <w:rPr>
                <w:b/>
              </w:rPr>
            </w:pPr>
            <w:r w:rsidRPr="004F7D0D">
              <w:rPr>
                <w:b/>
              </w:rPr>
              <w:t>Relevance</w:t>
            </w:r>
          </w:p>
          <w:p w:rsidR="00EF3FD8" w:rsidRPr="004F7D0D" w:rsidRDefault="00EF3FD8" w:rsidP="00EF3FD8">
            <w:pPr>
              <w:pStyle w:val="TableBodyText"/>
              <w:jc w:val="left"/>
              <w:rPr>
                <w:b/>
              </w:rPr>
            </w:pPr>
          </w:p>
        </w:tc>
        <w:tc>
          <w:tcPr>
            <w:tcW w:w="6951" w:type="dxa"/>
          </w:tcPr>
          <w:p w:rsidR="00EF3FD8" w:rsidRPr="004F7D0D" w:rsidRDefault="00EF3FD8" w:rsidP="00EF3FD8">
            <w:pPr>
              <w:pStyle w:val="TableBodyText"/>
              <w:jc w:val="both"/>
            </w:pPr>
            <w:r w:rsidRPr="004F7D0D">
              <w:t xml:space="preserve">The ACIR records details of vaccinations given to children under seven years of age who live in Australia. </w:t>
            </w:r>
          </w:p>
          <w:p w:rsidR="00EF3FD8" w:rsidRPr="004F7D0D" w:rsidRDefault="00EF3FD8" w:rsidP="00EF3FD8">
            <w:pPr>
              <w:pStyle w:val="TableBodyText"/>
              <w:jc w:val="both"/>
            </w:pPr>
            <w:r w:rsidRPr="004F7D0D">
              <w:t xml:space="preserve">After consultation with each state and territory, </w:t>
            </w:r>
            <w:proofErr w:type="spellStart"/>
            <w:r w:rsidRPr="004F7D0D">
              <w:t>Infanrix</w:t>
            </w:r>
            <w:proofErr w:type="spellEnd"/>
            <w:r w:rsidRPr="004F7D0D">
              <w:t xml:space="preserve"> </w:t>
            </w:r>
            <w:proofErr w:type="spellStart"/>
            <w:r w:rsidRPr="004F7D0D">
              <w:t>Hexa</w:t>
            </w:r>
            <w:proofErr w:type="spellEnd"/>
            <w:r w:rsidRPr="004F7D0D">
              <w:t xml:space="preserve"> and </w:t>
            </w:r>
            <w:proofErr w:type="spellStart"/>
            <w:r w:rsidRPr="004F7D0D">
              <w:t>Hiberix</w:t>
            </w:r>
            <w:proofErr w:type="spellEnd"/>
            <w:r w:rsidRPr="004F7D0D">
              <w:t>/</w:t>
            </w:r>
            <w:proofErr w:type="spellStart"/>
            <w:r w:rsidRPr="004F7D0D">
              <w:t>Pedvax</w:t>
            </w:r>
            <w:proofErr w:type="spellEnd"/>
            <w:r w:rsidRPr="004F7D0D">
              <w:t xml:space="preserve"> </w:t>
            </w:r>
            <w:proofErr w:type="spellStart"/>
            <w:r w:rsidRPr="004F7D0D">
              <w:t>HIB</w:t>
            </w:r>
            <w:proofErr w:type="spellEnd"/>
            <w:r w:rsidRPr="004F7D0D">
              <w:t xml:space="preserve"> will be used for the proxy vaccines.  </w:t>
            </w:r>
          </w:p>
          <w:p w:rsidR="00EF3FD8" w:rsidRPr="004F7D0D" w:rsidRDefault="00EF3FD8" w:rsidP="00EF3FD8">
            <w:pPr>
              <w:pStyle w:val="TableBodyText"/>
              <w:jc w:val="both"/>
            </w:pPr>
            <w:r w:rsidRPr="004F7D0D">
              <w:t>The analysis by state/territory is based on postcode of residence of the child as recorded on ACIR. As children may receive vaccinations in locations other than where they live, this data does not necessarily reflect the location in which services were received.</w:t>
            </w:r>
          </w:p>
          <w:p w:rsidR="00EF3FD8" w:rsidRPr="004F7D0D" w:rsidRDefault="00EF3FD8" w:rsidP="00EF3FD8">
            <w:pPr>
              <w:pStyle w:val="TableBodyText"/>
              <w:jc w:val="both"/>
            </w:pPr>
          </w:p>
        </w:tc>
      </w:tr>
      <w:tr w:rsidR="004F7D0D" w:rsidRPr="004F7D0D" w:rsidTr="00EF3FD8">
        <w:trPr>
          <w:trHeight w:val="567"/>
        </w:trPr>
        <w:tc>
          <w:tcPr>
            <w:tcW w:w="1869" w:type="dxa"/>
          </w:tcPr>
          <w:p w:rsidR="00EF3FD8" w:rsidRPr="004F7D0D" w:rsidRDefault="00EF3FD8" w:rsidP="00EF3FD8">
            <w:pPr>
              <w:pStyle w:val="TableBodyText"/>
              <w:jc w:val="left"/>
              <w:rPr>
                <w:b/>
              </w:rPr>
            </w:pPr>
            <w:r w:rsidRPr="004F7D0D">
              <w:rPr>
                <w:b/>
              </w:rPr>
              <w:t>Timeliness</w:t>
            </w:r>
          </w:p>
          <w:p w:rsidR="00EF3FD8" w:rsidRPr="004F7D0D" w:rsidRDefault="00EF3FD8" w:rsidP="00EF3FD8">
            <w:pPr>
              <w:pStyle w:val="TableBodyText"/>
              <w:jc w:val="left"/>
              <w:rPr>
                <w:b/>
              </w:rPr>
            </w:pPr>
          </w:p>
        </w:tc>
        <w:tc>
          <w:tcPr>
            <w:tcW w:w="6951" w:type="dxa"/>
          </w:tcPr>
          <w:p w:rsidR="00EF3FD8" w:rsidRPr="004F7D0D" w:rsidRDefault="00EF3FD8" w:rsidP="00EF3FD8">
            <w:pPr>
              <w:pStyle w:val="TableBodyText"/>
              <w:jc w:val="both"/>
            </w:pPr>
            <w:r w:rsidRPr="004F7D0D">
              <w:t xml:space="preserve">The reference period is from 1 April 2012 to 31 March 2013. </w:t>
            </w:r>
          </w:p>
          <w:p w:rsidR="00EF3FD8" w:rsidRPr="004F7D0D" w:rsidRDefault="00EF3FD8" w:rsidP="00EF3FD8">
            <w:pPr>
              <w:pStyle w:val="TableBodyText"/>
              <w:jc w:val="both"/>
            </w:pPr>
            <w:r w:rsidRPr="004F7D0D">
              <w:t>ACIR data are reported quarterly. A minimum 3-month lag period is allowed for late notification of immunisations to ACIR.</w:t>
            </w:r>
          </w:p>
          <w:p w:rsidR="00EF3FD8" w:rsidRPr="004F7D0D" w:rsidRDefault="00EF3FD8" w:rsidP="00EF3FD8">
            <w:pPr>
              <w:pStyle w:val="TableBodyText"/>
              <w:jc w:val="both"/>
            </w:pPr>
            <w:r w:rsidRPr="004F7D0D">
              <w:t xml:space="preserve">The certified wastage and leakage reports are provided to DoHA by </w:t>
            </w:r>
          </w:p>
          <w:p w:rsidR="00EF3FD8" w:rsidRPr="004F7D0D" w:rsidRDefault="00EF3FD8" w:rsidP="00EF3FD8">
            <w:pPr>
              <w:pStyle w:val="TableBodyText"/>
              <w:jc w:val="both"/>
            </w:pPr>
            <w:r w:rsidRPr="004F7D0D">
              <w:t>30 April each year.</w:t>
            </w:r>
          </w:p>
          <w:p w:rsidR="00EF3FD8" w:rsidRPr="004F7D0D" w:rsidRDefault="00EF3FD8" w:rsidP="00EF3FD8">
            <w:pPr>
              <w:pStyle w:val="TableBodyText"/>
              <w:jc w:val="both"/>
            </w:pPr>
          </w:p>
        </w:tc>
      </w:tr>
      <w:tr w:rsidR="004F7D0D" w:rsidRPr="004F7D0D" w:rsidTr="00EF3FD8">
        <w:trPr>
          <w:trHeight w:val="567"/>
        </w:trPr>
        <w:tc>
          <w:tcPr>
            <w:tcW w:w="1869" w:type="dxa"/>
          </w:tcPr>
          <w:p w:rsidR="00EF3FD8" w:rsidRPr="004F7D0D" w:rsidRDefault="00EF3FD8" w:rsidP="00EF3FD8">
            <w:pPr>
              <w:pStyle w:val="TableBodyText"/>
              <w:jc w:val="left"/>
              <w:rPr>
                <w:b/>
              </w:rPr>
            </w:pPr>
            <w:r w:rsidRPr="004F7D0D">
              <w:rPr>
                <w:b/>
              </w:rPr>
              <w:t>Accuracy</w:t>
            </w:r>
          </w:p>
          <w:p w:rsidR="00EF3FD8" w:rsidRPr="004F7D0D" w:rsidRDefault="00EF3FD8" w:rsidP="00EF3FD8">
            <w:pPr>
              <w:pStyle w:val="TableBodyText"/>
              <w:jc w:val="left"/>
              <w:rPr>
                <w:b/>
              </w:rPr>
            </w:pPr>
          </w:p>
        </w:tc>
        <w:tc>
          <w:tcPr>
            <w:tcW w:w="6951" w:type="dxa"/>
          </w:tcPr>
          <w:p w:rsidR="00EF3FD8" w:rsidRPr="004F7D0D" w:rsidRDefault="00EF3FD8" w:rsidP="00EF3FD8">
            <w:pPr>
              <w:pStyle w:val="TableBodyText"/>
              <w:jc w:val="both"/>
            </w:pPr>
            <w:r w:rsidRPr="004F7D0D">
              <w:t xml:space="preserve">The wastage and leakage calculation is an estimate only. </w:t>
            </w:r>
          </w:p>
          <w:p w:rsidR="00EF3FD8" w:rsidRPr="004F7D0D" w:rsidRDefault="00EF3FD8" w:rsidP="00EF3FD8">
            <w:pPr>
              <w:pStyle w:val="TableBodyText"/>
              <w:jc w:val="both"/>
            </w:pPr>
            <w:r w:rsidRPr="004F7D0D">
              <w:t xml:space="preserve">Vaccination coverage rates calculated using ACIR data are believed to underestimate actual vaccination rates because of under-reporting by </w:t>
            </w:r>
            <w:r w:rsidRPr="004F7D0D">
              <w:lastRenderedPageBreak/>
              <w:t xml:space="preserve">immunisation providers. The wastage and leakage calculation includes an adjustment factor of 1.03 to account for under reporting to ACIR. </w:t>
            </w:r>
          </w:p>
          <w:p w:rsidR="00EF3FD8" w:rsidRPr="004F7D0D" w:rsidRDefault="00EF3FD8" w:rsidP="00EF3FD8">
            <w:pPr>
              <w:pStyle w:val="TableBodyText"/>
              <w:jc w:val="both"/>
            </w:pPr>
            <w:r w:rsidRPr="004F7D0D">
              <w:t>The adjustment factor is minimal as the high immunisation coverage rate suggests that there is a high level of reporting. Programs, such as the General Practice Immunisation Incentive (</w:t>
            </w:r>
            <w:proofErr w:type="spellStart"/>
            <w:r w:rsidRPr="004F7D0D">
              <w:t>GPII</w:t>
            </w:r>
            <w:proofErr w:type="spellEnd"/>
            <w:r w:rsidRPr="004F7D0D">
              <w:t>), and provider incentive payments have helped minimise under-reporting by providing a financial incentive to report clean and accurate data.</w:t>
            </w:r>
          </w:p>
          <w:p w:rsidR="00EF3FD8" w:rsidRPr="004F7D0D" w:rsidRDefault="00EF3FD8" w:rsidP="00EF3FD8">
            <w:pPr>
              <w:pStyle w:val="TableBodyText"/>
              <w:jc w:val="both"/>
            </w:pPr>
            <w:r w:rsidRPr="004F7D0D">
              <w:t xml:space="preserve">The data contains minimal if any duplication of immunisations, as children are identified via their Medicare number. ACIR is an ‘opt-out’ arrangement, children enrolled in Medicare are automatically included on the ACIR. Approximately 99 per cent of children are registered with Medicare by 12 months of age. Children not enrolled in Medicare are included when an immunisation service provider sends details of an immunisation encounter to ACIR. </w:t>
            </w:r>
          </w:p>
          <w:p w:rsidR="00EF3FD8" w:rsidRPr="004F7D0D" w:rsidRDefault="00EF3FD8" w:rsidP="00EF3FD8">
            <w:pPr>
              <w:pStyle w:val="TableBodyText"/>
              <w:jc w:val="both"/>
            </w:pPr>
            <w:r w:rsidRPr="004F7D0D">
              <w:t xml:space="preserve">The wastage and leakage calculation accounts for vaccines lost due to uncontrollable events such as natural disasters, power outages or refrigeration failure. States and territories provide certified reports that outline any known wastage that has occurred due to uncontrollable events. </w:t>
            </w:r>
          </w:p>
          <w:p w:rsidR="00EF3FD8" w:rsidRPr="004F7D0D" w:rsidRDefault="00EF3FD8" w:rsidP="00EF3FD8">
            <w:pPr>
              <w:pStyle w:val="TableBodyText"/>
              <w:jc w:val="both"/>
            </w:pPr>
            <w:r w:rsidRPr="004F7D0D">
              <w:t>The certified reports also include information on the total stock held at the start and finish of the reporting period and the number of vaccines purchased during the reporting period.</w:t>
            </w:r>
          </w:p>
          <w:p w:rsidR="00EF3FD8" w:rsidRPr="004F7D0D" w:rsidRDefault="00EF3FD8" w:rsidP="00EF3FD8">
            <w:pPr>
              <w:pStyle w:val="TableBodyText"/>
              <w:jc w:val="both"/>
            </w:pPr>
          </w:p>
        </w:tc>
      </w:tr>
      <w:tr w:rsidR="004F7D0D" w:rsidRPr="004F7D0D" w:rsidTr="00EF3FD8">
        <w:trPr>
          <w:trHeight w:val="567"/>
        </w:trPr>
        <w:tc>
          <w:tcPr>
            <w:tcW w:w="1869" w:type="dxa"/>
          </w:tcPr>
          <w:p w:rsidR="00EF3FD8" w:rsidRPr="004F7D0D" w:rsidRDefault="00EF3FD8" w:rsidP="00EF3FD8">
            <w:pPr>
              <w:pStyle w:val="TableBodyText"/>
              <w:jc w:val="left"/>
              <w:rPr>
                <w:b/>
              </w:rPr>
            </w:pPr>
            <w:r w:rsidRPr="004F7D0D">
              <w:rPr>
                <w:b/>
              </w:rPr>
              <w:lastRenderedPageBreak/>
              <w:t>Coherence</w:t>
            </w:r>
          </w:p>
          <w:p w:rsidR="00EF3FD8" w:rsidRPr="004F7D0D" w:rsidRDefault="00EF3FD8" w:rsidP="00EF3FD8">
            <w:pPr>
              <w:pStyle w:val="TableBodyText"/>
              <w:jc w:val="left"/>
              <w:rPr>
                <w:b/>
              </w:rPr>
            </w:pPr>
          </w:p>
        </w:tc>
        <w:tc>
          <w:tcPr>
            <w:tcW w:w="6951" w:type="dxa"/>
          </w:tcPr>
          <w:p w:rsidR="00EF3FD8" w:rsidRPr="004F7D0D" w:rsidRDefault="00EF3FD8" w:rsidP="00EF3FD8">
            <w:pPr>
              <w:pStyle w:val="TableBodyText"/>
              <w:jc w:val="both"/>
            </w:pPr>
            <w:r w:rsidRPr="004F7D0D">
              <w:t>The numerators and denominators have been consistent since the inception of the ACIR in 1996.</w:t>
            </w:r>
          </w:p>
          <w:p w:rsidR="00EF3FD8" w:rsidRPr="004F7D0D" w:rsidRDefault="00EF3FD8" w:rsidP="00EF3FD8">
            <w:pPr>
              <w:pStyle w:val="TableBodyText"/>
              <w:jc w:val="both"/>
            </w:pPr>
          </w:p>
        </w:tc>
      </w:tr>
      <w:tr w:rsidR="004F7D0D" w:rsidRPr="004F7D0D" w:rsidTr="00EF3FD8">
        <w:trPr>
          <w:trHeight w:val="567"/>
        </w:trPr>
        <w:tc>
          <w:tcPr>
            <w:tcW w:w="1869" w:type="dxa"/>
          </w:tcPr>
          <w:p w:rsidR="00EF3FD8" w:rsidRPr="004F7D0D" w:rsidRDefault="00EF3FD8" w:rsidP="00EF3FD8">
            <w:pPr>
              <w:pStyle w:val="TableBodyText"/>
              <w:jc w:val="left"/>
              <w:rPr>
                <w:b/>
              </w:rPr>
            </w:pPr>
            <w:r w:rsidRPr="004F7D0D">
              <w:rPr>
                <w:b/>
              </w:rPr>
              <w:t>Accessibility</w:t>
            </w:r>
          </w:p>
          <w:p w:rsidR="00EF3FD8" w:rsidRPr="004F7D0D" w:rsidRDefault="00EF3FD8" w:rsidP="00EF3FD8">
            <w:pPr>
              <w:pStyle w:val="TableBodyText"/>
              <w:jc w:val="left"/>
              <w:rPr>
                <w:b/>
              </w:rPr>
            </w:pPr>
          </w:p>
        </w:tc>
        <w:tc>
          <w:tcPr>
            <w:tcW w:w="6951" w:type="dxa"/>
          </w:tcPr>
          <w:p w:rsidR="00EF3FD8" w:rsidRPr="004F7D0D" w:rsidRDefault="00EF3FD8" w:rsidP="00EF3FD8">
            <w:pPr>
              <w:pStyle w:val="TableBodyText"/>
              <w:jc w:val="both"/>
            </w:pPr>
            <w:r w:rsidRPr="004F7D0D">
              <w:t xml:space="preserve">Medicare publishes current immunisation coverage from the ACIR on its web site, </w:t>
            </w:r>
            <w:proofErr w:type="spellStart"/>
            <w:r w:rsidRPr="004F7D0D">
              <w:t>www.humanservices.gov.au</w:t>
            </w:r>
            <w:proofErr w:type="spellEnd"/>
            <w:r w:rsidRPr="004F7D0D">
              <w:t>. Authorised immunisation providers can access detailed reports via a secured area of the Medicare web site.</w:t>
            </w:r>
          </w:p>
          <w:p w:rsidR="00EF3FD8" w:rsidRPr="004F7D0D" w:rsidRDefault="00EF3FD8" w:rsidP="00EF3FD8">
            <w:pPr>
              <w:pStyle w:val="TableBodyText"/>
              <w:jc w:val="both"/>
            </w:pPr>
            <w:r w:rsidRPr="004F7D0D">
              <w:t>Immunisation coverage data derived from the ACIR have been reported in Communicable Disease Intelligence since early 1998. Data for 3 key milestone ages (12 months, 24 months and 5 years (6 years prior to 2008)), nationally and by jurisdiction are published quarterly.</w:t>
            </w:r>
          </w:p>
          <w:p w:rsidR="00EF3FD8" w:rsidRPr="004F7D0D" w:rsidRDefault="00EF3FD8" w:rsidP="00EF3FD8">
            <w:pPr>
              <w:pStyle w:val="TableBodyText"/>
              <w:jc w:val="both"/>
            </w:pPr>
            <w:r w:rsidRPr="004F7D0D">
              <w:t>Certified state and territory reports are not publicly available. . NHPA has published immunisation coverage for 2011-2012 from derived ACIR data for the 3 key milestone ages. Standard coverage at the Medicare Local Statistical Area 3 and postcode catchments. Indigenous coverage at the Medicare Local catchment for the 3 key milestone ages.</w:t>
            </w:r>
          </w:p>
          <w:p w:rsidR="00EF3FD8" w:rsidRPr="004F7D0D" w:rsidRDefault="00EF3FD8" w:rsidP="00EF3FD8">
            <w:pPr>
              <w:pStyle w:val="TableBodyText"/>
              <w:jc w:val="both"/>
            </w:pPr>
          </w:p>
        </w:tc>
      </w:tr>
      <w:tr w:rsidR="004F7D0D" w:rsidRPr="004F7D0D" w:rsidTr="00EF3FD8">
        <w:trPr>
          <w:trHeight w:val="567"/>
        </w:trPr>
        <w:tc>
          <w:tcPr>
            <w:tcW w:w="1869" w:type="dxa"/>
          </w:tcPr>
          <w:p w:rsidR="00EF3FD8" w:rsidRPr="004F7D0D" w:rsidRDefault="00EF3FD8" w:rsidP="00EF3FD8">
            <w:pPr>
              <w:pStyle w:val="TableBodyText"/>
              <w:jc w:val="left"/>
              <w:rPr>
                <w:b/>
              </w:rPr>
            </w:pPr>
            <w:r w:rsidRPr="004F7D0D">
              <w:rPr>
                <w:b/>
              </w:rPr>
              <w:t>Interpretability</w:t>
            </w:r>
            <w:r w:rsidRPr="004F7D0D" w:rsidDel="00503328">
              <w:rPr>
                <w:b/>
              </w:rPr>
              <w:t xml:space="preserve"> </w:t>
            </w:r>
          </w:p>
        </w:tc>
        <w:tc>
          <w:tcPr>
            <w:tcW w:w="6951" w:type="dxa"/>
          </w:tcPr>
          <w:p w:rsidR="00EF3FD8" w:rsidRPr="004F7D0D" w:rsidRDefault="00EF3FD8" w:rsidP="00EF3FD8">
            <w:pPr>
              <w:pStyle w:val="TableBodyText"/>
              <w:jc w:val="both"/>
            </w:pPr>
            <w:r w:rsidRPr="004F7D0D">
              <w:t>Further information on the ACIR can be found at: http://www.medicareaustralia.gov.au/public/services/acir/index.jsp</w:t>
            </w:r>
          </w:p>
          <w:p w:rsidR="00EF3FD8" w:rsidRPr="004F7D0D" w:rsidRDefault="00EF3FD8" w:rsidP="00EF3FD8">
            <w:pPr>
              <w:pStyle w:val="TableBodyText"/>
              <w:jc w:val="both"/>
            </w:pPr>
            <w:r w:rsidRPr="004F7D0D">
              <w:t xml:space="preserve">Information on the National Immunisation Program and vaccinations can be found at </w:t>
            </w:r>
            <w:hyperlink r:id="rId29" w:history="1">
              <w:r w:rsidRPr="004F7D0D">
                <w:rPr>
                  <w:rStyle w:val="Hyperlink"/>
                  <w:color w:val="auto"/>
                </w:rPr>
                <w:t>http://</w:t>
              </w:r>
              <w:proofErr w:type="spellStart"/>
              <w:r w:rsidRPr="004F7D0D">
                <w:rPr>
                  <w:rStyle w:val="Hyperlink"/>
                  <w:color w:val="auto"/>
                </w:rPr>
                <w:t>www.immunise.health.gov.au</w:t>
              </w:r>
              <w:proofErr w:type="spellEnd"/>
              <w:r w:rsidRPr="004F7D0D">
                <w:rPr>
                  <w:rStyle w:val="Hyperlink"/>
                  <w:color w:val="auto"/>
                </w:rPr>
                <w:t>/</w:t>
              </w:r>
            </w:hyperlink>
          </w:p>
          <w:p w:rsidR="00EF3FD8" w:rsidRPr="004F7D0D" w:rsidRDefault="00EF3FD8" w:rsidP="00EF3FD8">
            <w:pPr>
              <w:pStyle w:val="TableBodyText"/>
              <w:jc w:val="both"/>
            </w:pPr>
          </w:p>
        </w:tc>
      </w:tr>
    </w:tbl>
    <w:p w:rsidR="00E92976" w:rsidRPr="004F7D0D" w:rsidRDefault="00E92976" w:rsidP="00F71BC3">
      <w:pPr>
        <w:pStyle w:val="Heading3"/>
        <w:spacing w:after="480"/>
      </w:pPr>
      <w:r w:rsidRPr="004F7D0D">
        <w:br w:type="page"/>
      </w:r>
      <w:bookmarkStart w:id="24" w:name="_Ref287347533"/>
      <w:r w:rsidRPr="004F7D0D">
        <w:lastRenderedPageBreak/>
        <w:t>Data quality statement —</w:t>
      </w:r>
      <w:r w:rsidR="000C32DD" w:rsidRPr="004F7D0D">
        <w:t xml:space="preserve"> </w:t>
      </w:r>
      <w:r w:rsidRPr="004F7D0D">
        <w:t xml:space="preserve">Performance benchmark </w:t>
      </w:r>
      <w:r w:rsidR="00A35C2B" w:rsidRPr="004F7D0D">
        <w:t>4: Maintaining or increasing vaccination coverage for four year olds</w:t>
      </w:r>
      <w:bookmarkEnd w:id="24"/>
    </w:p>
    <w:tbl>
      <w:tblPr>
        <w:tblW w:w="8820" w:type="dxa"/>
        <w:tblInd w:w="108" w:type="dxa"/>
        <w:tblLook w:val="01E0" w:firstRow="1" w:lastRow="1" w:firstColumn="1" w:lastColumn="1" w:noHBand="0" w:noVBand="0"/>
      </w:tblPr>
      <w:tblGrid>
        <w:gridCol w:w="1869"/>
        <w:gridCol w:w="6951"/>
      </w:tblGrid>
      <w:tr w:rsidR="004F7D0D" w:rsidRPr="004F7D0D" w:rsidTr="00F71BC3">
        <w:trPr>
          <w:trHeight w:val="567"/>
        </w:trPr>
        <w:tc>
          <w:tcPr>
            <w:tcW w:w="1869" w:type="dxa"/>
          </w:tcPr>
          <w:p w:rsidR="00F71BC3" w:rsidRPr="004F7D0D" w:rsidRDefault="00F71BC3" w:rsidP="00E45D61">
            <w:pPr>
              <w:pStyle w:val="TableUnitsRow"/>
              <w:jc w:val="left"/>
              <w:rPr>
                <w:b/>
                <w:bCs/>
              </w:rPr>
            </w:pPr>
            <w:r w:rsidRPr="004F7D0D">
              <w:rPr>
                <w:b/>
                <w:bCs/>
              </w:rPr>
              <w:t>Target/Outcome</w:t>
            </w:r>
          </w:p>
        </w:tc>
        <w:tc>
          <w:tcPr>
            <w:tcW w:w="6951" w:type="dxa"/>
          </w:tcPr>
          <w:p w:rsidR="00F71BC3" w:rsidRPr="004F7D0D" w:rsidRDefault="00F71BC3" w:rsidP="00532AA5">
            <w:pPr>
              <w:pStyle w:val="TableUnitsRow"/>
              <w:jc w:val="both"/>
              <w:rPr>
                <w:bCs/>
              </w:rPr>
            </w:pPr>
            <w:r w:rsidRPr="004F7D0D">
              <w:rPr>
                <w:bCs/>
              </w:rPr>
              <w:t>Maintaining or increasing vaccination coverage for four year olds</w:t>
            </w:r>
          </w:p>
        </w:tc>
      </w:tr>
      <w:tr w:rsidR="004F7D0D" w:rsidRPr="004F7D0D" w:rsidTr="00F71BC3">
        <w:trPr>
          <w:trHeight w:val="567"/>
        </w:trPr>
        <w:tc>
          <w:tcPr>
            <w:tcW w:w="1869" w:type="dxa"/>
          </w:tcPr>
          <w:p w:rsidR="003B4F29" w:rsidRPr="004F7D0D" w:rsidRDefault="003B4F29" w:rsidP="00E45D61">
            <w:pPr>
              <w:pStyle w:val="TableBodyText"/>
              <w:jc w:val="both"/>
              <w:rPr>
                <w:b/>
              </w:rPr>
            </w:pPr>
            <w:r w:rsidRPr="004F7D0D">
              <w:rPr>
                <w:b/>
              </w:rPr>
              <w:t>Measure (computation)</w:t>
            </w:r>
          </w:p>
        </w:tc>
        <w:tc>
          <w:tcPr>
            <w:tcW w:w="6951" w:type="dxa"/>
          </w:tcPr>
          <w:p w:rsidR="00201563" w:rsidRPr="004F7D0D" w:rsidRDefault="00201563" w:rsidP="00532AA5">
            <w:pPr>
              <w:pStyle w:val="TableBodyText"/>
              <w:framePr w:w="2155" w:hSpace="227" w:vSpace="181" w:wrap="around" w:vAnchor="text" w:hAnchor="page" w:xAlign="outside" w:y="1"/>
              <w:jc w:val="both"/>
              <w:rPr>
                <w:rFonts w:cs="Arial"/>
              </w:rPr>
            </w:pPr>
            <w:r w:rsidRPr="004F7D0D">
              <w:rPr>
                <w:rFonts w:cs="Arial"/>
              </w:rPr>
              <w:t>The numerator is the number of Australian children reported as fully immunised as defined in ACIR aged 60 ≤ 63 months.</w:t>
            </w:r>
          </w:p>
          <w:p w:rsidR="00201563" w:rsidRPr="004F7D0D" w:rsidRDefault="00201563" w:rsidP="00842B44">
            <w:pPr>
              <w:pStyle w:val="TableBodyText"/>
              <w:jc w:val="both"/>
              <w:rPr>
                <w:rFonts w:cs="Arial"/>
              </w:rPr>
            </w:pPr>
            <w:r w:rsidRPr="004F7D0D">
              <w:rPr>
                <w:rFonts w:cs="Arial"/>
              </w:rPr>
              <w:t>The denominator is the total number of Australian children aged 60 ≤ 63 months registered in ACIR.</w:t>
            </w:r>
          </w:p>
          <w:p w:rsidR="00201563" w:rsidRPr="004F7D0D" w:rsidRDefault="00201563" w:rsidP="00842B44">
            <w:pPr>
              <w:pStyle w:val="TableBodyText"/>
              <w:jc w:val="both"/>
              <w:rPr>
                <w:rFonts w:cs="Arial"/>
              </w:rPr>
            </w:pPr>
            <w:r w:rsidRPr="004F7D0D">
              <w:rPr>
                <w:rFonts w:cs="Arial"/>
              </w:rPr>
              <w:t xml:space="preserve">Calculation </w:t>
            </w:r>
            <w:proofErr w:type="spellStart"/>
            <w:r w:rsidRPr="004F7D0D">
              <w:rPr>
                <w:rFonts w:cs="Arial"/>
              </w:rPr>
              <w:t>is100</w:t>
            </w:r>
            <w:proofErr w:type="spellEnd"/>
            <w:r w:rsidRPr="004F7D0D">
              <w:rPr>
                <w:rFonts w:cs="Arial"/>
              </w:rPr>
              <w:t xml:space="preserve"> x (Numerator ÷ Denominator) presented as a rate per 100 children aged four years.</w:t>
            </w:r>
          </w:p>
          <w:p w:rsidR="003B4F29" w:rsidRPr="004F7D0D" w:rsidRDefault="00201563">
            <w:pPr>
              <w:pStyle w:val="TableBodyText"/>
              <w:jc w:val="both"/>
              <w:rPr>
                <w:rFonts w:cs="Arial"/>
              </w:rPr>
            </w:pPr>
            <w:r w:rsidRPr="004F7D0D">
              <w:rPr>
                <w:rFonts w:cs="Arial"/>
              </w:rPr>
              <w:t>The current year coverage rate is compared to a baseline which is the lowest coverage rate from the previous three years. If this establishes a baseline lower than the previous year’s baseline, then the higher baseline applies</w:t>
            </w:r>
          </w:p>
          <w:p w:rsidR="005F0D59" w:rsidRPr="004F7D0D" w:rsidRDefault="005F0D59">
            <w:pPr>
              <w:pStyle w:val="TableBodyText"/>
              <w:jc w:val="both"/>
              <w:rPr>
                <w:rFonts w:cs="Arial"/>
              </w:rPr>
            </w:pPr>
          </w:p>
        </w:tc>
      </w:tr>
      <w:tr w:rsidR="004F7D0D" w:rsidRPr="004F7D0D" w:rsidTr="00F71BC3">
        <w:trPr>
          <w:trHeight w:val="567"/>
        </w:trPr>
        <w:tc>
          <w:tcPr>
            <w:tcW w:w="1869" w:type="dxa"/>
          </w:tcPr>
          <w:p w:rsidR="00EF3FD8" w:rsidRPr="004F7D0D" w:rsidRDefault="00EF3FD8" w:rsidP="00EF3FD8">
            <w:pPr>
              <w:pStyle w:val="TableBodyText"/>
              <w:jc w:val="both"/>
              <w:rPr>
                <w:b/>
              </w:rPr>
            </w:pPr>
            <w:r w:rsidRPr="004F7D0D">
              <w:rPr>
                <w:b/>
              </w:rPr>
              <w:t>Data source/s</w:t>
            </w:r>
          </w:p>
        </w:tc>
        <w:tc>
          <w:tcPr>
            <w:tcW w:w="6951" w:type="dxa"/>
          </w:tcPr>
          <w:p w:rsidR="00EF3FD8" w:rsidRPr="004F7D0D" w:rsidRDefault="00EF3FD8" w:rsidP="00EF3FD8">
            <w:pPr>
              <w:pStyle w:val="TableBodyText"/>
              <w:jc w:val="both"/>
              <w:rPr>
                <w:rFonts w:cs="Arial"/>
              </w:rPr>
            </w:pPr>
            <w:r w:rsidRPr="004F7D0D">
              <w:rPr>
                <w:rFonts w:cs="Arial"/>
              </w:rPr>
              <w:t>ACIR</w:t>
            </w:r>
          </w:p>
        </w:tc>
      </w:tr>
      <w:tr w:rsidR="004F7D0D" w:rsidRPr="004F7D0D" w:rsidTr="00F71BC3">
        <w:trPr>
          <w:trHeight w:val="567"/>
        </w:trPr>
        <w:tc>
          <w:tcPr>
            <w:tcW w:w="1869" w:type="dxa"/>
          </w:tcPr>
          <w:p w:rsidR="00EF3FD8" w:rsidRPr="004F7D0D" w:rsidRDefault="00EF3FD8" w:rsidP="00EF3FD8">
            <w:pPr>
              <w:pStyle w:val="TableBodyText"/>
              <w:jc w:val="both"/>
              <w:rPr>
                <w:b/>
              </w:rPr>
            </w:pPr>
            <w:r w:rsidRPr="004F7D0D">
              <w:rPr>
                <w:b/>
              </w:rPr>
              <w:t>Institutional environment</w:t>
            </w:r>
          </w:p>
        </w:tc>
        <w:tc>
          <w:tcPr>
            <w:tcW w:w="6951" w:type="dxa"/>
          </w:tcPr>
          <w:p w:rsidR="00EF3FD8" w:rsidRPr="004F7D0D" w:rsidRDefault="00EF3FD8" w:rsidP="00EF3FD8">
            <w:pPr>
              <w:pStyle w:val="TableBodyText"/>
              <w:jc w:val="both"/>
              <w:rPr>
                <w:rFonts w:cs="Arial"/>
              </w:rPr>
            </w:pPr>
            <w:r w:rsidRPr="004F7D0D">
              <w:rPr>
                <w:rFonts w:cs="Arial"/>
              </w:rPr>
              <w:t>The ACIR is administered and operated by the Department of Human Services (Medicare) for the Australian Government Department of Health and Ageing (DoHA). Medicare provides DoHA with quarterly coverage reports at the national and state level.</w:t>
            </w:r>
          </w:p>
          <w:p w:rsidR="00EF3FD8" w:rsidRPr="004F7D0D" w:rsidRDefault="00EF3FD8" w:rsidP="00EF3FD8">
            <w:pPr>
              <w:pStyle w:val="TableBodyText"/>
              <w:jc w:val="both"/>
              <w:rPr>
                <w:rFonts w:cs="Arial"/>
              </w:rPr>
            </w:pPr>
            <w:r w:rsidRPr="004F7D0D">
              <w:rPr>
                <w:rFonts w:cs="Arial"/>
              </w:rPr>
              <w:t>Immunisations are notified to Medicare by a range of immunisation providers including General Practitioners, Councils, Aboriginal Medical Services, State and Territory Health departments.</w:t>
            </w:r>
          </w:p>
          <w:p w:rsidR="00EF3FD8" w:rsidRPr="004F7D0D" w:rsidRDefault="00EF3FD8" w:rsidP="00EF3FD8">
            <w:pPr>
              <w:pStyle w:val="TableBodyText"/>
              <w:jc w:val="both"/>
              <w:rPr>
                <w:rFonts w:cs="Arial"/>
              </w:rPr>
            </w:pPr>
            <w:r w:rsidRPr="004F7D0D">
              <w:rPr>
                <w:rFonts w:cs="Arial"/>
              </w:rPr>
              <w:t>For information on the institutional environment of the ACIR, including the legislative obligations of the ACIR, financing and governance arrangements, and mechanisms for scrutiny of ACIR operations, please see http://www.medicareaustralia.gov.au/public/services/acir/index.jsp.</w:t>
            </w:r>
          </w:p>
          <w:p w:rsidR="00EF3FD8" w:rsidRPr="004F7D0D" w:rsidRDefault="00EF3FD8" w:rsidP="00EF3FD8">
            <w:pPr>
              <w:pStyle w:val="TableBodyText"/>
              <w:jc w:val="both"/>
              <w:rPr>
                <w:rFonts w:cs="Arial"/>
              </w:rPr>
            </w:pPr>
            <w:r w:rsidRPr="004F7D0D">
              <w:rPr>
                <w:rFonts w:cs="Arial"/>
              </w:rPr>
              <w:t>The tables for this indicator and data quality statement were prepared by DoHA.</w:t>
            </w:r>
          </w:p>
          <w:p w:rsidR="005F0D59" w:rsidRPr="004F7D0D" w:rsidRDefault="005F0D59" w:rsidP="00EF3FD8">
            <w:pPr>
              <w:pStyle w:val="TableBodyText"/>
              <w:jc w:val="both"/>
              <w:rPr>
                <w:rFonts w:cs="Arial"/>
              </w:rPr>
            </w:pPr>
          </w:p>
        </w:tc>
      </w:tr>
      <w:tr w:rsidR="004F7D0D" w:rsidRPr="004F7D0D" w:rsidTr="00F71BC3">
        <w:trPr>
          <w:trHeight w:val="567"/>
        </w:trPr>
        <w:tc>
          <w:tcPr>
            <w:tcW w:w="1869" w:type="dxa"/>
          </w:tcPr>
          <w:p w:rsidR="00EF3FD8" w:rsidRPr="004F7D0D" w:rsidRDefault="00EF3FD8" w:rsidP="00EF3FD8">
            <w:pPr>
              <w:pStyle w:val="TableBodyText"/>
              <w:jc w:val="both"/>
              <w:rPr>
                <w:b/>
              </w:rPr>
            </w:pPr>
            <w:r w:rsidRPr="004F7D0D">
              <w:rPr>
                <w:b/>
              </w:rPr>
              <w:t>Relevance</w:t>
            </w:r>
          </w:p>
          <w:p w:rsidR="00EF3FD8" w:rsidRPr="004F7D0D" w:rsidRDefault="00EF3FD8" w:rsidP="00EF3FD8">
            <w:pPr>
              <w:pStyle w:val="TableBodyText"/>
              <w:jc w:val="both"/>
              <w:rPr>
                <w:b/>
              </w:rPr>
            </w:pPr>
          </w:p>
        </w:tc>
        <w:tc>
          <w:tcPr>
            <w:tcW w:w="6951" w:type="dxa"/>
          </w:tcPr>
          <w:p w:rsidR="00F6430C" w:rsidRPr="004F7D0D" w:rsidRDefault="00F6430C" w:rsidP="00F6430C">
            <w:pPr>
              <w:pStyle w:val="TableBodyText"/>
              <w:jc w:val="both"/>
              <w:rPr>
                <w:rFonts w:cs="Arial"/>
              </w:rPr>
            </w:pPr>
            <w:r w:rsidRPr="004F7D0D">
              <w:rPr>
                <w:rFonts w:cs="Arial"/>
              </w:rPr>
              <w:t>The ACIR records details of vaccinations given to children under seven years of age who live in Australia. Reporting for this performance benchmark is only for those children aged 4 years.</w:t>
            </w:r>
          </w:p>
          <w:p w:rsidR="00F6430C" w:rsidRPr="004F7D0D" w:rsidRDefault="00F6430C" w:rsidP="00F6430C">
            <w:pPr>
              <w:pStyle w:val="TableBodyText"/>
              <w:jc w:val="both"/>
              <w:rPr>
                <w:rFonts w:cs="Arial"/>
              </w:rPr>
            </w:pPr>
            <w:r w:rsidRPr="004F7D0D">
              <w:rPr>
                <w:rFonts w:cs="Arial"/>
              </w:rPr>
              <w:t>Data has been reported using the ACIR definition of fully-immunised children; that is, children who have received all age appropriate immunisations for diphtheria, tetanus, pertussis, poliomyelitis, measles, mumps and rubella. These are the vaccines which are required for a person to achieve fully immunised status as defined by A New Tax System (Family Assistance) Act 1999.</w:t>
            </w:r>
          </w:p>
          <w:p w:rsidR="00F6430C" w:rsidRPr="004F7D0D" w:rsidRDefault="00F6430C" w:rsidP="00F6430C">
            <w:pPr>
              <w:pStyle w:val="TableBodyText"/>
              <w:jc w:val="both"/>
              <w:rPr>
                <w:rFonts w:cs="Arial"/>
              </w:rPr>
            </w:pPr>
          </w:p>
          <w:p w:rsidR="00EF3FD8" w:rsidRPr="004F7D0D" w:rsidRDefault="00F6430C" w:rsidP="00F6430C">
            <w:pPr>
              <w:pStyle w:val="TableBodyText"/>
              <w:jc w:val="both"/>
              <w:rPr>
                <w:rFonts w:cs="Arial"/>
              </w:rPr>
            </w:pPr>
            <w:r w:rsidRPr="004F7D0D">
              <w:rPr>
                <w:rFonts w:cs="Arial"/>
              </w:rPr>
              <w:t>The analysis by state/territory is based on postcode of residence of the child as recorded on ACIR. As children may receive vaccinations in locations other than where they live, this data does not necessarily reflect the location in which services were received.</w:t>
            </w:r>
          </w:p>
          <w:p w:rsidR="005F0D59" w:rsidRPr="004F7D0D" w:rsidRDefault="005F0D59" w:rsidP="00F6430C">
            <w:pPr>
              <w:pStyle w:val="TableBodyText"/>
              <w:jc w:val="both"/>
              <w:rPr>
                <w:rFonts w:cs="Arial"/>
              </w:rPr>
            </w:pPr>
          </w:p>
        </w:tc>
      </w:tr>
      <w:tr w:rsidR="004F7D0D" w:rsidRPr="004F7D0D" w:rsidTr="00F71BC3">
        <w:trPr>
          <w:trHeight w:val="567"/>
        </w:trPr>
        <w:tc>
          <w:tcPr>
            <w:tcW w:w="1869" w:type="dxa"/>
          </w:tcPr>
          <w:p w:rsidR="00EF3FD8" w:rsidRPr="004F7D0D" w:rsidRDefault="00EF3FD8" w:rsidP="00EF3FD8">
            <w:pPr>
              <w:pStyle w:val="TableBodyText"/>
              <w:jc w:val="both"/>
              <w:rPr>
                <w:b/>
              </w:rPr>
            </w:pPr>
            <w:r w:rsidRPr="004F7D0D">
              <w:rPr>
                <w:b/>
              </w:rPr>
              <w:t>Timeliness</w:t>
            </w:r>
          </w:p>
          <w:p w:rsidR="00EF3FD8" w:rsidRPr="004F7D0D" w:rsidRDefault="00EF3FD8" w:rsidP="00EF3FD8">
            <w:pPr>
              <w:pStyle w:val="TableBodyText"/>
              <w:jc w:val="both"/>
              <w:rPr>
                <w:b/>
              </w:rPr>
            </w:pPr>
          </w:p>
        </w:tc>
        <w:tc>
          <w:tcPr>
            <w:tcW w:w="6951" w:type="dxa"/>
          </w:tcPr>
          <w:p w:rsidR="00EF3FD8" w:rsidRPr="004F7D0D" w:rsidRDefault="00EF3FD8" w:rsidP="00EF3FD8">
            <w:pPr>
              <w:pStyle w:val="TableBodyText"/>
              <w:jc w:val="both"/>
              <w:rPr>
                <w:rFonts w:cs="Arial"/>
              </w:rPr>
            </w:pPr>
            <w:r w:rsidRPr="004F7D0D">
              <w:rPr>
                <w:rFonts w:cs="Arial"/>
              </w:rPr>
              <w:t xml:space="preserve">The reference period is from 1 April 2012 to 31 March 2013. </w:t>
            </w:r>
          </w:p>
          <w:p w:rsidR="00EF3FD8" w:rsidRPr="004F7D0D" w:rsidRDefault="00EF3FD8" w:rsidP="00EF3FD8">
            <w:pPr>
              <w:pStyle w:val="TableBodyText"/>
              <w:jc w:val="both"/>
              <w:rPr>
                <w:rFonts w:cs="Arial"/>
              </w:rPr>
            </w:pPr>
            <w:r w:rsidRPr="004F7D0D">
              <w:rPr>
                <w:rFonts w:cs="Arial"/>
              </w:rPr>
              <w:t xml:space="preserve">ACIR data are reported quarterly. </w:t>
            </w:r>
          </w:p>
          <w:p w:rsidR="00EF3FD8" w:rsidRPr="004F7D0D" w:rsidRDefault="00EF3FD8" w:rsidP="00EF3FD8">
            <w:pPr>
              <w:pStyle w:val="TableBodyText"/>
              <w:jc w:val="both"/>
              <w:rPr>
                <w:rFonts w:cs="Arial"/>
              </w:rPr>
            </w:pPr>
            <w:r w:rsidRPr="004F7D0D">
              <w:rPr>
                <w:rFonts w:cs="Arial"/>
              </w:rPr>
              <w:lastRenderedPageBreak/>
              <w:t>A minimum 3-month lag period is allowed for late notification of immunisations to ACIR.</w:t>
            </w:r>
          </w:p>
          <w:p w:rsidR="005F0D59" w:rsidRPr="004F7D0D" w:rsidRDefault="005F0D59" w:rsidP="00EF3FD8">
            <w:pPr>
              <w:pStyle w:val="TableBodyText"/>
              <w:jc w:val="both"/>
              <w:rPr>
                <w:rFonts w:cs="Arial"/>
              </w:rPr>
            </w:pPr>
          </w:p>
        </w:tc>
      </w:tr>
      <w:tr w:rsidR="004F7D0D" w:rsidRPr="004F7D0D" w:rsidTr="00F71BC3">
        <w:trPr>
          <w:trHeight w:val="567"/>
        </w:trPr>
        <w:tc>
          <w:tcPr>
            <w:tcW w:w="1869" w:type="dxa"/>
          </w:tcPr>
          <w:p w:rsidR="00EF3FD8" w:rsidRPr="004F7D0D" w:rsidRDefault="00EF3FD8" w:rsidP="00EF3FD8">
            <w:pPr>
              <w:pStyle w:val="TableBodyText"/>
              <w:jc w:val="both"/>
              <w:rPr>
                <w:b/>
              </w:rPr>
            </w:pPr>
            <w:r w:rsidRPr="004F7D0D">
              <w:rPr>
                <w:b/>
              </w:rPr>
              <w:lastRenderedPageBreak/>
              <w:t>Accuracy</w:t>
            </w:r>
          </w:p>
          <w:p w:rsidR="00EF3FD8" w:rsidRPr="004F7D0D" w:rsidRDefault="00EF3FD8" w:rsidP="00EF3FD8">
            <w:pPr>
              <w:pStyle w:val="TableBodyText"/>
              <w:jc w:val="both"/>
              <w:rPr>
                <w:b/>
              </w:rPr>
            </w:pPr>
          </w:p>
        </w:tc>
        <w:tc>
          <w:tcPr>
            <w:tcW w:w="6951" w:type="dxa"/>
          </w:tcPr>
          <w:p w:rsidR="00EF3FD8" w:rsidRPr="004F7D0D" w:rsidRDefault="00EF3FD8" w:rsidP="00EF3FD8">
            <w:pPr>
              <w:pStyle w:val="TableBodyText"/>
              <w:jc w:val="both"/>
              <w:rPr>
                <w:rFonts w:cs="Arial"/>
              </w:rPr>
            </w:pPr>
            <w:r w:rsidRPr="004F7D0D">
              <w:rPr>
                <w:rFonts w:cs="Arial"/>
              </w:rPr>
              <w:t xml:space="preserve">Vaccination coverage rates calculated using ACIR data are believed to underestimate actual vaccination rates because of under-reporting by immunisation providers. However, the extent of any under-reporting has not been estimated. </w:t>
            </w:r>
          </w:p>
          <w:p w:rsidR="00EF3FD8" w:rsidRPr="004F7D0D" w:rsidRDefault="00EF3FD8" w:rsidP="00EF3FD8">
            <w:pPr>
              <w:pStyle w:val="TableBodyText"/>
              <w:jc w:val="both"/>
              <w:rPr>
                <w:rFonts w:cs="Arial"/>
              </w:rPr>
            </w:pPr>
            <w:r w:rsidRPr="004F7D0D">
              <w:rPr>
                <w:rFonts w:cs="Arial"/>
              </w:rPr>
              <w:t>Programs, such as the General Practice Immunisation Incentive (</w:t>
            </w:r>
            <w:proofErr w:type="spellStart"/>
            <w:r w:rsidRPr="004F7D0D">
              <w:rPr>
                <w:rFonts w:cs="Arial"/>
              </w:rPr>
              <w:t>GPII</w:t>
            </w:r>
            <w:proofErr w:type="spellEnd"/>
            <w:r w:rsidRPr="004F7D0D">
              <w:rPr>
                <w:rFonts w:cs="Arial"/>
              </w:rPr>
              <w:t>), and provider incentive payments have helped minimise under-reporting by providing a financial incentive to report clean and accurate data.</w:t>
            </w:r>
          </w:p>
          <w:p w:rsidR="00EF3FD8" w:rsidRPr="004F7D0D" w:rsidRDefault="00EF3FD8" w:rsidP="00EF3FD8">
            <w:pPr>
              <w:pStyle w:val="TableBodyText"/>
              <w:jc w:val="both"/>
              <w:rPr>
                <w:rFonts w:cs="Arial"/>
              </w:rPr>
            </w:pPr>
            <w:r w:rsidRPr="004F7D0D">
              <w:rPr>
                <w:rFonts w:cs="Arial"/>
              </w:rPr>
              <w:t>The data contains minimal if any duplication of immunisations, as children are identified via their Medicare number. Approximately 99 per cent of children are registered with Medicare by 12 months of age.</w:t>
            </w:r>
          </w:p>
          <w:p w:rsidR="00EF3FD8" w:rsidRPr="004F7D0D" w:rsidRDefault="00EF3FD8" w:rsidP="00EF3FD8">
            <w:pPr>
              <w:pStyle w:val="TableBodyText"/>
              <w:jc w:val="both"/>
              <w:rPr>
                <w:rFonts w:cs="Arial"/>
              </w:rPr>
            </w:pPr>
            <w:r w:rsidRPr="004F7D0D">
              <w:rPr>
                <w:rFonts w:cs="Arial"/>
              </w:rPr>
              <w:t>The ACIR covers virtually all children, particularly because participation in the ACIR is via an ‘opt-out’ arrangement. Children enrolled in Medicare are automatically included on the ACIR. Children not enrolled in Medicare are included when an immunisation service provider sends details of an immunisation encounter to ACIR.</w:t>
            </w:r>
          </w:p>
          <w:p w:rsidR="005F0D59" w:rsidRPr="004F7D0D" w:rsidRDefault="005F0D59" w:rsidP="00EF3FD8">
            <w:pPr>
              <w:pStyle w:val="TableBodyText"/>
              <w:jc w:val="both"/>
              <w:rPr>
                <w:rFonts w:cs="Arial"/>
              </w:rPr>
            </w:pPr>
          </w:p>
        </w:tc>
      </w:tr>
      <w:tr w:rsidR="004F7D0D" w:rsidRPr="004F7D0D" w:rsidTr="00F71BC3">
        <w:trPr>
          <w:trHeight w:val="567"/>
        </w:trPr>
        <w:tc>
          <w:tcPr>
            <w:tcW w:w="1869" w:type="dxa"/>
          </w:tcPr>
          <w:p w:rsidR="00EF3FD8" w:rsidRPr="004F7D0D" w:rsidRDefault="00EF3FD8" w:rsidP="00EF3FD8">
            <w:pPr>
              <w:pStyle w:val="TableBodyText"/>
              <w:jc w:val="both"/>
              <w:rPr>
                <w:b/>
              </w:rPr>
            </w:pPr>
            <w:r w:rsidRPr="004F7D0D">
              <w:rPr>
                <w:b/>
              </w:rPr>
              <w:t>Coherence</w:t>
            </w:r>
          </w:p>
          <w:p w:rsidR="00EF3FD8" w:rsidRPr="004F7D0D" w:rsidRDefault="00EF3FD8" w:rsidP="00EF3FD8">
            <w:pPr>
              <w:pStyle w:val="TableBodyText"/>
              <w:jc w:val="both"/>
              <w:rPr>
                <w:b/>
              </w:rPr>
            </w:pPr>
          </w:p>
        </w:tc>
        <w:tc>
          <w:tcPr>
            <w:tcW w:w="6951" w:type="dxa"/>
          </w:tcPr>
          <w:p w:rsidR="00EF3FD8" w:rsidRPr="004F7D0D" w:rsidRDefault="00EF3FD8" w:rsidP="00EF3FD8">
            <w:pPr>
              <w:pStyle w:val="TableBodyText"/>
              <w:jc w:val="both"/>
              <w:rPr>
                <w:rFonts w:cs="Arial"/>
              </w:rPr>
            </w:pPr>
            <w:r w:rsidRPr="004F7D0D">
              <w:rPr>
                <w:rFonts w:cs="Arial"/>
              </w:rPr>
              <w:t>The numerators and denominators have been consistent since the inception of the ACIR in 1996.</w:t>
            </w:r>
          </w:p>
          <w:p w:rsidR="005F0D59" w:rsidRPr="004F7D0D" w:rsidRDefault="005F0D59" w:rsidP="00EF3FD8">
            <w:pPr>
              <w:pStyle w:val="TableBodyText"/>
              <w:jc w:val="both"/>
              <w:rPr>
                <w:rFonts w:cs="Arial"/>
              </w:rPr>
            </w:pPr>
          </w:p>
        </w:tc>
      </w:tr>
      <w:tr w:rsidR="004F7D0D" w:rsidRPr="004F7D0D" w:rsidTr="00F71BC3">
        <w:trPr>
          <w:trHeight w:val="567"/>
        </w:trPr>
        <w:tc>
          <w:tcPr>
            <w:tcW w:w="1869" w:type="dxa"/>
          </w:tcPr>
          <w:p w:rsidR="00EF3FD8" w:rsidRPr="004F7D0D" w:rsidRDefault="00EF3FD8" w:rsidP="00EF3FD8">
            <w:pPr>
              <w:pStyle w:val="TableBodyText"/>
              <w:jc w:val="both"/>
              <w:rPr>
                <w:b/>
              </w:rPr>
            </w:pPr>
            <w:r w:rsidRPr="004F7D0D">
              <w:rPr>
                <w:b/>
              </w:rPr>
              <w:t>Accessibility</w:t>
            </w:r>
          </w:p>
          <w:p w:rsidR="00EF3FD8" w:rsidRPr="004F7D0D" w:rsidRDefault="00EF3FD8" w:rsidP="00EF3FD8">
            <w:pPr>
              <w:pStyle w:val="TableBodyText"/>
              <w:jc w:val="both"/>
              <w:rPr>
                <w:b/>
              </w:rPr>
            </w:pPr>
          </w:p>
        </w:tc>
        <w:tc>
          <w:tcPr>
            <w:tcW w:w="6951" w:type="dxa"/>
          </w:tcPr>
          <w:p w:rsidR="00EF3FD8" w:rsidRPr="004F7D0D" w:rsidRDefault="00EF3FD8" w:rsidP="00EF3FD8">
            <w:pPr>
              <w:pStyle w:val="TableBodyText"/>
              <w:jc w:val="both"/>
            </w:pPr>
            <w:r w:rsidRPr="004F7D0D">
              <w:t xml:space="preserve">Medicare Australia publishes current immunisation coverage from the ACIR on its web site, </w:t>
            </w:r>
            <w:proofErr w:type="spellStart"/>
            <w:r w:rsidRPr="004F7D0D">
              <w:t>www.humanservices.gov.au</w:t>
            </w:r>
            <w:proofErr w:type="spellEnd"/>
            <w:r w:rsidRPr="004F7D0D">
              <w:t>. Authorised immunisation providers can access detailed reports via a secured area of the Medicare web site.</w:t>
            </w:r>
          </w:p>
          <w:p w:rsidR="00EF3FD8" w:rsidRPr="004F7D0D" w:rsidRDefault="00EF3FD8" w:rsidP="00EF3FD8">
            <w:pPr>
              <w:pStyle w:val="TableBodyText"/>
              <w:jc w:val="both"/>
            </w:pPr>
            <w:r w:rsidRPr="004F7D0D">
              <w:t>Immunisation coverage data derived from the ACIR have been reported in Communicable Disease Intelligence since early 1998. Data for 3 key milestone ages (12 months, 24 months and 5 years (6 years prior to 2008)), nationally and by jurisdiction are published quarterly. . NHPA has published immunisation coverage for 2011-2012 from derived ACIR data for the 3 key milestone ages. Standard coverage at the Medicare Local Statistical Area 3 and postcode catchments. Indigenous coverage at the Medicare Local catchment for the 3 key milestone ages.</w:t>
            </w:r>
          </w:p>
          <w:p w:rsidR="005F0D59" w:rsidRPr="004F7D0D" w:rsidRDefault="005F0D59" w:rsidP="00EF3FD8">
            <w:pPr>
              <w:pStyle w:val="TableBodyText"/>
              <w:jc w:val="both"/>
            </w:pPr>
          </w:p>
        </w:tc>
      </w:tr>
      <w:tr w:rsidR="004F7D0D" w:rsidRPr="004F7D0D" w:rsidTr="00F71BC3">
        <w:trPr>
          <w:trHeight w:val="567"/>
        </w:trPr>
        <w:tc>
          <w:tcPr>
            <w:tcW w:w="1869" w:type="dxa"/>
          </w:tcPr>
          <w:p w:rsidR="00EF3FD8" w:rsidRPr="004F7D0D" w:rsidRDefault="00EF3FD8" w:rsidP="00EF3FD8">
            <w:pPr>
              <w:pStyle w:val="TableBodyText"/>
              <w:jc w:val="both"/>
              <w:rPr>
                <w:b/>
              </w:rPr>
            </w:pPr>
            <w:r w:rsidRPr="004F7D0D">
              <w:rPr>
                <w:b/>
              </w:rPr>
              <w:t xml:space="preserve">Interpretability </w:t>
            </w:r>
          </w:p>
          <w:p w:rsidR="00EF3FD8" w:rsidRPr="004F7D0D" w:rsidRDefault="00EF3FD8" w:rsidP="00EF3FD8">
            <w:pPr>
              <w:pStyle w:val="TableBodyText"/>
              <w:jc w:val="both"/>
              <w:rPr>
                <w:b/>
              </w:rPr>
            </w:pPr>
          </w:p>
        </w:tc>
        <w:tc>
          <w:tcPr>
            <w:tcW w:w="6951" w:type="dxa"/>
          </w:tcPr>
          <w:p w:rsidR="00EF3FD8" w:rsidRPr="004F7D0D" w:rsidRDefault="00EF3FD8" w:rsidP="00EF3FD8">
            <w:pPr>
              <w:pStyle w:val="TableBodyText"/>
              <w:jc w:val="both"/>
            </w:pPr>
            <w:r w:rsidRPr="004F7D0D">
              <w:t>Further information on the ACIR can be found at: http://</w:t>
            </w:r>
            <w:proofErr w:type="spellStart"/>
            <w:r w:rsidRPr="004F7D0D">
              <w:t>www.humanservices.gov.au</w:t>
            </w:r>
            <w:proofErr w:type="spellEnd"/>
            <w:r w:rsidRPr="004F7D0D">
              <w:t>/public/services/</w:t>
            </w:r>
            <w:proofErr w:type="spellStart"/>
            <w:r w:rsidRPr="004F7D0D">
              <w:t>acir</w:t>
            </w:r>
            <w:proofErr w:type="spellEnd"/>
            <w:r w:rsidRPr="004F7D0D">
              <w:t>/</w:t>
            </w:r>
            <w:proofErr w:type="spellStart"/>
            <w:r w:rsidRPr="004F7D0D">
              <w:t>index.jsp</w:t>
            </w:r>
            <w:proofErr w:type="spellEnd"/>
          </w:p>
          <w:p w:rsidR="00EF3FD8" w:rsidRPr="004F7D0D" w:rsidRDefault="00EF3FD8" w:rsidP="00EF3FD8">
            <w:pPr>
              <w:pStyle w:val="TableBodyText"/>
              <w:jc w:val="both"/>
            </w:pPr>
            <w:r w:rsidRPr="004F7D0D">
              <w:t>Information on the National Immunisation Program and vaccinations can be found at http://</w:t>
            </w:r>
            <w:proofErr w:type="spellStart"/>
            <w:r w:rsidRPr="004F7D0D">
              <w:t>www.immunise.health.gov.au</w:t>
            </w:r>
            <w:proofErr w:type="spellEnd"/>
            <w:r w:rsidRPr="004F7D0D">
              <w:t>/</w:t>
            </w:r>
          </w:p>
        </w:tc>
      </w:tr>
    </w:tbl>
    <w:p w:rsidR="00851A84" w:rsidRPr="004F7D0D" w:rsidRDefault="00E92976" w:rsidP="004D609B">
      <w:pPr>
        <w:pStyle w:val="Heading2"/>
      </w:pPr>
      <w:r w:rsidRPr="004F7D0D">
        <w:br w:type="page"/>
      </w:r>
      <w:r w:rsidR="004D609B" w:rsidRPr="004F7D0D">
        <w:lastRenderedPageBreak/>
        <w:t>References</w:t>
      </w:r>
    </w:p>
    <w:p w:rsidR="009D3684" w:rsidRDefault="00414FB5" w:rsidP="00414FB5">
      <w:pPr>
        <w:pStyle w:val="Reference"/>
      </w:pPr>
      <w:r w:rsidRPr="004F7D0D">
        <w:t xml:space="preserve">COAG (Council of Australian Governments) </w:t>
      </w:r>
      <w:r w:rsidR="009D3684" w:rsidRPr="004F7D0D">
        <w:rPr>
          <w:szCs w:val="26"/>
        </w:rPr>
        <w:t xml:space="preserve">2011, </w:t>
      </w:r>
      <w:r w:rsidR="009D3684" w:rsidRPr="004F7D0D">
        <w:rPr>
          <w:i/>
          <w:szCs w:val="26"/>
        </w:rPr>
        <w:t>Intergovernmental Agreement on Federal Financial Relations</w:t>
      </w:r>
      <w:r w:rsidR="009D3684" w:rsidRPr="004F7D0D">
        <w:rPr>
          <w:szCs w:val="26"/>
        </w:rPr>
        <w:t>, www.</w:t>
      </w:r>
      <w:r w:rsidR="009D3684" w:rsidRPr="004F7D0D">
        <w:t>federalfinancialrelations</w:t>
      </w:r>
      <w:r w:rsidR="009D3684" w:rsidRPr="004F7D0D">
        <w:rPr>
          <w:szCs w:val="26"/>
        </w:rPr>
        <w:t xml:space="preserve">.gov.au/content/intergovernmental_agreements.aspx (accessed </w:t>
      </w:r>
      <w:r w:rsidR="009D3684" w:rsidRPr="004F7D0D">
        <w:t>28</w:t>
      </w:r>
      <w:r w:rsidR="009D3684" w:rsidRPr="004F7D0D">
        <w:rPr>
          <w:szCs w:val="26"/>
        </w:rPr>
        <w:t xml:space="preserve"> August 2011).</w:t>
      </w:r>
    </w:p>
    <w:p w:rsidR="00414FB5" w:rsidRPr="004F7D0D" w:rsidRDefault="009D3684" w:rsidP="00C42AA0">
      <w:pPr>
        <w:pStyle w:val="Reference"/>
        <w:tabs>
          <w:tab w:val="left" w:pos="709"/>
        </w:tabs>
      </w:pPr>
      <w:r w:rsidRPr="009D3684">
        <w:t>—</w:t>
      </w:r>
      <w:r>
        <w:t>—</w:t>
      </w:r>
      <w:r w:rsidR="00C42AA0">
        <w:tab/>
      </w:r>
      <w:proofErr w:type="spellStart"/>
      <w:r w:rsidR="00414FB5" w:rsidRPr="004F7D0D">
        <w:t>2009</w:t>
      </w:r>
      <w:r w:rsidR="006613B8" w:rsidRPr="004F7D0D">
        <w:t>a</w:t>
      </w:r>
      <w:proofErr w:type="spellEnd"/>
      <w:r w:rsidR="00414FB5" w:rsidRPr="004F7D0D">
        <w:t xml:space="preserve">, </w:t>
      </w:r>
      <w:r w:rsidR="00414FB5" w:rsidRPr="004F7D0D">
        <w:rPr>
          <w:i/>
        </w:rPr>
        <w:t>COAG Communiqué 30 April 2009</w:t>
      </w:r>
      <w:r w:rsidR="00C42AA0">
        <w:t xml:space="preserve">, </w:t>
      </w:r>
      <w:proofErr w:type="spellStart"/>
      <w:r w:rsidR="00414FB5" w:rsidRPr="004F7D0D">
        <w:t>www.coag.gov.au</w:t>
      </w:r>
      <w:proofErr w:type="spellEnd"/>
      <w:r w:rsidR="00414FB5" w:rsidRPr="004F7D0D">
        <w:t>/</w:t>
      </w:r>
      <w:proofErr w:type="spellStart"/>
      <w:r w:rsidR="00414FB5" w:rsidRPr="004F7D0D">
        <w:t>coag_meeting_outcomes</w:t>
      </w:r>
      <w:proofErr w:type="spellEnd"/>
      <w:r w:rsidR="00414FB5" w:rsidRPr="004F7D0D">
        <w:t>/2009-04-30/docs/20090430 _</w:t>
      </w:r>
      <w:proofErr w:type="spellStart"/>
      <w:r w:rsidR="00414FB5" w:rsidRPr="004F7D0D">
        <w:t>communique.pdf</w:t>
      </w:r>
      <w:proofErr w:type="spellEnd"/>
      <w:r w:rsidR="00414FB5" w:rsidRPr="004F7D0D">
        <w:t xml:space="preserve"> (accessed 12 April 2010).</w:t>
      </w:r>
    </w:p>
    <w:p w:rsidR="00414FB5" w:rsidRPr="004F7D0D" w:rsidRDefault="009D3684" w:rsidP="009D3684">
      <w:pPr>
        <w:pStyle w:val="Reference"/>
      </w:pPr>
      <w:r w:rsidRPr="009D3684">
        <w:t>—</w:t>
      </w:r>
      <w:r>
        <w:t xml:space="preserve">— </w:t>
      </w:r>
      <w:proofErr w:type="spellStart"/>
      <w:r w:rsidR="00414FB5" w:rsidRPr="004F7D0D">
        <w:t>2009</w:t>
      </w:r>
      <w:r w:rsidR="00BC6573" w:rsidRPr="004F7D0D">
        <w:t>b</w:t>
      </w:r>
      <w:proofErr w:type="spellEnd"/>
      <w:r w:rsidR="00414FB5" w:rsidRPr="004F7D0D">
        <w:t xml:space="preserve">, </w:t>
      </w:r>
      <w:r w:rsidR="00414FB5" w:rsidRPr="004F7D0D">
        <w:rPr>
          <w:i/>
        </w:rPr>
        <w:t>National Partnership Agreement on the Essential Vaccines</w:t>
      </w:r>
      <w:r w:rsidR="00414FB5" w:rsidRPr="004F7D0D">
        <w:t xml:space="preserve">, http://www.federalfinancialrelations.gov.au/content/national_partnership_agreements/HE001/National_Partnerhsip_agreement_on_Essential_Vaccines.pdf (accessed </w:t>
      </w:r>
      <w:r w:rsidR="004D2117" w:rsidRPr="004F7D0D">
        <w:t>1 September 2010</w:t>
      </w:r>
      <w:r w:rsidR="00414FB5" w:rsidRPr="004F7D0D">
        <w:t xml:space="preserve">). </w:t>
      </w:r>
    </w:p>
    <w:p w:rsidR="00414FB5" w:rsidRPr="004F7D0D" w:rsidRDefault="00414FB5" w:rsidP="009D3684">
      <w:pPr>
        <w:pStyle w:val="Reference"/>
      </w:pPr>
      <w:r w:rsidRPr="004F7D0D">
        <w:t xml:space="preserve">CRC (COAG Reform Council) unpublished (a), </w:t>
      </w:r>
      <w:r w:rsidRPr="004F7D0D">
        <w:rPr>
          <w:i/>
        </w:rPr>
        <w:t xml:space="preserve">Matrix of performance information: National Partnership Agreement on </w:t>
      </w:r>
      <w:r w:rsidR="004D2117" w:rsidRPr="004F7D0D">
        <w:rPr>
          <w:i/>
        </w:rPr>
        <w:t>Essential Vaccines</w:t>
      </w:r>
      <w:r w:rsidRPr="004F7D0D">
        <w:t xml:space="preserve">, </w:t>
      </w:r>
      <w:r w:rsidR="00ED4B65" w:rsidRPr="004F7D0D">
        <w:t>March </w:t>
      </w:r>
      <w:r w:rsidR="004D2117" w:rsidRPr="004F7D0D">
        <w:t>2011</w:t>
      </w:r>
      <w:r w:rsidR="00ED32EB" w:rsidRPr="004F7D0D">
        <w:t>.</w:t>
      </w:r>
    </w:p>
    <w:p w:rsidR="00B563B0" w:rsidRPr="004F7D0D" w:rsidRDefault="00414FB5" w:rsidP="00414FB5">
      <w:pPr>
        <w:pStyle w:val="Reference"/>
      </w:pPr>
      <w:r w:rsidRPr="004F7D0D">
        <w:t xml:space="preserve">—— unpublished (b), </w:t>
      </w:r>
      <w:r w:rsidRPr="004F7D0D">
        <w:rPr>
          <w:i/>
        </w:rPr>
        <w:t>National Partnerships with reward funding: Assessment framework</w:t>
      </w:r>
      <w:r w:rsidRPr="004F7D0D">
        <w:t xml:space="preserve">, </w:t>
      </w:r>
      <w:r w:rsidR="0043445A" w:rsidRPr="004F7D0D">
        <w:t>September 2011</w:t>
      </w:r>
      <w:r w:rsidRPr="004F7D0D">
        <w:t>.</w:t>
      </w:r>
    </w:p>
    <w:p w:rsidR="004D609B" w:rsidRPr="004F7D0D" w:rsidRDefault="004D609B" w:rsidP="004D609B">
      <w:pPr>
        <w:pStyle w:val="Heading2"/>
      </w:pPr>
      <w:r w:rsidRPr="004F7D0D">
        <w:br w:type="page"/>
      </w:r>
      <w:r w:rsidRPr="004F7D0D">
        <w:lastRenderedPageBreak/>
        <w:t>Acronyms and abbreviations</w:t>
      </w:r>
    </w:p>
    <w:p w:rsidR="0022220B" w:rsidRPr="004F7D0D" w:rsidRDefault="001A3174" w:rsidP="0022220B">
      <w:pPr>
        <w:pStyle w:val="Abbreviation"/>
      </w:pPr>
      <w:r w:rsidRPr="004F7D0D">
        <w:t>ACIR</w:t>
      </w:r>
      <w:r w:rsidRPr="004F7D0D">
        <w:tab/>
      </w:r>
      <w:r w:rsidR="0022220B" w:rsidRPr="004F7D0D">
        <w:t>Australian Childhood Immunisation Register</w:t>
      </w:r>
    </w:p>
    <w:p w:rsidR="001A3174" w:rsidRPr="004F7D0D" w:rsidRDefault="001A3174" w:rsidP="001A3174">
      <w:pPr>
        <w:pStyle w:val="Abbreviation"/>
      </w:pPr>
      <w:r w:rsidRPr="004F7D0D">
        <w:t>ACT</w:t>
      </w:r>
      <w:r w:rsidRPr="004F7D0D">
        <w:tab/>
      </w:r>
      <w:smartTag w:uri="urn:schemas-microsoft-com:office:smarttags" w:element="State">
        <w:smartTag w:uri="urn:schemas-microsoft-com:office:smarttags" w:element="place">
          <w:r w:rsidRPr="004F7D0D">
            <w:t>Australian Capital Territory</w:t>
          </w:r>
        </w:smartTag>
      </w:smartTag>
    </w:p>
    <w:p w:rsidR="001A3174" w:rsidRPr="004F7D0D" w:rsidRDefault="001A3174" w:rsidP="001A3174">
      <w:pPr>
        <w:pStyle w:val="Abbreviation"/>
      </w:pPr>
      <w:r w:rsidRPr="004F7D0D">
        <w:t>Aust</w:t>
      </w:r>
      <w:r w:rsidRPr="004F7D0D">
        <w:tab/>
      </w:r>
      <w:smartTag w:uri="urn:schemas-microsoft-com:office:smarttags" w:element="place">
        <w:smartTag w:uri="urn:schemas-microsoft-com:office:smarttags" w:element="country-region">
          <w:r w:rsidRPr="004F7D0D">
            <w:t>Australia</w:t>
          </w:r>
        </w:smartTag>
      </w:smartTag>
    </w:p>
    <w:p w:rsidR="001A3174" w:rsidRPr="004F7D0D" w:rsidRDefault="001A3174" w:rsidP="001A3174">
      <w:pPr>
        <w:pStyle w:val="Abbreviation"/>
      </w:pPr>
      <w:r w:rsidRPr="004F7D0D">
        <w:t>COAG</w:t>
      </w:r>
      <w:r w:rsidRPr="004F7D0D">
        <w:tab/>
      </w:r>
      <w:r w:rsidR="0022220B" w:rsidRPr="004F7D0D">
        <w:t>Council of Australian Governments</w:t>
      </w:r>
    </w:p>
    <w:p w:rsidR="0022220B" w:rsidRPr="004F7D0D" w:rsidRDefault="001A3174" w:rsidP="001A3174">
      <w:pPr>
        <w:pStyle w:val="Abbreviation"/>
      </w:pPr>
      <w:r w:rsidRPr="004F7D0D">
        <w:t>CRC</w:t>
      </w:r>
      <w:r w:rsidRPr="004F7D0D">
        <w:tab/>
      </w:r>
      <w:r w:rsidR="0022220B" w:rsidRPr="004F7D0D">
        <w:t>COAG Reform Council</w:t>
      </w:r>
    </w:p>
    <w:p w:rsidR="001A3174" w:rsidRPr="004F7D0D" w:rsidRDefault="0022220B" w:rsidP="001A3174">
      <w:pPr>
        <w:pStyle w:val="Abbreviation"/>
      </w:pPr>
      <w:r w:rsidRPr="004F7D0D">
        <w:t>DGP</w:t>
      </w:r>
      <w:r w:rsidRPr="004F7D0D">
        <w:tab/>
        <w:t>Division of General Practice</w:t>
      </w:r>
    </w:p>
    <w:p w:rsidR="001A3174" w:rsidRPr="004F7D0D" w:rsidRDefault="001A3174" w:rsidP="001A3174">
      <w:pPr>
        <w:pStyle w:val="Abbreviation"/>
      </w:pPr>
      <w:smartTag w:uri="urn:schemas-microsoft-com:office:smarttags" w:element="place">
        <w:smartTag w:uri="urn:schemas-microsoft-com:office:smarttags" w:element="City">
          <w:r w:rsidRPr="004F7D0D">
            <w:t>DoHA</w:t>
          </w:r>
        </w:smartTag>
      </w:smartTag>
      <w:r w:rsidRPr="004F7D0D">
        <w:tab/>
      </w:r>
      <w:r w:rsidR="0022220B" w:rsidRPr="004F7D0D">
        <w:t>Department of Health and Ageing</w:t>
      </w:r>
    </w:p>
    <w:p w:rsidR="0022220B" w:rsidRPr="004F7D0D" w:rsidRDefault="001A3174" w:rsidP="001A3174">
      <w:pPr>
        <w:pStyle w:val="Abbreviation"/>
      </w:pPr>
      <w:r w:rsidRPr="004F7D0D">
        <w:t>DQS</w:t>
      </w:r>
      <w:r w:rsidRPr="004F7D0D">
        <w:tab/>
      </w:r>
      <w:r w:rsidR="0022220B" w:rsidRPr="004F7D0D">
        <w:t>Data quality statement</w:t>
      </w:r>
    </w:p>
    <w:p w:rsidR="00560798" w:rsidRPr="004F7D0D" w:rsidRDefault="0022220B" w:rsidP="001A3174">
      <w:pPr>
        <w:pStyle w:val="Abbreviation"/>
      </w:pPr>
      <w:r w:rsidRPr="004F7D0D">
        <w:t>GPII</w:t>
      </w:r>
      <w:r w:rsidRPr="004F7D0D">
        <w:tab/>
        <w:t>General Practice Immunisation Incentive</w:t>
      </w:r>
    </w:p>
    <w:p w:rsidR="001A3174" w:rsidRPr="004F7D0D" w:rsidRDefault="001A3174" w:rsidP="001A3174">
      <w:pPr>
        <w:pStyle w:val="Abbreviation"/>
      </w:pPr>
      <w:r w:rsidRPr="004F7D0D">
        <w:t>IGA</w:t>
      </w:r>
      <w:r w:rsidRPr="004F7D0D">
        <w:tab/>
      </w:r>
      <w:r w:rsidR="0022220B" w:rsidRPr="004F7D0D">
        <w:t>Intergovernmental Agreement</w:t>
      </w:r>
      <w:r w:rsidR="00ED4B65" w:rsidRPr="004F7D0D">
        <w:t xml:space="preserve"> on Federal Financial Relations</w:t>
      </w:r>
    </w:p>
    <w:p w:rsidR="001A3174" w:rsidRPr="004F7D0D" w:rsidRDefault="001A3174" w:rsidP="001A3174">
      <w:pPr>
        <w:pStyle w:val="Abbreviation"/>
      </w:pPr>
      <w:r w:rsidRPr="004F7D0D">
        <w:t>LGA</w:t>
      </w:r>
      <w:r w:rsidRPr="004F7D0D">
        <w:tab/>
      </w:r>
      <w:r w:rsidR="0022220B" w:rsidRPr="004F7D0D">
        <w:t>Local Government Area</w:t>
      </w:r>
    </w:p>
    <w:p w:rsidR="0022220B" w:rsidRPr="004F7D0D" w:rsidRDefault="001A3174" w:rsidP="001A3174">
      <w:pPr>
        <w:pStyle w:val="Abbreviation"/>
      </w:pPr>
      <w:r w:rsidRPr="004F7D0D">
        <w:t>NA</w:t>
      </w:r>
      <w:r w:rsidRPr="004F7D0D">
        <w:tab/>
      </w:r>
      <w:r w:rsidR="0022220B" w:rsidRPr="004F7D0D">
        <w:t>National Agreement</w:t>
      </w:r>
    </w:p>
    <w:p w:rsidR="002F0EA7" w:rsidRPr="004F7D0D" w:rsidRDefault="002F0EA7" w:rsidP="001A3174">
      <w:pPr>
        <w:pStyle w:val="Abbreviation"/>
      </w:pPr>
      <w:r w:rsidRPr="004F7D0D">
        <w:t>NHPA</w:t>
      </w:r>
      <w:r w:rsidRPr="004F7D0D">
        <w:tab/>
        <w:t>National Health Performance Authority</w:t>
      </w:r>
    </w:p>
    <w:p w:rsidR="001A3174" w:rsidRPr="004F7D0D" w:rsidRDefault="0022220B" w:rsidP="001A3174">
      <w:pPr>
        <w:pStyle w:val="Abbreviation"/>
      </w:pPr>
      <w:r w:rsidRPr="004F7D0D">
        <w:t>NIP</w:t>
      </w:r>
      <w:r w:rsidRPr="004F7D0D">
        <w:tab/>
        <w:t>National Immunisation Program</w:t>
      </w:r>
    </w:p>
    <w:p w:rsidR="001A3174" w:rsidRPr="004F7D0D" w:rsidRDefault="001A3174" w:rsidP="001A3174">
      <w:pPr>
        <w:pStyle w:val="Abbreviation"/>
      </w:pPr>
      <w:r w:rsidRPr="004F7D0D">
        <w:t>NP</w:t>
      </w:r>
      <w:r w:rsidRPr="004F7D0D">
        <w:tab/>
      </w:r>
      <w:r w:rsidR="0022220B" w:rsidRPr="004F7D0D">
        <w:t>National Partnership</w:t>
      </w:r>
    </w:p>
    <w:p w:rsidR="001A3174" w:rsidRPr="004F7D0D" w:rsidRDefault="001A3174" w:rsidP="001A3174">
      <w:pPr>
        <w:pStyle w:val="Abbreviation"/>
      </w:pPr>
      <w:r w:rsidRPr="004F7D0D">
        <w:t>NSW</w:t>
      </w:r>
      <w:r w:rsidRPr="004F7D0D">
        <w:tab/>
      </w:r>
      <w:smartTag w:uri="urn:schemas-microsoft-com:office:smarttags" w:element="place">
        <w:smartTag w:uri="urn:schemas-microsoft-com:office:smarttags" w:element="State">
          <w:r w:rsidRPr="004F7D0D">
            <w:t>New South Wales</w:t>
          </w:r>
        </w:smartTag>
      </w:smartTag>
    </w:p>
    <w:p w:rsidR="001A3174" w:rsidRPr="004F7D0D" w:rsidRDefault="001A3174" w:rsidP="001A3174">
      <w:pPr>
        <w:pStyle w:val="Abbreviation"/>
      </w:pPr>
      <w:r w:rsidRPr="004F7D0D">
        <w:t>NT</w:t>
      </w:r>
      <w:r w:rsidRPr="004F7D0D">
        <w:tab/>
      </w:r>
      <w:smartTag w:uri="urn:schemas-microsoft-com:office:smarttags" w:element="place">
        <w:smartTag w:uri="urn:schemas-microsoft-com:office:smarttags" w:element="State">
          <w:r w:rsidRPr="004F7D0D">
            <w:t>Northern Territory</w:t>
          </w:r>
        </w:smartTag>
      </w:smartTag>
    </w:p>
    <w:p w:rsidR="001A3174" w:rsidRPr="004F7D0D" w:rsidRDefault="001A3174" w:rsidP="001A3174">
      <w:pPr>
        <w:pStyle w:val="Abbreviation"/>
      </w:pPr>
      <w:r w:rsidRPr="004F7D0D">
        <w:t>Qld</w:t>
      </w:r>
      <w:r w:rsidRPr="004F7D0D">
        <w:tab/>
      </w:r>
      <w:smartTag w:uri="urn:schemas-microsoft-com:office:smarttags" w:element="place">
        <w:smartTag w:uri="urn:schemas-microsoft-com:office:smarttags" w:element="State">
          <w:r w:rsidRPr="004F7D0D">
            <w:t>Queensland</w:t>
          </w:r>
        </w:smartTag>
      </w:smartTag>
    </w:p>
    <w:p w:rsidR="001A3174" w:rsidRPr="004F7D0D" w:rsidRDefault="001A3174" w:rsidP="001A3174">
      <w:pPr>
        <w:pStyle w:val="Abbreviation"/>
      </w:pPr>
      <w:r w:rsidRPr="004F7D0D">
        <w:t>SA</w:t>
      </w:r>
      <w:r w:rsidRPr="004F7D0D">
        <w:tab/>
        <w:t>South Australia</w:t>
      </w:r>
    </w:p>
    <w:p w:rsidR="00B2121C" w:rsidRPr="004F7D0D" w:rsidRDefault="00B2121C" w:rsidP="001A3174">
      <w:pPr>
        <w:pStyle w:val="Abbreviation"/>
      </w:pPr>
      <w:r w:rsidRPr="004F7D0D">
        <w:t>SCFFR</w:t>
      </w:r>
      <w:r w:rsidRPr="004F7D0D">
        <w:tab/>
        <w:t xml:space="preserve">Standing Council </w:t>
      </w:r>
      <w:r w:rsidR="005F0D59" w:rsidRPr="004F7D0D">
        <w:t>on</w:t>
      </w:r>
      <w:r w:rsidRPr="004F7D0D">
        <w:t xml:space="preserve"> Federal Financial Relations</w:t>
      </w:r>
    </w:p>
    <w:p w:rsidR="001A3174" w:rsidRPr="004F7D0D" w:rsidRDefault="001A3174" w:rsidP="001A3174">
      <w:pPr>
        <w:pStyle w:val="Abbreviation"/>
      </w:pPr>
      <w:r w:rsidRPr="004F7D0D">
        <w:t>SPP</w:t>
      </w:r>
      <w:r w:rsidRPr="004F7D0D">
        <w:tab/>
      </w:r>
      <w:r w:rsidR="0022220B" w:rsidRPr="004F7D0D">
        <w:t>Specific Purpose Payment</w:t>
      </w:r>
    </w:p>
    <w:p w:rsidR="001A3174" w:rsidRPr="004F7D0D" w:rsidRDefault="001A3174" w:rsidP="001A3174">
      <w:pPr>
        <w:pStyle w:val="Abbreviation"/>
      </w:pPr>
      <w:r w:rsidRPr="004F7D0D">
        <w:t>Tas</w:t>
      </w:r>
      <w:r w:rsidRPr="004F7D0D">
        <w:tab/>
      </w:r>
      <w:smartTag w:uri="urn:schemas-microsoft-com:office:smarttags" w:element="place">
        <w:smartTag w:uri="urn:schemas-microsoft-com:office:smarttags" w:element="State">
          <w:r w:rsidRPr="004F7D0D">
            <w:t>Tasmania</w:t>
          </w:r>
        </w:smartTag>
      </w:smartTag>
    </w:p>
    <w:p w:rsidR="001A3174" w:rsidRPr="004F7D0D" w:rsidRDefault="001A3174" w:rsidP="001A3174">
      <w:pPr>
        <w:pStyle w:val="Abbreviation"/>
      </w:pPr>
      <w:r w:rsidRPr="004F7D0D">
        <w:t>Vic</w:t>
      </w:r>
      <w:r w:rsidRPr="004F7D0D">
        <w:tab/>
      </w:r>
      <w:smartTag w:uri="urn:schemas-microsoft-com:office:smarttags" w:element="place">
        <w:smartTag w:uri="urn:schemas-microsoft-com:office:smarttags" w:element="State">
          <w:r w:rsidRPr="004F7D0D">
            <w:t>Victoria</w:t>
          </w:r>
        </w:smartTag>
      </w:smartTag>
    </w:p>
    <w:p w:rsidR="001A3174" w:rsidRPr="004F7D0D" w:rsidRDefault="001A3174" w:rsidP="001A3174">
      <w:pPr>
        <w:pStyle w:val="Abbreviation"/>
      </w:pPr>
      <w:r w:rsidRPr="004F7D0D">
        <w:t>WA</w:t>
      </w:r>
      <w:r w:rsidRPr="004F7D0D">
        <w:tab/>
      </w:r>
      <w:smartTag w:uri="urn:schemas-microsoft-com:office:smarttags" w:element="place">
        <w:smartTag w:uri="urn:schemas-microsoft-com:office:smarttags" w:element="State">
          <w:r w:rsidRPr="004F7D0D">
            <w:t>Western Australia</w:t>
          </w:r>
        </w:smartTag>
      </w:smartTag>
    </w:p>
    <w:p w:rsidR="001A3174" w:rsidRPr="004F7D0D" w:rsidRDefault="001A3174" w:rsidP="004D609B">
      <w:pPr>
        <w:pStyle w:val="BodyText"/>
      </w:pPr>
    </w:p>
    <w:sectPr w:rsidR="001A3174" w:rsidRPr="004F7D0D" w:rsidSect="00471C3A">
      <w:headerReference w:type="even" r:id="rId30"/>
      <w:footerReference w:type="even" r:id="rId31"/>
      <w:footerReference w:type="default" r:id="rId32"/>
      <w:type w:val="oddPage"/>
      <w:pgSz w:w="11907" w:h="16840" w:code="9"/>
      <w:pgMar w:top="1985" w:right="1304" w:bottom="1418" w:left="1814" w:header="1701" w:footer="567" w:gutter="0"/>
      <w:pgNumType w:start="1" w:chapSep="period"/>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81C" w:rsidRDefault="009A581C">
      <w:r>
        <w:separator/>
      </w:r>
    </w:p>
  </w:endnote>
  <w:endnote w:type="continuationSeparator" w:id="0">
    <w:p w:rsidR="009A581C" w:rsidRDefault="009A5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bertus Medium">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81C" w:rsidRDefault="009A581C">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510"/>
      <w:gridCol w:w="1644"/>
      <w:gridCol w:w="6634"/>
    </w:tblGrid>
    <w:tr w:rsidR="009A581C" w:rsidTr="0019293B">
      <w:trPr>
        <w:trHeight w:hRule="exact" w:val="740"/>
      </w:trPr>
      <w:tc>
        <w:tcPr>
          <w:tcW w:w="510" w:type="dxa"/>
          <w:tcBorders>
            <w:top w:val="single" w:sz="6" w:space="0" w:color="auto"/>
          </w:tcBorders>
        </w:tcPr>
        <w:p w:rsidR="009A581C" w:rsidRDefault="009A581C" w:rsidP="0019293B">
          <w:pPr>
            <w:pStyle w:val="Footer"/>
            <w:tabs>
              <w:tab w:val="left" w:pos="0"/>
            </w:tabs>
            <w:ind w:right="0"/>
            <w:rPr>
              <w:rStyle w:val="PageNumber"/>
            </w:rPr>
          </w:pPr>
          <w:r>
            <w:rPr>
              <w:rStyle w:val="PageNumber"/>
            </w:rPr>
            <w:fldChar w:fldCharType="begin"/>
          </w:r>
          <w:r>
            <w:rPr>
              <w:rStyle w:val="PageNumber"/>
            </w:rPr>
            <w:instrText xml:space="preserve">PAGE  </w:instrText>
          </w:r>
          <w:r>
            <w:rPr>
              <w:rStyle w:val="PageNumber"/>
            </w:rPr>
            <w:fldChar w:fldCharType="separate"/>
          </w:r>
          <w:r w:rsidR="005A6B09">
            <w:rPr>
              <w:rStyle w:val="PageNumber"/>
              <w:noProof/>
            </w:rPr>
            <w:t>24</w:t>
          </w:r>
          <w:r>
            <w:rPr>
              <w:rStyle w:val="PageNumber"/>
            </w:rPr>
            <w:fldChar w:fldCharType="end"/>
          </w:r>
        </w:p>
      </w:tc>
      <w:tc>
        <w:tcPr>
          <w:tcW w:w="1644" w:type="dxa"/>
          <w:tcBorders>
            <w:top w:val="single" w:sz="6" w:space="0" w:color="auto"/>
          </w:tcBorders>
        </w:tcPr>
        <w:p w:rsidR="009A581C" w:rsidRDefault="009A581C" w:rsidP="008554F9">
          <w:pPr>
            <w:pStyle w:val="Footer"/>
          </w:pPr>
          <w:proofErr w:type="spellStart"/>
          <w:r>
            <w:t>SCRGSP</w:t>
          </w:r>
          <w:proofErr w:type="spellEnd"/>
          <w:r>
            <w:t xml:space="preserve"> REPORT TO CRC MaY 2013</w:t>
          </w:r>
        </w:p>
      </w:tc>
      <w:tc>
        <w:tcPr>
          <w:tcW w:w="6634" w:type="dxa"/>
        </w:tcPr>
        <w:p w:rsidR="009A581C" w:rsidRDefault="009A581C" w:rsidP="0019293B">
          <w:pPr>
            <w:pStyle w:val="Footer"/>
          </w:pPr>
        </w:p>
      </w:tc>
    </w:tr>
  </w:tbl>
  <w:p w:rsidR="009A581C" w:rsidRDefault="009A581C" w:rsidP="0019293B">
    <w:pPr>
      <w:pStyle w:val="FooterEnd"/>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6120"/>
      <w:gridCol w:w="2158"/>
      <w:gridCol w:w="510"/>
    </w:tblGrid>
    <w:tr w:rsidR="009A581C" w:rsidTr="00B92AC8">
      <w:trPr>
        <w:trHeight w:hRule="exact" w:val="740"/>
      </w:trPr>
      <w:tc>
        <w:tcPr>
          <w:tcW w:w="6120" w:type="dxa"/>
        </w:tcPr>
        <w:p w:rsidR="009A581C" w:rsidRDefault="009A581C">
          <w:pPr>
            <w:pStyle w:val="Footer"/>
            <w:ind w:right="360" w:firstLine="360"/>
          </w:pPr>
        </w:p>
      </w:tc>
      <w:tc>
        <w:tcPr>
          <w:tcW w:w="2158" w:type="dxa"/>
          <w:tcBorders>
            <w:top w:val="single" w:sz="6" w:space="0" w:color="auto"/>
          </w:tcBorders>
        </w:tcPr>
        <w:p w:rsidR="009A581C" w:rsidRDefault="009A581C">
          <w:pPr>
            <w:pStyle w:val="Footer"/>
          </w:pPr>
          <w:r>
            <w:t>ESSENTIAL VACCINES NP</w:t>
          </w:r>
        </w:p>
      </w:tc>
      <w:tc>
        <w:tcPr>
          <w:tcW w:w="510" w:type="dxa"/>
          <w:tcBorders>
            <w:top w:val="single" w:sz="6" w:space="0" w:color="auto"/>
          </w:tcBorders>
        </w:tcPr>
        <w:p w:rsidR="009A581C" w:rsidRDefault="009A581C">
          <w:pPr>
            <w:pStyle w:val="Footer"/>
            <w:jc w:val="right"/>
          </w:pPr>
          <w:r>
            <w:rPr>
              <w:rStyle w:val="PageNumber"/>
            </w:rPr>
            <w:fldChar w:fldCharType="begin"/>
          </w:r>
          <w:r>
            <w:rPr>
              <w:rStyle w:val="PageNumber"/>
            </w:rPr>
            <w:instrText xml:space="preserve">PAGE  </w:instrText>
          </w:r>
          <w:r>
            <w:rPr>
              <w:rStyle w:val="PageNumber"/>
            </w:rPr>
            <w:fldChar w:fldCharType="separate"/>
          </w:r>
          <w:r w:rsidR="005A6B09">
            <w:rPr>
              <w:rStyle w:val="PageNumber"/>
              <w:noProof/>
            </w:rPr>
            <w:t>23</w:t>
          </w:r>
          <w:r>
            <w:rPr>
              <w:rStyle w:val="PageNumber"/>
            </w:rPr>
            <w:fldChar w:fldCharType="end"/>
          </w:r>
        </w:p>
      </w:tc>
    </w:tr>
  </w:tbl>
  <w:p w:rsidR="009A581C" w:rsidRDefault="009A581C">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81C" w:rsidRDefault="009A581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81C" w:rsidRDefault="009A581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81C" w:rsidRDefault="009A581C">
    <w:pPr>
      <w:pStyle w:val="FooterEn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6480"/>
      <w:gridCol w:w="1798"/>
      <w:gridCol w:w="510"/>
    </w:tblGrid>
    <w:tr w:rsidR="009A581C">
      <w:trPr>
        <w:trHeight w:hRule="exact" w:val="740"/>
      </w:trPr>
      <w:tc>
        <w:tcPr>
          <w:tcW w:w="6480" w:type="dxa"/>
        </w:tcPr>
        <w:p w:rsidR="009A581C" w:rsidRDefault="009A581C">
          <w:pPr>
            <w:pStyle w:val="Footer"/>
          </w:pPr>
        </w:p>
      </w:tc>
      <w:tc>
        <w:tcPr>
          <w:tcW w:w="1798" w:type="dxa"/>
          <w:tcBorders>
            <w:top w:val="single" w:sz="6" w:space="0" w:color="auto"/>
          </w:tcBorders>
        </w:tcPr>
        <w:p w:rsidR="009A581C" w:rsidRDefault="00CF0671">
          <w:pPr>
            <w:pStyle w:val="Footer"/>
            <w:rPr>
              <w:rStyle w:val="PageNumber"/>
              <w:b w:val="0"/>
            </w:rPr>
          </w:pPr>
          <w:r>
            <w:fldChar w:fldCharType="begin"/>
          </w:r>
          <w:r>
            <w:instrText xml:space="preserve"> STYLEREF "Heading 1" \* MERGEFORMAT </w:instrText>
          </w:r>
          <w:r>
            <w:fldChar w:fldCharType="separate"/>
          </w:r>
          <w:r w:rsidR="005A6B09">
            <w:rPr>
              <w:noProof/>
            </w:rPr>
            <w:t>This Report</w:t>
          </w:r>
          <w:r>
            <w:rPr>
              <w:noProof/>
            </w:rPr>
            <w:fldChar w:fldCharType="end"/>
          </w:r>
        </w:p>
      </w:tc>
      <w:tc>
        <w:tcPr>
          <w:tcW w:w="510" w:type="dxa"/>
          <w:tcBorders>
            <w:top w:val="single" w:sz="6" w:space="0" w:color="auto"/>
          </w:tcBorders>
        </w:tcPr>
        <w:p w:rsidR="009A581C" w:rsidRPr="00B4787B" w:rsidRDefault="009A581C" w:rsidP="001655C5">
          <w:pPr>
            <w:pStyle w:val="PartTitle"/>
            <w:spacing w:before="80" w:after="200" w:line="200" w:lineRule="exact"/>
            <w:ind w:right="6"/>
            <w:rPr>
              <w:rStyle w:val="PageNumber"/>
              <w:smallCaps w:val="0"/>
            </w:rPr>
          </w:pPr>
          <w:r w:rsidRPr="00B4787B">
            <w:rPr>
              <w:rStyle w:val="PageNumber"/>
              <w:smallCaps w:val="0"/>
            </w:rPr>
            <w:fldChar w:fldCharType="begin"/>
          </w:r>
          <w:r w:rsidRPr="00B4787B">
            <w:rPr>
              <w:rStyle w:val="PageNumber"/>
              <w:smallCaps w:val="0"/>
            </w:rPr>
            <w:instrText xml:space="preserve">PAGE  </w:instrText>
          </w:r>
          <w:r w:rsidRPr="00B4787B">
            <w:rPr>
              <w:rStyle w:val="PageNumber"/>
              <w:smallCaps w:val="0"/>
            </w:rPr>
            <w:fldChar w:fldCharType="separate"/>
          </w:r>
          <w:r w:rsidR="005A6B09">
            <w:rPr>
              <w:rStyle w:val="PageNumber"/>
              <w:smallCaps w:val="0"/>
              <w:noProof/>
            </w:rPr>
            <w:t>v</w:t>
          </w:r>
          <w:r w:rsidRPr="00B4787B">
            <w:rPr>
              <w:rStyle w:val="PageNumber"/>
              <w:smallCaps w:val="0"/>
            </w:rPr>
            <w:fldChar w:fldCharType="end"/>
          </w:r>
        </w:p>
      </w:tc>
    </w:tr>
  </w:tbl>
  <w:p w:rsidR="009A581C" w:rsidRDefault="009A581C">
    <w:pPr>
      <w:pStyle w:val="FooterEnd"/>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81C" w:rsidRDefault="009A581C">
    <w:pPr>
      <w:pStyle w:val="FooterEnd"/>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6480"/>
      <w:gridCol w:w="1798"/>
      <w:gridCol w:w="510"/>
    </w:tblGrid>
    <w:tr w:rsidR="009A581C">
      <w:trPr>
        <w:trHeight w:hRule="exact" w:val="740"/>
      </w:trPr>
      <w:tc>
        <w:tcPr>
          <w:tcW w:w="6480" w:type="dxa"/>
        </w:tcPr>
        <w:p w:rsidR="009A581C" w:rsidRDefault="009A581C">
          <w:pPr>
            <w:pStyle w:val="Footer"/>
          </w:pPr>
        </w:p>
      </w:tc>
      <w:tc>
        <w:tcPr>
          <w:tcW w:w="1798" w:type="dxa"/>
          <w:tcBorders>
            <w:top w:val="single" w:sz="6" w:space="0" w:color="auto"/>
          </w:tcBorders>
        </w:tcPr>
        <w:p w:rsidR="009A581C" w:rsidRDefault="00CF0671">
          <w:pPr>
            <w:pStyle w:val="Footer"/>
            <w:rPr>
              <w:rStyle w:val="PageNumber"/>
              <w:b w:val="0"/>
            </w:rPr>
          </w:pPr>
          <w:r>
            <w:fldChar w:fldCharType="begin"/>
          </w:r>
          <w:r>
            <w:instrText xml:space="preserve"> STYLEREF "Heading 1" \* MERGEFORMAT </w:instrText>
          </w:r>
          <w:r>
            <w:fldChar w:fldCharType="separate"/>
          </w:r>
          <w:r w:rsidR="007A7C76">
            <w:rPr>
              <w:noProof/>
            </w:rPr>
            <w:t>Steering Committee</w:t>
          </w:r>
          <w:r>
            <w:rPr>
              <w:noProof/>
            </w:rPr>
            <w:fldChar w:fldCharType="end"/>
          </w:r>
        </w:p>
      </w:tc>
      <w:tc>
        <w:tcPr>
          <w:tcW w:w="510" w:type="dxa"/>
          <w:tcBorders>
            <w:top w:val="single" w:sz="6" w:space="0" w:color="auto"/>
          </w:tcBorders>
        </w:tcPr>
        <w:p w:rsidR="009A581C" w:rsidRPr="00B4787B" w:rsidRDefault="009A581C" w:rsidP="001655C5">
          <w:pPr>
            <w:pStyle w:val="PartTitle"/>
            <w:spacing w:before="80" w:after="200" w:line="200" w:lineRule="exact"/>
            <w:ind w:right="6"/>
            <w:rPr>
              <w:rStyle w:val="PageNumber"/>
              <w:smallCaps w:val="0"/>
            </w:rPr>
          </w:pPr>
          <w:r w:rsidRPr="00B4787B">
            <w:rPr>
              <w:rStyle w:val="PageNumber"/>
              <w:smallCaps w:val="0"/>
            </w:rPr>
            <w:fldChar w:fldCharType="begin"/>
          </w:r>
          <w:r w:rsidRPr="00B4787B">
            <w:rPr>
              <w:rStyle w:val="PageNumber"/>
              <w:smallCaps w:val="0"/>
            </w:rPr>
            <w:instrText xml:space="preserve">PAGE  </w:instrText>
          </w:r>
          <w:r w:rsidRPr="00B4787B">
            <w:rPr>
              <w:rStyle w:val="PageNumber"/>
              <w:smallCaps w:val="0"/>
            </w:rPr>
            <w:fldChar w:fldCharType="separate"/>
          </w:r>
          <w:r w:rsidR="007A7C76">
            <w:rPr>
              <w:rStyle w:val="PageNumber"/>
              <w:smallCaps w:val="0"/>
              <w:noProof/>
            </w:rPr>
            <w:t>vii</w:t>
          </w:r>
          <w:r w:rsidRPr="00B4787B">
            <w:rPr>
              <w:rStyle w:val="PageNumber"/>
              <w:smallCaps w:val="0"/>
            </w:rPr>
            <w:fldChar w:fldCharType="end"/>
          </w:r>
        </w:p>
      </w:tc>
    </w:tr>
  </w:tbl>
  <w:p w:rsidR="009A581C" w:rsidRDefault="009A581C">
    <w:pPr>
      <w:pStyle w:val="FooterEnd"/>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510"/>
      <w:gridCol w:w="1644"/>
      <w:gridCol w:w="6634"/>
    </w:tblGrid>
    <w:tr w:rsidR="009A581C" w:rsidTr="003C431D">
      <w:trPr>
        <w:trHeight w:hRule="exact" w:val="740"/>
      </w:trPr>
      <w:tc>
        <w:tcPr>
          <w:tcW w:w="510" w:type="dxa"/>
        </w:tcPr>
        <w:p w:rsidR="009A581C" w:rsidRDefault="009A581C" w:rsidP="0019293B">
          <w:pPr>
            <w:pStyle w:val="Footer"/>
            <w:tabs>
              <w:tab w:val="left" w:pos="0"/>
            </w:tabs>
            <w:ind w:right="0"/>
            <w:rPr>
              <w:rStyle w:val="PageNumber"/>
            </w:rPr>
          </w:pPr>
        </w:p>
      </w:tc>
      <w:tc>
        <w:tcPr>
          <w:tcW w:w="1644" w:type="dxa"/>
        </w:tcPr>
        <w:p w:rsidR="009A581C" w:rsidRDefault="009A581C" w:rsidP="008554F9">
          <w:pPr>
            <w:pStyle w:val="Footer"/>
          </w:pPr>
        </w:p>
      </w:tc>
      <w:tc>
        <w:tcPr>
          <w:tcW w:w="6634" w:type="dxa"/>
        </w:tcPr>
        <w:p w:rsidR="009A581C" w:rsidRDefault="009A581C" w:rsidP="0019293B">
          <w:pPr>
            <w:pStyle w:val="Footer"/>
          </w:pPr>
        </w:p>
      </w:tc>
    </w:tr>
  </w:tbl>
  <w:p w:rsidR="009A581C" w:rsidRDefault="009A581C" w:rsidP="0019293B">
    <w:pPr>
      <w:pStyle w:val="FooterEnd"/>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6120"/>
      <w:gridCol w:w="2158"/>
      <w:gridCol w:w="510"/>
    </w:tblGrid>
    <w:tr w:rsidR="009A581C" w:rsidTr="00B92AC8">
      <w:trPr>
        <w:trHeight w:hRule="exact" w:val="740"/>
      </w:trPr>
      <w:tc>
        <w:tcPr>
          <w:tcW w:w="6120" w:type="dxa"/>
        </w:tcPr>
        <w:p w:rsidR="009A581C" w:rsidRDefault="009A581C">
          <w:pPr>
            <w:pStyle w:val="Footer"/>
            <w:ind w:right="360" w:firstLine="360"/>
          </w:pPr>
        </w:p>
      </w:tc>
      <w:tc>
        <w:tcPr>
          <w:tcW w:w="2158" w:type="dxa"/>
          <w:tcBorders>
            <w:top w:val="single" w:sz="6" w:space="0" w:color="auto"/>
          </w:tcBorders>
        </w:tcPr>
        <w:p w:rsidR="009A581C" w:rsidRDefault="009A581C">
          <w:pPr>
            <w:pStyle w:val="Footer"/>
          </w:pPr>
          <w:r>
            <w:t>contents</w:t>
          </w:r>
        </w:p>
      </w:tc>
      <w:tc>
        <w:tcPr>
          <w:tcW w:w="510" w:type="dxa"/>
          <w:tcBorders>
            <w:top w:val="single" w:sz="6" w:space="0" w:color="auto"/>
          </w:tcBorders>
        </w:tcPr>
        <w:p w:rsidR="009A581C" w:rsidRPr="00546778" w:rsidRDefault="009A581C">
          <w:pPr>
            <w:pStyle w:val="Footer"/>
            <w:jc w:val="right"/>
            <w:rPr>
              <w:caps w:val="0"/>
            </w:rPr>
          </w:pPr>
          <w:r w:rsidRPr="00546778">
            <w:rPr>
              <w:rFonts w:eastAsiaTheme="minorEastAsia"/>
              <w:caps w:val="0"/>
            </w:rPr>
            <w:t>ix</w:t>
          </w:r>
        </w:p>
      </w:tc>
    </w:tr>
  </w:tbl>
  <w:p w:rsidR="009A581C" w:rsidRDefault="009A581C">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81C" w:rsidRDefault="009A581C">
      <w:r>
        <w:separator/>
      </w:r>
    </w:p>
  </w:footnote>
  <w:footnote w:type="continuationSeparator" w:id="0">
    <w:p w:rsidR="009A581C" w:rsidRDefault="009A58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81C" w:rsidRDefault="009A581C">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9A581C" w:rsidTr="0019293B">
      <w:tc>
        <w:tcPr>
          <w:tcW w:w="2155" w:type="dxa"/>
          <w:tcBorders>
            <w:top w:val="single" w:sz="24" w:space="0" w:color="auto"/>
          </w:tcBorders>
        </w:tcPr>
        <w:p w:rsidR="009A581C" w:rsidRDefault="009A581C" w:rsidP="00D51D1F">
          <w:pPr>
            <w:pStyle w:val="HeaderEven"/>
          </w:pPr>
        </w:p>
      </w:tc>
      <w:tc>
        <w:tcPr>
          <w:tcW w:w="6634" w:type="dxa"/>
          <w:tcBorders>
            <w:top w:val="single" w:sz="6" w:space="0" w:color="auto"/>
          </w:tcBorders>
        </w:tcPr>
        <w:p w:rsidR="009A581C" w:rsidRDefault="009A581C" w:rsidP="0019293B">
          <w:pPr>
            <w:pStyle w:val="HeaderEven"/>
          </w:pPr>
        </w:p>
      </w:tc>
    </w:tr>
  </w:tbl>
  <w:p w:rsidR="009A581C" w:rsidRDefault="009A581C" w:rsidP="0019293B">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81C" w:rsidRDefault="009A581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81C" w:rsidRDefault="009A581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81C" w:rsidRDefault="009A581C">
    <w:pPr>
      <w:pStyle w:val="HeaderEn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9A581C">
      <w:tc>
        <w:tcPr>
          <w:tcW w:w="6634" w:type="dxa"/>
          <w:tcBorders>
            <w:top w:val="single" w:sz="6" w:space="0" w:color="auto"/>
          </w:tcBorders>
        </w:tcPr>
        <w:p w:rsidR="009A581C" w:rsidRDefault="009A581C">
          <w:pPr>
            <w:pStyle w:val="HeaderOdd"/>
          </w:pPr>
        </w:p>
      </w:tc>
      <w:tc>
        <w:tcPr>
          <w:tcW w:w="2155" w:type="dxa"/>
          <w:tcBorders>
            <w:top w:val="single" w:sz="24" w:space="0" w:color="auto"/>
          </w:tcBorders>
        </w:tcPr>
        <w:p w:rsidR="009A581C" w:rsidRDefault="009A581C">
          <w:pPr>
            <w:pStyle w:val="HeaderOdd"/>
          </w:pPr>
        </w:p>
      </w:tc>
    </w:tr>
  </w:tbl>
  <w:p w:rsidR="009A581C" w:rsidRDefault="009A581C">
    <w:pPr>
      <w:pStyle w:val="HeaderEn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81C" w:rsidRDefault="009A581C">
    <w:pPr>
      <w:pStyle w:val="HeaderEnd"/>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9A581C">
      <w:tc>
        <w:tcPr>
          <w:tcW w:w="6634" w:type="dxa"/>
          <w:tcBorders>
            <w:top w:val="single" w:sz="6" w:space="0" w:color="auto"/>
          </w:tcBorders>
        </w:tcPr>
        <w:p w:rsidR="009A581C" w:rsidRDefault="009A581C">
          <w:pPr>
            <w:pStyle w:val="HeaderOdd"/>
          </w:pPr>
        </w:p>
      </w:tc>
      <w:tc>
        <w:tcPr>
          <w:tcW w:w="2155" w:type="dxa"/>
          <w:tcBorders>
            <w:top w:val="single" w:sz="24" w:space="0" w:color="auto"/>
          </w:tcBorders>
        </w:tcPr>
        <w:p w:rsidR="009A581C" w:rsidRDefault="009A581C">
          <w:pPr>
            <w:pStyle w:val="HeaderOdd"/>
          </w:pPr>
        </w:p>
      </w:tc>
    </w:tr>
  </w:tbl>
  <w:p w:rsidR="009A581C" w:rsidRDefault="009A581C">
    <w:pPr>
      <w:pStyle w:val="HeaderEnd"/>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9A581C" w:rsidTr="003C431D">
      <w:tc>
        <w:tcPr>
          <w:tcW w:w="2155" w:type="dxa"/>
        </w:tcPr>
        <w:p w:rsidR="009A581C" w:rsidRDefault="009A581C" w:rsidP="00D51D1F">
          <w:pPr>
            <w:pStyle w:val="HeaderEven"/>
          </w:pPr>
        </w:p>
      </w:tc>
      <w:tc>
        <w:tcPr>
          <w:tcW w:w="6634" w:type="dxa"/>
        </w:tcPr>
        <w:p w:rsidR="009A581C" w:rsidRDefault="009A581C" w:rsidP="0019293B">
          <w:pPr>
            <w:pStyle w:val="HeaderEven"/>
          </w:pPr>
        </w:p>
      </w:tc>
    </w:tr>
  </w:tbl>
  <w:p w:rsidR="009A581C" w:rsidRDefault="009A581C" w:rsidP="0019293B">
    <w:pPr>
      <w:pStyle w:val="HeaderEnd"/>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9A581C" w:rsidTr="00E669E2">
      <w:tc>
        <w:tcPr>
          <w:tcW w:w="6634" w:type="dxa"/>
          <w:tcBorders>
            <w:top w:val="single" w:sz="6" w:space="0" w:color="auto"/>
          </w:tcBorders>
        </w:tcPr>
        <w:p w:rsidR="009A581C" w:rsidRDefault="009A581C" w:rsidP="00E669E2">
          <w:pPr>
            <w:pStyle w:val="HeaderOdd"/>
          </w:pPr>
        </w:p>
      </w:tc>
      <w:tc>
        <w:tcPr>
          <w:tcW w:w="2155" w:type="dxa"/>
          <w:tcBorders>
            <w:top w:val="single" w:sz="24" w:space="0" w:color="auto"/>
          </w:tcBorders>
        </w:tcPr>
        <w:p w:rsidR="009A581C" w:rsidRDefault="009A581C" w:rsidP="00881736">
          <w:pPr>
            <w:pStyle w:val="HeaderOdd"/>
          </w:pPr>
        </w:p>
      </w:tc>
    </w:tr>
  </w:tbl>
  <w:p w:rsidR="009A581C" w:rsidRDefault="009A581C"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52B88"/>
    <w:multiLevelType w:val="hybridMultilevel"/>
    <w:tmpl w:val="5E0ED756"/>
    <w:lvl w:ilvl="0" w:tplc="0C090001">
      <w:start w:val="1"/>
      <w:numFmt w:val="bullet"/>
      <w:lvlText w:val=""/>
      <w:lvlJc w:val="left"/>
      <w:pPr>
        <w:ind w:left="726" w:hanging="360"/>
      </w:pPr>
      <w:rPr>
        <w:rFonts w:ascii="Symbol" w:hAnsi="Symbol" w:hint="default"/>
      </w:rPr>
    </w:lvl>
    <w:lvl w:ilvl="1" w:tplc="0C090003" w:tentative="1">
      <w:start w:val="1"/>
      <w:numFmt w:val="bullet"/>
      <w:lvlText w:val="o"/>
      <w:lvlJc w:val="left"/>
      <w:pPr>
        <w:ind w:left="1446" w:hanging="360"/>
      </w:pPr>
      <w:rPr>
        <w:rFonts w:ascii="Courier New" w:hAnsi="Courier New" w:cs="Courier New" w:hint="default"/>
      </w:rPr>
    </w:lvl>
    <w:lvl w:ilvl="2" w:tplc="0C090005" w:tentative="1">
      <w:start w:val="1"/>
      <w:numFmt w:val="bullet"/>
      <w:lvlText w:val=""/>
      <w:lvlJc w:val="left"/>
      <w:pPr>
        <w:ind w:left="2166" w:hanging="360"/>
      </w:pPr>
      <w:rPr>
        <w:rFonts w:ascii="Wingdings" w:hAnsi="Wingdings" w:hint="default"/>
      </w:rPr>
    </w:lvl>
    <w:lvl w:ilvl="3" w:tplc="0C090001" w:tentative="1">
      <w:start w:val="1"/>
      <w:numFmt w:val="bullet"/>
      <w:lvlText w:val=""/>
      <w:lvlJc w:val="left"/>
      <w:pPr>
        <w:ind w:left="2886" w:hanging="360"/>
      </w:pPr>
      <w:rPr>
        <w:rFonts w:ascii="Symbol" w:hAnsi="Symbol" w:hint="default"/>
      </w:rPr>
    </w:lvl>
    <w:lvl w:ilvl="4" w:tplc="0C090003" w:tentative="1">
      <w:start w:val="1"/>
      <w:numFmt w:val="bullet"/>
      <w:lvlText w:val="o"/>
      <w:lvlJc w:val="left"/>
      <w:pPr>
        <w:ind w:left="3606" w:hanging="360"/>
      </w:pPr>
      <w:rPr>
        <w:rFonts w:ascii="Courier New" w:hAnsi="Courier New" w:cs="Courier New" w:hint="default"/>
      </w:rPr>
    </w:lvl>
    <w:lvl w:ilvl="5" w:tplc="0C090005" w:tentative="1">
      <w:start w:val="1"/>
      <w:numFmt w:val="bullet"/>
      <w:lvlText w:val=""/>
      <w:lvlJc w:val="left"/>
      <w:pPr>
        <w:ind w:left="4326" w:hanging="360"/>
      </w:pPr>
      <w:rPr>
        <w:rFonts w:ascii="Wingdings" w:hAnsi="Wingdings" w:hint="default"/>
      </w:rPr>
    </w:lvl>
    <w:lvl w:ilvl="6" w:tplc="0C090001" w:tentative="1">
      <w:start w:val="1"/>
      <w:numFmt w:val="bullet"/>
      <w:lvlText w:val=""/>
      <w:lvlJc w:val="left"/>
      <w:pPr>
        <w:ind w:left="5046" w:hanging="360"/>
      </w:pPr>
      <w:rPr>
        <w:rFonts w:ascii="Symbol" w:hAnsi="Symbol" w:hint="default"/>
      </w:rPr>
    </w:lvl>
    <w:lvl w:ilvl="7" w:tplc="0C090003" w:tentative="1">
      <w:start w:val="1"/>
      <w:numFmt w:val="bullet"/>
      <w:lvlText w:val="o"/>
      <w:lvlJc w:val="left"/>
      <w:pPr>
        <w:ind w:left="5766" w:hanging="360"/>
      </w:pPr>
      <w:rPr>
        <w:rFonts w:ascii="Courier New" w:hAnsi="Courier New" w:cs="Courier New" w:hint="default"/>
      </w:rPr>
    </w:lvl>
    <w:lvl w:ilvl="8" w:tplc="0C090005" w:tentative="1">
      <w:start w:val="1"/>
      <w:numFmt w:val="bullet"/>
      <w:lvlText w:val=""/>
      <w:lvlJc w:val="left"/>
      <w:pPr>
        <w:ind w:left="6486" w:hanging="360"/>
      </w:pPr>
      <w:rPr>
        <w:rFonts w:ascii="Wingdings" w:hAnsi="Wingdings" w:hint="default"/>
      </w:rPr>
    </w:lvl>
  </w:abstractNum>
  <w:abstractNum w:abstractNumId="1">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047A7C39"/>
    <w:multiLevelType w:val="singleLevel"/>
    <w:tmpl w:val="080ADBB6"/>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3">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4">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1174448A"/>
    <w:multiLevelType w:val="hybridMultilevel"/>
    <w:tmpl w:val="CC321AAA"/>
    <w:lvl w:ilvl="0" w:tplc="E968FB9A">
      <w:start w:val="81"/>
      <w:numFmt w:val="bullet"/>
      <w:lvlText w:val="—"/>
      <w:lvlJc w:val="left"/>
      <w:pPr>
        <w:ind w:left="870" w:hanging="51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8">
    <w:nsid w:val="23FF358D"/>
    <w:multiLevelType w:val="singleLevel"/>
    <w:tmpl w:val="2278E24C"/>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9">
    <w:nsid w:val="241F7755"/>
    <w:multiLevelType w:val="hybridMultilevel"/>
    <w:tmpl w:val="4232041E"/>
    <w:lvl w:ilvl="0" w:tplc="30BADA96">
      <w:start w:val="5"/>
      <w:numFmt w:val="bullet"/>
      <w:lvlText w:val="—"/>
      <w:lvlJc w:val="left"/>
      <w:pPr>
        <w:ind w:left="870" w:hanging="51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F6A2665"/>
    <w:multiLevelType w:val="hybridMultilevel"/>
    <w:tmpl w:val="B0C641AA"/>
    <w:lvl w:ilvl="0" w:tplc="04B4BE50">
      <w:start w:val="5"/>
      <w:numFmt w:val="bullet"/>
      <w:lvlText w:val="—"/>
      <w:lvlJc w:val="left"/>
      <w:pPr>
        <w:ind w:left="870" w:hanging="51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2">
    <w:nsid w:val="44995435"/>
    <w:multiLevelType w:val="hybridMultilevel"/>
    <w:tmpl w:val="08E6DBA2"/>
    <w:lvl w:ilvl="0" w:tplc="0C09000F">
      <w:start w:val="1"/>
      <w:numFmt w:val="decimal"/>
      <w:lvlText w:val="%1."/>
      <w:lvlJc w:val="left"/>
      <w:pPr>
        <w:tabs>
          <w:tab w:val="num" w:pos="720"/>
        </w:tabs>
        <w:ind w:left="720" w:hanging="360"/>
      </w:pPr>
    </w:lvl>
    <w:lvl w:ilvl="1" w:tplc="E8244A68">
      <w:start w:val="1"/>
      <w:numFmt w:val="bullet"/>
      <w:lvlText w:val=""/>
      <w:lvlJc w:val="left"/>
      <w:pPr>
        <w:tabs>
          <w:tab w:val="num" w:pos="1440"/>
        </w:tabs>
        <w:ind w:left="1440" w:hanging="360"/>
      </w:pPr>
      <w:rPr>
        <w:rFonts w:ascii="Wingdings" w:hAnsi="Wingding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nsid w:val="4C3B25EF"/>
    <w:multiLevelType w:val="hybridMultilevel"/>
    <w:tmpl w:val="C7021AA4"/>
    <w:lvl w:ilvl="0" w:tplc="875C7F72">
      <w:start w:val="5"/>
      <w:numFmt w:val="bullet"/>
      <w:lvlText w:val="—"/>
      <w:lvlJc w:val="left"/>
      <w:pPr>
        <w:ind w:left="870" w:hanging="51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5">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6">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7">
    <w:nsid w:val="643516F3"/>
    <w:multiLevelType w:val="singleLevel"/>
    <w:tmpl w:val="96689D62"/>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18">
    <w:nsid w:val="6D8F56BF"/>
    <w:multiLevelType w:val="hybridMultilevel"/>
    <w:tmpl w:val="29E6E2BC"/>
    <w:lvl w:ilvl="0" w:tplc="A8FC6424">
      <w:start w:val="5"/>
      <w:numFmt w:val="bullet"/>
      <w:lvlText w:val="—"/>
      <w:lvlJc w:val="left"/>
      <w:pPr>
        <w:ind w:left="870" w:hanging="51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1"/>
  </w:num>
  <w:num w:numId="2">
    <w:abstractNumId w:val="3"/>
  </w:num>
  <w:num w:numId="3">
    <w:abstractNumId w:val="19"/>
  </w:num>
  <w:num w:numId="4">
    <w:abstractNumId w:val="1"/>
  </w:num>
  <w:num w:numId="5">
    <w:abstractNumId w:val="14"/>
  </w:num>
  <w:num w:numId="6">
    <w:abstractNumId w:val="2"/>
  </w:num>
  <w:num w:numId="7">
    <w:abstractNumId w:val="17"/>
  </w:num>
  <w:num w:numId="8">
    <w:abstractNumId w:val="16"/>
  </w:num>
  <w:num w:numId="9">
    <w:abstractNumId w:val="20"/>
  </w:num>
  <w:num w:numId="10">
    <w:abstractNumId w:val="7"/>
  </w:num>
  <w:num w:numId="11">
    <w:abstractNumId w:val="15"/>
  </w:num>
  <w:num w:numId="12">
    <w:abstractNumId w:val="5"/>
  </w:num>
  <w:num w:numId="13">
    <w:abstractNumId w:val="4"/>
  </w:num>
  <w:num w:numId="14">
    <w:abstractNumId w:val="8"/>
  </w:num>
  <w:num w:numId="15">
    <w:abstractNumId w:val="12"/>
  </w:num>
  <w:num w:numId="16">
    <w:abstractNumId w:val="0"/>
  </w:num>
  <w:num w:numId="17">
    <w:abstractNumId w:val="6"/>
  </w:num>
  <w:num w:numId="18">
    <w:abstractNumId w:val="10"/>
  </w:num>
  <w:num w:numId="19">
    <w:abstractNumId w:val="13"/>
  </w:num>
  <w:num w:numId="20">
    <w:abstractNumId w:val="18"/>
  </w:num>
  <w:num w:numId="21">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lickAndTypeStyle w:val="BodyText"/>
  <w:evenAndOddHeaders/>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indingOptions" w:val="1"/>
    <w:docVar w:name="RecOptions" w:val="111"/>
    <w:docVar w:name="ShortChapterTitle" w:val="Chapter"/>
    <w:docVar w:name="ShortReportTitle" w:val="Report"/>
  </w:docVars>
  <w:rsids>
    <w:rsidRoot w:val="00224F71"/>
    <w:rsid w:val="00000A5E"/>
    <w:rsid w:val="0000128B"/>
    <w:rsid w:val="00006A67"/>
    <w:rsid w:val="00006F05"/>
    <w:rsid w:val="0001236F"/>
    <w:rsid w:val="00013C00"/>
    <w:rsid w:val="00025B1C"/>
    <w:rsid w:val="00026FCA"/>
    <w:rsid w:val="0003034B"/>
    <w:rsid w:val="0003664B"/>
    <w:rsid w:val="0004111F"/>
    <w:rsid w:val="00041CC1"/>
    <w:rsid w:val="000525AF"/>
    <w:rsid w:val="00053780"/>
    <w:rsid w:val="0005446E"/>
    <w:rsid w:val="00056FCF"/>
    <w:rsid w:val="00061BCA"/>
    <w:rsid w:val="00062FD3"/>
    <w:rsid w:val="00065353"/>
    <w:rsid w:val="0006692B"/>
    <w:rsid w:val="00066FAB"/>
    <w:rsid w:val="0007150B"/>
    <w:rsid w:val="000715F2"/>
    <w:rsid w:val="0007545A"/>
    <w:rsid w:val="00080AF9"/>
    <w:rsid w:val="0008118A"/>
    <w:rsid w:val="0008445A"/>
    <w:rsid w:val="00086A7A"/>
    <w:rsid w:val="00091C33"/>
    <w:rsid w:val="000938F5"/>
    <w:rsid w:val="000A08D5"/>
    <w:rsid w:val="000A3C64"/>
    <w:rsid w:val="000A7DDD"/>
    <w:rsid w:val="000B601B"/>
    <w:rsid w:val="000B7151"/>
    <w:rsid w:val="000C07A3"/>
    <w:rsid w:val="000C207E"/>
    <w:rsid w:val="000C2B66"/>
    <w:rsid w:val="000C2E23"/>
    <w:rsid w:val="000C32DD"/>
    <w:rsid w:val="000C4EF0"/>
    <w:rsid w:val="000C7567"/>
    <w:rsid w:val="000C7FFA"/>
    <w:rsid w:val="000D40C1"/>
    <w:rsid w:val="000D6C74"/>
    <w:rsid w:val="000E23E9"/>
    <w:rsid w:val="000E3438"/>
    <w:rsid w:val="000F160C"/>
    <w:rsid w:val="000F7214"/>
    <w:rsid w:val="00106FA3"/>
    <w:rsid w:val="00107251"/>
    <w:rsid w:val="00107979"/>
    <w:rsid w:val="00110116"/>
    <w:rsid w:val="00115EAC"/>
    <w:rsid w:val="00117F55"/>
    <w:rsid w:val="00122BAE"/>
    <w:rsid w:val="00126EB8"/>
    <w:rsid w:val="0013460D"/>
    <w:rsid w:val="001363AA"/>
    <w:rsid w:val="0014024A"/>
    <w:rsid w:val="00140FD0"/>
    <w:rsid w:val="001427B7"/>
    <w:rsid w:val="001524FA"/>
    <w:rsid w:val="001563BA"/>
    <w:rsid w:val="00157B28"/>
    <w:rsid w:val="0016346D"/>
    <w:rsid w:val="001655C5"/>
    <w:rsid w:val="0017195E"/>
    <w:rsid w:val="00171C8E"/>
    <w:rsid w:val="0017617F"/>
    <w:rsid w:val="00180815"/>
    <w:rsid w:val="00190A6C"/>
    <w:rsid w:val="00191F5A"/>
    <w:rsid w:val="0019293B"/>
    <w:rsid w:val="001A00BD"/>
    <w:rsid w:val="001A3174"/>
    <w:rsid w:val="001B0311"/>
    <w:rsid w:val="001B4D11"/>
    <w:rsid w:val="001C0865"/>
    <w:rsid w:val="001C3ABA"/>
    <w:rsid w:val="001D2D9D"/>
    <w:rsid w:val="001D35B6"/>
    <w:rsid w:val="001E2C8D"/>
    <w:rsid w:val="001E4A0A"/>
    <w:rsid w:val="001E739C"/>
    <w:rsid w:val="001E7BE8"/>
    <w:rsid w:val="001F0248"/>
    <w:rsid w:val="00201563"/>
    <w:rsid w:val="00202C2C"/>
    <w:rsid w:val="00212733"/>
    <w:rsid w:val="0022220B"/>
    <w:rsid w:val="00222514"/>
    <w:rsid w:val="00224F71"/>
    <w:rsid w:val="00225991"/>
    <w:rsid w:val="00226E15"/>
    <w:rsid w:val="0023038B"/>
    <w:rsid w:val="002313AC"/>
    <w:rsid w:val="00233EE3"/>
    <w:rsid w:val="002356D4"/>
    <w:rsid w:val="00236838"/>
    <w:rsid w:val="00237FC8"/>
    <w:rsid w:val="00242279"/>
    <w:rsid w:val="00253D5F"/>
    <w:rsid w:val="00260A01"/>
    <w:rsid w:val="00272CF9"/>
    <w:rsid w:val="00273347"/>
    <w:rsid w:val="0028404E"/>
    <w:rsid w:val="002842FF"/>
    <w:rsid w:val="00291B40"/>
    <w:rsid w:val="0029216E"/>
    <w:rsid w:val="00293C28"/>
    <w:rsid w:val="00297F2F"/>
    <w:rsid w:val="002A1024"/>
    <w:rsid w:val="002A2E91"/>
    <w:rsid w:val="002B350E"/>
    <w:rsid w:val="002B4008"/>
    <w:rsid w:val="002C1C0C"/>
    <w:rsid w:val="002C20BF"/>
    <w:rsid w:val="002C31C8"/>
    <w:rsid w:val="002C3B9E"/>
    <w:rsid w:val="002C6BB2"/>
    <w:rsid w:val="002D0E8E"/>
    <w:rsid w:val="002D546D"/>
    <w:rsid w:val="002D758F"/>
    <w:rsid w:val="002F0EA7"/>
    <w:rsid w:val="002F30C6"/>
    <w:rsid w:val="00301189"/>
    <w:rsid w:val="00302A13"/>
    <w:rsid w:val="0031325D"/>
    <w:rsid w:val="003147DE"/>
    <w:rsid w:val="00323E09"/>
    <w:rsid w:val="00324185"/>
    <w:rsid w:val="00324DB5"/>
    <w:rsid w:val="00330750"/>
    <w:rsid w:val="00333932"/>
    <w:rsid w:val="00342691"/>
    <w:rsid w:val="00347FE6"/>
    <w:rsid w:val="003518AA"/>
    <w:rsid w:val="00353182"/>
    <w:rsid w:val="00357A9E"/>
    <w:rsid w:val="003602E1"/>
    <w:rsid w:val="003634B9"/>
    <w:rsid w:val="00371240"/>
    <w:rsid w:val="00374731"/>
    <w:rsid w:val="00387F5B"/>
    <w:rsid w:val="00391939"/>
    <w:rsid w:val="00391A07"/>
    <w:rsid w:val="003B4F29"/>
    <w:rsid w:val="003C38B5"/>
    <w:rsid w:val="003C431D"/>
    <w:rsid w:val="003C5CAE"/>
    <w:rsid w:val="003C5D99"/>
    <w:rsid w:val="003D2A44"/>
    <w:rsid w:val="003D78BD"/>
    <w:rsid w:val="003E4354"/>
    <w:rsid w:val="003E635B"/>
    <w:rsid w:val="003F0789"/>
    <w:rsid w:val="003F1274"/>
    <w:rsid w:val="003F1C71"/>
    <w:rsid w:val="00401882"/>
    <w:rsid w:val="00401D07"/>
    <w:rsid w:val="0040297F"/>
    <w:rsid w:val="00403FE2"/>
    <w:rsid w:val="004100C8"/>
    <w:rsid w:val="00412ACE"/>
    <w:rsid w:val="00414FB5"/>
    <w:rsid w:val="00422313"/>
    <w:rsid w:val="004238AE"/>
    <w:rsid w:val="00424B37"/>
    <w:rsid w:val="00424C65"/>
    <w:rsid w:val="004252A2"/>
    <w:rsid w:val="00427600"/>
    <w:rsid w:val="004310B1"/>
    <w:rsid w:val="00431249"/>
    <w:rsid w:val="0043237F"/>
    <w:rsid w:val="0043445A"/>
    <w:rsid w:val="00434C19"/>
    <w:rsid w:val="004448CD"/>
    <w:rsid w:val="00450810"/>
    <w:rsid w:val="00455E44"/>
    <w:rsid w:val="004577CF"/>
    <w:rsid w:val="00461B86"/>
    <w:rsid w:val="00464F37"/>
    <w:rsid w:val="0047047F"/>
    <w:rsid w:val="00471C3A"/>
    <w:rsid w:val="00475B21"/>
    <w:rsid w:val="00477144"/>
    <w:rsid w:val="00483AC0"/>
    <w:rsid w:val="0049459F"/>
    <w:rsid w:val="004A6688"/>
    <w:rsid w:val="004A7438"/>
    <w:rsid w:val="004B43AE"/>
    <w:rsid w:val="004B5BA0"/>
    <w:rsid w:val="004C2857"/>
    <w:rsid w:val="004C30ED"/>
    <w:rsid w:val="004C38DF"/>
    <w:rsid w:val="004D2117"/>
    <w:rsid w:val="004D609B"/>
    <w:rsid w:val="004F7D0D"/>
    <w:rsid w:val="00503328"/>
    <w:rsid w:val="00507183"/>
    <w:rsid w:val="00507309"/>
    <w:rsid w:val="00507F71"/>
    <w:rsid w:val="00530D54"/>
    <w:rsid w:val="00532AA5"/>
    <w:rsid w:val="005355D7"/>
    <w:rsid w:val="00542D9B"/>
    <w:rsid w:val="00546778"/>
    <w:rsid w:val="005478B8"/>
    <w:rsid w:val="00560798"/>
    <w:rsid w:val="0057129A"/>
    <w:rsid w:val="00576BB8"/>
    <w:rsid w:val="00583C39"/>
    <w:rsid w:val="00584BDD"/>
    <w:rsid w:val="00586426"/>
    <w:rsid w:val="00587D03"/>
    <w:rsid w:val="005909CF"/>
    <w:rsid w:val="00591229"/>
    <w:rsid w:val="00591E71"/>
    <w:rsid w:val="00595D18"/>
    <w:rsid w:val="005A6B09"/>
    <w:rsid w:val="005B65D6"/>
    <w:rsid w:val="005C2FEE"/>
    <w:rsid w:val="005C71D4"/>
    <w:rsid w:val="005C79AE"/>
    <w:rsid w:val="005D10DB"/>
    <w:rsid w:val="005D1A02"/>
    <w:rsid w:val="005F0D59"/>
    <w:rsid w:val="005F68D2"/>
    <w:rsid w:val="00600151"/>
    <w:rsid w:val="00601299"/>
    <w:rsid w:val="00607BF1"/>
    <w:rsid w:val="006104A8"/>
    <w:rsid w:val="006141AA"/>
    <w:rsid w:val="006160C2"/>
    <w:rsid w:val="0062000C"/>
    <w:rsid w:val="00623257"/>
    <w:rsid w:val="00624BD6"/>
    <w:rsid w:val="00624E04"/>
    <w:rsid w:val="006308DE"/>
    <w:rsid w:val="00630D4D"/>
    <w:rsid w:val="00632A74"/>
    <w:rsid w:val="00633B4F"/>
    <w:rsid w:val="00640238"/>
    <w:rsid w:val="006402F7"/>
    <w:rsid w:val="006613B8"/>
    <w:rsid w:val="00662F3D"/>
    <w:rsid w:val="00673877"/>
    <w:rsid w:val="006757D9"/>
    <w:rsid w:val="00682696"/>
    <w:rsid w:val="00683523"/>
    <w:rsid w:val="0068721A"/>
    <w:rsid w:val="0069651F"/>
    <w:rsid w:val="006A19C0"/>
    <w:rsid w:val="006A3816"/>
    <w:rsid w:val="006A4655"/>
    <w:rsid w:val="006A6133"/>
    <w:rsid w:val="006C26EB"/>
    <w:rsid w:val="006C480F"/>
    <w:rsid w:val="006C4982"/>
    <w:rsid w:val="006C7038"/>
    <w:rsid w:val="006D47DD"/>
    <w:rsid w:val="006E5A1C"/>
    <w:rsid w:val="006E73EF"/>
    <w:rsid w:val="006F1102"/>
    <w:rsid w:val="006F46E1"/>
    <w:rsid w:val="006F51E9"/>
    <w:rsid w:val="006F6EC2"/>
    <w:rsid w:val="006F7731"/>
    <w:rsid w:val="00704128"/>
    <w:rsid w:val="00704177"/>
    <w:rsid w:val="007106ED"/>
    <w:rsid w:val="00713DF3"/>
    <w:rsid w:val="0071687E"/>
    <w:rsid w:val="00720928"/>
    <w:rsid w:val="00732412"/>
    <w:rsid w:val="007426D4"/>
    <w:rsid w:val="00743D10"/>
    <w:rsid w:val="00744831"/>
    <w:rsid w:val="00744838"/>
    <w:rsid w:val="00750D1A"/>
    <w:rsid w:val="007604BB"/>
    <w:rsid w:val="0076211D"/>
    <w:rsid w:val="0077448C"/>
    <w:rsid w:val="007838C7"/>
    <w:rsid w:val="00786150"/>
    <w:rsid w:val="00797663"/>
    <w:rsid w:val="007A0034"/>
    <w:rsid w:val="007A0BD7"/>
    <w:rsid w:val="007A2134"/>
    <w:rsid w:val="007A21EB"/>
    <w:rsid w:val="007A6A9B"/>
    <w:rsid w:val="007A6CD9"/>
    <w:rsid w:val="007A7C76"/>
    <w:rsid w:val="007B2787"/>
    <w:rsid w:val="007C1886"/>
    <w:rsid w:val="007C36C9"/>
    <w:rsid w:val="007C5E2D"/>
    <w:rsid w:val="007E01E4"/>
    <w:rsid w:val="007F7107"/>
    <w:rsid w:val="00803CF9"/>
    <w:rsid w:val="00806224"/>
    <w:rsid w:val="0080694E"/>
    <w:rsid w:val="0081030F"/>
    <w:rsid w:val="00816DDB"/>
    <w:rsid w:val="0082087D"/>
    <w:rsid w:val="00823AF2"/>
    <w:rsid w:val="008326F6"/>
    <w:rsid w:val="00842B44"/>
    <w:rsid w:val="00842EA5"/>
    <w:rsid w:val="00851A84"/>
    <w:rsid w:val="008554F9"/>
    <w:rsid w:val="008567CF"/>
    <w:rsid w:val="0086082C"/>
    <w:rsid w:val="00860BF0"/>
    <w:rsid w:val="00864ADC"/>
    <w:rsid w:val="00874042"/>
    <w:rsid w:val="00880153"/>
    <w:rsid w:val="00880F97"/>
    <w:rsid w:val="0088133A"/>
    <w:rsid w:val="00881736"/>
    <w:rsid w:val="00883B89"/>
    <w:rsid w:val="008874F4"/>
    <w:rsid w:val="00891672"/>
    <w:rsid w:val="0089285E"/>
    <w:rsid w:val="0089364C"/>
    <w:rsid w:val="0089436C"/>
    <w:rsid w:val="008A2A74"/>
    <w:rsid w:val="008A2B8C"/>
    <w:rsid w:val="008A61C4"/>
    <w:rsid w:val="008B22A0"/>
    <w:rsid w:val="008C0D2A"/>
    <w:rsid w:val="008C2BB1"/>
    <w:rsid w:val="008D069D"/>
    <w:rsid w:val="008D1CB4"/>
    <w:rsid w:val="008D2C48"/>
    <w:rsid w:val="008F3475"/>
    <w:rsid w:val="009030BF"/>
    <w:rsid w:val="009103A5"/>
    <w:rsid w:val="00914368"/>
    <w:rsid w:val="00914DCC"/>
    <w:rsid w:val="00930E6B"/>
    <w:rsid w:val="00931076"/>
    <w:rsid w:val="00932DEB"/>
    <w:rsid w:val="00933165"/>
    <w:rsid w:val="009345D9"/>
    <w:rsid w:val="00934B15"/>
    <w:rsid w:val="00935D70"/>
    <w:rsid w:val="00942B62"/>
    <w:rsid w:val="0095036C"/>
    <w:rsid w:val="0095551E"/>
    <w:rsid w:val="00956A0C"/>
    <w:rsid w:val="00956BD9"/>
    <w:rsid w:val="00957261"/>
    <w:rsid w:val="00962489"/>
    <w:rsid w:val="00967AC0"/>
    <w:rsid w:val="009703E3"/>
    <w:rsid w:val="00971E61"/>
    <w:rsid w:val="009737F8"/>
    <w:rsid w:val="00973FC8"/>
    <w:rsid w:val="00977A08"/>
    <w:rsid w:val="00982DEF"/>
    <w:rsid w:val="009854BF"/>
    <w:rsid w:val="009907DB"/>
    <w:rsid w:val="00990EF4"/>
    <w:rsid w:val="009975E8"/>
    <w:rsid w:val="009A2614"/>
    <w:rsid w:val="009A4991"/>
    <w:rsid w:val="009A581C"/>
    <w:rsid w:val="009D3684"/>
    <w:rsid w:val="009D75F8"/>
    <w:rsid w:val="009F1EE9"/>
    <w:rsid w:val="009F3087"/>
    <w:rsid w:val="009F60AB"/>
    <w:rsid w:val="009F696D"/>
    <w:rsid w:val="009F6BC6"/>
    <w:rsid w:val="00A04F00"/>
    <w:rsid w:val="00A17328"/>
    <w:rsid w:val="00A22D64"/>
    <w:rsid w:val="00A23800"/>
    <w:rsid w:val="00A2577B"/>
    <w:rsid w:val="00A26384"/>
    <w:rsid w:val="00A2703A"/>
    <w:rsid w:val="00A30ED4"/>
    <w:rsid w:val="00A33DFF"/>
    <w:rsid w:val="00A35115"/>
    <w:rsid w:val="00A35C2B"/>
    <w:rsid w:val="00A3635C"/>
    <w:rsid w:val="00A47BE3"/>
    <w:rsid w:val="00A50BD6"/>
    <w:rsid w:val="00A50CE2"/>
    <w:rsid w:val="00A51D00"/>
    <w:rsid w:val="00A554AB"/>
    <w:rsid w:val="00A55BB7"/>
    <w:rsid w:val="00A646C4"/>
    <w:rsid w:val="00A66E88"/>
    <w:rsid w:val="00A858E4"/>
    <w:rsid w:val="00A87C96"/>
    <w:rsid w:val="00A94FA6"/>
    <w:rsid w:val="00A97791"/>
    <w:rsid w:val="00AA3F58"/>
    <w:rsid w:val="00AA6710"/>
    <w:rsid w:val="00AA7923"/>
    <w:rsid w:val="00AB0681"/>
    <w:rsid w:val="00AB5690"/>
    <w:rsid w:val="00AC7620"/>
    <w:rsid w:val="00AD4970"/>
    <w:rsid w:val="00AD5EFF"/>
    <w:rsid w:val="00AD6371"/>
    <w:rsid w:val="00AD7C05"/>
    <w:rsid w:val="00AE20F9"/>
    <w:rsid w:val="00AE536E"/>
    <w:rsid w:val="00AF19AA"/>
    <w:rsid w:val="00B013BC"/>
    <w:rsid w:val="00B0243C"/>
    <w:rsid w:val="00B1240F"/>
    <w:rsid w:val="00B144D8"/>
    <w:rsid w:val="00B2121C"/>
    <w:rsid w:val="00B30D14"/>
    <w:rsid w:val="00B35956"/>
    <w:rsid w:val="00B3636B"/>
    <w:rsid w:val="00B37FA6"/>
    <w:rsid w:val="00B44EB5"/>
    <w:rsid w:val="00B45F4F"/>
    <w:rsid w:val="00B46AA0"/>
    <w:rsid w:val="00B50B6D"/>
    <w:rsid w:val="00B53E7E"/>
    <w:rsid w:val="00B563B0"/>
    <w:rsid w:val="00B56B15"/>
    <w:rsid w:val="00B6342E"/>
    <w:rsid w:val="00B7113F"/>
    <w:rsid w:val="00B7180E"/>
    <w:rsid w:val="00B74494"/>
    <w:rsid w:val="00B768E7"/>
    <w:rsid w:val="00B76E38"/>
    <w:rsid w:val="00B779C0"/>
    <w:rsid w:val="00B8541A"/>
    <w:rsid w:val="00B85E22"/>
    <w:rsid w:val="00B92AC8"/>
    <w:rsid w:val="00B97380"/>
    <w:rsid w:val="00B97E04"/>
    <w:rsid w:val="00BA73B6"/>
    <w:rsid w:val="00BB4FCD"/>
    <w:rsid w:val="00BB52CD"/>
    <w:rsid w:val="00BC3B8D"/>
    <w:rsid w:val="00BC4263"/>
    <w:rsid w:val="00BC6573"/>
    <w:rsid w:val="00BD13EA"/>
    <w:rsid w:val="00BD4BD3"/>
    <w:rsid w:val="00BE06EB"/>
    <w:rsid w:val="00BE371D"/>
    <w:rsid w:val="00BE3808"/>
    <w:rsid w:val="00BE39B8"/>
    <w:rsid w:val="00BF70AC"/>
    <w:rsid w:val="00C062E9"/>
    <w:rsid w:val="00C079A5"/>
    <w:rsid w:val="00C1070D"/>
    <w:rsid w:val="00C13721"/>
    <w:rsid w:val="00C17547"/>
    <w:rsid w:val="00C23772"/>
    <w:rsid w:val="00C26AC8"/>
    <w:rsid w:val="00C37C36"/>
    <w:rsid w:val="00C41AE9"/>
    <w:rsid w:val="00C42934"/>
    <w:rsid w:val="00C42AA0"/>
    <w:rsid w:val="00C543F4"/>
    <w:rsid w:val="00C6026E"/>
    <w:rsid w:val="00C6180B"/>
    <w:rsid w:val="00C6291C"/>
    <w:rsid w:val="00C633CB"/>
    <w:rsid w:val="00C730E9"/>
    <w:rsid w:val="00C73C2F"/>
    <w:rsid w:val="00C74215"/>
    <w:rsid w:val="00C74B12"/>
    <w:rsid w:val="00C774B5"/>
    <w:rsid w:val="00C8762C"/>
    <w:rsid w:val="00CA00F9"/>
    <w:rsid w:val="00CA2961"/>
    <w:rsid w:val="00CB0120"/>
    <w:rsid w:val="00CB50D7"/>
    <w:rsid w:val="00CB7177"/>
    <w:rsid w:val="00CC1998"/>
    <w:rsid w:val="00CC4844"/>
    <w:rsid w:val="00CC4946"/>
    <w:rsid w:val="00CD410B"/>
    <w:rsid w:val="00CD64CF"/>
    <w:rsid w:val="00CE7539"/>
    <w:rsid w:val="00CF3D76"/>
    <w:rsid w:val="00D02A4F"/>
    <w:rsid w:val="00D03F4E"/>
    <w:rsid w:val="00D12012"/>
    <w:rsid w:val="00D208C3"/>
    <w:rsid w:val="00D21CBE"/>
    <w:rsid w:val="00D270A4"/>
    <w:rsid w:val="00D27BD1"/>
    <w:rsid w:val="00D30FCF"/>
    <w:rsid w:val="00D323E1"/>
    <w:rsid w:val="00D34E1B"/>
    <w:rsid w:val="00D445AB"/>
    <w:rsid w:val="00D51D1F"/>
    <w:rsid w:val="00D533FD"/>
    <w:rsid w:val="00D53BC8"/>
    <w:rsid w:val="00D63D73"/>
    <w:rsid w:val="00D649B3"/>
    <w:rsid w:val="00D65DFB"/>
    <w:rsid w:val="00D66E1E"/>
    <w:rsid w:val="00D6750E"/>
    <w:rsid w:val="00D7392F"/>
    <w:rsid w:val="00D75722"/>
    <w:rsid w:val="00D77D29"/>
    <w:rsid w:val="00D80055"/>
    <w:rsid w:val="00D82E5A"/>
    <w:rsid w:val="00D86E67"/>
    <w:rsid w:val="00D9381E"/>
    <w:rsid w:val="00D95034"/>
    <w:rsid w:val="00D96D41"/>
    <w:rsid w:val="00DA1A55"/>
    <w:rsid w:val="00DA656F"/>
    <w:rsid w:val="00DA6FB1"/>
    <w:rsid w:val="00DB0385"/>
    <w:rsid w:val="00DB2745"/>
    <w:rsid w:val="00DB67C9"/>
    <w:rsid w:val="00DC0C95"/>
    <w:rsid w:val="00DC1DC4"/>
    <w:rsid w:val="00DC2BB4"/>
    <w:rsid w:val="00DC6AD1"/>
    <w:rsid w:val="00DD1446"/>
    <w:rsid w:val="00DD23D6"/>
    <w:rsid w:val="00DD6580"/>
    <w:rsid w:val="00DE2EC7"/>
    <w:rsid w:val="00DE781A"/>
    <w:rsid w:val="00DF2A3C"/>
    <w:rsid w:val="00DF4739"/>
    <w:rsid w:val="00DF5984"/>
    <w:rsid w:val="00DF6743"/>
    <w:rsid w:val="00E01D56"/>
    <w:rsid w:val="00E077FB"/>
    <w:rsid w:val="00E17C72"/>
    <w:rsid w:val="00E2069D"/>
    <w:rsid w:val="00E21145"/>
    <w:rsid w:val="00E23007"/>
    <w:rsid w:val="00E24A42"/>
    <w:rsid w:val="00E30841"/>
    <w:rsid w:val="00E31F46"/>
    <w:rsid w:val="00E36DC7"/>
    <w:rsid w:val="00E37022"/>
    <w:rsid w:val="00E370AC"/>
    <w:rsid w:val="00E45D61"/>
    <w:rsid w:val="00E47378"/>
    <w:rsid w:val="00E507E2"/>
    <w:rsid w:val="00E669E2"/>
    <w:rsid w:val="00E7507D"/>
    <w:rsid w:val="00E76135"/>
    <w:rsid w:val="00E82842"/>
    <w:rsid w:val="00E90D32"/>
    <w:rsid w:val="00E92976"/>
    <w:rsid w:val="00E966E9"/>
    <w:rsid w:val="00E96DE7"/>
    <w:rsid w:val="00EA0474"/>
    <w:rsid w:val="00EB05F5"/>
    <w:rsid w:val="00EB7E23"/>
    <w:rsid w:val="00EC23AA"/>
    <w:rsid w:val="00ED138B"/>
    <w:rsid w:val="00ED32EB"/>
    <w:rsid w:val="00ED42D0"/>
    <w:rsid w:val="00ED4B65"/>
    <w:rsid w:val="00ED737E"/>
    <w:rsid w:val="00EE05B3"/>
    <w:rsid w:val="00EE1995"/>
    <w:rsid w:val="00EE19C5"/>
    <w:rsid w:val="00EE75F0"/>
    <w:rsid w:val="00EF3FD8"/>
    <w:rsid w:val="00F056FC"/>
    <w:rsid w:val="00F06A98"/>
    <w:rsid w:val="00F078B0"/>
    <w:rsid w:val="00F135D8"/>
    <w:rsid w:val="00F14711"/>
    <w:rsid w:val="00F14777"/>
    <w:rsid w:val="00F16D24"/>
    <w:rsid w:val="00F30530"/>
    <w:rsid w:val="00F31299"/>
    <w:rsid w:val="00F33CEE"/>
    <w:rsid w:val="00F3534A"/>
    <w:rsid w:val="00F42B44"/>
    <w:rsid w:val="00F450C8"/>
    <w:rsid w:val="00F60ECA"/>
    <w:rsid w:val="00F6430C"/>
    <w:rsid w:val="00F71BC3"/>
    <w:rsid w:val="00F75346"/>
    <w:rsid w:val="00F814C6"/>
    <w:rsid w:val="00F81661"/>
    <w:rsid w:val="00F85325"/>
    <w:rsid w:val="00FA540F"/>
    <w:rsid w:val="00FB424D"/>
    <w:rsid w:val="00FB5940"/>
    <w:rsid w:val="00FB5F34"/>
    <w:rsid w:val="00FD1539"/>
    <w:rsid w:val="00FD22B1"/>
    <w:rsid w:val="00FD23D4"/>
    <w:rsid w:val="00FD7B65"/>
    <w:rsid w:val="00FE1256"/>
    <w:rsid w:val="00FE3A7C"/>
    <w:rsid w:val="00FE3CB0"/>
    <w:rsid w:val="00FE5462"/>
    <w:rsid w:val="00FF516B"/>
    <w:rsid w:val="00FF536D"/>
    <w:rsid w:val="00FF5C1B"/>
    <w:rsid w:val="00FF6EC6"/>
    <w:rsid w:val="00FF74E0"/>
    <w:rsid w:val="00FF78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54F9"/>
    <w:rPr>
      <w:sz w:val="26"/>
      <w:szCs w:val="24"/>
    </w:rPr>
  </w:style>
  <w:style w:type="paragraph" w:styleId="Heading1">
    <w:name w:val="heading 1"/>
    <w:basedOn w:val="BodyText"/>
    <w:next w:val="BodyText"/>
    <w:link w:val="Heading1Char"/>
    <w:qForma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A17328"/>
    <w:pPr>
      <w:spacing w:before="560" w:line="320" w:lineRule="exact"/>
      <w:ind w:left="0" w:firstLine="0"/>
      <w:outlineLvl w:val="2"/>
    </w:pPr>
    <w:rPr>
      <w:sz w:val="26"/>
    </w:rPr>
  </w:style>
  <w:style w:type="paragraph" w:styleId="Heading4">
    <w:name w:val="heading 4"/>
    <w:basedOn w:val="Heading3"/>
    <w:next w:val="BodyText"/>
    <w:qFormat/>
    <w:rsid w:val="00A17328"/>
    <w:pPr>
      <w:spacing w:before="480"/>
      <w:outlineLvl w:val="3"/>
    </w:pPr>
    <w:rPr>
      <w:b w:val="0"/>
      <w:i/>
      <w:sz w:val="24"/>
    </w:rPr>
  </w:style>
  <w:style w:type="paragraph" w:styleId="Heading5">
    <w:name w:val="heading 5"/>
    <w:basedOn w:val="Heading4"/>
    <w:next w:val="BodyText"/>
    <w:qFormat/>
    <w:rsid w:val="00A17328"/>
    <w:pPr>
      <w:outlineLvl w:val="4"/>
    </w:pPr>
    <w:rPr>
      <w:rFonts w:ascii="Times New Roman" w:hAnsi="Times New Roman"/>
      <w:sz w:val="26"/>
    </w:rPr>
  </w:style>
  <w:style w:type="paragraph" w:styleId="Heading6">
    <w:name w:val="heading 6"/>
    <w:basedOn w:val="BodyText"/>
    <w:next w:val="BodyText"/>
    <w:qFormat/>
    <w:rsid w:val="00A17328"/>
    <w:pPr>
      <w:spacing w:after="60"/>
      <w:jc w:val="left"/>
      <w:outlineLvl w:val="5"/>
    </w:pPr>
    <w:rPr>
      <w:i/>
      <w:sz w:val="22"/>
    </w:rPr>
  </w:style>
  <w:style w:type="paragraph" w:styleId="Heading7">
    <w:name w:val="heading 7"/>
    <w:basedOn w:val="BodyText"/>
    <w:next w:val="BodyText"/>
    <w:qFormat/>
    <w:rsid w:val="00A17328"/>
    <w:pPr>
      <w:spacing w:after="60" w:line="240" w:lineRule="auto"/>
      <w:jc w:val="left"/>
      <w:outlineLvl w:val="6"/>
    </w:pPr>
    <w:rPr>
      <w:rFonts w:ascii="Arial" w:hAnsi="Arial"/>
      <w:sz w:val="20"/>
    </w:rPr>
  </w:style>
  <w:style w:type="paragraph" w:styleId="Heading8">
    <w:name w:val="heading 8"/>
    <w:basedOn w:val="BodyText"/>
    <w:next w:val="BodyText"/>
    <w:qFormat/>
    <w:rsid w:val="00A17328"/>
    <w:pPr>
      <w:spacing w:after="60" w:line="240" w:lineRule="auto"/>
      <w:jc w:val="left"/>
      <w:outlineLvl w:val="7"/>
    </w:pPr>
    <w:rPr>
      <w:rFonts w:ascii="Arial" w:hAnsi="Arial"/>
      <w:i/>
      <w:sz w:val="20"/>
    </w:rPr>
  </w:style>
  <w:style w:type="paragraph" w:styleId="Heading9">
    <w:name w:val="heading 9"/>
    <w:basedOn w:val="BodyText"/>
    <w:next w:val="BodyText"/>
    <w:qFormat/>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9345D9"/>
    <w:pPr>
      <w:spacing w:before="240" w:line="320" w:lineRule="atLeast"/>
      <w:jc w:val="both"/>
    </w:pPr>
    <w:rPr>
      <w:sz w:val="26"/>
    </w:rPr>
  </w:style>
  <w:style w:type="paragraph" w:styleId="Footer">
    <w:name w:val="footer"/>
    <w:basedOn w:val="BodyText"/>
    <w:link w:val="FooterChar"/>
    <w:rsid w:val="00A17328"/>
    <w:pPr>
      <w:spacing w:before="80" w:line="200" w:lineRule="exact"/>
      <w:ind w:right="6"/>
      <w:jc w:val="left"/>
    </w:pPr>
    <w:rPr>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rsid w:val="00C543F4"/>
  </w:style>
  <w:style w:type="character" w:styleId="PageNumber">
    <w:name w:val="page number"/>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link w:val="BoxChar"/>
    <w:uiPriority w:val="99"/>
    <w:rsid w:val="00A17328"/>
    <w:pPr>
      <w:keepNext/>
      <w:spacing w:before="120" w:line="280" w:lineRule="atLeast"/>
    </w:pPr>
    <w:rPr>
      <w:rFonts w:ascii="Arial" w:hAnsi="Arial"/>
      <w:sz w:val="22"/>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uiPriority w:val="99"/>
    <w:rsid w:val="00DB67C9"/>
    <w:pPr>
      <w:keepNext/>
      <w:numPr>
        <w:numId w:val="1"/>
      </w:numPr>
      <w:spacing w:before="120" w:line="280" w:lineRule="atLeast"/>
    </w:pPr>
    <w:rPr>
      <w:rFonts w:ascii="Arial" w:hAnsi="Arial"/>
      <w:sz w:val="22"/>
    </w:rPr>
  </w:style>
  <w:style w:type="paragraph" w:customStyle="1" w:styleId="BoxListBullet2">
    <w:name w:val="Box List Bullet 2"/>
    <w:basedOn w:val="BodyText"/>
    <w:rsid w:val="00DB67C9"/>
    <w:pPr>
      <w:keepNext/>
      <w:numPr>
        <w:numId w:val="2"/>
      </w:numPr>
      <w:tabs>
        <w:tab w:val="left" w:pos="284"/>
      </w:tabs>
      <w:spacing w:before="60" w:line="280" w:lineRule="atLeast"/>
    </w:pPr>
    <w:rPr>
      <w:rFonts w:ascii="Arial" w:hAnsi="Arial"/>
      <w:sz w:val="22"/>
    </w:rPr>
  </w:style>
  <w:style w:type="paragraph" w:customStyle="1" w:styleId="BoxListNumber">
    <w:name w:val="Box List Number"/>
    <w:basedOn w:val="BodyText"/>
    <w:rsid w:val="00864ADC"/>
    <w:pPr>
      <w:keepNext/>
      <w:numPr>
        <w:numId w:val="13"/>
      </w:numPr>
      <w:spacing w:before="120" w:line="280" w:lineRule="atLeast"/>
    </w:pPr>
    <w:rPr>
      <w:rFonts w:ascii="Arial" w:hAnsi="Arial"/>
      <w:sz w:val="22"/>
    </w:rPr>
  </w:style>
  <w:style w:type="paragraph" w:customStyle="1" w:styleId="BoxListNumber2">
    <w:name w:val="Box List Number 2"/>
    <w:basedOn w:val="BoxListNumber"/>
    <w:rsid w:val="00864ADC"/>
    <w:pPr>
      <w:numPr>
        <w:ilvl w:val="1"/>
      </w:numPr>
      <w:spacing w:before="60"/>
    </w:pPr>
  </w:style>
  <w:style w:type="paragraph" w:customStyle="1" w:styleId="BoxQuote">
    <w:name w:val="Box Quote"/>
    <w:basedOn w:val="BodyText"/>
    <w:next w:val="Box"/>
    <w:rsid w:val="00A17328"/>
    <w:pPr>
      <w:keepNext/>
      <w:spacing w:before="60" w:line="260" w:lineRule="exact"/>
      <w:ind w:left="284"/>
    </w:pPr>
    <w:rPr>
      <w:rFonts w:ascii="Arial" w:hAnsi="Arial"/>
      <w:sz w:val="20"/>
    </w:rPr>
  </w:style>
  <w:style w:type="paragraph" w:customStyle="1" w:styleId="Note">
    <w:name w:val="Note"/>
    <w:basedOn w:val="BodyText"/>
    <w:next w:val="Normal"/>
    <w:rsid w:val="00A17328"/>
    <w:pPr>
      <w:keepLines/>
      <w:spacing w:before="80" w:line="220" w:lineRule="exact"/>
    </w:pPr>
    <w:rPr>
      <w:rFonts w:ascii="Arial" w:hAnsi="Arial"/>
      <w:sz w:val="18"/>
    </w:rPr>
  </w:style>
  <w:style w:type="paragraph" w:customStyle="1" w:styleId="Source">
    <w:name w:val="Source"/>
    <w:basedOn w:val="Note"/>
    <w:next w:val="BodyText"/>
    <w:rsid w:val="00A17328"/>
    <w:pPr>
      <w:spacing w:after="120"/>
    </w:pPr>
  </w:style>
  <w:style w:type="paragraph" w:customStyle="1" w:styleId="BoxSource">
    <w:name w:val="Box Source"/>
    <w:basedOn w:val="Source"/>
    <w:next w:val="BodyText"/>
    <w:rsid w:val="00A17328"/>
    <w:pPr>
      <w:spacing w:before="180" w:after="0"/>
    </w:pPr>
  </w:style>
  <w:style w:type="paragraph" w:customStyle="1" w:styleId="BoxSpace">
    <w:name w:val="Box Space"/>
    <w:basedOn w:val="BodyText"/>
    <w:rsid w:val="00A17328"/>
    <w:pPr>
      <w:keepNext/>
      <w:spacing w:before="360" w:line="80" w:lineRule="exact"/>
      <w:jc w:val="left"/>
    </w:pPr>
  </w:style>
  <w:style w:type="paragraph" w:styleId="Caption">
    <w:name w:val="caption"/>
    <w:basedOn w:val="Normal"/>
    <w:next w:val="BodyText"/>
    <w:qForma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Normal"/>
    <w:rsid w:val="00A17328"/>
    <w:pPr>
      <w:spacing w:before="120" w:after="0"/>
      <w:ind w:left="1304" w:hanging="1304"/>
    </w:pPr>
  </w:style>
  <w:style w:type="paragraph" w:customStyle="1" w:styleId="BoxSubtitle">
    <w:name w:val="Box Subtitle"/>
    <w:basedOn w:val="BoxTitle"/>
    <w:next w:val="Normal"/>
    <w:rsid w:val="00A17328"/>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semiHidden/>
    <w:rsid w:val="00A17328"/>
    <w:pPr>
      <w:ind w:left="907"/>
    </w:pPr>
    <w:rPr>
      <w:rFonts w:ascii="Arial" w:hAnsi="Arial"/>
      <w:b/>
      <w:sz w:val="22"/>
    </w:rPr>
  </w:style>
  <w:style w:type="character" w:styleId="CommentReference">
    <w:name w:val="annotation reference"/>
    <w:semiHidden/>
    <w:rsid w:val="00A17328"/>
    <w:rPr>
      <w:b/>
      <w:vanish/>
      <w:color w:val="FF00FF"/>
      <w:sz w:val="20"/>
    </w:rPr>
  </w:style>
  <w:style w:type="paragraph" w:styleId="CommentText">
    <w:name w:val="annotation text"/>
    <w:basedOn w:val="Normal"/>
    <w:semiHidden/>
    <w:rsid w:val="00A17328"/>
    <w:pPr>
      <w:spacing w:before="120" w:line="240" w:lineRule="atLeast"/>
      <w:ind w:left="567" w:hanging="567"/>
    </w:pPr>
    <w:rPr>
      <w:sz w:val="20"/>
    </w:rPr>
  </w:style>
  <w:style w:type="paragraph" w:customStyle="1" w:styleId="Continued">
    <w:name w:val="Continued"/>
    <w:basedOn w:val="BoxContinued"/>
    <w:next w:val="BodyText"/>
    <w:rsid w:val="00A17328"/>
  </w:style>
  <w:style w:type="character" w:customStyle="1" w:styleId="DocumentInfo">
    <w:name w:val="Document Info"/>
    <w:semiHidden/>
    <w:rsid w:val="00A17328"/>
    <w:rPr>
      <w:rFonts w:ascii="Arial" w:hAnsi="Arial"/>
      <w:sz w:val="14"/>
    </w:rPr>
  </w:style>
  <w:style w:type="character" w:customStyle="1" w:styleId="DraftingNote">
    <w:name w:val="Drafting Note"/>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A17328"/>
  </w:style>
  <w:style w:type="paragraph" w:styleId="Subtitle">
    <w:name w:val="Subtitle"/>
    <w:basedOn w:val="Caption"/>
    <w:qFormat/>
    <w:rsid w:val="00A17328"/>
    <w:pPr>
      <w:spacing w:before="0" w:line="200" w:lineRule="exact"/>
      <w:ind w:firstLine="0"/>
    </w:pPr>
    <w:rPr>
      <w:b w:val="0"/>
      <w:sz w:val="20"/>
    </w:rPr>
  </w:style>
  <w:style w:type="paragraph" w:customStyle="1" w:styleId="Finding">
    <w:name w:val="Finding"/>
    <w:basedOn w:val="BodyText"/>
    <w:rsid w:val="001363AA"/>
    <w:pPr>
      <w:keepLines/>
      <w:spacing w:before="180"/>
    </w:pPr>
    <w:rPr>
      <w:i/>
    </w:rPr>
  </w:style>
  <w:style w:type="paragraph" w:customStyle="1" w:styleId="FindingBullet">
    <w:name w:val="Finding Bullet"/>
    <w:basedOn w:val="Finding"/>
    <w:rsid w:val="00AB0681"/>
    <w:pPr>
      <w:numPr>
        <w:numId w:val="3"/>
      </w:numPr>
      <w:spacing w:before="80"/>
    </w:pPr>
  </w:style>
  <w:style w:type="paragraph" w:customStyle="1" w:styleId="FindingNoTitle">
    <w:name w:val="Finding NoTitle"/>
    <w:basedOn w:val="Finding"/>
    <w:rsid w:val="00AB0681"/>
    <w:pPr>
      <w:spacing w:before="240"/>
    </w:pPr>
  </w:style>
  <w:style w:type="paragraph" w:customStyle="1" w:styleId="RecTitle">
    <w:name w:val="Rec Title"/>
    <w:basedOn w:val="BodyText"/>
    <w:next w:val="Normal"/>
    <w:rsid w:val="00A17328"/>
    <w:pPr>
      <w:keepNext/>
      <w:framePr w:hSpace="181" w:wrap="notBeside" w:vAnchor="text" w:hAnchor="text" w:xAlign="outside" w:y="1"/>
    </w:pPr>
    <w:rPr>
      <w:caps/>
      <w:sz w:val="16"/>
    </w:rPr>
  </w:style>
  <w:style w:type="paragraph" w:customStyle="1" w:styleId="FindingTitle">
    <w:name w:val="Finding Title"/>
    <w:basedOn w:val="RecTitle"/>
    <w:next w:val="Finding"/>
    <w:rsid w:val="00A17328"/>
    <w:pPr>
      <w:framePr w:wrap="notBeside"/>
    </w:pPr>
  </w:style>
  <w:style w:type="character" w:styleId="FootnoteReference">
    <w:name w:val="footnote reference"/>
    <w:semiHidden/>
    <w:rsid w:val="00A17328"/>
    <w:rPr>
      <w:rFonts w:ascii="Times New Roman" w:hAnsi="Times New Roman"/>
      <w:position w:val="6"/>
      <w:sz w:val="22"/>
      <w:vertAlign w:val="baseline"/>
    </w:rPr>
  </w:style>
  <w:style w:type="paragraph" w:styleId="FootnoteText">
    <w:name w:val="footnote text"/>
    <w:basedOn w:val="BodyText"/>
    <w:rsid w:val="00DC0C95"/>
    <w:pPr>
      <w:tabs>
        <w:tab w:val="left" w:pos="284"/>
      </w:tabs>
      <w:spacing w:before="80" w:line="260" w:lineRule="exact"/>
      <w:ind w:left="284" w:hanging="284"/>
    </w:pPr>
    <w:rPr>
      <w:sz w:val="22"/>
    </w:rPr>
  </w:style>
  <w:style w:type="paragraph" w:customStyle="1" w:styleId="InformationRequest">
    <w:name w:val="Information Request"/>
    <w:basedOn w:val="Finding"/>
    <w:next w:val="BodyText"/>
    <w:rsid w:val="00A17328"/>
    <w:pPr>
      <w:spacing w:before="360" w:after="120"/>
    </w:pPr>
    <w:rPr>
      <w:rFonts w:ascii="Arial" w:hAnsi="Arial"/>
      <w:sz w:val="24"/>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4"/>
      </w:numPr>
      <w:spacing w:after="140"/>
      <w:jc w:val="both"/>
    </w:pPr>
    <w:rPr>
      <w:rFonts w:ascii="Arial" w:hAnsi="Arial"/>
      <w:sz w:val="24"/>
      <w:lang w:eastAsia="en-US"/>
    </w:rPr>
  </w:style>
  <w:style w:type="paragraph" w:styleId="ListBullet">
    <w:name w:val="List Bullet"/>
    <w:basedOn w:val="BodyText"/>
    <w:rsid w:val="00DB67C9"/>
    <w:pPr>
      <w:numPr>
        <w:numId w:val="5"/>
      </w:numPr>
      <w:spacing w:before="120"/>
    </w:pPr>
  </w:style>
  <w:style w:type="paragraph" w:styleId="ListBullet2">
    <w:name w:val="List Bullet 2"/>
    <w:basedOn w:val="BodyText"/>
    <w:rsid w:val="00DB67C9"/>
    <w:pPr>
      <w:numPr>
        <w:numId w:val="6"/>
      </w:numPr>
      <w:spacing w:before="120"/>
    </w:pPr>
  </w:style>
  <w:style w:type="paragraph" w:styleId="ListBullet3">
    <w:name w:val="List Bullet 3"/>
    <w:basedOn w:val="BodyText"/>
    <w:rsid w:val="00DB67C9"/>
    <w:pPr>
      <w:numPr>
        <w:numId w:val="7"/>
      </w:numPr>
      <w:spacing w:before="120"/>
    </w:pPr>
  </w:style>
  <w:style w:type="paragraph" w:styleId="ListNumber">
    <w:name w:val="List Number"/>
    <w:basedOn w:val="BodyText"/>
    <w:rsid w:val="00864ADC"/>
    <w:pPr>
      <w:numPr>
        <w:numId w:val="12"/>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864ADC"/>
    <w:pPr>
      <w:numPr>
        <w:ilvl w:val="2"/>
      </w:numPr>
    </w:pPr>
  </w:style>
  <w:style w:type="character" w:customStyle="1" w:styleId="NoteLabel">
    <w:name w:val="Note Label"/>
    <w:rsid w:val="00A17328"/>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rsid w:val="00A17328"/>
    <w:pPr>
      <w:spacing w:before="160" w:after="1360" w:line="520" w:lineRule="exact"/>
      <w:ind w:right="2381"/>
      <w:jc w:val="right"/>
    </w:pPr>
    <w:rPr>
      <w:smallCaps/>
      <w:sz w:val="52"/>
    </w:rPr>
  </w:style>
  <w:style w:type="paragraph" w:styleId="Quote">
    <w:name w:val="Quote"/>
    <w:basedOn w:val="BodyText"/>
    <w:next w:val="BodyText"/>
    <w:qFormat/>
    <w:rsid w:val="00A17328"/>
    <w:pPr>
      <w:spacing w:before="120" w:line="280" w:lineRule="exact"/>
      <w:ind w:left="340"/>
    </w:pPr>
    <w:rPr>
      <w:sz w:val="24"/>
    </w:rPr>
  </w:style>
  <w:style w:type="paragraph" w:customStyle="1" w:styleId="QuoteBullet">
    <w:name w:val="Quote Bullet"/>
    <w:basedOn w:val="Quote"/>
    <w:rsid w:val="00323E09"/>
    <w:pPr>
      <w:numPr>
        <w:numId w:val="8"/>
      </w:numPr>
    </w:pPr>
  </w:style>
  <w:style w:type="paragraph" w:customStyle="1" w:styleId="Rec">
    <w:name w:val="Rec"/>
    <w:basedOn w:val="BodyText"/>
    <w:rsid w:val="001363AA"/>
    <w:pPr>
      <w:keepLines/>
      <w:spacing w:before="180"/>
    </w:pPr>
    <w:rPr>
      <w:b/>
      <w:i/>
    </w:rPr>
  </w:style>
  <w:style w:type="paragraph" w:customStyle="1" w:styleId="RecBullet">
    <w:name w:val="Rec Bullet"/>
    <w:basedOn w:val="Rec"/>
    <w:rsid w:val="00323E09"/>
    <w:pPr>
      <w:numPr>
        <w:numId w:val="9"/>
      </w:numPr>
      <w:spacing w:before="80"/>
    </w:pPr>
  </w:style>
  <w:style w:type="paragraph" w:customStyle="1" w:styleId="RecB">
    <w:name w:val="RecB"/>
    <w:basedOn w:val="Normal"/>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rsid w:val="00F85325"/>
    <w:pPr>
      <w:numPr>
        <w:numId w:val="14"/>
      </w:numPr>
      <w:spacing w:before="80"/>
    </w:pPr>
  </w:style>
  <w:style w:type="paragraph" w:customStyle="1" w:styleId="RecBNoTitle">
    <w:name w:val="RecB NoTitle"/>
    <w:basedOn w:val="RecB"/>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sz w:val="24"/>
    </w:rPr>
  </w:style>
  <w:style w:type="paragraph" w:customStyle="1" w:styleId="SideNoteBullet">
    <w:name w:val="Side Note Bullet"/>
    <w:basedOn w:val="SideNote"/>
    <w:next w:val="BodyText"/>
    <w:semiHidden/>
    <w:rsid w:val="00A17328"/>
    <w:pPr>
      <w:framePr w:wrap="around"/>
      <w:numPr>
        <w:numId w:val="10"/>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link w:val="TableBodyTextChar"/>
    <w:rsid w:val="00A17328"/>
    <w:pPr>
      <w:keepNext/>
      <w:keepLines/>
      <w:spacing w:before="0" w:after="40" w:line="220" w:lineRule="atLeast"/>
      <w:ind w:left="6" w:right="113"/>
      <w:jc w:val="right"/>
    </w:pPr>
    <w:rPr>
      <w:rFonts w:ascii="Arial" w:hAnsi="Arial"/>
      <w:sz w:val="20"/>
    </w:rPr>
  </w:style>
  <w:style w:type="paragraph" w:customStyle="1" w:styleId="TableBullet">
    <w:name w:val="Table Bullet"/>
    <w:basedOn w:val="TableBodyText"/>
    <w:link w:val="TableBulletChar"/>
    <w:rsid w:val="00323E09"/>
    <w:pPr>
      <w:numPr>
        <w:numId w:val="11"/>
      </w:numPr>
      <w:jc w:val="left"/>
    </w:pPr>
  </w:style>
  <w:style w:type="paragraph" w:customStyle="1" w:styleId="TableColumnHeading">
    <w:name w:val="Table Column Heading"/>
    <w:basedOn w:val="TableBodyText"/>
    <w:rsid w:val="00A17328"/>
    <w:pPr>
      <w:spacing w:before="80" w:after="80"/>
    </w:pPr>
    <w:rPr>
      <w:i/>
    </w:rPr>
  </w:style>
  <w:style w:type="paragraph" w:styleId="TOC2">
    <w:name w:val="toc 2"/>
    <w:basedOn w:val="BodyText"/>
    <w:uiPriority w:val="39"/>
    <w:rsid w:val="00A17328"/>
    <w:pPr>
      <w:tabs>
        <w:tab w:val="right" w:pos="8789"/>
      </w:tabs>
      <w:ind w:left="510" w:right="851" w:hanging="510"/>
      <w:jc w:val="left"/>
    </w:pPr>
    <w:rPr>
      <w:b/>
    </w:rPr>
  </w:style>
  <w:style w:type="paragraph" w:styleId="TOC3">
    <w:name w:val="toc 3"/>
    <w:basedOn w:val="TOC2"/>
    <w:semiHidden/>
    <w:rsid w:val="00A17328"/>
    <w:pPr>
      <w:spacing w:before="60"/>
      <w:ind w:left="1190" w:hanging="680"/>
    </w:pPr>
    <w:rPr>
      <w:b w:val="0"/>
    </w:r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rsid w:val="00A17328"/>
  </w:style>
  <w:style w:type="paragraph" w:customStyle="1" w:styleId="TableUnitsRow">
    <w:name w:val="Table Units Row"/>
    <w:basedOn w:val="TableBodyText"/>
    <w:rsid w:val="00A17328"/>
    <w:pPr>
      <w:spacing w:before="80" w:after="80"/>
    </w:pPr>
  </w:style>
  <w:style w:type="paragraph" w:styleId="TOC1">
    <w:name w:val="toc 1"/>
    <w:basedOn w:val="Normal"/>
    <w:next w:val="TOC2"/>
    <w:uiPriority w:val="39"/>
    <w:rsid w:val="00A17328"/>
    <w:pPr>
      <w:tabs>
        <w:tab w:val="right" w:pos="8789"/>
      </w:tabs>
      <w:spacing w:before="480" w:after="60" w:line="320" w:lineRule="exact"/>
      <w:ind w:left="1191" w:right="851" w:hanging="1191"/>
    </w:pPr>
    <w:rPr>
      <w:b/>
      <w:caps/>
    </w:rPr>
  </w:style>
  <w:style w:type="paragraph" w:styleId="TOC4">
    <w:name w:val="toc 4"/>
    <w:basedOn w:val="TOC3"/>
    <w:semiHidden/>
    <w:rsid w:val="00A17328"/>
    <w:pPr>
      <w:ind w:left="1191" w:firstLine="0"/>
    </w:pPr>
  </w:style>
  <w:style w:type="table" w:styleId="TableGrid">
    <w:name w:val="Table Grid"/>
    <w:basedOn w:val="TableNormal"/>
    <w:rsid w:val="00851A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semiHidden/>
    <w:rsid w:val="00E21145"/>
    <w:pPr>
      <w:spacing w:before="0" w:line="240" w:lineRule="auto"/>
      <w:ind w:left="0" w:firstLine="0"/>
    </w:pPr>
    <w:rPr>
      <w:b/>
      <w:bCs/>
      <w:szCs w:val="20"/>
    </w:rPr>
  </w:style>
  <w:style w:type="paragraph" w:styleId="BalloonText">
    <w:name w:val="Balloon Text"/>
    <w:basedOn w:val="Normal"/>
    <w:semiHidden/>
    <w:rsid w:val="00E21145"/>
    <w:rPr>
      <w:rFonts w:ascii="Tahoma" w:hAnsi="Tahoma" w:cs="Tahoma"/>
      <w:sz w:val="16"/>
      <w:szCs w:val="16"/>
    </w:rPr>
  </w:style>
  <w:style w:type="character" w:styleId="Hyperlink">
    <w:name w:val="Hyperlink"/>
    <w:rsid w:val="008567CF"/>
    <w:rPr>
      <w:color w:val="0000FF"/>
      <w:u w:val="single"/>
    </w:rPr>
  </w:style>
  <w:style w:type="character" w:customStyle="1" w:styleId="TableBodyTextChar">
    <w:name w:val="Table Body Text Char"/>
    <w:link w:val="TableBodyText"/>
    <w:rsid w:val="00E92976"/>
    <w:rPr>
      <w:rFonts w:ascii="Arial" w:hAnsi="Arial"/>
      <w:lang w:val="en-AU" w:eastAsia="en-AU" w:bidi="ar-SA"/>
    </w:rPr>
  </w:style>
  <w:style w:type="character" w:customStyle="1" w:styleId="TableBulletChar">
    <w:name w:val="Table Bullet Char"/>
    <w:basedOn w:val="TableBodyTextChar"/>
    <w:link w:val="TableBullet"/>
    <w:rsid w:val="00E92976"/>
    <w:rPr>
      <w:rFonts w:ascii="Arial" w:hAnsi="Arial"/>
      <w:lang w:val="en-AU" w:eastAsia="en-AU" w:bidi="ar-SA"/>
    </w:rPr>
  </w:style>
  <w:style w:type="character" w:customStyle="1" w:styleId="BodyTextChar">
    <w:name w:val="Body Text Char"/>
    <w:link w:val="BodyText"/>
    <w:rsid w:val="00624BD6"/>
    <w:rPr>
      <w:sz w:val="26"/>
      <w:lang w:val="en-AU" w:eastAsia="en-AU" w:bidi="ar-SA"/>
    </w:rPr>
  </w:style>
  <w:style w:type="character" w:customStyle="1" w:styleId="BoxChar">
    <w:name w:val="Box Char"/>
    <w:link w:val="Box"/>
    <w:rsid w:val="00624BD6"/>
    <w:rPr>
      <w:rFonts w:ascii="Arial" w:hAnsi="Arial"/>
      <w:sz w:val="22"/>
      <w:lang w:val="en-AU" w:eastAsia="en-AU" w:bidi="ar-SA"/>
    </w:rPr>
  </w:style>
  <w:style w:type="character" w:styleId="FollowedHyperlink">
    <w:name w:val="FollowedHyperlink"/>
    <w:rsid w:val="00A50CE2"/>
    <w:rPr>
      <w:color w:val="800080"/>
      <w:u w:val="single"/>
    </w:rPr>
  </w:style>
  <w:style w:type="paragraph" w:styleId="Salutation">
    <w:name w:val="Salutation"/>
    <w:basedOn w:val="Normal"/>
    <w:next w:val="Normal"/>
    <w:link w:val="SalutationChar"/>
    <w:autoRedefine/>
    <w:rsid w:val="00471C3A"/>
    <w:rPr>
      <w:noProof/>
      <w:sz w:val="24"/>
      <w:szCs w:val="20"/>
    </w:rPr>
  </w:style>
  <w:style w:type="character" w:customStyle="1" w:styleId="SalutationChar">
    <w:name w:val="Salutation Char"/>
    <w:basedOn w:val="DefaultParagraphFont"/>
    <w:link w:val="Salutation"/>
    <w:rsid w:val="00471C3A"/>
    <w:rPr>
      <w:noProof/>
      <w:sz w:val="24"/>
    </w:rPr>
  </w:style>
  <w:style w:type="paragraph" w:customStyle="1" w:styleId="Signoff">
    <w:name w:val="Signoff"/>
    <w:basedOn w:val="Normal"/>
    <w:autoRedefine/>
    <w:rsid w:val="00471C3A"/>
    <w:pPr>
      <w:spacing w:before="480" w:after="1000"/>
    </w:pPr>
    <w:rPr>
      <w:sz w:val="24"/>
      <w:szCs w:val="20"/>
    </w:rPr>
  </w:style>
  <w:style w:type="paragraph" w:customStyle="1" w:styleId="LetterAddress">
    <w:name w:val="Letter Address"/>
    <w:basedOn w:val="BodyText"/>
    <w:rsid w:val="00471C3A"/>
    <w:pPr>
      <w:spacing w:before="0" w:line="240" w:lineRule="auto"/>
      <w:jc w:val="left"/>
    </w:pPr>
    <w:rPr>
      <w:sz w:val="24"/>
    </w:rPr>
  </w:style>
  <w:style w:type="character" w:customStyle="1" w:styleId="FooterChar">
    <w:name w:val="Footer Char"/>
    <w:basedOn w:val="DefaultParagraphFont"/>
    <w:link w:val="Footer"/>
    <w:rsid w:val="00471C3A"/>
    <w:rPr>
      <w:caps/>
      <w:spacing w:val="-4"/>
      <w:sz w:val="16"/>
    </w:rPr>
  </w:style>
  <w:style w:type="character" w:customStyle="1" w:styleId="Heading1Char">
    <w:name w:val="Heading 1 Char"/>
    <w:basedOn w:val="DefaultParagraphFont"/>
    <w:link w:val="Heading1"/>
    <w:rsid w:val="00471C3A"/>
    <w:rPr>
      <w:sz w:val="52"/>
    </w:rPr>
  </w:style>
  <w:style w:type="character" w:customStyle="1" w:styleId="Heading2Char">
    <w:name w:val="Heading 2 Char"/>
    <w:basedOn w:val="DefaultParagraphFont"/>
    <w:link w:val="Heading2"/>
    <w:rsid w:val="00471C3A"/>
    <w:rPr>
      <w:rFonts w:ascii="Arial" w:hAnsi="Arial"/>
      <w:b/>
      <w:sz w:val="32"/>
    </w:rPr>
  </w:style>
  <w:style w:type="paragraph" w:customStyle="1" w:styleId="Address">
    <w:name w:val="Address"/>
    <w:basedOn w:val="Normal"/>
    <w:autoRedefine/>
    <w:rsid w:val="00471C3A"/>
    <w:pPr>
      <w:spacing w:before="120"/>
    </w:pPr>
    <w:rP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54F9"/>
    <w:rPr>
      <w:sz w:val="26"/>
      <w:szCs w:val="24"/>
    </w:rPr>
  </w:style>
  <w:style w:type="paragraph" w:styleId="Heading1">
    <w:name w:val="heading 1"/>
    <w:basedOn w:val="BodyText"/>
    <w:next w:val="BodyText"/>
    <w:link w:val="Heading1Char"/>
    <w:qForma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A17328"/>
    <w:pPr>
      <w:spacing w:before="560" w:line="320" w:lineRule="exact"/>
      <w:ind w:left="0" w:firstLine="0"/>
      <w:outlineLvl w:val="2"/>
    </w:pPr>
    <w:rPr>
      <w:sz w:val="26"/>
    </w:rPr>
  </w:style>
  <w:style w:type="paragraph" w:styleId="Heading4">
    <w:name w:val="heading 4"/>
    <w:basedOn w:val="Heading3"/>
    <w:next w:val="BodyText"/>
    <w:qFormat/>
    <w:rsid w:val="00A17328"/>
    <w:pPr>
      <w:spacing w:before="480"/>
      <w:outlineLvl w:val="3"/>
    </w:pPr>
    <w:rPr>
      <w:b w:val="0"/>
      <w:i/>
      <w:sz w:val="24"/>
    </w:rPr>
  </w:style>
  <w:style w:type="paragraph" w:styleId="Heading5">
    <w:name w:val="heading 5"/>
    <w:basedOn w:val="Heading4"/>
    <w:next w:val="BodyText"/>
    <w:qFormat/>
    <w:rsid w:val="00A17328"/>
    <w:pPr>
      <w:outlineLvl w:val="4"/>
    </w:pPr>
    <w:rPr>
      <w:rFonts w:ascii="Times New Roman" w:hAnsi="Times New Roman"/>
      <w:sz w:val="26"/>
    </w:rPr>
  </w:style>
  <w:style w:type="paragraph" w:styleId="Heading6">
    <w:name w:val="heading 6"/>
    <w:basedOn w:val="BodyText"/>
    <w:next w:val="BodyText"/>
    <w:qFormat/>
    <w:rsid w:val="00A17328"/>
    <w:pPr>
      <w:spacing w:after="60"/>
      <w:jc w:val="left"/>
      <w:outlineLvl w:val="5"/>
    </w:pPr>
    <w:rPr>
      <w:i/>
      <w:sz w:val="22"/>
    </w:rPr>
  </w:style>
  <w:style w:type="paragraph" w:styleId="Heading7">
    <w:name w:val="heading 7"/>
    <w:basedOn w:val="BodyText"/>
    <w:next w:val="BodyText"/>
    <w:qFormat/>
    <w:rsid w:val="00A17328"/>
    <w:pPr>
      <w:spacing w:after="60" w:line="240" w:lineRule="auto"/>
      <w:jc w:val="left"/>
      <w:outlineLvl w:val="6"/>
    </w:pPr>
    <w:rPr>
      <w:rFonts w:ascii="Arial" w:hAnsi="Arial"/>
      <w:sz w:val="20"/>
    </w:rPr>
  </w:style>
  <w:style w:type="paragraph" w:styleId="Heading8">
    <w:name w:val="heading 8"/>
    <w:basedOn w:val="BodyText"/>
    <w:next w:val="BodyText"/>
    <w:qFormat/>
    <w:rsid w:val="00A17328"/>
    <w:pPr>
      <w:spacing w:after="60" w:line="240" w:lineRule="auto"/>
      <w:jc w:val="left"/>
      <w:outlineLvl w:val="7"/>
    </w:pPr>
    <w:rPr>
      <w:rFonts w:ascii="Arial" w:hAnsi="Arial"/>
      <w:i/>
      <w:sz w:val="20"/>
    </w:rPr>
  </w:style>
  <w:style w:type="paragraph" w:styleId="Heading9">
    <w:name w:val="heading 9"/>
    <w:basedOn w:val="BodyText"/>
    <w:next w:val="BodyText"/>
    <w:qFormat/>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9345D9"/>
    <w:pPr>
      <w:spacing w:before="240" w:line="320" w:lineRule="atLeast"/>
      <w:jc w:val="both"/>
    </w:pPr>
    <w:rPr>
      <w:sz w:val="26"/>
    </w:rPr>
  </w:style>
  <w:style w:type="paragraph" w:styleId="Footer">
    <w:name w:val="footer"/>
    <w:basedOn w:val="BodyText"/>
    <w:link w:val="FooterChar"/>
    <w:rsid w:val="00A17328"/>
    <w:pPr>
      <w:spacing w:before="80" w:line="200" w:lineRule="exact"/>
      <w:ind w:right="6"/>
      <w:jc w:val="left"/>
    </w:pPr>
    <w:rPr>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rsid w:val="00C543F4"/>
  </w:style>
  <w:style w:type="character" w:styleId="PageNumber">
    <w:name w:val="page number"/>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link w:val="BoxChar"/>
    <w:uiPriority w:val="99"/>
    <w:rsid w:val="00A17328"/>
    <w:pPr>
      <w:keepNext/>
      <w:spacing w:before="120" w:line="280" w:lineRule="atLeast"/>
    </w:pPr>
    <w:rPr>
      <w:rFonts w:ascii="Arial" w:hAnsi="Arial"/>
      <w:sz w:val="22"/>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uiPriority w:val="99"/>
    <w:rsid w:val="00DB67C9"/>
    <w:pPr>
      <w:keepNext/>
      <w:numPr>
        <w:numId w:val="1"/>
      </w:numPr>
      <w:spacing w:before="120" w:line="280" w:lineRule="atLeast"/>
    </w:pPr>
    <w:rPr>
      <w:rFonts w:ascii="Arial" w:hAnsi="Arial"/>
      <w:sz w:val="22"/>
    </w:rPr>
  </w:style>
  <w:style w:type="paragraph" w:customStyle="1" w:styleId="BoxListBullet2">
    <w:name w:val="Box List Bullet 2"/>
    <w:basedOn w:val="BodyText"/>
    <w:rsid w:val="00DB67C9"/>
    <w:pPr>
      <w:keepNext/>
      <w:numPr>
        <w:numId w:val="2"/>
      </w:numPr>
      <w:tabs>
        <w:tab w:val="left" w:pos="284"/>
      </w:tabs>
      <w:spacing w:before="60" w:line="280" w:lineRule="atLeast"/>
    </w:pPr>
    <w:rPr>
      <w:rFonts w:ascii="Arial" w:hAnsi="Arial"/>
      <w:sz w:val="22"/>
    </w:rPr>
  </w:style>
  <w:style w:type="paragraph" w:customStyle="1" w:styleId="BoxListNumber">
    <w:name w:val="Box List Number"/>
    <w:basedOn w:val="BodyText"/>
    <w:rsid w:val="00864ADC"/>
    <w:pPr>
      <w:keepNext/>
      <w:numPr>
        <w:numId w:val="13"/>
      </w:numPr>
      <w:spacing w:before="120" w:line="280" w:lineRule="atLeast"/>
    </w:pPr>
    <w:rPr>
      <w:rFonts w:ascii="Arial" w:hAnsi="Arial"/>
      <w:sz w:val="22"/>
    </w:rPr>
  </w:style>
  <w:style w:type="paragraph" w:customStyle="1" w:styleId="BoxListNumber2">
    <w:name w:val="Box List Number 2"/>
    <w:basedOn w:val="BoxListNumber"/>
    <w:rsid w:val="00864ADC"/>
    <w:pPr>
      <w:numPr>
        <w:ilvl w:val="1"/>
      </w:numPr>
      <w:spacing w:before="60"/>
    </w:pPr>
  </w:style>
  <w:style w:type="paragraph" w:customStyle="1" w:styleId="BoxQuote">
    <w:name w:val="Box Quote"/>
    <w:basedOn w:val="BodyText"/>
    <w:next w:val="Box"/>
    <w:rsid w:val="00A17328"/>
    <w:pPr>
      <w:keepNext/>
      <w:spacing w:before="60" w:line="260" w:lineRule="exact"/>
      <w:ind w:left="284"/>
    </w:pPr>
    <w:rPr>
      <w:rFonts w:ascii="Arial" w:hAnsi="Arial"/>
      <w:sz w:val="20"/>
    </w:rPr>
  </w:style>
  <w:style w:type="paragraph" w:customStyle="1" w:styleId="Note">
    <w:name w:val="Note"/>
    <w:basedOn w:val="BodyText"/>
    <w:next w:val="Normal"/>
    <w:rsid w:val="00A17328"/>
    <w:pPr>
      <w:keepLines/>
      <w:spacing w:before="80" w:line="220" w:lineRule="exact"/>
    </w:pPr>
    <w:rPr>
      <w:rFonts w:ascii="Arial" w:hAnsi="Arial"/>
      <w:sz w:val="18"/>
    </w:rPr>
  </w:style>
  <w:style w:type="paragraph" w:customStyle="1" w:styleId="Source">
    <w:name w:val="Source"/>
    <w:basedOn w:val="Note"/>
    <w:next w:val="BodyText"/>
    <w:rsid w:val="00A17328"/>
    <w:pPr>
      <w:spacing w:after="120"/>
    </w:pPr>
  </w:style>
  <w:style w:type="paragraph" w:customStyle="1" w:styleId="BoxSource">
    <w:name w:val="Box Source"/>
    <w:basedOn w:val="Source"/>
    <w:next w:val="BodyText"/>
    <w:rsid w:val="00A17328"/>
    <w:pPr>
      <w:spacing w:before="180" w:after="0"/>
    </w:pPr>
  </w:style>
  <w:style w:type="paragraph" w:customStyle="1" w:styleId="BoxSpace">
    <w:name w:val="Box Space"/>
    <w:basedOn w:val="BodyText"/>
    <w:rsid w:val="00A17328"/>
    <w:pPr>
      <w:keepNext/>
      <w:spacing w:before="360" w:line="80" w:lineRule="exact"/>
      <w:jc w:val="left"/>
    </w:pPr>
  </w:style>
  <w:style w:type="paragraph" w:styleId="Caption">
    <w:name w:val="caption"/>
    <w:basedOn w:val="Normal"/>
    <w:next w:val="BodyText"/>
    <w:qForma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Normal"/>
    <w:rsid w:val="00A17328"/>
    <w:pPr>
      <w:spacing w:before="120" w:after="0"/>
      <w:ind w:left="1304" w:hanging="1304"/>
    </w:pPr>
  </w:style>
  <w:style w:type="paragraph" w:customStyle="1" w:styleId="BoxSubtitle">
    <w:name w:val="Box Subtitle"/>
    <w:basedOn w:val="BoxTitle"/>
    <w:next w:val="Normal"/>
    <w:rsid w:val="00A17328"/>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semiHidden/>
    <w:rsid w:val="00A17328"/>
    <w:pPr>
      <w:ind w:left="907"/>
    </w:pPr>
    <w:rPr>
      <w:rFonts w:ascii="Arial" w:hAnsi="Arial"/>
      <w:b/>
      <w:sz w:val="22"/>
    </w:rPr>
  </w:style>
  <w:style w:type="character" w:styleId="CommentReference">
    <w:name w:val="annotation reference"/>
    <w:semiHidden/>
    <w:rsid w:val="00A17328"/>
    <w:rPr>
      <w:b/>
      <w:vanish/>
      <w:color w:val="FF00FF"/>
      <w:sz w:val="20"/>
    </w:rPr>
  </w:style>
  <w:style w:type="paragraph" w:styleId="CommentText">
    <w:name w:val="annotation text"/>
    <w:basedOn w:val="Normal"/>
    <w:semiHidden/>
    <w:rsid w:val="00A17328"/>
    <w:pPr>
      <w:spacing w:before="120" w:line="240" w:lineRule="atLeast"/>
      <w:ind w:left="567" w:hanging="567"/>
    </w:pPr>
    <w:rPr>
      <w:sz w:val="20"/>
    </w:rPr>
  </w:style>
  <w:style w:type="paragraph" w:customStyle="1" w:styleId="Continued">
    <w:name w:val="Continued"/>
    <w:basedOn w:val="BoxContinued"/>
    <w:next w:val="BodyText"/>
    <w:rsid w:val="00A17328"/>
  </w:style>
  <w:style w:type="character" w:customStyle="1" w:styleId="DocumentInfo">
    <w:name w:val="Document Info"/>
    <w:semiHidden/>
    <w:rsid w:val="00A17328"/>
    <w:rPr>
      <w:rFonts w:ascii="Arial" w:hAnsi="Arial"/>
      <w:sz w:val="14"/>
    </w:rPr>
  </w:style>
  <w:style w:type="character" w:customStyle="1" w:styleId="DraftingNote">
    <w:name w:val="Drafting Note"/>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A17328"/>
  </w:style>
  <w:style w:type="paragraph" w:styleId="Subtitle">
    <w:name w:val="Subtitle"/>
    <w:basedOn w:val="Caption"/>
    <w:qFormat/>
    <w:rsid w:val="00A17328"/>
    <w:pPr>
      <w:spacing w:before="0" w:line="200" w:lineRule="exact"/>
      <w:ind w:firstLine="0"/>
    </w:pPr>
    <w:rPr>
      <w:b w:val="0"/>
      <w:sz w:val="20"/>
    </w:rPr>
  </w:style>
  <w:style w:type="paragraph" w:customStyle="1" w:styleId="Finding">
    <w:name w:val="Finding"/>
    <w:basedOn w:val="BodyText"/>
    <w:rsid w:val="001363AA"/>
    <w:pPr>
      <w:keepLines/>
      <w:spacing w:before="180"/>
    </w:pPr>
    <w:rPr>
      <w:i/>
    </w:rPr>
  </w:style>
  <w:style w:type="paragraph" w:customStyle="1" w:styleId="FindingBullet">
    <w:name w:val="Finding Bullet"/>
    <w:basedOn w:val="Finding"/>
    <w:rsid w:val="00AB0681"/>
    <w:pPr>
      <w:numPr>
        <w:numId w:val="3"/>
      </w:numPr>
      <w:spacing w:before="80"/>
    </w:pPr>
  </w:style>
  <w:style w:type="paragraph" w:customStyle="1" w:styleId="FindingNoTitle">
    <w:name w:val="Finding NoTitle"/>
    <w:basedOn w:val="Finding"/>
    <w:rsid w:val="00AB0681"/>
    <w:pPr>
      <w:spacing w:before="240"/>
    </w:pPr>
  </w:style>
  <w:style w:type="paragraph" w:customStyle="1" w:styleId="RecTitle">
    <w:name w:val="Rec Title"/>
    <w:basedOn w:val="BodyText"/>
    <w:next w:val="Normal"/>
    <w:rsid w:val="00A17328"/>
    <w:pPr>
      <w:keepNext/>
      <w:framePr w:hSpace="181" w:wrap="notBeside" w:vAnchor="text" w:hAnchor="text" w:xAlign="outside" w:y="1"/>
    </w:pPr>
    <w:rPr>
      <w:caps/>
      <w:sz w:val="16"/>
    </w:rPr>
  </w:style>
  <w:style w:type="paragraph" w:customStyle="1" w:styleId="FindingTitle">
    <w:name w:val="Finding Title"/>
    <w:basedOn w:val="RecTitle"/>
    <w:next w:val="Finding"/>
    <w:rsid w:val="00A17328"/>
    <w:pPr>
      <w:framePr w:wrap="notBeside"/>
    </w:pPr>
  </w:style>
  <w:style w:type="character" w:styleId="FootnoteReference">
    <w:name w:val="footnote reference"/>
    <w:semiHidden/>
    <w:rsid w:val="00A17328"/>
    <w:rPr>
      <w:rFonts w:ascii="Times New Roman" w:hAnsi="Times New Roman"/>
      <w:position w:val="6"/>
      <w:sz w:val="22"/>
      <w:vertAlign w:val="baseline"/>
    </w:rPr>
  </w:style>
  <w:style w:type="paragraph" w:styleId="FootnoteText">
    <w:name w:val="footnote text"/>
    <w:basedOn w:val="BodyText"/>
    <w:rsid w:val="00DC0C95"/>
    <w:pPr>
      <w:tabs>
        <w:tab w:val="left" w:pos="284"/>
      </w:tabs>
      <w:spacing w:before="80" w:line="260" w:lineRule="exact"/>
      <w:ind w:left="284" w:hanging="284"/>
    </w:pPr>
    <w:rPr>
      <w:sz w:val="22"/>
    </w:rPr>
  </w:style>
  <w:style w:type="paragraph" w:customStyle="1" w:styleId="InformationRequest">
    <w:name w:val="Information Request"/>
    <w:basedOn w:val="Finding"/>
    <w:next w:val="BodyText"/>
    <w:rsid w:val="00A17328"/>
    <w:pPr>
      <w:spacing w:before="360" w:after="120"/>
    </w:pPr>
    <w:rPr>
      <w:rFonts w:ascii="Arial" w:hAnsi="Arial"/>
      <w:sz w:val="24"/>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4"/>
      </w:numPr>
      <w:spacing w:after="140"/>
      <w:jc w:val="both"/>
    </w:pPr>
    <w:rPr>
      <w:rFonts w:ascii="Arial" w:hAnsi="Arial"/>
      <w:sz w:val="24"/>
      <w:lang w:eastAsia="en-US"/>
    </w:rPr>
  </w:style>
  <w:style w:type="paragraph" w:styleId="ListBullet">
    <w:name w:val="List Bullet"/>
    <w:basedOn w:val="BodyText"/>
    <w:rsid w:val="00DB67C9"/>
    <w:pPr>
      <w:numPr>
        <w:numId w:val="5"/>
      </w:numPr>
      <w:spacing w:before="120"/>
    </w:pPr>
  </w:style>
  <w:style w:type="paragraph" w:styleId="ListBullet2">
    <w:name w:val="List Bullet 2"/>
    <w:basedOn w:val="BodyText"/>
    <w:rsid w:val="00DB67C9"/>
    <w:pPr>
      <w:numPr>
        <w:numId w:val="6"/>
      </w:numPr>
      <w:spacing w:before="120"/>
    </w:pPr>
  </w:style>
  <w:style w:type="paragraph" w:styleId="ListBullet3">
    <w:name w:val="List Bullet 3"/>
    <w:basedOn w:val="BodyText"/>
    <w:rsid w:val="00DB67C9"/>
    <w:pPr>
      <w:numPr>
        <w:numId w:val="7"/>
      </w:numPr>
      <w:spacing w:before="120"/>
    </w:pPr>
  </w:style>
  <w:style w:type="paragraph" w:styleId="ListNumber">
    <w:name w:val="List Number"/>
    <w:basedOn w:val="BodyText"/>
    <w:rsid w:val="00864ADC"/>
    <w:pPr>
      <w:numPr>
        <w:numId w:val="12"/>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864ADC"/>
    <w:pPr>
      <w:numPr>
        <w:ilvl w:val="2"/>
      </w:numPr>
    </w:pPr>
  </w:style>
  <w:style w:type="character" w:customStyle="1" w:styleId="NoteLabel">
    <w:name w:val="Note Label"/>
    <w:rsid w:val="00A17328"/>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rsid w:val="00A17328"/>
    <w:pPr>
      <w:spacing w:before="160" w:after="1360" w:line="520" w:lineRule="exact"/>
      <w:ind w:right="2381"/>
      <w:jc w:val="right"/>
    </w:pPr>
    <w:rPr>
      <w:smallCaps/>
      <w:sz w:val="52"/>
    </w:rPr>
  </w:style>
  <w:style w:type="paragraph" w:styleId="Quote">
    <w:name w:val="Quote"/>
    <w:basedOn w:val="BodyText"/>
    <w:next w:val="BodyText"/>
    <w:qFormat/>
    <w:rsid w:val="00A17328"/>
    <w:pPr>
      <w:spacing w:before="120" w:line="280" w:lineRule="exact"/>
      <w:ind w:left="340"/>
    </w:pPr>
    <w:rPr>
      <w:sz w:val="24"/>
    </w:rPr>
  </w:style>
  <w:style w:type="paragraph" w:customStyle="1" w:styleId="QuoteBullet">
    <w:name w:val="Quote Bullet"/>
    <w:basedOn w:val="Quote"/>
    <w:rsid w:val="00323E09"/>
    <w:pPr>
      <w:numPr>
        <w:numId w:val="8"/>
      </w:numPr>
    </w:pPr>
  </w:style>
  <w:style w:type="paragraph" w:customStyle="1" w:styleId="Rec">
    <w:name w:val="Rec"/>
    <w:basedOn w:val="BodyText"/>
    <w:rsid w:val="001363AA"/>
    <w:pPr>
      <w:keepLines/>
      <w:spacing w:before="180"/>
    </w:pPr>
    <w:rPr>
      <w:b/>
      <w:i/>
    </w:rPr>
  </w:style>
  <w:style w:type="paragraph" w:customStyle="1" w:styleId="RecBullet">
    <w:name w:val="Rec Bullet"/>
    <w:basedOn w:val="Rec"/>
    <w:rsid w:val="00323E09"/>
    <w:pPr>
      <w:numPr>
        <w:numId w:val="9"/>
      </w:numPr>
      <w:spacing w:before="80"/>
    </w:pPr>
  </w:style>
  <w:style w:type="paragraph" w:customStyle="1" w:styleId="RecB">
    <w:name w:val="RecB"/>
    <w:basedOn w:val="Normal"/>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rsid w:val="00F85325"/>
    <w:pPr>
      <w:numPr>
        <w:numId w:val="14"/>
      </w:numPr>
      <w:spacing w:before="80"/>
    </w:pPr>
  </w:style>
  <w:style w:type="paragraph" w:customStyle="1" w:styleId="RecBNoTitle">
    <w:name w:val="RecB NoTitle"/>
    <w:basedOn w:val="RecB"/>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sz w:val="24"/>
    </w:rPr>
  </w:style>
  <w:style w:type="paragraph" w:customStyle="1" w:styleId="SideNoteBullet">
    <w:name w:val="Side Note Bullet"/>
    <w:basedOn w:val="SideNote"/>
    <w:next w:val="BodyText"/>
    <w:semiHidden/>
    <w:rsid w:val="00A17328"/>
    <w:pPr>
      <w:framePr w:wrap="around"/>
      <w:numPr>
        <w:numId w:val="10"/>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link w:val="TableBodyTextChar"/>
    <w:rsid w:val="00A17328"/>
    <w:pPr>
      <w:keepNext/>
      <w:keepLines/>
      <w:spacing w:before="0" w:after="40" w:line="220" w:lineRule="atLeast"/>
      <w:ind w:left="6" w:right="113"/>
      <w:jc w:val="right"/>
    </w:pPr>
    <w:rPr>
      <w:rFonts w:ascii="Arial" w:hAnsi="Arial"/>
      <w:sz w:val="20"/>
    </w:rPr>
  </w:style>
  <w:style w:type="paragraph" w:customStyle="1" w:styleId="TableBullet">
    <w:name w:val="Table Bullet"/>
    <w:basedOn w:val="TableBodyText"/>
    <w:link w:val="TableBulletChar"/>
    <w:rsid w:val="00323E09"/>
    <w:pPr>
      <w:numPr>
        <w:numId w:val="11"/>
      </w:numPr>
      <w:jc w:val="left"/>
    </w:pPr>
  </w:style>
  <w:style w:type="paragraph" w:customStyle="1" w:styleId="TableColumnHeading">
    <w:name w:val="Table Column Heading"/>
    <w:basedOn w:val="TableBodyText"/>
    <w:rsid w:val="00A17328"/>
    <w:pPr>
      <w:spacing w:before="80" w:after="80"/>
    </w:pPr>
    <w:rPr>
      <w:i/>
    </w:rPr>
  </w:style>
  <w:style w:type="paragraph" w:styleId="TOC2">
    <w:name w:val="toc 2"/>
    <w:basedOn w:val="BodyText"/>
    <w:uiPriority w:val="39"/>
    <w:rsid w:val="00A17328"/>
    <w:pPr>
      <w:tabs>
        <w:tab w:val="right" w:pos="8789"/>
      </w:tabs>
      <w:ind w:left="510" w:right="851" w:hanging="510"/>
      <w:jc w:val="left"/>
    </w:pPr>
    <w:rPr>
      <w:b/>
    </w:rPr>
  </w:style>
  <w:style w:type="paragraph" w:styleId="TOC3">
    <w:name w:val="toc 3"/>
    <w:basedOn w:val="TOC2"/>
    <w:semiHidden/>
    <w:rsid w:val="00A17328"/>
    <w:pPr>
      <w:spacing w:before="60"/>
      <w:ind w:left="1190" w:hanging="680"/>
    </w:pPr>
    <w:rPr>
      <w:b w:val="0"/>
    </w:r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rsid w:val="00A17328"/>
  </w:style>
  <w:style w:type="paragraph" w:customStyle="1" w:styleId="TableUnitsRow">
    <w:name w:val="Table Units Row"/>
    <w:basedOn w:val="TableBodyText"/>
    <w:rsid w:val="00A17328"/>
    <w:pPr>
      <w:spacing w:before="80" w:after="80"/>
    </w:pPr>
  </w:style>
  <w:style w:type="paragraph" w:styleId="TOC1">
    <w:name w:val="toc 1"/>
    <w:basedOn w:val="Normal"/>
    <w:next w:val="TOC2"/>
    <w:uiPriority w:val="39"/>
    <w:rsid w:val="00A17328"/>
    <w:pPr>
      <w:tabs>
        <w:tab w:val="right" w:pos="8789"/>
      </w:tabs>
      <w:spacing w:before="480" w:after="60" w:line="320" w:lineRule="exact"/>
      <w:ind w:left="1191" w:right="851" w:hanging="1191"/>
    </w:pPr>
    <w:rPr>
      <w:b/>
      <w:caps/>
    </w:rPr>
  </w:style>
  <w:style w:type="paragraph" w:styleId="TOC4">
    <w:name w:val="toc 4"/>
    <w:basedOn w:val="TOC3"/>
    <w:semiHidden/>
    <w:rsid w:val="00A17328"/>
    <w:pPr>
      <w:ind w:left="1191" w:firstLine="0"/>
    </w:pPr>
  </w:style>
  <w:style w:type="table" w:styleId="TableGrid">
    <w:name w:val="Table Grid"/>
    <w:basedOn w:val="TableNormal"/>
    <w:rsid w:val="00851A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semiHidden/>
    <w:rsid w:val="00E21145"/>
    <w:pPr>
      <w:spacing w:before="0" w:line="240" w:lineRule="auto"/>
      <w:ind w:left="0" w:firstLine="0"/>
    </w:pPr>
    <w:rPr>
      <w:b/>
      <w:bCs/>
      <w:szCs w:val="20"/>
    </w:rPr>
  </w:style>
  <w:style w:type="paragraph" w:styleId="BalloonText">
    <w:name w:val="Balloon Text"/>
    <w:basedOn w:val="Normal"/>
    <w:semiHidden/>
    <w:rsid w:val="00E21145"/>
    <w:rPr>
      <w:rFonts w:ascii="Tahoma" w:hAnsi="Tahoma" w:cs="Tahoma"/>
      <w:sz w:val="16"/>
      <w:szCs w:val="16"/>
    </w:rPr>
  </w:style>
  <w:style w:type="character" w:styleId="Hyperlink">
    <w:name w:val="Hyperlink"/>
    <w:rsid w:val="008567CF"/>
    <w:rPr>
      <w:color w:val="0000FF"/>
      <w:u w:val="single"/>
    </w:rPr>
  </w:style>
  <w:style w:type="character" w:customStyle="1" w:styleId="TableBodyTextChar">
    <w:name w:val="Table Body Text Char"/>
    <w:link w:val="TableBodyText"/>
    <w:rsid w:val="00E92976"/>
    <w:rPr>
      <w:rFonts w:ascii="Arial" w:hAnsi="Arial"/>
      <w:lang w:val="en-AU" w:eastAsia="en-AU" w:bidi="ar-SA"/>
    </w:rPr>
  </w:style>
  <w:style w:type="character" w:customStyle="1" w:styleId="TableBulletChar">
    <w:name w:val="Table Bullet Char"/>
    <w:basedOn w:val="TableBodyTextChar"/>
    <w:link w:val="TableBullet"/>
    <w:rsid w:val="00E92976"/>
    <w:rPr>
      <w:rFonts w:ascii="Arial" w:hAnsi="Arial"/>
      <w:lang w:val="en-AU" w:eastAsia="en-AU" w:bidi="ar-SA"/>
    </w:rPr>
  </w:style>
  <w:style w:type="character" w:customStyle="1" w:styleId="BodyTextChar">
    <w:name w:val="Body Text Char"/>
    <w:link w:val="BodyText"/>
    <w:rsid w:val="00624BD6"/>
    <w:rPr>
      <w:sz w:val="26"/>
      <w:lang w:val="en-AU" w:eastAsia="en-AU" w:bidi="ar-SA"/>
    </w:rPr>
  </w:style>
  <w:style w:type="character" w:customStyle="1" w:styleId="BoxChar">
    <w:name w:val="Box Char"/>
    <w:link w:val="Box"/>
    <w:rsid w:val="00624BD6"/>
    <w:rPr>
      <w:rFonts w:ascii="Arial" w:hAnsi="Arial"/>
      <w:sz w:val="22"/>
      <w:lang w:val="en-AU" w:eastAsia="en-AU" w:bidi="ar-SA"/>
    </w:rPr>
  </w:style>
  <w:style w:type="character" w:styleId="FollowedHyperlink">
    <w:name w:val="FollowedHyperlink"/>
    <w:rsid w:val="00A50CE2"/>
    <w:rPr>
      <w:color w:val="800080"/>
      <w:u w:val="single"/>
    </w:rPr>
  </w:style>
  <w:style w:type="paragraph" w:styleId="Salutation">
    <w:name w:val="Salutation"/>
    <w:basedOn w:val="Normal"/>
    <w:next w:val="Normal"/>
    <w:link w:val="SalutationChar"/>
    <w:autoRedefine/>
    <w:rsid w:val="00471C3A"/>
    <w:rPr>
      <w:noProof/>
      <w:sz w:val="24"/>
      <w:szCs w:val="20"/>
    </w:rPr>
  </w:style>
  <w:style w:type="character" w:customStyle="1" w:styleId="SalutationChar">
    <w:name w:val="Salutation Char"/>
    <w:basedOn w:val="DefaultParagraphFont"/>
    <w:link w:val="Salutation"/>
    <w:rsid w:val="00471C3A"/>
    <w:rPr>
      <w:noProof/>
      <w:sz w:val="24"/>
    </w:rPr>
  </w:style>
  <w:style w:type="paragraph" w:customStyle="1" w:styleId="Signoff">
    <w:name w:val="Signoff"/>
    <w:basedOn w:val="Normal"/>
    <w:autoRedefine/>
    <w:rsid w:val="00471C3A"/>
    <w:pPr>
      <w:spacing w:before="480" w:after="1000"/>
    </w:pPr>
    <w:rPr>
      <w:sz w:val="24"/>
      <w:szCs w:val="20"/>
    </w:rPr>
  </w:style>
  <w:style w:type="paragraph" w:customStyle="1" w:styleId="LetterAddress">
    <w:name w:val="Letter Address"/>
    <w:basedOn w:val="BodyText"/>
    <w:rsid w:val="00471C3A"/>
    <w:pPr>
      <w:spacing w:before="0" w:line="240" w:lineRule="auto"/>
      <w:jc w:val="left"/>
    </w:pPr>
    <w:rPr>
      <w:sz w:val="24"/>
    </w:rPr>
  </w:style>
  <w:style w:type="character" w:customStyle="1" w:styleId="FooterChar">
    <w:name w:val="Footer Char"/>
    <w:basedOn w:val="DefaultParagraphFont"/>
    <w:link w:val="Footer"/>
    <w:rsid w:val="00471C3A"/>
    <w:rPr>
      <w:caps/>
      <w:spacing w:val="-4"/>
      <w:sz w:val="16"/>
    </w:rPr>
  </w:style>
  <w:style w:type="character" w:customStyle="1" w:styleId="Heading1Char">
    <w:name w:val="Heading 1 Char"/>
    <w:basedOn w:val="DefaultParagraphFont"/>
    <w:link w:val="Heading1"/>
    <w:rsid w:val="00471C3A"/>
    <w:rPr>
      <w:sz w:val="52"/>
    </w:rPr>
  </w:style>
  <w:style w:type="character" w:customStyle="1" w:styleId="Heading2Char">
    <w:name w:val="Heading 2 Char"/>
    <w:basedOn w:val="DefaultParagraphFont"/>
    <w:link w:val="Heading2"/>
    <w:rsid w:val="00471C3A"/>
    <w:rPr>
      <w:rFonts w:ascii="Arial" w:hAnsi="Arial"/>
      <w:b/>
      <w:sz w:val="32"/>
    </w:rPr>
  </w:style>
  <w:style w:type="paragraph" w:customStyle="1" w:styleId="Address">
    <w:name w:val="Address"/>
    <w:basedOn w:val="Normal"/>
    <w:autoRedefine/>
    <w:rsid w:val="00471C3A"/>
    <w:pPr>
      <w:spacing w:before="120"/>
    </w:pPr>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116137">
      <w:bodyDiv w:val="1"/>
      <w:marLeft w:val="0"/>
      <w:marRight w:val="0"/>
      <w:marTop w:val="0"/>
      <w:marBottom w:val="0"/>
      <w:divBdr>
        <w:top w:val="none" w:sz="0" w:space="0" w:color="auto"/>
        <w:left w:val="none" w:sz="0" w:space="0" w:color="auto"/>
        <w:bottom w:val="none" w:sz="0" w:space="0" w:color="auto"/>
        <w:right w:val="none" w:sz="0" w:space="0" w:color="auto"/>
      </w:divBdr>
    </w:div>
    <w:div w:id="1717927090">
      <w:bodyDiv w:val="1"/>
      <w:marLeft w:val="0"/>
      <w:marRight w:val="0"/>
      <w:marTop w:val="0"/>
      <w:marBottom w:val="0"/>
      <w:divBdr>
        <w:top w:val="none" w:sz="0" w:space="0" w:color="auto"/>
        <w:left w:val="none" w:sz="0" w:space="0" w:color="auto"/>
        <w:bottom w:val="none" w:sz="0" w:space="0" w:color="auto"/>
        <w:right w:val="none" w:sz="0" w:space="0" w:color="auto"/>
      </w:divBdr>
    </w:div>
    <w:div w:id="1890534590">
      <w:bodyDiv w:val="1"/>
      <w:marLeft w:val="0"/>
      <w:marRight w:val="0"/>
      <w:marTop w:val="0"/>
      <w:marBottom w:val="0"/>
      <w:divBdr>
        <w:top w:val="none" w:sz="0" w:space="0" w:color="auto"/>
        <w:left w:val="none" w:sz="0" w:space="0" w:color="auto"/>
        <w:bottom w:val="none" w:sz="0" w:space="0" w:color="auto"/>
        <w:right w:val="none" w:sz="0" w:space="0" w:color="auto"/>
      </w:divBdr>
    </w:div>
    <w:div w:id="2002274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yperlink" Target="http://www.immunise.health.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footer" Target="footer1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yperlink" Target="http://www.immunise.health.gov.au/" TargetMode="Externa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footer" Target="footer9.xml"/><Relationship Id="rId30"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6290B2-69D0-4B5B-A873-BAE1DDF0A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7602</Words>
  <Characters>44293</Characters>
  <Application>Microsoft Office Word</Application>
  <DocSecurity>0</DocSecurity>
  <Lines>1342</Lines>
  <Paragraphs>730</Paragraphs>
  <ScaleCrop>false</ScaleCrop>
  <HeadingPairs>
    <vt:vector size="2" baseType="variant">
      <vt:variant>
        <vt:lpstr>Title</vt:lpstr>
      </vt:variant>
      <vt:variant>
        <vt:i4>1</vt:i4>
      </vt:variant>
    </vt:vector>
  </HeadingPairs>
  <TitlesOfParts>
    <vt:vector size="1" baseType="lpstr">
      <vt:lpstr>National Patnership Agreement on Essential Vaccines 2012-2013</vt:lpstr>
    </vt:vector>
  </TitlesOfParts>
  <Company>Productivity Commission</Company>
  <LinksUpToDate>false</LinksUpToDate>
  <CharactersWithSpaces>51165</CharactersWithSpaces>
  <SharedDoc>false</SharedDoc>
  <HLinks>
    <vt:vector size="96" baseType="variant">
      <vt:variant>
        <vt:i4>65611</vt:i4>
      </vt:variant>
      <vt:variant>
        <vt:i4>87</vt:i4>
      </vt:variant>
      <vt:variant>
        <vt:i4>0</vt:i4>
      </vt:variant>
      <vt:variant>
        <vt:i4>5</vt:i4>
      </vt:variant>
      <vt:variant>
        <vt:lpwstr>http://www.medicareaustralia.gov.au/</vt:lpwstr>
      </vt:variant>
      <vt:variant>
        <vt:lpwstr/>
      </vt:variant>
      <vt:variant>
        <vt:i4>2228259</vt:i4>
      </vt:variant>
      <vt:variant>
        <vt:i4>84</vt:i4>
      </vt:variant>
      <vt:variant>
        <vt:i4>0</vt:i4>
      </vt:variant>
      <vt:variant>
        <vt:i4>5</vt:i4>
      </vt:variant>
      <vt:variant>
        <vt:lpwstr>http://www.immunise.health.gov.au/</vt:lpwstr>
      </vt:variant>
      <vt:variant>
        <vt:lpwstr/>
      </vt:variant>
      <vt:variant>
        <vt:i4>2556013</vt:i4>
      </vt:variant>
      <vt:variant>
        <vt:i4>81</vt:i4>
      </vt:variant>
      <vt:variant>
        <vt:i4>0</vt:i4>
      </vt:variant>
      <vt:variant>
        <vt:i4>5</vt:i4>
      </vt:variant>
      <vt:variant>
        <vt:lpwstr>http://www.medicareaustralia.gov.au/public/services/acir/index.jsp</vt:lpwstr>
      </vt:variant>
      <vt:variant>
        <vt:lpwstr/>
      </vt:variant>
      <vt:variant>
        <vt:i4>2556013</vt:i4>
      </vt:variant>
      <vt:variant>
        <vt:i4>78</vt:i4>
      </vt:variant>
      <vt:variant>
        <vt:i4>0</vt:i4>
      </vt:variant>
      <vt:variant>
        <vt:i4>5</vt:i4>
      </vt:variant>
      <vt:variant>
        <vt:lpwstr>http://www.medicareaustralia.gov.au/public/services/acir/index.jsp</vt:lpwstr>
      </vt:variant>
      <vt:variant>
        <vt:lpwstr/>
      </vt:variant>
      <vt:variant>
        <vt:i4>65611</vt:i4>
      </vt:variant>
      <vt:variant>
        <vt:i4>75</vt:i4>
      </vt:variant>
      <vt:variant>
        <vt:i4>0</vt:i4>
      </vt:variant>
      <vt:variant>
        <vt:i4>5</vt:i4>
      </vt:variant>
      <vt:variant>
        <vt:lpwstr>http://www.medicareaustralia.gov.au/</vt:lpwstr>
      </vt:variant>
      <vt:variant>
        <vt:lpwstr/>
      </vt:variant>
      <vt:variant>
        <vt:i4>2228259</vt:i4>
      </vt:variant>
      <vt:variant>
        <vt:i4>72</vt:i4>
      </vt:variant>
      <vt:variant>
        <vt:i4>0</vt:i4>
      </vt:variant>
      <vt:variant>
        <vt:i4>5</vt:i4>
      </vt:variant>
      <vt:variant>
        <vt:lpwstr>http://www.immunise.health.gov.au/</vt:lpwstr>
      </vt:variant>
      <vt:variant>
        <vt:lpwstr/>
      </vt:variant>
      <vt:variant>
        <vt:i4>2556013</vt:i4>
      </vt:variant>
      <vt:variant>
        <vt:i4>69</vt:i4>
      </vt:variant>
      <vt:variant>
        <vt:i4>0</vt:i4>
      </vt:variant>
      <vt:variant>
        <vt:i4>5</vt:i4>
      </vt:variant>
      <vt:variant>
        <vt:lpwstr>http://www.medicareaustralia.gov.au/public/services/acir/index.jsp</vt:lpwstr>
      </vt:variant>
      <vt:variant>
        <vt:lpwstr/>
      </vt:variant>
      <vt:variant>
        <vt:i4>2556013</vt:i4>
      </vt:variant>
      <vt:variant>
        <vt:i4>66</vt:i4>
      </vt:variant>
      <vt:variant>
        <vt:i4>0</vt:i4>
      </vt:variant>
      <vt:variant>
        <vt:i4>5</vt:i4>
      </vt:variant>
      <vt:variant>
        <vt:lpwstr>http://www.medicareaustralia.gov.au/public/services/acir/index.jsp</vt:lpwstr>
      </vt:variant>
      <vt:variant>
        <vt:lpwstr/>
      </vt:variant>
      <vt:variant>
        <vt:i4>65611</vt:i4>
      </vt:variant>
      <vt:variant>
        <vt:i4>63</vt:i4>
      </vt:variant>
      <vt:variant>
        <vt:i4>0</vt:i4>
      </vt:variant>
      <vt:variant>
        <vt:i4>5</vt:i4>
      </vt:variant>
      <vt:variant>
        <vt:lpwstr>http://www.medicareaustralia.gov.au/</vt:lpwstr>
      </vt:variant>
      <vt:variant>
        <vt:lpwstr/>
      </vt:variant>
      <vt:variant>
        <vt:i4>2228259</vt:i4>
      </vt:variant>
      <vt:variant>
        <vt:i4>60</vt:i4>
      </vt:variant>
      <vt:variant>
        <vt:i4>0</vt:i4>
      </vt:variant>
      <vt:variant>
        <vt:i4>5</vt:i4>
      </vt:variant>
      <vt:variant>
        <vt:lpwstr>http://www.immunise.health.gov.au/</vt:lpwstr>
      </vt:variant>
      <vt:variant>
        <vt:lpwstr/>
      </vt:variant>
      <vt:variant>
        <vt:i4>2556013</vt:i4>
      </vt:variant>
      <vt:variant>
        <vt:i4>57</vt:i4>
      </vt:variant>
      <vt:variant>
        <vt:i4>0</vt:i4>
      </vt:variant>
      <vt:variant>
        <vt:i4>5</vt:i4>
      </vt:variant>
      <vt:variant>
        <vt:lpwstr>http://www.medicareaustralia.gov.au/public/services/acir/index.jsp</vt:lpwstr>
      </vt:variant>
      <vt:variant>
        <vt:lpwstr/>
      </vt:variant>
      <vt:variant>
        <vt:i4>2556013</vt:i4>
      </vt:variant>
      <vt:variant>
        <vt:i4>54</vt:i4>
      </vt:variant>
      <vt:variant>
        <vt:i4>0</vt:i4>
      </vt:variant>
      <vt:variant>
        <vt:i4>5</vt:i4>
      </vt:variant>
      <vt:variant>
        <vt:lpwstr>http://www.medicareaustralia.gov.au/public/services/acir/index.jsp</vt:lpwstr>
      </vt:variant>
      <vt:variant>
        <vt:lpwstr/>
      </vt:variant>
      <vt:variant>
        <vt:i4>65611</vt:i4>
      </vt:variant>
      <vt:variant>
        <vt:i4>51</vt:i4>
      </vt:variant>
      <vt:variant>
        <vt:i4>0</vt:i4>
      </vt:variant>
      <vt:variant>
        <vt:i4>5</vt:i4>
      </vt:variant>
      <vt:variant>
        <vt:lpwstr>http://www.medicareaustralia.gov.au/</vt:lpwstr>
      </vt:variant>
      <vt:variant>
        <vt:lpwstr/>
      </vt:variant>
      <vt:variant>
        <vt:i4>2228259</vt:i4>
      </vt:variant>
      <vt:variant>
        <vt:i4>48</vt:i4>
      </vt:variant>
      <vt:variant>
        <vt:i4>0</vt:i4>
      </vt:variant>
      <vt:variant>
        <vt:i4>5</vt:i4>
      </vt:variant>
      <vt:variant>
        <vt:lpwstr>http://www.immunise.health.gov.au/</vt:lpwstr>
      </vt:variant>
      <vt:variant>
        <vt:lpwstr/>
      </vt:variant>
      <vt:variant>
        <vt:i4>2556013</vt:i4>
      </vt:variant>
      <vt:variant>
        <vt:i4>45</vt:i4>
      </vt:variant>
      <vt:variant>
        <vt:i4>0</vt:i4>
      </vt:variant>
      <vt:variant>
        <vt:i4>5</vt:i4>
      </vt:variant>
      <vt:variant>
        <vt:lpwstr>http://www.medicareaustralia.gov.au/public/services/acir/index.jsp</vt:lpwstr>
      </vt:variant>
      <vt:variant>
        <vt:lpwstr/>
      </vt:variant>
      <vt:variant>
        <vt:i4>2556013</vt:i4>
      </vt:variant>
      <vt:variant>
        <vt:i4>42</vt:i4>
      </vt:variant>
      <vt:variant>
        <vt:i4>0</vt:i4>
      </vt:variant>
      <vt:variant>
        <vt:i4>5</vt:i4>
      </vt:variant>
      <vt:variant>
        <vt:lpwstr>http://www.medicareaustralia.gov.au/public/services/acir/index.jsp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Patnership Agreement on Essential Vaccines 2012-2013</dc:title>
  <dc:creator>Productivity Commission</dc:creator>
  <cp:lastModifiedBy>Productivity Commission</cp:lastModifiedBy>
  <cp:revision>2</cp:revision>
  <dcterms:created xsi:type="dcterms:W3CDTF">2013-09-26T03:54:00Z</dcterms:created>
  <dcterms:modified xsi:type="dcterms:W3CDTF">2013-09-26T03:54:00Z</dcterms:modified>
</cp:coreProperties>
</file>