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2E" w:rsidRDefault="00BD08D9" w:rsidP="00980C08">
      <w:pPr>
        <w:rPr>
          <w:rFonts w:ascii="Arial" w:hAnsi="Arial" w:cs="Arial"/>
          <w:b/>
          <w:sz w:val="26"/>
          <w:szCs w:val="26"/>
        </w:rPr>
      </w:pPr>
      <w:bookmarkStart w:id="0" w:name="_GoBack"/>
      <w:bookmarkEnd w:id="0"/>
      <w:r>
        <w:rPr>
          <w:rFonts w:ascii="Arial" w:hAnsi="Arial" w:cs="Arial"/>
          <w:b/>
          <w:sz w:val="26"/>
          <w:szCs w:val="26"/>
        </w:rPr>
        <w:t>Australian Capital Territory</w:t>
      </w:r>
      <w:r w:rsidR="00574279">
        <w:rPr>
          <w:rFonts w:ascii="Arial" w:hAnsi="Arial" w:cs="Arial"/>
          <w:b/>
          <w:sz w:val="26"/>
          <w:szCs w:val="26"/>
        </w:rPr>
        <w:t xml:space="preserve"> </w:t>
      </w:r>
      <w:r w:rsidR="00E832F5">
        <w:rPr>
          <w:rFonts w:ascii="Arial" w:hAnsi="Arial" w:cs="Arial"/>
          <w:b/>
          <w:sz w:val="26"/>
          <w:szCs w:val="26"/>
        </w:rPr>
        <w:t xml:space="preserve">– </w:t>
      </w:r>
      <w:r w:rsidR="006956B2">
        <w:rPr>
          <w:rFonts w:ascii="Arial" w:hAnsi="Arial" w:cs="Arial"/>
          <w:b/>
          <w:sz w:val="26"/>
          <w:szCs w:val="26"/>
        </w:rPr>
        <w:t>Progress</w:t>
      </w:r>
      <w:r w:rsidR="00023D07" w:rsidRPr="00D96B8D">
        <w:rPr>
          <w:rFonts w:ascii="Arial" w:hAnsi="Arial" w:cs="Arial"/>
          <w:b/>
          <w:sz w:val="26"/>
          <w:szCs w:val="26"/>
        </w:rPr>
        <w:t xml:space="preserve"> against</w:t>
      </w:r>
      <w:r w:rsidR="00E832F5">
        <w:rPr>
          <w:rFonts w:ascii="Arial" w:hAnsi="Arial" w:cs="Arial"/>
          <w:b/>
          <w:sz w:val="26"/>
          <w:szCs w:val="26"/>
        </w:rPr>
        <w:t xml:space="preserve"> </w:t>
      </w:r>
      <w:r w:rsidR="00806390">
        <w:rPr>
          <w:rFonts w:ascii="Arial" w:hAnsi="Arial" w:cs="Arial"/>
          <w:b/>
          <w:sz w:val="26"/>
          <w:szCs w:val="26"/>
        </w:rPr>
        <w:t>Subacute Care</w:t>
      </w:r>
      <w:r w:rsidR="00023D07" w:rsidRPr="00D96B8D">
        <w:rPr>
          <w:rFonts w:ascii="Arial" w:hAnsi="Arial" w:cs="Arial"/>
          <w:b/>
          <w:sz w:val="26"/>
          <w:szCs w:val="26"/>
        </w:rPr>
        <w:t xml:space="preserve"> Implementation Plan</w:t>
      </w:r>
    </w:p>
    <w:p w:rsidR="006956B2" w:rsidRDefault="006956B2" w:rsidP="00980C08">
      <w:pPr>
        <w:rPr>
          <w:sz w:val="12"/>
          <w:szCs w:val="12"/>
        </w:rPr>
      </w:pPr>
      <w:r>
        <w:rPr>
          <w:rFonts w:ascii="Arial" w:hAnsi="Arial" w:cs="Arial"/>
          <w:b/>
          <w:sz w:val="26"/>
          <w:szCs w:val="26"/>
        </w:rPr>
        <w:t>National Partnership Agreement on Hospital and Health Workforce Reform – Schedule C</w:t>
      </w:r>
    </w:p>
    <w:p w:rsidR="00D13D2E" w:rsidRDefault="00D13D2E" w:rsidP="00D13D2E">
      <w:pPr>
        <w:rPr>
          <w:sz w:val="12"/>
          <w:szCs w:val="12"/>
        </w:rPr>
      </w:pPr>
    </w:p>
    <w:p w:rsidR="00B212E4" w:rsidRDefault="00B212E4" w:rsidP="00D13D2E">
      <w:pPr>
        <w:rPr>
          <w:sz w:val="12"/>
          <w:szCs w:val="12"/>
        </w:rPr>
      </w:pPr>
    </w:p>
    <w:p w:rsidR="00E832F5" w:rsidRPr="00BD08D9" w:rsidRDefault="00E832F5" w:rsidP="00806390">
      <w:pPr>
        <w:ind w:left="1134" w:hanging="1134"/>
        <w:rPr>
          <w:rFonts w:ascii="Arial" w:hAnsi="Arial" w:cs="Arial"/>
          <w:b/>
          <w:sz w:val="26"/>
          <w:szCs w:val="26"/>
        </w:rPr>
      </w:pPr>
      <w:r w:rsidRPr="00BD08D9">
        <w:rPr>
          <w:rFonts w:ascii="Arial" w:hAnsi="Arial" w:cs="Arial"/>
          <w:b/>
          <w:sz w:val="26"/>
          <w:szCs w:val="26"/>
        </w:rPr>
        <w:t>July</w:t>
      </w:r>
      <w:r w:rsidR="005B1072">
        <w:rPr>
          <w:rFonts w:ascii="Arial" w:hAnsi="Arial" w:cs="Arial"/>
          <w:b/>
          <w:sz w:val="26"/>
          <w:szCs w:val="26"/>
        </w:rPr>
        <w:t xml:space="preserve"> 2011</w:t>
      </w:r>
      <w:r w:rsidRPr="00BD08D9">
        <w:rPr>
          <w:rFonts w:ascii="Arial" w:hAnsi="Arial" w:cs="Arial"/>
          <w:b/>
          <w:sz w:val="26"/>
          <w:szCs w:val="26"/>
        </w:rPr>
        <w:t xml:space="preserve"> – </w:t>
      </w:r>
      <w:r w:rsidR="00BB1CC5" w:rsidRPr="00BD08D9">
        <w:rPr>
          <w:rFonts w:ascii="Arial" w:hAnsi="Arial" w:cs="Arial"/>
          <w:b/>
          <w:sz w:val="26"/>
          <w:szCs w:val="26"/>
        </w:rPr>
        <w:t xml:space="preserve">June </w:t>
      </w:r>
      <w:r w:rsidR="005B1072">
        <w:rPr>
          <w:rFonts w:ascii="Arial" w:hAnsi="Arial" w:cs="Arial"/>
          <w:b/>
          <w:sz w:val="26"/>
          <w:szCs w:val="26"/>
        </w:rPr>
        <w:t>2012</w:t>
      </w:r>
    </w:p>
    <w:p w:rsidR="00BD08D9" w:rsidRDefault="00BD08D9" w:rsidP="00EB0286">
      <w:pPr>
        <w:tabs>
          <w:tab w:val="left" w:pos="9524"/>
        </w:tabs>
        <w:outlineLvl w:val="0"/>
        <w:rPr>
          <w:sz w:val="12"/>
          <w:szCs w:val="12"/>
        </w:rPr>
      </w:pPr>
      <w:r>
        <w:rPr>
          <w:rFonts w:ascii="Arial" w:hAnsi="Arial" w:cs="Arial"/>
          <w:b/>
          <w:sz w:val="26"/>
          <w:szCs w:val="26"/>
        </w:rPr>
        <w:t>ACT HEALTH</w:t>
      </w:r>
      <w:r w:rsidR="005B1072">
        <w:rPr>
          <w:rFonts w:ascii="Arial" w:hAnsi="Arial" w:cs="Arial"/>
          <w:b/>
          <w:sz w:val="26"/>
          <w:szCs w:val="26"/>
        </w:rPr>
        <w:t xml:space="preserve"> DIRECTORATE</w:t>
      </w:r>
      <w:r w:rsidR="00EB0286">
        <w:rPr>
          <w:rFonts w:ascii="Arial" w:hAnsi="Arial" w:cs="Arial"/>
          <w:b/>
          <w:sz w:val="26"/>
          <w:szCs w:val="26"/>
        </w:rPr>
        <w:tab/>
      </w:r>
    </w:p>
    <w:p w:rsidR="001C67F5" w:rsidRDefault="001C67F5" w:rsidP="00D13D2E">
      <w:pPr>
        <w:rPr>
          <w:sz w:val="12"/>
          <w:szCs w:val="12"/>
        </w:rPr>
      </w:pPr>
    </w:p>
    <w:p w:rsidR="00EB0286" w:rsidRDefault="00EB0286" w:rsidP="00D13D2E">
      <w:pPr>
        <w:rPr>
          <w:sz w:val="12"/>
          <w:szCs w:val="12"/>
        </w:rPr>
      </w:pPr>
    </w:p>
    <w:p w:rsidR="00430BBE" w:rsidRDefault="00430BBE" w:rsidP="00D13D2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082"/>
        <w:gridCol w:w="2694"/>
        <w:gridCol w:w="4357"/>
      </w:tblGrid>
      <w:tr w:rsidR="00430BBE" w:rsidRPr="00F73570" w:rsidTr="00233F45">
        <w:tc>
          <w:tcPr>
            <w:tcW w:w="14677" w:type="dxa"/>
            <w:gridSpan w:val="4"/>
            <w:shd w:val="clear" w:color="auto" w:fill="0C0C0C"/>
          </w:tcPr>
          <w:p w:rsidR="00430BBE" w:rsidRDefault="00430BBE" w:rsidP="00D13D2E">
            <w:pPr>
              <w:rPr>
                <w:rFonts w:ascii="Arial" w:hAnsi="Arial" w:cs="Arial"/>
                <w:b/>
                <w:color w:val="FFFFFF"/>
                <w:sz w:val="22"/>
                <w:szCs w:val="22"/>
              </w:rPr>
            </w:pPr>
            <w:r w:rsidRPr="00F73570">
              <w:rPr>
                <w:rFonts w:ascii="Arial" w:hAnsi="Arial" w:cs="Arial"/>
                <w:b/>
                <w:color w:val="FFFFFF"/>
                <w:sz w:val="22"/>
                <w:szCs w:val="22"/>
              </w:rPr>
              <w:t>Summary of Progress</w:t>
            </w:r>
          </w:p>
          <w:p w:rsidR="006E17C4" w:rsidRPr="00F73570" w:rsidRDefault="00EB0286" w:rsidP="00EB0286">
            <w:pPr>
              <w:tabs>
                <w:tab w:val="left" w:pos="8825"/>
              </w:tabs>
              <w:rPr>
                <w:rFonts w:ascii="Arial" w:hAnsi="Arial" w:cs="Arial"/>
                <w:b/>
                <w:color w:val="FFFFFF"/>
                <w:sz w:val="22"/>
                <w:szCs w:val="22"/>
              </w:rPr>
            </w:pPr>
            <w:r>
              <w:rPr>
                <w:rFonts w:ascii="Arial" w:hAnsi="Arial" w:cs="Arial"/>
                <w:b/>
                <w:color w:val="FFFFFF"/>
                <w:sz w:val="22"/>
                <w:szCs w:val="22"/>
              </w:rPr>
              <w:tab/>
            </w:r>
          </w:p>
        </w:tc>
      </w:tr>
      <w:tr w:rsidR="00430BBE" w:rsidRPr="00F73570" w:rsidTr="00961600">
        <w:tc>
          <w:tcPr>
            <w:tcW w:w="14677" w:type="dxa"/>
            <w:gridSpan w:val="4"/>
            <w:shd w:val="clear" w:color="auto" w:fill="FFFFFF" w:themeFill="background1"/>
          </w:tcPr>
          <w:p w:rsidR="00EB0286" w:rsidRDefault="00EB0286" w:rsidP="00EB0286"/>
          <w:p w:rsidR="00EB0286" w:rsidRDefault="00EB0286" w:rsidP="00EB0286">
            <w:r>
              <w:t>The majority of initiatives presented under the ACT’s Implementation Plan are funded by the ACT Government. This progress report presents summary of progress against initiatives funded by the Commonwealth.</w:t>
            </w:r>
          </w:p>
          <w:p w:rsidR="00EB0286" w:rsidRDefault="00EB0286" w:rsidP="00EB0286"/>
          <w:p w:rsidR="00EB0286" w:rsidRDefault="00EB0286" w:rsidP="00EB0286">
            <w:r>
              <w:t>The subacute care initiatives outlined in the ACT’s implementation plan are generally progressing to plan. In the first year of the NPA on HHWR (2009-10), the ACT increased subacute service provision over the baseline by 26 per cent, surpassing the required four year aggregate target of 20 per cent total growth in activity by 2012-13.</w:t>
            </w:r>
          </w:p>
          <w:p w:rsidR="00EB0286" w:rsidRDefault="00EB0286" w:rsidP="00EB0286"/>
          <w:p w:rsidR="002D7807" w:rsidRDefault="00EB0286" w:rsidP="00EB0286">
            <w:r>
              <w:t>The 2011-12 activity growth report, required under Schedule C, reflected a minor contraction in subacute service provision in the ACT in 2011-12. Despite this,</w:t>
            </w:r>
            <w:r w:rsidR="00D85365">
              <w:t xml:space="preserve"> the ACT reports an 8.44</w:t>
            </w:r>
            <w:r>
              <w:t xml:space="preserve"> per cent increase in subacute service provision over the baseline</w:t>
            </w:r>
            <w:r w:rsidR="002D7807">
              <w:t>.</w:t>
            </w:r>
          </w:p>
          <w:p w:rsidR="002D7807" w:rsidRDefault="002D7807" w:rsidP="00EB0286"/>
          <w:p w:rsidR="00EB0286" w:rsidRDefault="00EB0286" w:rsidP="00EB0286">
            <w:r>
              <w:t xml:space="preserve">Technical issues relating to </w:t>
            </w:r>
            <w:r w:rsidR="002D7807">
              <w:t>data collation methodologies have</w:t>
            </w:r>
            <w:r>
              <w:t xml:space="preserve"> contributed to the 2011-1</w:t>
            </w:r>
            <w:r w:rsidR="002D7807">
              <w:t>2 activity growth result, as have</w:t>
            </w:r>
            <w:r>
              <w:t xml:space="preserve"> workforce issues in other segments of the ACT healthcare system, as well as the ACT’s service deliver profile. For example, the ACT increased non-admitted occasions of service through increased work in the community over 2011-12. </w:t>
            </w:r>
          </w:p>
          <w:p w:rsidR="00EB0286" w:rsidRDefault="00EB0286" w:rsidP="00EB0286"/>
          <w:p w:rsidR="00EB0286" w:rsidRDefault="00EB0286" w:rsidP="00EB0286">
            <w:r>
              <w:t xml:space="preserve">More broadly, extensive work, over and above implementation efforts under this agreement, is underway in the ACT to improve provision of subacute care in the ACT region. This includes not only the implementation of subacute beds under the </w:t>
            </w:r>
            <w:r>
              <w:rPr>
                <w:i/>
                <w:iCs/>
              </w:rPr>
              <w:t>National Partnership Agreement on Improving Public Hospital Services</w:t>
            </w:r>
            <w:r w:rsidR="002D7807">
              <w:t xml:space="preserve">, but also planning and development </w:t>
            </w:r>
            <w:r>
              <w:t xml:space="preserve">for the establishment of a new subacute hospital in the ACT. </w:t>
            </w:r>
          </w:p>
          <w:p w:rsidR="00D06EDF" w:rsidRDefault="00D06EDF" w:rsidP="00D06EDF">
            <w:pPr>
              <w:tabs>
                <w:tab w:val="left" w:pos="426"/>
              </w:tabs>
              <w:spacing w:line="276" w:lineRule="auto"/>
              <w:rPr>
                <w:color w:val="FF0000"/>
                <w:szCs w:val="24"/>
              </w:rPr>
            </w:pPr>
          </w:p>
          <w:p w:rsidR="00EB0286" w:rsidRDefault="00EB0286" w:rsidP="00D06EDF">
            <w:pPr>
              <w:tabs>
                <w:tab w:val="left" w:pos="426"/>
              </w:tabs>
              <w:spacing w:line="276" w:lineRule="auto"/>
              <w:rPr>
                <w:color w:val="FF0000"/>
                <w:szCs w:val="24"/>
              </w:rPr>
            </w:pPr>
          </w:p>
          <w:p w:rsidR="002D7807" w:rsidRDefault="002D7807" w:rsidP="00D06EDF">
            <w:pPr>
              <w:tabs>
                <w:tab w:val="left" w:pos="426"/>
              </w:tabs>
              <w:spacing w:line="276" w:lineRule="auto"/>
              <w:rPr>
                <w:color w:val="FF0000"/>
                <w:szCs w:val="24"/>
              </w:rPr>
            </w:pPr>
          </w:p>
          <w:p w:rsidR="00EB0286" w:rsidRPr="00D06EDF" w:rsidRDefault="00EB0286" w:rsidP="00D06EDF">
            <w:pPr>
              <w:tabs>
                <w:tab w:val="left" w:pos="426"/>
              </w:tabs>
              <w:spacing w:line="276" w:lineRule="auto"/>
              <w:rPr>
                <w:color w:val="FF0000"/>
                <w:szCs w:val="24"/>
              </w:rPr>
            </w:pPr>
          </w:p>
        </w:tc>
      </w:tr>
      <w:tr w:rsidR="00CE5C7E" w:rsidRPr="00F73570" w:rsidTr="007854DA">
        <w:tc>
          <w:tcPr>
            <w:tcW w:w="3544" w:type="dxa"/>
            <w:shd w:val="clear" w:color="auto" w:fill="000000"/>
          </w:tcPr>
          <w:p w:rsidR="00CE5C7E" w:rsidRPr="00F73570" w:rsidRDefault="00F14852" w:rsidP="00B923AC">
            <w:pPr>
              <w:rPr>
                <w:rFonts w:ascii="Arial" w:hAnsi="Arial" w:cs="Arial"/>
                <w:b/>
                <w:color w:val="FFFFFF"/>
                <w:sz w:val="22"/>
                <w:szCs w:val="22"/>
              </w:rPr>
            </w:pPr>
            <w:r w:rsidRPr="00F73570">
              <w:rPr>
                <w:rFonts w:ascii="Arial" w:hAnsi="Arial" w:cs="Arial"/>
                <w:b/>
                <w:color w:val="FFFFFF"/>
                <w:sz w:val="22"/>
                <w:szCs w:val="22"/>
              </w:rPr>
              <w:lastRenderedPageBreak/>
              <w:t>Key d</w:t>
            </w:r>
            <w:r w:rsidR="00CE5C7E" w:rsidRPr="00F73570">
              <w:rPr>
                <w:rFonts w:ascii="Arial" w:hAnsi="Arial" w:cs="Arial"/>
                <w:b/>
                <w:color w:val="FFFFFF"/>
                <w:sz w:val="22"/>
                <w:szCs w:val="22"/>
              </w:rPr>
              <w:t xml:space="preserve">eliverables </w:t>
            </w:r>
          </w:p>
        </w:tc>
        <w:tc>
          <w:tcPr>
            <w:tcW w:w="4082" w:type="dxa"/>
            <w:shd w:val="clear" w:color="auto" w:fill="000000"/>
          </w:tcPr>
          <w:p w:rsidR="00CE5C7E" w:rsidRPr="00F73570" w:rsidRDefault="00F14852" w:rsidP="00B923AC">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CE5C7E" w:rsidRPr="00F73570" w:rsidRDefault="00F14852" w:rsidP="00B923AC">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CE5C7E" w:rsidRDefault="00CE5C7E" w:rsidP="00B923AC">
            <w:pPr>
              <w:rPr>
                <w:rFonts w:ascii="Arial" w:hAnsi="Arial" w:cs="Arial"/>
                <w:b/>
                <w:color w:val="FFFFFF"/>
                <w:sz w:val="22"/>
                <w:szCs w:val="22"/>
              </w:rPr>
            </w:pPr>
            <w:r w:rsidRPr="00F73570">
              <w:rPr>
                <w:rFonts w:ascii="Arial" w:hAnsi="Arial" w:cs="Arial"/>
                <w:b/>
                <w:color w:val="FFFFFF"/>
                <w:sz w:val="22"/>
                <w:szCs w:val="22"/>
              </w:rPr>
              <w:t>Comments</w:t>
            </w:r>
          </w:p>
          <w:p w:rsidR="006E17C4" w:rsidRDefault="006E17C4" w:rsidP="00B923AC">
            <w:pPr>
              <w:rPr>
                <w:rFonts w:ascii="Arial" w:hAnsi="Arial" w:cs="Arial"/>
                <w:b/>
                <w:color w:val="FFFFFF"/>
                <w:sz w:val="22"/>
                <w:szCs w:val="22"/>
              </w:rPr>
            </w:pPr>
          </w:p>
          <w:p w:rsidR="006E17C4" w:rsidRPr="00F73570" w:rsidRDefault="006E17C4" w:rsidP="00B923AC">
            <w:pPr>
              <w:rPr>
                <w:rFonts w:ascii="Arial" w:hAnsi="Arial" w:cs="Arial"/>
                <w:b/>
                <w:color w:val="FFFFFF"/>
                <w:sz w:val="22"/>
                <w:szCs w:val="22"/>
              </w:rPr>
            </w:pPr>
          </w:p>
        </w:tc>
      </w:tr>
      <w:tr w:rsidR="00806390" w:rsidTr="007854DA">
        <w:trPr>
          <w:trHeight w:val="67"/>
        </w:trPr>
        <w:tc>
          <w:tcPr>
            <w:tcW w:w="3544" w:type="dxa"/>
          </w:tcPr>
          <w:p w:rsidR="0063213A" w:rsidRPr="004A7821" w:rsidRDefault="0063213A" w:rsidP="0063213A">
            <w:r w:rsidRPr="00AB1B67">
              <w:rPr>
                <w:b/>
              </w:rPr>
              <w:t>1.  Enhance equipment funding</w:t>
            </w:r>
            <w:r w:rsidRPr="004A7821">
              <w:t xml:space="preserve"> for the </w:t>
            </w:r>
            <w:r w:rsidR="006E1474">
              <w:t xml:space="preserve">Rehabilitation, Aged and Community Care (RACC) </w:t>
            </w:r>
            <w:r w:rsidRPr="004A7821">
              <w:t>Equipment Loan Service</w:t>
            </w:r>
            <w:r w:rsidR="00D3165B">
              <w:t xml:space="preserve"> (ELS)</w:t>
            </w:r>
            <w:r w:rsidRPr="004A7821">
              <w:t xml:space="preserve"> to expand the range of equipment available to rehabilitation patients</w:t>
            </w:r>
            <w:r>
              <w:t>.</w:t>
            </w:r>
            <w:r w:rsidRPr="004A7821">
              <w:t xml:space="preserve">  </w:t>
            </w:r>
            <w:r>
              <w:t>This service is provided by</w:t>
            </w:r>
            <w:r w:rsidR="006E1474">
              <w:t xml:space="preserve"> RACC</w:t>
            </w:r>
            <w:r w:rsidR="006E1474">
              <w:rPr>
                <w:szCs w:val="24"/>
              </w:rPr>
              <w:t xml:space="preserve"> </w:t>
            </w:r>
            <w:r>
              <w:rPr>
                <w:szCs w:val="24"/>
              </w:rPr>
              <w:t xml:space="preserve">at the </w:t>
            </w:r>
            <w:r w:rsidRPr="004A7821">
              <w:rPr>
                <w:szCs w:val="24"/>
              </w:rPr>
              <w:t>Canberra Hospital</w:t>
            </w:r>
            <w:r>
              <w:rPr>
                <w:szCs w:val="24"/>
              </w:rPr>
              <w:t>.</w:t>
            </w:r>
          </w:p>
          <w:p w:rsidR="00806390" w:rsidRDefault="00806390" w:rsidP="00806390">
            <w:pPr>
              <w:rPr>
                <w:i/>
              </w:rPr>
            </w:pPr>
          </w:p>
          <w:p w:rsidR="00961600" w:rsidRDefault="00961600" w:rsidP="00806390">
            <w:pPr>
              <w:rPr>
                <w:i/>
              </w:rPr>
            </w:pPr>
          </w:p>
          <w:p w:rsidR="00961600" w:rsidRDefault="00961600" w:rsidP="00D377C4">
            <w:pPr>
              <w:rPr>
                <w:i/>
              </w:rPr>
            </w:pPr>
          </w:p>
          <w:p w:rsidR="006E1474" w:rsidRPr="00F73570" w:rsidRDefault="006E1474" w:rsidP="00D377C4">
            <w:pPr>
              <w:rPr>
                <w:i/>
              </w:rPr>
            </w:pPr>
            <w:r>
              <w:rPr>
                <w:szCs w:val="24"/>
              </w:rPr>
              <w:t xml:space="preserve">Note that </w:t>
            </w:r>
            <w:r w:rsidRPr="004A7821">
              <w:rPr>
                <w:szCs w:val="24"/>
              </w:rPr>
              <w:t>Aged Care and Rehabilitation Service (</w:t>
            </w:r>
            <w:r w:rsidRPr="004A7821">
              <w:t>ACRS)</w:t>
            </w:r>
            <w:r>
              <w:t xml:space="preserve"> changed its name to Rehabilitation, Aged and Community Care (RACC).</w:t>
            </w:r>
          </w:p>
        </w:tc>
        <w:tc>
          <w:tcPr>
            <w:tcW w:w="4082" w:type="dxa"/>
            <w:shd w:val="clear" w:color="auto" w:fill="FFFFFF" w:themeFill="background1"/>
          </w:tcPr>
          <w:p w:rsidR="006B4E92" w:rsidRDefault="006E1474" w:rsidP="006B4E92">
            <w:r>
              <w:rPr>
                <w:color w:val="000000"/>
              </w:rPr>
              <w:t xml:space="preserve">Equipment requirements have </w:t>
            </w:r>
            <w:r>
              <w:t>been identified, and ordered to be received and paid for by 30</w:t>
            </w:r>
            <w:r>
              <w:rPr>
                <w:color w:val="1F497D"/>
              </w:rPr>
              <w:t xml:space="preserve"> </w:t>
            </w:r>
            <w:r>
              <w:t>June</w:t>
            </w:r>
            <w:r>
              <w:rPr>
                <w:color w:val="1F497D"/>
              </w:rPr>
              <w:t xml:space="preserve"> </w:t>
            </w:r>
            <w:r>
              <w:t>2012.</w:t>
            </w:r>
          </w:p>
          <w:p w:rsidR="006E1474" w:rsidRDefault="006E1474" w:rsidP="006B4E92"/>
          <w:p w:rsidR="006B4E92" w:rsidRDefault="006B4E92" w:rsidP="006B4E92">
            <w:pPr>
              <w:rPr>
                <w:rFonts w:eastAsiaTheme="minorHAnsi"/>
                <w:szCs w:val="24"/>
              </w:rPr>
            </w:pPr>
            <w:r>
              <w:t>Activities under this initiative will be implemented up to 2012-13.</w:t>
            </w:r>
          </w:p>
          <w:p w:rsidR="006B4E92" w:rsidRDefault="006B4E92" w:rsidP="006B4E92">
            <w:pPr>
              <w:rPr>
                <w:rFonts w:ascii="Calibri" w:hAnsi="Calibri" w:cs="Calibri"/>
                <w:color w:val="000000"/>
                <w:szCs w:val="22"/>
              </w:rPr>
            </w:pPr>
          </w:p>
          <w:p w:rsidR="006B4E92" w:rsidRDefault="006B4E92" w:rsidP="006B4E92">
            <w:pPr>
              <w:rPr>
                <w:color w:val="000000"/>
              </w:rPr>
            </w:pPr>
            <w:r>
              <w:rPr>
                <w:color w:val="000000"/>
              </w:rPr>
              <w:t>1.0 FTE Health Service Officer (HSO)</w:t>
            </w:r>
            <w:r w:rsidR="008F6497">
              <w:rPr>
                <w:color w:val="000000"/>
              </w:rPr>
              <w:t xml:space="preserve"> who</w:t>
            </w:r>
            <w:r>
              <w:rPr>
                <w:color w:val="000000"/>
              </w:rPr>
              <w:t xml:space="preserve"> was permanen</w:t>
            </w:r>
            <w:r w:rsidR="008F6497">
              <w:rPr>
                <w:color w:val="000000"/>
              </w:rPr>
              <w:t>tly appointed in September 2010 continue</w:t>
            </w:r>
            <w:r w:rsidR="0094558D">
              <w:rPr>
                <w:color w:val="000000"/>
              </w:rPr>
              <w:t>s</w:t>
            </w:r>
            <w:r w:rsidR="002D7807">
              <w:rPr>
                <w:color w:val="000000"/>
              </w:rPr>
              <w:t xml:space="preserve"> to work i</w:t>
            </w:r>
            <w:r w:rsidR="008F6497">
              <w:rPr>
                <w:color w:val="000000"/>
              </w:rPr>
              <w:t xml:space="preserve">n </w:t>
            </w:r>
            <w:r w:rsidR="002D7807">
              <w:rPr>
                <w:color w:val="000000"/>
              </w:rPr>
              <w:t>t</w:t>
            </w:r>
            <w:r w:rsidR="008F6497">
              <w:rPr>
                <w:color w:val="000000"/>
              </w:rPr>
              <w:t>his role.</w:t>
            </w:r>
          </w:p>
          <w:p w:rsidR="006B4E92" w:rsidRDefault="006B4E92" w:rsidP="006B4E92"/>
          <w:p w:rsidR="006E1474" w:rsidRDefault="006E1474" w:rsidP="006B4E92"/>
          <w:p w:rsidR="006E1474" w:rsidRPr="00D377C4" w:rsidRDefault="006E1474" w:rsidP="006E1474"/>
        </w:tc>
        <w:tc>
          <w:tcPr>
            <w:tcW w:w="2694" w:type="dxa"/>
          </w:tcPr>
          <w:p w:rsidR="00DB2195" w:rsidRPr="00665986" w:rsidRDefault="00DB2195" w:rsidP="00DB2195">
            <w:pPr>
              <w:tabs>
                <w:tab w:val="left" w:pos="251"/>
              </w:tabs>
            </w:pPr>
            <w:r w:rsidRPr="00665986">
              <w:t>$ 726k over four years</w:t>
            </w:r>
          </w:p>
          <w:p w:rsidR="006B4E92" w:rsidRDefault="00DB2195" w:rsidP="006B4E92">
            <w:pPr>
              <w:tabs>
                <w:tab w:val="left" w:pos="251"/>
              </w:tabs>
            </w:pPr>
            <w:r w:rsidRPr="00665986">
              <w:t>(out of total Rehabilitation funding of $1.995 million over four years)</w:t>
            </w:r>
          </w:p>
          <w:p w:rsidR="006B4E92" w:rsidRDefault="006B4E92" w:rsidP="006E1474"/>
          <w:p w:rsidR="006B4E92" w:rsidRPr="006E17C4" w:rsidRDefault="004B425D" w:rsidP="006B4E92">
            <w:r>
              <w:t xml:space="preserve">Total expenditure </w:t>
            </w:r>
            <w:r w:rsidR="006E1474">
              <w:t xml:space="preserve">for </w:t>
            </w:r>
            <w:r w:rsidR="009B2415">
              <w:t xml:space="preserve">  </w:t>
            </w:r>
            <w:r w:rsidR="006E1474">
              <w:t>2011-12</w:t>
            </w:r>
            <w:r w:rsidR="006B4E92">
              <w:t xml:space="preserve"> on </w:t>
            </w:r>
            <w:r w:rsidR="006E1474">
              <w:t xml:space="preserve">this key deliverable is </w:t>
            </w:r>
            <w:r w:rsidR="006B4E92">
              <w:rPr>
                <w:szCs w:val="24"/>
              </w:rPr>
              <w:t> </w:t>
            </w:r>
            <w:r w:rsidR="006E1474" w:rsidRPr="006E1474">
              <w:rPr>
                <w:bCs/>
              </w:rPr>
              <w:t>$127,555</w:t>
            </w:r>
            <w:r w:rsidR="006B4E92">
              <w:rPr>
                <w:szCs w:val="24"/>
              </w:rPr>
              <w:t xml:space="preserve">  </w:t>
            </w:r>
            <w:r w:rsidR="006B4E92" w:rsidRPr="006E1474">
              <w:t> </w:t>
            </w:r>
          </w:p>
        </w:tc>
        <w:tc>
          <w:tcPr>
            <w:tcW w:w="4357" w:type="dxa"/>
          </w:tcPr>
          <w:p w:rsidR="0022617C" w:rsidRPr="002F3D09" w:rsidRDefault="0022617C" w:rsidP="0022617C">
            <w:pPr>
              <w:rPr>
                <w:szCs w:val="24"/>
              </w:rPr>
            </w:pPr>
            <w:r w:rsidRPr="002F3D09">
              <w:t>The staffing profile for Equipment Loan Service (ELS) has been enhanced to include an additional 1.0 FTE additional HSO staff.</w:t>
            </w:r>
          </w:p>
          <w:p w:rsidR="0022617C" w:rsidRPr="002F3D09" w:rsidRDefault="0022617C" w:rsidP="0022617C">
            <w:pPr>
              <w:rPr>
                <w:rFonts w:ascii="Calibri" w:hAnsi="Calibri" w:cs="Calibri"/>
                <w:szCs w:val="22"/>
              </w:rPr>
            </w:pPr>
            <w:r w:rsidRPr="002F3D09">
              <w:t>Service continues to provide a two person delivery service, five days a week for hospital beds, hoist and recline/lift chairs.</w:t>
            </w:r>
          </w:p>
          <w:p w:rsidR="0022617C" w:rsidRPr="002F3D09" w:rsidRDefault="0022617C" w:rsidP="0022617C"/>
          <w:p w:rsidR="0022617C" w:rsidRPr="002F3D09" w:rsidRDefault="0022617C" w:rsidP="0022617C">
            <w:r w:rsidRPr="002F3D09">
              <w:t>10 X 18” Breezy Basix wheelchairs with left/right elevating leg rests have been ordered.</w:t>
            </w:r>
          </w:p>
          <w:p w:rsidR="0022617C" w:rsidRPr="002F3D09" w:rsidRDefault="0022617C" w:rsidP="0022617C"/>
          <w:p w:rsidR="0022617C" w:rsidRDefault="0022617C" w:rsidP="0022617C">
            <w:r w:rsidRPr="002F3D09">
              <w:t xml:space="preserve">All equipment ordered for the ELS enhancement pool </w:t>
            </w:r>
            <w:r>
              <w:t>was ordered and received by</w:t>
            </w:r>
            <w:r w:rsidRPr="002F3D09">
              <w:t xml:space="preserve"> 30 June 2012.</w:t>
            </w:r>
          </w:p>
          <w:p w:rsidR="0022617C" w:rsidRPr="002F3D09" w:rsidRDefault="0022617C" w:rsidP="0022617C"/>
          <w:p w:rsidR="008F6497" w:rsidRDefault="0022617C" w:rsidP="00D3165B">
            <w:pPr>
              <w:rPr>
                <w:szCs w:val="24"/>
              </w:rPr>
            </w:pPr>
            <w:r w:rsidRPr="002F3D09">
              <w:rPr>
                <w:szCs w:val="24"/>
              </w:rPr>
              <w:t>Bariatric equipment such as bathing items and wheelchairs have been purchased to meet demand.</w:t>
            </w:r>
          </w:p>
          <w:p w:rsidR="005D5695" w:rsidRDefault="005D5695" w:rsidP="00D3165B"/>
          <w:p w:rsidR="00EB0286" w:rsidRDefault="00EB0286" w:rsidP="00D3165B"/>
          <w:p w:rsidR="00EB0286" w:rsidRDefault="00EB0286" w:rsidP="00D3165B"/>
          <w:p w:rsidR="004B425D" w:rsidRDefault="004B425D" w:rsidP="00D3165B"/>
          <w:p w:rsidR="004B425D" w:rsidRDefault="004B425D" w:rsidP="00D3165B"/>
          <w:p w:rsidR="004B425D" w:rsidRDefault="004B425D" w:rsidP="00D3165B"/>
          <w:p w:rsidR="004B425D" w:rsidRDefault="004B425D" w:rsidP="00D3165B"/>
          <w:p w:rsidR="004B425D" w:rsidRDefault="004B425D" w:rsidP="00D3165B"/>
          <w:p w:rsidR="00EB0286" w:rsidRPr="006E17C4" w:rsidRDefault="00EB0286" w:rsidP="00D3165B"/>
        </w:tc>
      </w:tr>
      <w:tr w:rsidR="005D5695" w:rsidRPr="00F73570" w:rsidTr="007854DA">
        <w:tc>
          <w:tcPr>
            <w:tcW w:w="3544" w:type="dxa"/>
            <w:shd w:val="clear" w:color="auto" w:fill="000000"/>
          </w:tcPr>
          <w:p w:rsidR="005D5695" w:rsidRPr="00F73570" w:rsidRDefault="005D5695" w:rsidP="0022617C">
            <w:pPr>
              <w:rPr>
                <w:rFonts w:ascii="Arial" w:hAnsi="Arial" w:cs="Arial"/>
                <w:b/>
                <w:color w:val="FFFFFF"/>
                <w:sz w:val="22"/>
                <w:szCs w:val="22"/>
              </w:rPr>
            </w:pPr>
            <w:r w:rsidRPr="00F73570">
              <w:rPr>
                <w:rFonts w:ascii="Arial" w:hAnsi="Arial" w:cs="Arial"/>
                <w:b/>
                <w:color w:val="FFFFFF"/>
                <w:sz w:val="22"/>
                <w:szCs w:val="22"/>
              </w:rPr>
              <w:lastRenderedPageBreak/>
              <w:t xml:space="preserve">Key deliverables </w:t>
            </w:r>
          </w:p>
        </w:tc>
        <w:tc>
          <w:tcPr>
            <w:tcW w:w="4082" w:type="dxa"/>
            <w:shd w:val="clear" w:color="auto" w:fill="000000"/>
          </w:tcPr>
          <w:p w:rsidR="005D5695" w:rsidRPr="00F73570" w:rsidRDefault="005D5695" w:rsidP="0022617C">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5D5695" w:rsidRPr="00F73570" w:rsidRDefault="005D5695" w:rsidP="0022617C">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5D5695" w:rsidRDefault="005D5695" w:rsidP="0022617C">
            <w:pPr>
              <w:rPr>
                <w:rFonts w:ascii="Arial" w:hAnsi="Arial" w:cs="Arial"/>
                <w:b/>
                <w:color w:val="FFFFFF"/>
                <w:sz w:val="22"/>
                <w:szCs w:val="22"/>
              </w:rPr>
            </w:pPr>
            <w:r w:rsidRPr="00F73570">
              <w:rPr>
                <w:rFonts w:ascii="Arial" w:hAnsi="Arial" w:cs="Arial"/>
                <w:b/>
                <w:color w:val="FFFFFF"/>
                <w:sz w:val="22"/>
                <w:szCs w:val="22"/>
              </w:rPr>
              <w:t>Comments</w:t>
            </w:r>
          </w:p>
          <w:p w:rsidR="005D5695" w:rsidRDefault="005D5695" w:rsidP="0022617C">
            <w:pPr>
              <w:rPr>
                <w:rFonts w:ascii="Arial" w:hAnsi="Arial" w:cs="Arial"/>
                <w:b/>
                <w:color w:val="FFFFFF"/>
                <w:sz w:val="22"/>
                <w:szCs w:val="22"/>
              </w:rPr>
            </w:pPr>
          </w:p>
          <w:p w:rsidR="005D5695" w:rsidRPr="00F73570" w:rsidRDefault="005D5695" w:rsidP="0022617C">
            <w:pPr>
              <w:rPr>
                <w:rFonts w:ascii="Arial" w:hAnsi="Arial" w:cs="Arial"/>
                <w:b/>
                <w:color w:val="FFFFFF"/>
                <w:sz w:val="22"/>
                <w:szCs w:val="22"/>
              </w:rPr>
            </w:pPr>
          </w:p>
        </w:tc>
      </w:tr>
      <w:tr w:rsidR="0063213A" w:rsidTr="007854DA">
        <w:trPr>
          <w:trHeight w:val="2139"/>
        </w:trPr>
        <w:tc>
          <w:tcPr>
            <w:tcW w:w="3544" w:type="dxa"/>
          </w:tcPr>
          <w:p w:rsidR="00681B5A" w:rsidRDefault="0014552E" w:rsidP="00535F2A">
            <w:r w:rsidRPr="00AB1B67">
              <w:rPr>
                <w:b/>
              </w:rPr>
              <w:t>2.  Rehabilitation Discharge Care Coordination Service</w:t>
            </w:r>
            <w:r>
              <w:t>.  This service covers the ACT region</w:t>
            </w:r>
            <w:r w:rsidR="00993530">
              <w:t xml:space="preserve"> and consist</w:t>
            </w:r>
            <w:r w:rsidR="004B425D">
              <w:t>s</w:t>
            </w:r>
            <w:r>
              <w:t xml:space="preserve"> of two skilled rehabilitation Registered Nurses whose role is to participate in the development of care plans for patients. </w:t>
            </w:r>
          </w:p>
          <w:p w:rsidR="00681B5A" w:rsidRDefault="00681B5A" w:rsidP="00535F2A"/>
          <w:p w:rsidR="00681B5A" w:rsidRDefault="00681B5A" w:rsidP="00535F2A"/>
          <w:p w:rsidR="00681B5A" w:rsidRDefault="00681B5A" w:rsidP="00535F2A"/>
          <w:p w:rsidR="00681B5A" w:rsidRDefault="00681B5A" w:rsidP="00535F2A"/>
          <w:p w:rsidR="00681B5A" w:rsidRPr="00665986" w:rsidRDefault="00681B5A" w:rsidP="00535F2A"/>
        </w:tc>
        <w:tc>
          <w:tcPr>
            <w:tcW w:w="4082" w:type="dxa"/>
          </w:tcPr>
          <w:p w:rsidR="00E24892" w:rsidRDefault="00E24892" w:rsidP="00E24892">
            <w:pPr>
              <w:rPr>
                <w:rFonts w:eastAsiaTheme="minorHAnsi"/>
                <w:szCs w:val="24"/>
              </w:rPr>
            </w:pPr>
            <w:r>
              <w:t>Activities under this initiative will be implemented up to 2012-13.</w:t>
            </w:r>
          </w:p>
          <w:p w:rsidR="00E24892" w:rsidRDefault="00E24892" w:rsidP="00E24892">
            <w:pPr>
              <w:rPr>
                <w:rFonts w:ascii="Calibri" w:hAnsi="Calibri" w:cs="Calibri"/>
                <w:color w:val="000000"/>
                <w:szCs w:val="22"/>
              </w:rPr>
            </w:pPr>
          </w:p>
          <w:p w:rsidR="00E24892" w:rsidRDefault="00E24892" w:rsidP="00E24892">
            <w:pPr>
              <w:rPr>
                <w:color w:val="000000"/>
              </w:rPr>
            </w:pPr>
            <w:r>
              <w:rPr>
                <w:color w:val="000000"/>
              </w:rPr>
              <w:t>Two Registered Nurses (2.0 FTE) as Discharge co-ordinators</w:t>
            </w:r>
            <w:r w:rsidR="00C95C5A">
              <w:rPr>
                <w:color w:val="000000"/>
              </w:rPr>
              <w:t xml:space="preserve"> were employed in Febru</w:t>
            </w:r>
            <w:r w:rsidR="004B425D">
              <w:rPr>
                <w:color w:val="000000"/>
              </w:rPr>
              <w:t>ary 2010 and continue with these</w:t>
            </w:r>
            <w:r w:rsidR="00C95C5A">
              <w:rPr>
                <w:color w:val="000000"/>
              </w:rPr>
              <w:t xml:space="preserve"> roles.</w:t>
            </w:r>
          </w:p>
          <w:p w:rsidR="00E24892" w:rsidRDefault="00E24892" w:rsidP="00233F45"/>
          <w:p w:rsidR="00C95C5A" w:rsidRDefault="00C95C5A" w:rsidP="00233F45"/>
          <w:p w:rsidR="00C95C5A" w:rsidRPr="00665986" w:rsidRDefault="00C95C5A" w:rsidP="00C95C5A"/>
        </w:tc>
        <w:tc>
          <w:tcPr>
            <w:tcW w:w="2694" w:type="dxa"/>
          </w:tcPr>
          <w:p w:rsidR="0063213A" w:rsidRPr="00665986" w:rsidRDefault="0063213A" w:rsidP="00535F2A">
            <w:pPr>
              <w:tabs>
                <w:tab w:val="left" w:pos="251"/>
              </w:tabs>
            </w:pPr>
            <w:r w:rsidRPr="00665986">
              <w:t>$828k over four years</w:t>
            </w:r>
          </w:p>
          <w:p w:rsidR="0063213A" w:rsidRDefault="0063213A" w:rsidP="00535F2A">
            <w:pPr>
              <w:tabs>
                <w:tab w:val="left" w:pos="251"/>
              </w:tabs>
            </w:pPr>
            <w:r w:rsidRPr="00665986">
              <w:t>(out of total Rehabilitation funding of $1.995 million over four years)</w:t>
            </w:r>
          </w:p>
          <w:p w:rsidR="00EA274D" w:rsidRDefault="00EA274D" w:rsidP="00EA274D">
            <w:pPr>
              <w:rPr>
                <w:rFonts w:ascii="Calibri" w:hAnsi="Calibri" w:cs="Calibri"/>
                <w:color w:val="1F497D"/>
              </w:rPr>
            </w:pPr>
          </w:p>
          <w:p w:rsidR="00E24892" w:rsidRPr="00665986" w:rsidRDefault="009B2415" w:rsidP="00EA274D">
            <w:r>
              <w:t xml:space="preserve">Total </w:t>
            </w:r>
            <w:r w:rsidR="004B425D">
              <w:t xml:space="preserve">expenditure </w:t>
            </w:r>
            <w:r>
              <w:t>for    2011-12</w:t>
            </w:r>
            <w:r w:rsidR="00EA274D">
              <w:t xml:space="preserve"> on </w:t>
            </w:r>
            <w:r>
              <w:t>this key deliverable</w:t>
            </w:r>
            <w:r w:rsidR="00EA274D">
              <w:rPr>
                <w:szCs w:val="24"/>
              </w:rPr>
              <w:t xml:space="preserve"> </w:t>
            </w:r>
            <w:r w:rsidR="004B425D">
              <w:rPr>
                <w:szCs w:val="24"/>
              </w:rPr>
              <w:t>was</w:t>
            </w:r>
            <w:r w:rsidR="00EA274D">
              <w:rPr>
                <w:szCs w:val="24"/>
              </w:rPr>
              <w:t> </w:t>
            </w:r>
            <w:r w:rsidRPr="009B2415">
              <w:rPr>
                <w:bCs/>
              </w:rPr>
              <w:t>$224,801</w:t>
            </w:r>
          </w:p>
        </w:tc>
        <w:tc>
          <w:tcPr>
            <w:tcW w:w="4357" w:type="dxa"/>
          </w:tcPr>
          <w:p w:rsidR="0085327F" w:rsidRDefault="0085327F" w:rsidP="0085327F">
            <w:pPr>
              <w:rPr>
                <w:color w:val="1F497D"/>
                <w:szCs w:val="24"/>
              </w:rPr>
            </w:pPr>
            <w:r>
              <w:t xml:space="preserve">The two registered nurses provide contact with patients eligible for admission to an inpatient  rehabilitation  unit to ensure the patients are aware what to expect.  In addition, their role focuses on assisting with discharge coordination for complex patients including facilitating goal setting meetings, and case conferences.  Post-discharge follow-up/home visits </w:t>
            </w:r>
            <w:r w:rsidR="004B425D">
              <w:t xml:space="preserve">are </w:t>
            </w:r>
            <w:r>
              <w:t>undertaken to ensure any evolving issues can be resolved without readmission to hospital.</w:t>
            </w:r>
          </w:p>
          <w:p w:rsidR="0085327F" w:rsidRDefault="0085327F" w:rsidP="00367E8E">
            <w:pPr>
              <w:rPr>
                <w:rFonts w:eastAsiaTheme="minorHAnsi"/>
                <w:szCs w:val="24"/>
              </w:rPr>
            </w:pPr>
          </w:p>
          <w:p w:rsidR="004B425D" w:rsidRPr="005D5695" w:rsidRDefault="004B425D" w:rsidP="00367E8E">
            <w:pPr>
              <w:rPr>
                <w:rFonts w:eastAsiaTheme="minorHAnsi"/>
                <w:szCs w:val="24"/>
              </w:rPr>
            </w:pPr>
          </w:p>
        </w:tc>
      </w:tr>
      <w:tr w:rsidR="00077876" w:rsidTr="007854DA">
        <w:trPr>
          <w:trHeight w:val="2139"/>
        </w:trPr>
        <w:tc>
          <w:tcPr>
            <w:tcW w:w="3544" w:type="dxa"/>
          </w:tcPr>
          <w:p w:rsidR="00077876" w:rsidRDefault="00077876" w:rsidP="00077876">
            <w:r w:rsidRPr="00DE4576">
              <w:rPr>
                <w:b/>
              </w:rPr>
              <w:t>3.  Disability Counsellor</w:t>
            </w:r>
            <w:r>
              <w:t xml:space="preserve"> – to provide counselling and support services to patients and their families or carers who are newly disabled</w:t>
            </w:r>
          </w:p>
          <w:p w:rsidR="00077876" w:rsidRPr="00AB1B67" w:rsidRDefault="00077876" w:rsidP="00077876">
            <w:pPr>
              <w:rPr>
                <w:b/>
              </w:rPr>
            </w:pPr>
            <w:r>
              <w:t xml:space="preserve">This service covers the ACT region.  </w:t>
            </w:r>
          </w:p>
        </w:tc>
        <w:tc>
          <w:tcPr>
            <w:tcW w:w="4082" w:type="dxa"/>
          </w:tcPr>
          <w:p w:rsidR="009F7B62" w:rsidRDefault="009F7B62" w:rsidP="009F7B62">
            <w:r>
              <w:t>Activities under this initiative will be implemented up to 2012-13.</w:t>
            </w:r>
          </w:p>
          <w:p w:rsidR="00761033" w:rsidRDefault="00761033" w:rsidP="00761033">
            <w:pPr>
              <w:rPr>
                <w:rFonts w:ascii="Calibri" w:hAnsi="Calibri" w:cs="Calibri"/>
                <w:szCs w:val="22"/>
              </w:rPr>
            </w:pPr>
          </w:p>
          <w:p w:rsidR="00761033" w:rsidRDefault="00761033" w:rsidP="00761033">
            <w:pPr>
              <w:rPr>
                <w:color w:val="000000"/>
              </w:rPr>
            </w:pPr>
            <w:r>
              <w:rPr>
                <w:color w:val="000000"/>
              </w:rPr>
              <w:t xml:space="preserve">A Disability Counsellor (1.0 FTE) recruited in February 2010 and the counsellor is working continue </w:t>
            </w:r>
            <w:r w:rsidR="004B425D">
              <w:rPr>
                <w:color w:val="000000"/>
              </w:rPr>
              <w:t>in t</w:t>
            </w:r>
            <w:r>
              <w:rPr>
                <w:color w:val="000000"/>
              </w:rPr>
              <w:t>his role.</w:t>
            </w:r>
          </w:p>
          <w:p w:rsidR="009F2A2F" w:rsidRPr="00665986" w:rsidRDefault="009F2A2F" w:rsidP="004735C5"/>
        </w:tc>
        <w:tc>
          <w:tcPr>
            <w:tcW w:w="2694" w:type="dxa"/>
          </w:tcPr>
          <w:p w:rsidR="00077876" w:rsidRPr="00665986" w:rsidRDefault="00077876" w:rsidP="00535F2A">
            <w:pPr>
              <w:tabs>
                <w:tab w:val="left" w:pos="251"/>
              </w:tabs>
            </w:pPr>
            <w:r w:rsidRPr="00665986">
              <w:t>$440k over four years</w:t>
            </w:r>
          </w:p>
          <w:p w:rsidR="00077876" w:rsidRDefault="00077876" w:rsidP="00535F2A">
            <w:pPr>
              <w:tabs>
                <w:tab w:val="left" w:pos="251"/>
              </w:tabs>
            </w:pPr>
            <w:r w:rsidRPr="00665986">
              <w:t>(out of total Rehabilitation funding of $1.995 million over four years)</w:t>
            </w:r>
          </w:p>
          <w:p w:rsidR="009F2A2F" w:rsidRPr="009C56B1" w:rsidRDefault="009F2A2F" w:rsidP="009F2A2F"/>
          <w:p w:rsidR="009F2A2F" w:rsidRPr="00665986" w:rsidRDefault="00761033" w:rsidP="009F2A2F">
            <w:pPr>
              <w:tabs>
                <w:tab w:val="left" w:pos="251"/>
              </w:tabs>
            </w:pPr>
            <w:r>
              <w:t xml:space="preserve">Total </w:t>
            </w:r>
            <w:r w:rsidR="004B425D">
              <w:t>expenditure</w:t>
            </w:r>
            <w:r>
              <w:t xml:space="preserve"> for   2011-12</w:t>
            </w:r>
            <w:r w:rsidR="00415376">
              <w:t xml:space="preserve"> on this key deliverable is </w:t>
            </w:r>
            <w:r>
              <w:t>$</w:t>
            </w:r>
            <w:r w:rsidRPr="00761033">
              <w:rPr>
                <w:bCs/>
              </w:rPr>
              <w:t>105,226</w:t>
            </w:r>
          </w:p>
        </w:tc>
        <w:tc>
          <w:tcPr>
            <w:tcW w:w="4357" w:type="dxa"/>
          </w:tcPr>
          <w:p w:rsidR="004B425D" w:rsidRDefault="000B07A2" w:rsidP="004B425D">
            <w:r w:rsidRPr="0099376A">
              <w:t xml:space="preserve">The Disability Counsellor provides a service to clients and their families/carers in both the inpatient and outpatient settings. The counsellor’s service starts in the inpatient rehabilitation setting and </w:t>
            </w:r>
            <w:r w:rsidR="004B425D">
              <w:t xml:space="preserve">continues </w:t>
            </w:r>
            <w:r w:rsidRPr="0099376A">
              <w:t xml:space="preserve">into the community setting after the client's discharge. The counsellor also provides support to community based clients who have not been admitted into the hospital program. </w:t>
            </w:r>
            <w:r>
              <w:t xml:space="preserve"> </w:t>
            </w:r>
          </w:p>
          <w:p w:rsidR="004B425D" w:rsidRDefault="004B425D" w:rsidP="004B425D"/>
          <w:p w:rsidR="004B425D" w:rsidRDefault="004B425D" w:rsidP="004B425D"/>
          <w:p w:rsidR="004B425D" w:rsidRDefault="004B425D" w:rsidP="004B425D"/>
          <w:p w:rsidR="006E17C4" w:rsidRPr="00665986" w:rsidRDefault="000B07A2" w:rsidP="004B425D">
            <w:r w:rsidRPr="0099376A">
              <w:t>.</w:t>
            </w:r>
            <w:r w:rsidRPr="0099376A">
              <w:rPr>
                <w:rFonts w:ascii="Arial" w:hAnsi="Arial" w:cs="Arial"/>
                <w:sz w:val="20"/>
              </w:rPr>
              <w:t xml:space="preserve"> </w:t>
            </w:r>
          </w:p>
        </w:tc>
      </w:tr>
      <w:tr w:rsidR="00C757A1" w:rsidRPr="00F73570" w:rsidTr="007854DA">
        <w:tc>
          <w:tcPr>
            <w:tcW w:w="3544" w:type="dxa"/>
            <w:shd w:val="clear" w:color="auto" w:fill="000000"/>
          </w:tcPr>
          <w:p w:rsidR="00C757A1" w:rsidRPr="00F73570" w:rsidRDefault="00C757A1" w:rsidP="00A84576">
            <w:pPr>
              <w:rPr>
                <w:rFonts w:ascii="Arial" w:hAnsi="Arial" w:cs="Arial"/>
                <w:b/>
                <w:color w:val="FFFFFF"/>
                <w:sz w:val="22"/>
                <w:szCs w:val="22"/>
              </w:rPr>
            </w:pPr>
            <w:r w:rsidRPr="00F73570">
              <w:rPr>
                <w:rFonts w:ascii="Arial" w:hAnsi="Arial" w:cs="Arial"/>
                <w:b/>
                <w:color w:val="FFFFFF"/>
                <w:sz w:val="22"/>
                <w:szCs w:val="22"/>
              </w:rPr>
              <w:lastRenderedPageBreak/>
              <w:t xml:space="preserve">Key deliverables </w:t>
            </w:r>
          </w:p>
        </w:tc>
        <w:tc>
          <w:tcPr>
            <w:tcW w:w="4082" w:type="dxa"/>
            <w:shd w:val="clear" w:color="auto" w:fill="000000"/>
          </w:tcPr>
          <w:p w:rsidR="00C757A1" w:rsidRPr="00F73570" w:rsidRDefault="00C757A1" w:rsidP="00A84576">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C757A1" w:rsidRPr="00F73570" w:rsidRDefault="00C757A1" w:rsidP="00A84576">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C757A1" w:rsidRDefault="00C757A1" w:rsidP="00A84576">
            <w:pPr>
              <w:rPr>
                <w:rFonts w:ascii="Arial" w:hAnsi="Arial" w:cs="Arial"/>
                <w:b/>
                <w:color w:val="FFFFFF"/>
                <w:sz w:val="22"/>
                <w:szCs w:val="22"/>
              </w:rPr>
            </w:pPr>
            <w:r w:rsidRPr="00F73570">
              <w:rPr>
                <w:rFonts w:ascii="Arial" w:hAnsi="Arial" w:cs="Arial"/>
                <w:b/>
                <w:color w:val="FFFFFF"/>
                <w:sz w:val="22"/>
                <w:szCs w:val="22"/>
              </w:rPr>
              <w:t>Comments</w:t>
            </w:r>
          </w:p>
          <w:p w:rsidR="00C757A1" w:rsidRDefault="00C757A1" w:rsidP="00A84576">
            <w:pPr>
              <w:rPr>
                <w:rFonts w:ascii="Arial" w:hAnsi="Arial" w:cs="Arial"/>
                <w:b/>
                <w:color w:val="FFFFFF"/>
                <w:sz w:val="22"/>
                <w:szCs w:val="22"/>
              </w:rPr>
            </w:pPr>
          </w:p>
          <w:p w:rsidR="00C757A1" w:rsidRPr="00F73570" w:rsidRDefault="00C757A1" w:rsidP="00A84576">
            <w:pPr>
              <w:rPr>
                <w:rFonts w:ascii="Arial" w:hAnsi="Arial" w:cs="Arial"/>
                <w:b/>
                <w:color w:val="FFFFFF"/>
                <w:sz w:val="22"/>
                <w:szCs w:val="22"/>
              </w:rPr>
            </w:pPr>
          </w:p>
        </w:tc>
      </w:tr>
      <w:tr w:rsidR="0066554F" w:rsidTr="007854DA">
        <w:trPr>
          <w:trHeight w:val="2139"/>
        </w:trPr>
        <w:tc>
          <w:tcPr>
            <w:tcW w:w="3544" w:type="dxa"/>
          </w:tcPr>
          <w:p w:rsidR="0066554F" w:rsidRPr="00DE4576" w:rsidRDefault="0066554F" w:rsidP="00077876">
            <w:pPr>
              <w:rPr>
                <w:b/>
              </w:rPr>
            </w:pPr>
          </w:p>
        </w:tc>
        <w:tc>
          <w:tcPr>
            <w:tcW w:w="4082" w:type="dxa"/>
          </w:tcPr>
          <w:p w:rsidR="0066554F" w:rsidRDefault="0066554F" w:rsidP="009F7B62"/>
        </w:tc>
        <w:tc>
          <w:tcPr>
            <w:tcW w:w="2694" w:type="dxa"/>
          </w:tcPr>
          <w:p w:rsidR="0066554F" w:rsidRPr="00665986" w:rsidRDefault="0066554F" w:rsidP="00535F2A">
            <w:pPr>
              <w:tabs>
                <w:tab w:val="left" w:pos="251"/>
              </w:tabs>
            </w:pPr>
          </w:p>
        </w:tc>
        <w:tc>
          <w:tcPr>
            <w:tcW w:w="4357" w:type="dxa"/>
          </w:tcPr>
          <w:p w:rsidR="00C757A1" w:rsidRPr="0099376A" w:rsidRDefault="00C757A1" w:rsidP="00C757A1">
            <w:pPr>
              <w:rPr>
                <w:szCs w:val="24"/>
              </w:rPr>
            </w:pPr>
            <w:r w:rsidRPr="0099376A">
              <w:rPr>
                <w:szCs w:val="24"/>
              </w:rPr>
              <w:t xml:space="preserve">There have been periods over the last six to nine months </w:t>
            </w:r>
            <w:r>
              <w:rPr>
                <w:szCs w:val="24"/>
              </w:rPr>
              <w:t xml:space="preserve">in 2011-2012 </w:t>
            </w:r>
            <w:r w:rsidRPr="0099376A">
              <w:rPr>
                <w:szCs w:val="24"/>
              </w:rPr>
              <w:t>where the position has been vacant due to the temporary transfer of the nominal occupant. However, a counselling service has been provided by existing social work and clinical psychology staff during these vacancies.</w:t>
            </w:r>
          </w:p>
          <w:p w:rsidR="00C757A1" w:rsidRPr="000B07A2" w:rsidRDefault="00C757A1" w:rsidP="00C757A1">
            <w:r w:rsidRPr="0099376A">
              <w:rPr>
                <w:szCs w:val="24"/>
              </w:rPr>
              <w:t>An evaluation of this service is currently being undertaken.</w:t>
            </w:r>
          </w:p>
          <w:p w:rsidR="0066554F" w:rsidRPr="0099376A" w:rsidRDefault="0066554F" w:rsidP="000B07A2"/>
        </w:tc>
      </w:tr>
      <w:tr w:rsidR="00F7501A" w:rsidTr="007854DA">
        <w:trPr>
          <w:trHeight w:val="1251"/>
        </w:trPr>
        <w:tc>
          <w:tcPr>
            <w:tcW w:w="3544" w:type="dxa"/>
          </w:tcPr>
          <w:p w:rsidR="00F7501A" w:rsidRPr="003A7E6F" w:rsidRDefault="00F7501A" w:rsidP="00243F94">
            <w:r w:rsidRPr="003D4AB7">
              <w:rPr>
                <w:b/>
              </w:rPr>
              <w:t xml:space="preserve">4.  </w:t>
            </w:r>
            <w:r>
              <w:rPr>
                <w:b/>
              </w:rPr>
              <w:t xml:space="preserve">Expanding </w:t>
            </w:r>
            <w:r w:rsidRPr="003D4AB7">
              <w:rPr>
                <w:b/>
              </w:rPr>
              <w:t>Rapid Assessment of the Deteriorating Aged at Risk (RADAR)</w:t>
            </w:r>
            <w:r>
              <w:rPr>
                <w:b/>
              </w:rPr>
              <w:t xml:space="preserve"> </w:t>
            </w:r>
            <w:r w:rsidRPr="00993530">
              <w:t>services</w:t>
            </w:r>
            <w:r>
              <w:rPr>
                <w:b/>
              </w:rPr>
              <w:t xml:space="preserve"> </w:t>
            </w:r>
            <w:r>
              <w:t>by increasing the capacity within the existing RADAR team by increasing FTEs.  The services are provided to the whole ACT region.</w:t>
            </w:r>
          </w:p>
          <w:p w:rsidR="00F7501A" w:rsidRPr="00DE4576" w:rsidRDefault="00F7501A" w:rsidP="00077876">
            <w:pPr>
              <w:rPr>
                <w:b/>
              </w:rPr>
            </w:pPr>
          </w:p>
        </w:tc>
        <w:tc>
          <w:tcPr>
            <w:tcW w:w="4082" w:type="dxa"/>
          </w:tcPr>
          <w:p w:rsidR="0079157F" w:rsidRDefault="009F7B62" w:rsidP="00DE1FF7">
            <w:r>
              <w:t>Activities under this initiative will be implemented up to 2012-13.</w:t>
            </w:r>
          </w:p>
          <w:p w:rsidR="0079157F" w:rsidRDefault="0079157F" w:rsidP="0079157F"/>
          <w:p w:rsidR="0079157F" w:rsidRDefault="0079157F" w:rsidP="0079157F">
            <w:r>
              <w:t>The additional 0.6 full time equivalent (FTE) of a geriatrician was recruited in Janu</w:t>
            </w:r>
            <w:r w:rsidR="00DE1FF7">
              <w:t>ary 2011 and cu</w:t>
            </w:r>
            <w:r w:rsidR="00882648">
              <w:t xml:space="preserve">rrently continue with their </w:t>
            </w:r>
            <w:r w:rsidR="00DE1FF7">
              <w:t>role.</w:t>
            </w:r>
          </w:p>
          <w:p w:rsidR="0079157F" w:rsidRPr="00FC1D76" w:rsidRDefault="0079157F" w:rsidP="004B425D">
            <w:pPr>
              <w:tabs>
                <w:tab w:val="left" w:pos="312"/>
              </w:tabs>
              <w:rPr>
                <w:szCs w:val="24"/>
              </w:rPr>
            </w:pPr>
            <w:r>
              <w:t>The skill mix in the team was changed from 1 FTE of Occupational Therapist (OT) to a 0.5 FTE OT and a 0.5 FTE R</w:t>
            </w:r>
            <w:r w:rsidR="004B425D">
              <w:t xml:space="preserve">egistered Nurse level 2 (RN2) to better reflect </w:t>
            </w:r>
            <w:r>
              <w:t xml:space="preserve">the clinical requirements of the patients. </w:t>
            </w:r>
          </w:p>
        </w:tc>
        <w:tc>
          <w:tcPr>
            <w:tcW w:w="2694" w:type="dxa"/>
          </w:tcPr>
          <w:p w:rsidR="00F7501A" w:rsidRDefault="00F7501A" w:rsidP="00535F2A">
            <w:pPr>
              <w:tabs>
                <w:tab w:val="left" w:pos="251"/>
              </w:tabs>
            </w:pPr>
            <w:r w:rsidRPr="00665986">
              <w:t>$1.622 million over four years</w:t>
            </w:r>
          </w:p>
          <w:p w:rsidR="00F7501A" w:rsidRDefault="00F7501A" w:rsidP="00535F2A">
            <w:pPr>
              <w:tabs>
                <w:tab w:val="left" w:pos="251"/>
              </w:tabs>
            </w:pPr>
          </w:p>
          <w:p w:rsidR="00CF1F0A" w:rsidRDefault="00DE1FF7" w:rsidP="00CF1F0A">
            <w:r>
              <w:t xml:space="preserve">Total </w:t>
            </w:r>
            <w:r w:rsidR="004B425D">
              <w:t>expenditure</w:t>
            </w:r>
            <w:r>
              <w:t xml:space="preserve"> for   2011-12</w:t>
            </w:r>
            <w:r w:rsidR="004B425D">
              <w:t xml:space="preserve"> on this key deliverable was</w:t>
            </w:r>
            <w:r w:rsidR="00CF1F0A">
              <w:t xml:space="preserve"> </w:t>
            </w:r>
            <w:r>
              <w:t>$</w:t>
            </w:r>
            <w:r w:rsidRPr="00DE1FF7">
              <w:rPr>
                <w:bCs/>
              </w:rPr>
              <w:t>262,115</w:t>
            </w:r>
          </w:p>
          <w:p w:rsidR="00F7501A" w:rsidRDefault="00F7501A" w:rsidP="00F7501A">
            <w:r>
              <w:t>.</w:t>
            </w:r>
          </w:p>
          <w:p w:rsidR="00F7501A" w:rsidRPr="00665986" w:rsidRDefault="00F7501A" w:rsidP="00535F2A">
            <w:pPr>
              <w:tabs>
                <w:tab w:val="left" w:pos="251"/>
              </w:tabs>
            </w:pPr>
          </w:p>
        </w:tc>
        <w:tc>
          <w:tcPr>
            <w:tcW w:w="4357" w:type="dxa"/>
          </w:tcPr>
          <w:p w:rsidR="001E4372" w:rsidRDefault="001E4372" w:rsidP="001E4372">
            <w:r>
              <w:t>RADAR continues to provide a short term assessment and management service to elderly clients living in the community or in a residential aged care facility (RACF). Referrals are rece</w:t>
            </w:r>
            <w:r w:rsidR="008E4A4D">
              <w:t>ived from General Practitioners (GP</w:t>
            </w:r>
            <w:r>
              <w:t>s) who have a deteriorating elderly client in the community who potentially can be managed at home or in a RACF. From      1 January to 30 June 2012, the RADAR team saw 133 clients with 1168 occasions of service.</w:t>
            </w:r>
          </w:p>
          <w:p w:rsidR="001E4372" w:rsidRDefault="001E4372" w:rsidP="001E4372"/>
          <w:p w:rsidR="001F7F2D" w:rsidRPr="00B35D1A" w:rsidRDefault="001E4372" w:rsidP="00C757A1">
            <w:r>
              <w:rPr>
                <w:color w:val="000000"/>
              </w:rPr>
              <w:t xml:space="preserve">Of the 133 patients seen only 33 required admissions to hospital. Of the 33 clients 13 were admitted through either the Calvary or The Canberra Hospital </w:t>
            </w:r>
          </w:p>
        </w:tc>
      </w:tr>
      <w:tr w:rsidR="00C757A1" w:rsidRPr="00F73570" w:rsidTr="007854DA">
        <w:tc>
          <w:tcPr>
            <w:tcW w:w="3544" w:type="dxa"/>
            <w:shd w:val="clear" w:color="auto" w:fill="000000"/>
          </w:tcPr>
          <w:p w:rsidR="00C757A1" w:rsidRPr="00F73570" w:rsidRDefault="00C757A1" w:rsidP="00A84576">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C757A1" w:rsidRPr="00F73570" w:rsidRDefault="00C757A1" w:rsidP="00A84576">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C757A1" w:rsidRPr="00F73570" w:rsidRDefault="00C757A1" w:rsidP="00A84576">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C757A1" w:rsidRDefault="00C757A1" w:rsidP="00A84576">
            <w:pPr>
              <w:rPr>
                <w:rFonts w:ascii="Arial" w:hAnsi="Arial" w:cs="Arial"/>
                <w:b/>
                <w:color w:val="FFFFFF"/>
                <w:sz w:val="22"/>
                <w:szCs w:val="22"/>
              </w:rPr>
            </w:pPr>
            <w:r w:rsidRPr="00F73570">
              <w:rPr>
                <w:rFonts w:ascii="Arial" w:hAnsi="Arial" w:cs="Arial"/>
                <w:b/>
                <w:color w:val="FFFFFF"/>
                <w:sz w:val="22"/>
                <w:szCs w:val="22"/>
              </w:rPr>
              <w:t>Comments</w:t>
            </w:r>
          </w:p>
          <w:p w:rsidR="00C757A1" w:rsidRPr="00F73570" w:rsidRDefault="00C757A1" w:rsidP="00A84576">
            <w:pPr>
              <w:rPr>
                <w:rFonts w:ascii="Arial" w:hAnsi="Arial" w:cs="Arial"/>
                <w:b/>
                <w:color w:val="FFFFFF"/>
                <w:sz w:val="22"/>
                <w:szCs w:val="22"/>
              </w:rPr>
            </w:pPr>
          </w:p>
        </w:tc>
      </w:tr>
      <w:tr w:rsidR="00C757A1" w:rsidTr="007854DA">
        <w:trPr>
          <w:trHeight w:val="1251"/>
        </w:trPr>
        <w:tc>
          <w:tcPr>
            <w:tcW w:w="3544" w:type="dxa"/>
          </w:tcPr>
          <w:p w:rsidR="00C757A1" w:rsidRPr="003D4AB7" w:rsidRDefault="00C757A1" w:rsidP="00243F94">
            <w:pPr>
              <w:rPr>
                <w:b/>
              </w:rPr>
            </w:pPr>
          </w:p>
        </w:tc>
        <w:tc>
          <w:tcPr>
            <w:tcW w:w="4082" w:type="dxa"/>
          </w:tcPr>
          <w:p w:rsidR="00C757A1" w:rsidRDefault="00C757A1" w:rsidP="00DE1FF7"/>
        </w:tc>
        <w:tc>
          <w:tcPr>
            <w:tcW w:w="2694" w:type="dxa"/>
          </w:tcPr>
          <w:p w:rsidR="00C757A1" w:rsidRPr="00665986" w:rsidRDefault="00C757A1" w:rsidP="00535F2A">
            <w:pPr>
              <w:tabs>
                <w:tab w:val="left" w:pos="251"/>
              </w:tabs>
            </w:pPr>
          </w:p>
        </w:tc>
        <w:tc>
          <w:tcPr>
            <w:tcW w:w="4357" w:type="dxa"/>
          </w:tcPr>
          <w:p w:rsidR="00C757A1" w:rsidRDefault="00C757A1" w:rsidP="00C757A1">
            <w:pPr>
              <w:rPr>
                <w:color w:val="000000"/>
              </w:rPr>
            </w:pPr>
            <w:r>
              <w:rPr>
                <w:color w:val="000000"/>
              </w:rPr>
              <w:t>Emergency Department, and 8 were admitted into a private hospital under the care of a geriatrician.</w:t>
            </w:r>
          </w:p>
          <w:p w:rsidR="00C757A1" w:rsidRDefault="00C757A1" w:rsidP="00C757A1"/>
          <w:p w:rsidR="00C757A1" w:rsidRDefault="00C757A1" w:rsidP="00C757A1">
            <w:pPr>
              <w:rPr>
                <w:color w:val="000000"/>
              </w:rPr>
            </w:pPr>
            <w:r>
              <w:rPr>
                <w:color w:val="000000"/>
              </w:rPr>
              <w:t>The admission rate has remain</w:t>
            </w:r>
            <w:r w:rsidR="008E4A4D">
              <w:rPr>
                <w:color w:val="000000"/>
              </w:rPr>
              <w:t>ed</w:t>
            </w:r>
            <w:r>
              <w:rPr>
                <w:color w:val="000000"/>
              </w:rPr>
              <w:t xml:space="preserve"> unchanged, however the use of RADAR by the GP’s to facilitate an admission continues.</w:t>
            </w:r>
          </w:p>
          <w:p w:rsidR="00C757A1" w:rsidRDefault="00C757A1" w:rsidP="00C757A1">
            <w:pPr>
              <w:rPr>
                <w:i/>
                <w:iCs/>
                <w:color w:val="943634"/>
              </w:rPr>
            </w:pPr>
          </w:p>
          <w:p w:rsidR="00C757A1" w:rsidRDefault="00C757A1" w:rsidP="00C757A1">
            <w:r>
              <w:t xml:space="preserve">In order to continue to provide RADAR services, the team is comprised of a multidisciplinary team as follows: : </w:t>
            </w:r>
          </w:p>
          <w:p w:rsidR="00C757A1" w:rsidRDefault="00C757A1" w:rsidP="00C757A1"/>
          <w:p w:rsidR="00C757A1" w:rsidRDefault="00C757A1" w:rsidP="00C757A1">
            <w:pPr>
              <w:ind w:left="720"/>
            </w:pPr>
            <w:r>
              <w:t>1.0 FTE Nurse Practitioner</w:t>
            </w:r>
          </w:p>
          <w:p w:rsidR="00C757A1" w:rsidRDefault="00C757A1" w:rsidP="00C757A1">
            <w:pPr>
              <w:ind w:left="720"/>
            </w:pPr>
            <w:r>
              <w:t>1.5 FTE Registered Nurse Level 2</w:t>
            </w:r>
          </w:p>
          <w:p w:rsidR="00C757A1" w:rsidRDefault="00C757A1" w:rsidP="00C757A1">
            <w:pPr>
              <w:ind w:left="720"/>
            </w:pPr>
            <w:r>
              <w:t xml:space="preserve">0.48 FTE Social Worker </w:t>
            </w:r>
          </w:p>
          <w:p w:rsidR="00C757A1" w:rsidRDefault="00C757A1" w:rsidP="00C757A1">
            <w:pPr>
              <w:ind w:left="720"/>
            </w:pPr>
            <w:r>
              <w:t xml:space="preserve">0.5 FTE Occupational Therapist </w:t>
            </w:r>
          </w:p>
          <w:p w:rsidR="00C757A1" w:rsidRDefault="00C757A1" w:rsidP="00C757A1">
            <w:pPr>
              <w:ind w:left="720"/>
            </w:pPr>
            <w:r>
              <w:t>1.2 FTE Geriatrician</w:t>
            </w:r>
          </w:p>
          <w:p w:rsidR="00C757A1" w:rsidRDefault="00C757A1" w:rsidP="00C757A1">
            <w:pPr>
              <w:ind w:left="720"/>
            </w:pPr>
          </w:p>
          <w:p w:rsidR="00C757A1" w:rsidRDefault="00C757A1" w:rsidP="00C757A1">
            <w:pPr>
              <w:rPr>
                <w:sz w:val="20"/>
              </w:rPr>
            </w:pPr>
            <w:r>
              <w:t xml:space="preserve">RADAR continues to promote its service to GPs. The RADAR team have been involved in the education of the GPs involved in the </w:t>
            </w:r>
            <w:r w:rsidRPr="001E4372">
              <w:rPr>
                <w:i/>
              </w:rPr>
              <w:t xml:space="preserve">GP Aged Day Service Program </w:t>
            </w:r>
            <w:r>
              <w:t>(GPADS). RADAR is also represented at the Medicare Local level. RADAR continues to maintain a good working relationship with Hospital in the Home (HITH).</w:t>
            </w:r>
          </w:p>
          <w:p w:rsidR="00C757A1" w:rsidRDefault="00C757A1" w:rsidP="001E4372"/>
        </w:tc>
      </w:tr>
      <w:tr w:rsidR="005D5695" w:rsidRPr="00F73570" w:rsidTr="007854DA">
        <w:tc>
          <w:tcPr>
            <w:tcW w:w="3544" w:type="dxa"/>
            <w:shd w:val="clear" w:color="auto" w:fill="000000"/>
          </w:tcPr>
          <w:p w:rsidR="005D5695" w:rsidRPr="00F73570" w:rsidRDefault="005D5695" w:rsidP="0022617C">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5D5695" w:rsidRPr="00F73570" w:rsidRDefault="005D5695" w:rsidP="0022617C">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5D5695" w:rsidRPr="00F73570" w:rsidRDefault="005D5695" w:rsidP="0022617C">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5D5695" w:rsidRDefault="005D5695" w:rsidP="0022617C">
            <w:pPr>
              <w:rPr>
                <w:rFonts w:ascii="Arial" w:hAnsi="Arial" w:cs="Arial"/>
                <w:b/>
                <w:color w:val="FFFFFF"/>
                <w:sz w:val="22"/>
                <w:szCs w:val="22"/>
              </w:rPr>
            </w:pPr>
            <w:r w:rsidRPr="00F73570">
              <w:rPr>
                <w:rFonts w:ascii="Arial" w:hAnsi="Arial" w:cs="Arial"/>
                <w:b/>
                <w:color w:val="FFFFFF"/>
                <w:sz w:val="22"/>
                <w:szCs w:val="22"/>
              </w:rPr>
              <w:t>Comments</w:t>
            </w:r>
          </w:p>
          <w:p w:rsidR="005D5695" w:rsidRPr="00F73570" w:rsidRDefault="005D5695" w:rsidP="0022617C">
            <w:pPr>
              <w:rPr>
                <w:rFonts w:ascii="Arial" w:hAnsi="Arial" w:cs="Arial"/>
                <w:b/>
                <w:color w:val="FFFFFF"/>
                <w:sz w:val="22"/>
                <w:szCs w:val="22"/>
              </w:rPr>
            </w:pPr>
          </w:p>
        </w:tc>
      </w:tr>
      <w:tr w:rsidR="00535F2A" w:rsidTr="007854DA">
        <w:trPr>
          <w:trHeight w:val="2139"/>
        </w:trPr>
        <w:tc>
          <w:tcPr>
            <w:tcW w:w="3544" w:type="dxa"/>
          </w:tcPr>
          <w:p w:rsidR="00535F2A" w:rsidRPr="00493B27" w:rsidRDefault="00535F2A" w:rsidP="004245E9">
            <w:pPr>
              <w:rPr>
                <w:b/>
              </w:rPr>
            </w:pPr>
            <w:r w:rsidRPr="00493B27">
              <w:rPr>
                <w:b/>
              </w:rPr>
              <w:t>5.  Enhancement to existing services within the Older Persons Mental Health Service (OPMHS</w:t>
            </w:r>
            <w:r>
              <w:rPr>
                <w:b/>
              </w:rPr>
              <w:t>)</w:t>
            </w:r>
            <w:r>
              <w:rPr>
                <w:i/>
                <w:szCs w:val="24"/>
              </w:rPr>
              <w:t xml:space="preserve"> </w:t>
            </w:r>
            <w:r w:rsidRPr="00493B27">
              <w:rPr>
                <w:szCs w:val="24"/>
              </w:rPr>
              <w:t xml:space="preserve">located at </w:t>
            </w:r>
            <w:smartTag w:uri="urn:schemas-microsoft-com:office:smarttags" w:element="place">
              <w:smartTag w:uri="urn:schemas-microsoft-com:office:smarttags" w:element="PlaceName">
                <w:r w:rsidRPr="00493B27">
                  <w:rPr>
                    <w:szCs w:val="24"/>
                  </w:rPr>
                  <w:t>Calvary</w:t>
                </w:r>
              </w:smartTag>
              <w:r w:rsidRPr="00493B27">
                <w:rPr>
                  <w:szCs w:val="24"/>
                </w:rPr>
                <w:t xml:space="preserve"> </w:t>
              </w:r>
              <w:smartTag w:uri="urn:schemas-microsoft-com:office:smarttags" w:element="PlaceName">
                <w:r w:rsidRPr="00493B27">
                  <w:rPr>
                    <w:szCs w:val="24"/>
                  </w:rPr>
                  <w:t>Public</w:t>
                </w:r>
              </w:smartTag>
              <w:r w:rsidRPr="00493B27">
                <w:rPr>
                  <w:szCs w:val="24"/>
                </w:rPr>
                <w:t xml:space="preserve"> </w:t>
              </w:r>
              <w:smartTag w:uri="urn:schemas-microsoft-com:office:smarttags" w:element="PlaceType">
                <w:r w:rsidRPr="00493B27">
                  <w:rPr>
                    <w:szCs w:val="24"/>
                  </w:rPr>
                  <w:t>Hospital</w:t>
                </w:r>
              </w:smartTag>
            </w:smartTag>
            <w:r>
              <w:rPr>
                <w:szCs w:val="24"/>
              </w:rPr>
              <w:t>.</w:t>
            </w:r>
          </w:p>
          <w:p w:rsidR="00535F2A" w:rsidRPr="003D4AB7" w:rsidRDefault="00535F2A" w:rsidP="00243F94">
            <w:pPr>
              <w:rPr>
                <w:b/>
              </w:rPr>
            </w:pPr>
          </w:p>
        </w:tc>
        <w:tc>
          <w:tcPr>
            <w:tcW w:w="4082" w:type="dxa"/>
          </w:tcPr>
          <w:p w:rsidR="00FE5472" w:rsidRDefault="00FE5472" w:rsidP="00FE5472">
            <w:pPr>
              <w:rPr>
                <w:szCs w:val="24"/>
              </w:rPr>
            </w:pPr>
            <w:r>
              <w:t>Activities under this initiative will be implemented up to 2012-13.</w:t>
            </w:r>
          </w:p>
          <w:p w:rsidR="00FE5472" w:rsidRDefault="00FE5472" w:rsidP="00FE5472"/>
          <w:p w:rsidR="00FE5472" w:rsidRDefault="00FE5472" w:rsidP="00FE5472">
            <w:r>
              <w:t xml:space="preserve">Three full time staff were recruited and employed in September 2009 and continue to work as a sub-team within the Older Persons Mental Health Community Team (OPMHCT)   </w:t>
            </w:r>
          </w:p>
          <w:p w:rsidR="0089577A" w:rsidRDefault="0089577A" w:rsidP="00FE5472">
            <w:pPr>
              <w:rPr>
                <w:b/>
                <w:bCs/>
              </w:rPr>
            </w:pPr>
          </w:p>
          <w:p w:rsidR="001E4372" w:rsidRDefault="0089577A" w:rsidP="001E4372">
            <w:r>
              <w:t xml:space="preserve">All </w:t>
            </w:r>
            <w:r w:rsidRPr="002B6E74">
              <w:rPr>
                <w:i/>
              </w:rPr>
              <w:t xml:space="preserve">OPMHCT Sub Team </w:t>
            </w:r>
            <w:r w:rsidRPr="002B6E74">
              <w:t>members</w:t>
            </w:r>
            <w:r>
              <w:t xml:space="preserve"> have commenced their Certificate IV training qualifications to support the delivery of educational sessions to RACF’s.</w:t>
            </w:r>
          </w:p>
          <w:p w:rsidR="00C757A1" w:rsidRDefault="00C757A1" w:rsidP="001E4372"/>
          <w:p w:rsidR="00C757A1" w:rsidRDefault="00C757A1" w:rsidP="00C757A1">
            <w:pPr>
              <w:rPr>
                <w:rFonts w:ascii="Calibri" w:hAnsi="Calibri" w:cs="Calibri"/>
                <w:szCs w:val="22"/>
              </w:rPr>
            </w:pPr>
            <w:r>
              <w:rPr>
                <w:b/>
                <w:bCs/>
                <w:u w:val="single"/>
              </w:rPr>
              <w:t>Services Liaison:</w:t>
            </w:r>
            <w:r>
              <w:t xml:space="preserve">  </w:t>
            </w:r>
          </w:p>
          <w:p w:rsidR="00C757A1" w:rsidRPr="005D5695" w:rsidRDefault="00C757A1" w:rsidP="008E4A4D">
            <w:r>
              <w:t xml:space="preserve">The </w:t>
            </w:r>
            <w:r w:rsidRPr="002B6E74">
              <w:rPr>
                <w:i/>
              </w:rPr>
              <w:t>OPMHCT Sub Team</w:t>
            </w:r>
            <w:r>
              <w:t xml:space="preserve"> had multiple service liaisons with the Residential Aged Care Facilities (RACF) that were caring for two residents who were involved in the death of a third resident.  These two residents were not consumers of mental health services at the time of the incident but became consumers shortly afterwards.  </w:t>
            </w:r>
          </w:p>
        </w:tc>
        <w:tc>
          <w:tcPr>
            <w:tcW w:w="2694" w:type="dxa"/>
          </w:tcPr>
          <w:p w:rsidR="00535F2A" w:rsidRDefault="00535F2A" w:rsidP="00535F2A">
            <w:pPr>
              <w:tabs>
                <w:tab w:val="left" w:pos="251"/>
              </w:tabs>
            </w:pPr>
            <w:r w:rsidRPr="00292B6F">
              <w:t>$1.276 million over four years</w:t>
            </w:r>
            <w:r w:rsidR="00626237">
              <w:t>.</w:t>
            </w:r>
          </w:p>
          <w:p w:rsidR="00626237" w:rsidRDefault="00626237" w:rsidP="00535F2A">
            <w:pPr>
              <w:tabs>
                <w:tab w:val="left" w:pos="251"/>
              </w:tabs>
            </w:pPr>
          </w:p>
          <w:p w:rsidR="00626237" w:rsidRPr="005D5695" w:rsidRDefault="00626237" w:rsidP="00535F2A">
            <w:pPr>
              <w:tabs>
                <w:tab w:val="left" w:pos="251"/>
              </w:tabs>
            </w:pPr>
            <w:r w:rsidRPr="005D5695">
              <w:t xml:space="preserve">The </w:t>
            </w:r>
            <w:r w:rsidR="00F80851" w:rsidRPr="005D5695">
              <w:t xml:space="preserve">total expenditure </w:t>
            </w:r>
            <w:r w:rsidR="008E4A4D">
              <w:t>for 201-</w:t>
            </w:r>
            <w:r w:rsidR="008C69E6">
              <w:t>12</w:t>
            </w:r>
            <w:r w:rsidR="008E4A4D">
              <w:t xml:space="preserve"> was</w:t>
            </w:r>
            <w:r w:rsidR="006D22D0" w:rsidRPr="005D5695">
              <w:t xml:space="preserve"> </w:t>
            </w:r>
            <w:r w:rsidR="008C69E6" w:rsidRPr="008C69E6">
              <w:t>$</w:t>
            </w:r>
            <w:r w:rsidR="008C69E6" w:rsidRPr="008C69E6">
              <w:rPr>
                <w:bCs/>
              </w:rPr>
              <w:t>362,623</w:t>
            </w:r>
            <w:r w:rsidR="008C69E6">
              <w:t>.</w:t>
            </w:r>
          </w:p>
          <w:p w:rsidR="00184AD1" w:rsidRDefault="00184AD1" w:rsidP="00535F2A">
            <w:pPr>
              <w:tabs>
                <w:tab w:val="left" w:pos="251"/>
              </w:tabs>
            </w:pPr>
          </w:p>
          <w:p w:rsidR="00184AD1" w:rsidRDefault="00184AD1" w:rsidP="00535F2A">
            <w:pPr>
              <w:tabs>
                <w:tab w:val="left" w:pos="251"/>
              </w:tabs>
              <w:rPr>
                <w:highlight w:val="yellow"/>
              </w:rPr>
            </w:pPr>
          </w:p>
          <w:p w:rsidR="005D5695" w:rsidRDefault="005D5695" w:rsidP="00535F2A">
            <w:pPr>
              <w:tabs>
                <w:tab w:val="left" w:pos="251"/>
              </w:tabs>
              <w:rPr>
                <w:highlight w:val="yellow"/>
              </w:rPr>
            </w:pPr>
          </w:p>
          <w:p w:rsidR="005D5695" w:rsidRDefault="005D5695" w:rsidP="00535F2A">
            <w:pPr>
              <w:tabs>
                <w:tab w:val="left" w:pos="251"/>
              </w:tabs>
              <w:rPr>
                <w:highlight w:val="yellow"/>
              </w:rPr>
            </w:pPr>
          </w:p>
          <w:p w:rsidR="005D5695" w:rsidRDefault="005D5695" w:rsidP="00535F2A">
            <w:pPr>
              <w:tabs>
                <w:tab w:val="left" w:pos="251"/>
              </w:tabs>
              <w:rPr>
                <w:highlight w:val="yellow"/>
              </w:rPr>
            </w:pPr>
          </w:p>
          <w:p w:rsidR="005D5695" w:rsidRDefault="005D5695" w:rsidP="00535F2A">
            <w:pPr>
              <w:tabs>
                <w:tab w:val="left" w:pos="251"/>
              </w:tabs>
              <w:rPr>
                <w:highlight w:val="yellow"/>
              </w:rPr>
            </w:pPr>
          </w:p>
          <w:p w:rsidR="005D5695" w:rsidRDefault="005D5695" w:rsidP="00535F2A">
            <w:pPr>
              <w:tabs>
                <w:tab w:val="left" w:pos="251"/>
              </w:tabs>
              <w:rPr>
                <w:highlight w:val="yellow"/>
              </w:rPr>
            </w:pPr>
          </w:p>
          <w:p w:rsidR="005D5695" w:rsidRDefault="005D5695" w:rsidP="00535F2A">
            <w:pPr>
              <w:tabs>
                <w:tab w:val="left" w:pos="251"/>
              </w:tabs>
              <w:rPr>
                <w:highlight w:val="yellow"/>
              </w:rPr>
            </w:pPr>
          </w:p>
          <w:p w:rsidR="005D5695" w:rsidRDefault="005D5695"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C757A1" w:rsidRDefault="00C757A1" w:rsidP="00535F2A">
            <w:pPr>
              <w:tabs>
                <w:tab w:val="left" w:pos="251"/>
              </w:tabs>
              <w:rPr>
                <w:highlight w:val="yellow"/>
              </w:rPr>
            </w:pPr>
          </w:p>
          <w:p w:rsidR="004A2D71" w:rsidRPr="00891E09" w:rsidRDefault="004A2D71" w:rsidP="00535F2A">
            <w:pPr>
              <w:tabs>
                <w:tab w:val="left" w:pos="251"/>
              </w:tabs>
              <w:rPr>
                <w:highlight w:val="yellow"/>
              </w:rPr>
            </w:pPr>
          </w:p>
        </w:tc>
        <w:tc>
          <w:tcPr>
            <w:tcW w:w="4357" w:type="dxa"/>
          </w:tcPr>
          <w:p w:rsidR="00535F2A" w:rsidRPr="00B124E2" w:rsidRDefault="00E85F94" w:rsidP="008E4A4D">
            <w:pPr>
              <w:rPr>
                <w:szCs w:val="24"/>
              </w:rPr>
            </w:pPr>
            <w:r>
              <w:rPr>
                <w:szCs w:val="24"/>
              </w:rPr>
              <w:t xml:space="preserve">Enhancement to the existing services also cover expanding liaison to service area providing educational sessions to residential aged care facilities; and ensuring the continuity of clinical consultation in the facilities.  All of these were undertaken by </w:t>
            </w:r>
            <w:r w:rsidR="008E4A4D">
              <w:rPr>
                <w:szCs w:val="24"/>
              </w:rPr>
              <w:t>OPMH</w:t>
            </w:r>
            <w:r w:rsidRPr="000C4F5A">
              <w:rPr>
                <w:szCs w:val="24"/>
              </w:rPr>
              <w:t>CT</w:t>
            </w:r>
            <w:r>
              <w:rPr>
                <w:szCs w:val="24"/>
              </w:rPr>
              <w:t>.</w:t>
            </w:r>
          </w:p>
        </w:tc>
      </w:tr>
      <w:tr w:rsidR="007854DA" w:rsidRPr="00F73570" w:rsidTr="007854DA">
        <w:tc>
          <w:tcPr>
            <w:tcW w:w="3544" w:type="dxa"/>
            <w:shd w:val="clear" w:color="auto" w:fill="000000"/>
          </w:tcPr>
          <w:p w:rsidR="007854DA" w:rsidRPr="00F73570" w:rsidRDefault="007854DA" w:rsidP="007854DA">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7854DA" w:rsidRPr="00F73570" w:rsidRDefault="007854DA" w:rsidP="007854DA">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7854DA" w:rsidRPr="00F73570" w:rsidRDefault="007854DA" w:rsidP="007854DA">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7854DA" w:rsidRDefault="007854DA" w:rsidP="007854DA">
            <w:pPr>
              <w:rPr>
                <w:rFonts w:ascii="Arial" w:hAnsi="Arial" w:cs="Arial"/>
                <w:b/>
                <w:color w:val="FFFFFF"/>
                <w:sz w:val="22"/>
                <w:szCs w:val="22"/>
              </w:rPr>
            </w:pPr>
            <w:r w:rsidRPr="00F73570">
              <w:rPr>
                <w:rFonts w:ascii="Arial" w:hAnsi="Arial" w:cs="Arial"/>
                <w:b/>
                <w:color w:val="FFFFFF"/>
                <w:sz w:val="22"/>
                <w:szCs w:val="22"/>
              </w:rPr>
              <w:t>Comments</w:t>
            </w:r>
          </w:p>
          <w:p w:rsidR="007854DA" w:rsidRPr="00F73570" w:rsidRDefault="007854DA" w:rsidP="007854DA">
            <w:pPr>
              <w:rPr>
                <w:rFonts w:ascii="Arial" w:hAnsi="Arial" w:cs="Arial"/>
                <w:b/>
                <w:color w:val="FFFFFF"/>
                <w:sz w:val="22"/>
                <w:szCs w:val="22"/>
              </w:rPr>
            </w:pPr>
          </w:p>
        </w:tc>
      </w:tr>
      <w:tr w:rsidR="007854DA" w:rsidTr="007854DA">
        <w:trPr>
          <w:trHeight w:val="2139"/>
        </w:trPr>
        <w:tc>
          <w:tcPr>
            <w:tcW w:w="3544" w:type="dxa"/>
          </w:tcPr>
          <w:p w:rsidR="007854DA" w:rsidRPr="00493B27" w:rsidRDefault="007854DA" w:rsidP="004245E9">
            <w:pPr>
              <w:rPr>
                <w:b/>
              </w:rPr>
            </w:pPr>
          </w:p>
        </w:tc>
        <w:tc>
          <w:tcPr>
            <w:tcW w:w="4082" w:type="dxa"/>
          </w:tcPr>
          <w:p w:rsidR="007854DA" w:rsidRDefault="007854DA" w:rsidP="007854DA">
            <w:pPr>
              <w:rPr>
                <w:b/>
                <w:bCs/>
                <w:u w:val="single"/>
              </w:rPr>
            </w:pPr>
            <w:r>
              <w:rPr>
                <w:b/>
                <w:bCs/>
                <w:u w:val="single"/>
              </w:rPr>
              <w:t>Educational session:</w:t>
            </w:r>
          </w:p>
          <w:p w:rsidR="007854DA" w:rsidRDefault="007854DA" w:rsidP="007854DA">
            <w:r>
              <w:t xml:space="preserve">The </w:t>
            </w:r>
            <w:r w:rsidRPr="002B6E74">
              <w:rPr>
                <w:i/>
              </w:rPr>
              <w:t>OPMHCT Sub Team</w:t>
            </w:r>
            <w:r>
              <w:t xml:space="preserve"> provided multiple informal training sessions to a variety of RACF’s focusing on targeted/individual issues related to residents mental health presentations.</w:t>
            </w:r>
          </w:p>
          <w:p w:rsidR="007854DA" w:rsidRDefault="007854DA" w:rsidP="007854DA"/>
          <w:p w:rsidR="007854DA" w:rsidRDefault="007854DA" w:rsidP="007854DA">
            <w:r>
              <w:t xml:space="preserve">The </w:t>
            </w:r>
            <w:r w:rsidRPr="002B6E74">
              <w:rPr>
                <w:i/>
              </w:rPr>
              <w:t>OPMHCT Sub Team</w:t>
            </w:r>
            <w:r>
              <w:t xml:space="preserve"> liaised with two RACF’s to define their education needs and are progressing this.  The </w:t>
            </w:r>
            <w:r w:rsidRPr="002B6E74">
              <w:rPr>
                <w:i/>
              </w:rPr>
              <w:t>OPMHCT Sub Team</w:t>
            </w:r>
            <w:r>
              <w:t xml:space="preserve"> liaised with one RACF regarding that RACF’s vacant Education Officer position and has liaised with their new Education Officer to progress defining that RACF’s education needs. </w:t>
            </w:r>
          </w:p>
          <w:p w:rsidR="007854DA" w:rsidRDefault="007854DA" w:rsidP="007854DA">
            <w:pPr>
              <w:rPr>
                <w:b/>
                <w:bCs/>
                <w:u w:val="single"/>
              </w:rPr>
            </w:pPr>
          </w:p>
          <w:p w:rsidR="007854DA" w:rsidRDefault="007854DA" w:rsidP="007854DA">
            <w:r>
              <w:t xml:space="preserve">A member of the </w:t>
            </w:r>
            <w:r w:rsidRPr="002B6E74">
              <w:rPr>
                <w:i/>
              </w:rPr>
              <w:t>OPMHCT Sub Team</w:t>
            </w:r>
            <w:r>
              <w:t xml:space="preserve"> delivered training to the Canberra Institute of Technology Chronic Disease workshop.</w:t>
            </w:r>
          </w:p>
          <w:p w:rsidR="007854DA" w:rsidRDefault="007854DA" w:rsidP="007854DA"/>
          <w:p w:rsidR="007854DA" w:rsidRDefault="007854DA" w:rsidP="007854DA">
            <w:pPr>
              <w:rPr>
                <w:b/>
                <w:bCs/>
                <w:u w:val="single"/>
              </w:rPr>
            </w:pPr>
            <w:r>
              <w:rPr>
                <w:b/>
                <w:bCs/>
                <w:u w:val="single"/>
              </w:rPr>
              <w:t>Clinical Consultation:</w:t>
            </w:r>
          </w:p>
          <w:p w:rsidR="007854DA" w:rsidRDefault="007854DA" w:rsidP="007854DA">
            <w:r>
              <w:t xml:space="preserve">In accordance with ACT Health Directorate’s </w:t>
            </w:r>
            <w:r w:rsidRPr="002B6E74">
              <w:rPr>
                <w:i/>
              </w:rPr>
              <w:t>Mental Health, Justice Health &amp; Alcohol &amp; Drug Services Division’s clinical reporting requirements</w:t>
            </w:r>
            <w:r>
              <w:t>, a review of all</w:t>
            </w:r>
          </w:p>
          <w:p w:rsidR="007854DA" w:rsidRDefault="007854DA" w:rsidP="007854DA"/>
        </w:tc>
        <w:tc>
          <w:tcPr>
            <w:tcW w:w="2694" w:type="dxa"/>
          </w:tcPr>
          <w:p w:rsidR="007854DA" w:rsidRPr="00292B6F" w:rsidRDefault="007854DA" w:rsidP="00535F2A">
            <w:pPr>
              <w:tabs>
                <w:tab w:val="left" w:pos="251"/>
              </w:tabs>
            </w:pPr>
          </w:p>
        </w:tc>
        <w:tc>
          <w:tcPr>
            <w:tcW w:w="4357" w:type="dxa"/>
          </w:tcPr>
          <w:p w:rsidR="007854DA" w:rsidRDefault="007854DA" w:rsidP="00E85F94">
            <w:pPr>
              <w:rPr>
                <w:szCs w:val="24"/>
              </w:rPr>
            </w:pPr>
          </w:p>
        </w:tc>
      </w:tr>
      <w:tr w:rsidR="00EB0286" w:rsidRPr="00F73570" w:rsidTr="007854DA">
        <w:tc>
          <w:tcPr>
            <w:tcW w:w="3544" w:type="dxa"/>
            <w:shd w:val="clear" w:color="auto" w:fill="000000"/>
          </w:tcPr>
          <w:p w:rsidR="00EB0286" w:rsidRPr="00F73570" w:rsidRDefault="00EB0286" w:rsidP="007854DA">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EB0286" w:rsidRPr="00F73570" w:rsidRDefault="00EB0286" w:rsidP="007854DA">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EB0286" w:rsidRPr="00F73570" w:rsidRDefault="00EB0286" w:rsidP="007854DA">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EB0286" w:rsidRDefault="00EB0286" w:rsidP="007854DA">
            <w:pPr>
              <w:rPr>
                <w:rFonts w:ascii="Arial" w:hAnsi="Arial" w:cs="Arial"/>
                <w:b/>
                <w:color w:val="FFFFFF"/>
                <w:sz w:val="22"/>
                <w:szCs w:val="22"/>
              </w:rPr>
            </w:pPr>
            <w:r w:rsidRPr="00F73570">
              <w:rPr>
                <w:rFonts w:ascii="Arial" w:hAnsi="Arial" w:cs="Arial"/>
                <w:b/>
                <w:color w:val="FFFFFF"/>
                <w:sz w:val="22"/>
                <w:szCs w:val="22"/>
              </w:rPr>
              <w:t>Comments</w:t>
            </w:r>
          </w:p>
          <w:p w:rsidR="00EB0286" w:rsidRPr="00F73570" w:rsidRDefault="00EB0286" w:rsidP="007854DA">
            <w:pPr>
              <w:rPr>
                <w:rFonts w:ascii="Arial" w:hAnsi="Arial" w:cs="Arial"/>
                <w:b/>
                <w:color w:val="FFFFFF"/>
                <w:sz w:val="22"/>
                <w:szCs w:val="22"/>
              </w:rPr>
            </w:pPr>
          </w:p>
        </w:tc>
      </w:tr>
      <w:tr w:rsidR="00C757A1" w:rsidTr="007854DA">
        <w:trPr>
          <w:trHeight w:val="2139"/>
        </w:trPr>
        <w:tc>
          <w:tcPr>
            <w:tcW w:w="3544" w:type="dxa"/>
          </w:tcPr>
          <w:p w:rsidR="00C757A1" w:rsidRPr="00493B27" w:rsidRDefault="00C757A1" w:rsidP="004245E9">
            <w:pPr>
              <w:rPr>
                <w:b/>
              </w:rPr>
            </w:pPr>
          </w:p>
        </w:tc>
        <w:tc>
          <w:tcPr>
            <w:tcW w:w="4082" w:type="dxa"/>
          </w:tcPr>
          <w:p w:rsidR="00C757A1" w:rsidRPr="005C1899" w:rsidRDefault="008E4A4D" w:rsidP="00C757A1">
            <w:pPr>
              <w:rPr>
                <w:szCs w:val="24"/>
              </w:rPr>
            </w:pPr>
            <w:r>
              <w:t>Consumer</w:t>
            </w:r>
            <w:r w:rsidR="00C757A1">
              <w:t>s</w:t>
            </w:r>
            <w:r>
              <w:t>’</w:t>
            </w:r>
            <w:r w:rsidR="00C757A1">
              <w:t xml:space="preserve"> progress is required every 3 months.  As part of this process the </w:t>
            </w:r>
            <w:r w:rsidR="00C757A1" w:rsidRPr="002B6E74">
              <w:rPr>
                <w:i/>
              </w:rPr>
              <w:t>OPMHCT Sub Team</w:t>
            </w:r>
            <w:r w:rsidR="00C757A1">
              <w:t xml:space="preserve"> liaise with RACF staff and aged care </w:t>
            </w:r>
            <w:r w:rsidR="00C757A1" w:rsidRPr="005C1899">
              <w:rPr>
                <w:szCs w:val="24"/>
              </w:rPr>
              <w:t xml:space="preserve">services for input on clients’ status.  </w:t>
            </w:r>
          </w:p>
          <w:p w:rsidR="00C757A1" w:rsidRPr="005C1899" w:rsidRDefault="00C757A1" w:rsidP="00C757A1">
            <w:pPr>
              <w:rPr>
                <w:szCs w:val="24"/>
              </w:rPr>
            </w:pPr>
          </w:p>
          <w:p w:rsidR="00C757A1" w:rsidRPr="005C1899" w:rsidRDefault="00C757A1" w:rsidP="00C757A1">
            <w:pPr>
              <w:pStyle w:val="ListParagraph"/>
              <w:ind w:left="0"/>
              <w:rPr>
                <w:szCs w:val="24"/>
              </w:rPr>
            </w:pPr>
            <w:r w:rsidRPr="005C1899">
              <w:rPr>
                <w:szCs w:val="24"/>
              </w:rPr>
              <w:t xml:space="preserve">The </w:t>
            </w:r>
            <w:r w:rsidRPr="002B6E74">
              <w:rPr>
                <w:i/>
              </w:rPr>
              <w:t>OPMHCT Sub Team</w:t>
            </w:r>
            <w:r>
              <w:t xml:space="preserve"> </w:t>
            </w:r>
            <w:r w:rsidRPr="005C1899">
              <w:rPr>
                <w:szCs w:val="24"/>
              </w:rPr>
              <w:t>liaise</w:t>
            </w:r>
            <w:r>
              <w:rPr>
                <w:szCs w:val="24"/>
              </w:rPr>
              <w:t>s</w:t>
            </w:r>
            <w:r w:rsidRPr="005C1899">
              <w:rPr>
                <w:szCs w:val="24"/>
              </w:rPr>
              <w:t xml:space="preserve"> with RACF’s and aged care services in respect to new referrals to OPMHCT and closure of OPMHCT consumers.  </w:t>
            </w:r>
          </w:p>
          <w:p w:rsidR="00C757A1" w:rsidRPr="005C1899" w:rsidRDefault="00C757A1" w:rsidP="00C757A1">
            <w:pPr>
              <w:pStyle w:val="ListParagraph"/>
              <w:ind w:left="0"/>
              <w:rPr>
                <w:szCs w:val="24"/>
              </w:rPr>
            </w:pPr>
          </w:p>
          <w:p w:rsidR="00C757A1" w:rsidRPr="005C1899" w:rsidRDefault="00C757A1" w:rsidP="00C757A1">
            <w:pPr>
              <w:pStyle w:val="ListParagraph"/>
              <w:ind w:left="0"/>
              <w:rPr>
                <w:szCs w:val="24"/>
              </w:rPr>
            </w:pPr>
            <w:r w:rsidRPr="005C1899">
              <w:rPr>
                <w:szCs w:val="24"/>
              </w:rPr>
              <w:t xml:space="preserve">Clinical consultation and hands on support occurs between the </w:t>
            </w:r>
            <w:r w:rsidRPr="002B6E74">
              <w:rPr>
                <w:i/>
              </w:rPr>
              <w:t>OPMHCT Sub Team</w:t>
            </w:r>
            <w:r>
              <w:t xml:space="preserve"> </w:t>
            </w:r>
            <w:r w:rsidRPr="005C1899">
              <w:rPr>
                <w:szCs w:val="24"/>
              </w:rPr>
              <w:t>and OPMHCT staff regarding the transition of consumers from home to RACF’s.</w:t>
            </w:r>
          </w:p>
          <w:p w:rsidR="00C757A1" w:rsidRPr="005C1899" w:rsidRDefault="00C757A1" w:rsidP="00C757A1">
            <w:pPr>
              <w:pStyle w:val="ListParagraph"/>
              <w:ind w:left="0"/>
              <w:rPr>
                <w:szCs w:val="24"/>
              </w:rPr>
            </w:pPr>
          </w:p>
          <w:p w:rsidR="00C757A1" w:rsidRPr="005C1899" w:rsidRDefault="00C757A1" w:rsidP="00C757A1">
            <w:pPr>
              <w:pStyle w:val="ListParagraph"/>
              <w:ind w:left="0"/>
              <w:rPr>
                <w:szCs w:val="24"/>
              </w:rPr>
            </w:pPr>
            <w:r w:rsidRPr="005C1899">
              <w:rPr>
                <w:szCs w:val="24"/>
              </w:rPr>
              <w:t xml:space="preserve">The </w:t>
            </w:r>
            <w:r w:rsidRPr="002B6E74">
              <w:rPr>
                <w:i/>
              </w:rPr>
              <w:t>OPMHCT Sub Team</w:t>
            </w:r>
            <w:r>
              <w:t xml:space="preserve"> </w:t>
            </w:r>
            <w:r w:rsidRPr="005C1899">
              <w:rPr>
                <w:szCs w:val="24"/>
              </w:rPr>
              <w:t>has been allocated new consumers to clinically manage where the primary/current issue has been progressing transitions from home to RACF’s.</w:t>
            </w:r>
          </w:p>
          <w:p w:rsidR="00C757A1" w:rsidRDefault="00C757A1" w:rsidP="00C757A1">
            <w:pPr>
              <w:pStyle w:val="ListParagraph"/>
              <w:ind w:left="0"/>
              <w:rPr>
                <w:szCs w:val="24"/>
              </w:rPr>
            </w:pPr>
            <w:r w:rsidRPr="005C1899">
              <w:rPr>
                <w:szCs w:val="24"/>
              </w:rPr>
              <w:t xml:space="preserve">The </w:t>
            </w:r>
            <w:r w:rsidRPr="002B6E74">
              <w:rPr>
                <w:i/>
              </w:rPr>
              <w:t>OPMHCT Sub Team</w:t>
            </w:r>
            <w:r>
              <w:t xml:space="preserve"> </w:t>
            </w:r>
            <w:r w:rsidRPr="005C1899">
              <w:rPr>
                <w:szCs w:val="24"/>
              </w:rPr>
              <w:t>has been allocated new consumers to clinically manage who present with complex needs.</w:t>
            </w:r>
          </w:p>
          <w:p w:rsidR="007854DA" w:rsidRDefault="007854DA" w:rsidP="00C757A1">
            <w:pPr>
              <w:pStyle w:val="ListParagraph"/>
              <w:ind w:left="0"/>
              <w:rPr>
                <w:szCs w:val="24"/>
              </w:rPr>
            </w:pPr>
          </w:p>
          <w:p w:rsidR="007854DA" w:rsidRDefault="007854DA" w:rsidP="00C757A1">
            <w:pPr>
              <w:pStyle w:val="ListParagraph"/>
              <w:ind w:left="0"/>
              <w:rPr>
                <w:szCs w:val="24"/>
              </w:rPr>
            </w:pPr>
          </w:p>
          <w:p w:rsidR="007854DA" w:rsidRPr="00C757A1" w:rsidRDefault="007854DA" w:rsidP="00C757A1">
            <w:pPr>
              <w:pStyle w:val="ListParagraph"/>
              <w:ind w:left="0"/>
              <w:rPr>
                <w:szCs w:val="24"/>
              </w:rPr>
            </w:pPr>
          </w:p>
        </w:tc>
        <w:tc>
          <w:tcPr>
            <w:tcW w:w="2694" w:type="dxa"/>
          </w:tcPr>
          <w:p w:rsidR="00C757A1" w:rsidRPr="00292B6F" w:rsidRDefault="00C757A1" w:rsidP="00535F2A">
            <w:pPr>
              <w:tabs>
                <w:tab w:val="left" w:pos="251"/>
              </w:tabs>
            </w:pPr>
          </w:p>
        </w:tc>
        <w:tc>
          <w:tcPr>
            <w:tcW w:w="4357" w:type="dxa"/>
          </w:tcPr>
          <w:p w:rsidR="00C757A1" w:rsidRDefault="00C757A1" w:rsidP="00E85F94">
            <w:pPr>
              <w:rPr>
                <w:szCs w:val="24"/>
              </w:rPr>
            </w:pPr>
          </w:p>
        </w:tc>
      </w:tr>
      <w:tr w:rsidR="001F7F2D" w:rsidRPr="00F73570" w:rsidTr="007854DA">
        <w:tc>
          <w:tcPr>
            <w:tcW w:w="3544" w:type="dxa"/>
            <w:shd w:val="clear" w:color="auto" w:fill="000000"/>
          </w:tcPr>
          <w:p w:rsidR="001F7F2D" w:rsidRPr="00F73570" w:rsidRDefault="001F7F2D" w:rsidP="0022617C">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1F7F2D" w:rsidRPr="00F73570" w:rsidRDefault="001F7F2D" w:rsidP="0022617C">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1F7F2D" w:rsidRPr="00F73570" w:rsidRDefault="001F7F2D" w:rsidP="0022617C">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1F7F2D" w:rsidRDefault="001F7F2D" w:rsidP="0022617C">
            <w:pPr>
              <w:rPr>
                <w:rFonts w:ascii="Arial" w:hAnsi="Arial" w:cs="Arial"/>
                <w:b/>
                <w:color w:val="FFFFFF"/>
                <w:sz w:val="22"/>
                <w:szCs w:val="22"/>
              </w:rPr>
            </w:pPr>
            <w:r w:rsidRPr="00F73570">
              <w:rPr>
                <w:rFonts w:ascii="Arial" w:hAnsi="Arial" w:cs="Arial"/>
                <w:b/>
                <w:color w:val="FFFFFF"/>
                <w:sz w:val="22"/>
                <w:szCs w:val="22"/>
              </w:rPr>
              <w:t>Comments</w:t>
            </w:r>
          </w:p>
          <w:p w:rsidR="001F7F2D" w:rsidRPr="00F73570" w:rsidRDefault="001F7F2D" w:rsidP="0022617C">
            <w:pPr>
              <w:rPr>
                <w:rFonts w:ascii="Arial" w:hAnsi="Arial" w:cs="Arial"/>
                <w:b/>
                <w:color w:val="FFFFFF"/>
                <w:sz w:val="22"/>
                <w:szCs w:val="22"/>
              </w:rPr>
            </w:pPr>
          </w:p>
        </w:tc>
      </w:tr>
      <w:tr w:rsidR="00DD500F" w:rsidTr="007854DA">
        <w:trPr>
          <w:trHeight w:val="414"/>
        </w:trPr>
        <w:tc>
          <w:tcPr>
            <w:tcW w:w="3544" w:type="dxa"/>
          </w:tcPr>
          <w:p w:rsidR="00DD500F" w:rsidRDefault="00DD500F" w:rsidP="008631B8">
            <w:r w:rsidRPr="003C212A">
              <w:rPr>
                <w:b/>
              </w:rPr>
              <w:t>6.  Expand palliative care</w:t>
            </w:r>
            <w:r>
              <w:t xml:space="preserve"> </w:t>
            </w:r>
            <w:r w:rsidRPr="003C212A">
              <w:rPr>
                <w:b/>
              </w:rPr>
              <w:t>service</w:t>
            </w:r>
            <w:r>
              <w:t xml:space="preserve"> by increasing FTEs for palliative care Nurse Practitioners, Nurses and Clinical Supervision at the Canberra Hospital.</w:t>
            </w:r>
          </w:p>
        </w:tc>
        <w:tc>
          <w:tcPr>
            <w:tcW w:w="4082" w:type="dxa"/>
          </w:tcPr>
          <w:p w:rsidR="00D63D4E" w:rsidRDefault="00D63D4E" w:rsidP="00D63D4E">
            <w:pPr>
              <w:rPr>
                <w:szCs w:val="24"/>
              </w:rPr>
            </w:pPr>
            <w:r>
              <w:t>Funding provided over four years and activities under this initiative will be implemented up to 2012-13.</w:t>
            </w:r>
          </w:p>
          <w:p w:rsidR="00DD500F" w:rsidRPr="00F73570" w:rsidRDefault="00DD500F" w:rsidP="0004002B">
            <w:pPr>
              <w:rPr>
                <w:rFonts w:ascii="Arial" w:hAnsi="Arial" w:cs="Arial"/>
                <w:b/>
                <w:color w:val="FFFFFF"/>
                <w:sz w:val="22"/>
                <w:szCs w:val="22"/>
              </w:rPr>
            </w:pPr>
          </w:p>
        </w:tc>
        <w:tc>
          <w:tcPr>
            <w:tcW w:w="2694" w:type="dxa"/>
          </w:tcPr>
          <w:p w:rsidR="00DD500F" w:rsidRDefault="00DD500F">
            <w:pPr>
              <w:rPr>
                <w:lang w:eastAsia="en-US"/>
              </w:rPr>
            </w:pPr>
            <w:r w:rsidRPr="00F05D82">
              <w:rPr>
                <w:lang w:eastAsia="en-US"/>
              </w:rPr>
              <w:t>$1.995 million over four years</w:t>
            </w:r>
            <w:r w:rsidR="008948DB">
              <w:rPr>
                <w:lang w:eastAsia="en-US"/>
              </w:rPr>
              <w:t>.</w:t>
            </w:r>
          </w:p>
          <w:p w:rsidR="008948DB" w:rsidRDefault="008948DB">
            <w:pPr>
              <w:rPr>
                <w:lang w:eastAsia="en-US"/>
              </w:rPr>
            </w:pPr>
          </w:p>
          <w:p w:rsidR="00DD500F" w:rsidRPr="00F05D82" w:rsidRDefault="00C266E9" w:rsidP="008E4A4D">
            <w:pPr>
              <w:rPr>
                <w:rFonts w:ascii="Calibri" w:eastAsia="Calibri" w:hAnsi="Calibri" w:cs="Calibri"/>
                <w:szCs w:val="24"/>
                <w:lang w:eastAsia="en-US"/>
              </w:rPr>
            </w:pPr>
            <w:r>
              <w:t>Total expenditure</w:t>
            </w:r>
            <w:r w:rsidR="008E4A4D">
              <w:t xml:space="preserve"> for 2011-</w:t>
            </w:r>
            <w:r w:rsidR="008E4A4D">
              <w:rPr>
                <w:rStyle w:val="Strong"/>
                <w:b w:val="0"/>
              </w:rPr>
              <w:t> </w:t>
            </w:r>
            <w:r w:rsidR="00B00303">
              <w:rPr>
                <w:rStyle w:val="Strong"/>
                <w:b w:val="0"/>
              </w:rPr>
              <w:t>12</w:t>
            </w:r>
            <w:r w:rsidR="008E4A4D">
              <w:rPr>
                <w:rStyle w:val="Strong"/>
                <w:b w:val="0"/>
              </w:rPr>
              <w:t xml:space="preserve"> was</w:t>
            </w:r>
            <w:r w:rsidRPr="00993530">
              <w:rPr>
                <w:rStyle w:val="Strong"/>
                <w:b w:val="0"/>
              </w:rPr>
              <w:t xml:space="preserve"> </w:t>
            </w:r>
            <w:r w:rsidR="00B00303" w:rsidRPr="00B00303">
              <w:rPr>
                <w:bCs/>
              </w:rPr>
              <w:t>$413,568</w:t>
            </w:r>
          </w:p>
        </w:tc>
        <w:tc>
          <w:tcPr>
            <w:tcW w:w="4357" w:type="dxa"/>
          </w:tcPr>
          <w:p w:rsidR="006C5462" w:rsidRDefault="006C5462" w:rsidP="006C5462">
            <w:pPr>
              <w:shd w:val="clear" w:color="auto" w:fill="FFFFFF"/>
              <w:rPr>
                <w:szCs w:val="24"/>
              </w:rPr>
            </w:pPr>
            <w:r>
              <w:t>The development of Palliative Services Model of Care has been completed.</w:t>
            </w:r>
          </w:p>
          <w:p w:rsidR="006C5462" w:rsidRDefault="006C5462" w:rsidP="006C5462">
            <w:pPr>
              <w:shd w:val="clear" w:color="auto" w:fill="FFFFFF"/>
              <w:rPr>
                <w:rFonts w:ascii="Calibri" w:hAnsi="Calibri" w:cs="Calibri"/>
                <w:szCs w:val="22"/>
              </w:rPr>
            </w:pPr>
          </w:p>
          <w:p w:rsidR="006C5462" w:rsidRDefault="006C5462" w:rsidP="006C5462">
            <w:pPr>
              <w:shd w:val="clear" w:color="auto" w:fill="FFFFFF"/>
            </w:pPr>
            <w:r>
              <w:t>A Palliative Care Nurse Practitioner position has been recruited to at 1.0FTE and is based at Canberra Hospital.</w:t>
            </w:r>
          </w:p>
          <w:p w:rsidR="006C5462" w:rsidRDefault="006C5462" w:rsidP="006C5462">
            <w:pPr>
              <w:shd w:val="clear" w:color="auto" w:fill="FFFFFF"/>
            </w:pPr>
          </w:p>
          <w:p w:rsidR="006C5462" w:rsidRDefault="008E4A4D" w:rsidP="006C5462">
            <w:pPr>
              <w:shd w:val="clear" w:color="auto" w:fill="FFFFFF"/>
            </w:pPr>
            <w:r>
              <w:t xml:space="preserve">A second </w:t>
            </w:r>
            <w:r w:rsidR="006C5462">
              <w:t xml:space="preserve">Nurse Practitioner position has been recruited to at 1.0FTE and has been transferred to Calvary Health Care to enable a Palliative Care Nurse Practitioner in Clare Holland House.  </w:t>
            </w:r>
          </w:p>
          <w:p w:rsidR="006C5462" w:rsidRDefault="006C5462" w:rsidP="006C5462">
            <w:pPr>
              <w:shd w:val="clear" w:color="auto" w:fill="FFFFFF"/>
            </w:pPr>
          </w:p>
          <w:p w:rsidR="006C5462" w:rsidRDefault="008E4A4D" w:rsidP="006C5462">
            <w:pPr>
              <w:shd w:val="clear" w:color="auto" w:fill="FFFFFF"/>
            </w:pPr>
            <w:r>
              <w:t>A</w:t>
            </w:r>
            <w:r w:rsidR="006C5462">
              <w:t xml:space="preserve"> Registered Nurse Level 2 has been recruited at 0.63FTE, as part of the clinical nursing palliative care team at Canberra Hospital.</w:t>
            </w:r>
          </w:p>
          <w:p w:rsidR="006C5462" w:rsidRDefault="006C5462" w:rsidP="006C5462">
            <w:pPr>
              <w:shd w:val="clear" w:color="auto" w:fill="FFFFFF"/>
            </w:pPr>
          </w:p>
          <w:p w:rsidR="006C5462" w:rsidRDefault="006C5462" w:rsidP="006C5462">
            <w:pPr>
              <w:shd w:val="clear" w:color="auto" w:fill="FFFFFF"/>
            </w:pPr>
            <w:r>
              <w:t xml:space="preserve">Two allied health professionals  positions have been recruited to, totalling 1.5FTE. </w:t>
            </w:r>
          </w:p>
          <w:p w:rsidR="006C5462" w:rsidRDefault="006C5462" w:rsidP="006C5462">
            <w:pPr>
              <w:shd w:val="clear" w:color="auto" w:fill="FFFFFF"/>
            </w:pPr>
          </w:p>
          <w:p w:rsidR="001F7F2D" w:rsidRPr="006C5462" w:rsidRDefault="006C5462" w:rsidP="00D63D4E">
            <w:r w:rsidRPr="0027144A">
              <w:t>A research proposal</w:t>
            </w:r>
            <w:r>
              <w:t xml:space="preserve"> for ‘caregiver well-being’ is </w:t>
            </w:r>
            <w:r w:rsidRPr="0027144A">
              <w:t>currently under development.</w:t>
            </w:r>
            <w:r w:rsidRPr="0027144A">
              <w:rPr>
                <w:rFonts w:ascii="Arial" w:hAnsi="Arial" w:cs="Arial"/>
                <w:sz w:val="20"/>
              </w:rPr>
              <w:t xml:space="preserve">  </w:t>
            </w:r>
          </w:p>
          <w:p w:rsidR="00DD500F" w:rsidRDefault="00DD500F" w:rsidP="00716C56">
            <w:pPr>
              <w:shd w:val="clear" w:color="auto" w:fill="FFFFFF"/>
              <w:rPr>
                <w:rFonts w:ascii="Calibri" w:eastAsia="Calibri" w:hAnsi="Calibri" w:cs="Calibri"/>
                <w:szCs w:val="24"/>
                <w:lang w:eastAsia="en-US"/>
              </w:rPr>
            </w:pPr>
          </w:p>
          <w:p w:rsidR="00C757A1" w:rsidRDefault="00C757A1" w:rsidP="00716C56">
            <w:pPr>
              <w:shd w:val="clear" w:color="auto" w:fill="FFFFFF"/>
              <w:rPr>
                <w:rFonts w:ascii="Calibri" w:eastAsia="Calibri" w:hAnsi="Calibri" w:cs="Calibri"/>
                <w:szCs w:val="24"/>
                <w:lang w:eastAsia="en-US"/>
              </w:rPr>
            </w:pPr>
          </w:p>
          <w:p w:rsidR="00C757A1" w:rsidRDefault="00C757A1" w:rsidP="00716C56">
            <w:pPr>
              <w:shd w:val="clear" w:color="auto" w:fill="FFFFFF"/>
              <w:rPr>
                <w:rFonts w:ascii="Calibri" w:eastAsia="Calibri" w:hAnsi="Calibri" w:cs="Calibri"/>
                <w:szCs w:val="24"/>
                <w:lang w:eastAsia="en-US"/>
              </w:rPr>
            </w:pPr>
          </w:p>
          <w:p w:rsidR="00C757A1" w:rsidRDefault="00C757A1" w:rsidP="00716C56">
            <w:pPr>
              <w:shd w:val="clear" w:color="auto" w:fill="FFFFFF"/>
              <w:rPr>
                <w:rFonts w:ascii="Calibri" w:eastAsia="Calibri" w:hAnsi="Calibri" w:cs="Calibri"/>
                <w:szCs w:val="24"/>
                <w:lang w:eastAsia="en-US"/>
              </w:rPr>
            </w:pPr>
          </w:p>
          <w:p w:rsidR="00C757A1" w:rsidRDefault="00C757A1" w:rsidP="00716C56">
            <w:pPr>
              <w:shd w:val="clear" w:color="auto" w:fill="FFFFFF"/>
              <w:rPr>
                <w:rFonts w:ascii="Calibri" w:eastAsia="Calibri" w:hAnsi="Calibri" w:cs="Calibri"/>
                <w:szCs w:val="24"/>
                <w:lang w:eastAsia="en-US"/>
              </w:rPr>
            </w:pPr>
          </w:p>
          <w:p w:rsidR="00C757A1" w:rsidRDefault="00C757A1" w:rsidP="00716C56">
            <w:pPr>
              <w:shd w:val="clear" w:color="auto" w:fill="FFFFFF"/>
              <w:rPr>
                <w:rFonts w:ascii="Calibri" w:eastAsia="Calibri" w:hAnsi="Calibri" w:cs="Calibri"/>
                <w:szCs w:val="24"/>
                <w:lang w:eastAsia="en-US"/>
              </w:rPr>
            </w:pPr>
          </w:p>
        </w:tc>
      </w:tr>
      <w:tr w:rsidR="0004002B" w:rsidRPr="00F73570" w:rsidTr="007854DA">
        <w:tc>
          <w:tcPr>
            <w:tcW w:w="3544" w:type="dxa"/>
            <w:shd w:val="clear" w:color="auto" w:fill="000000"/>
          </w:tcPr>
          <w:p w:rsidR="0004002B" w:rsidRPr="00F73570" w:rsidRDefault="0004002B" w:rsidP="0080434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4002B" w:rsidRPr="000C4F5A" w:rsidRDefault="0004002B" w:rsidP="00804347">
            <w:pPr>
              <w:rPr>
                <w:szCs w:val="24"/>
              </w:rPr>
            </w:pPr>
          </w:p>
        </w:tc>
        <w:tc>
          <w:tcPr>
            <w:tcW w:w="2694" w:type="dxa"/>
            <w:shd w:val="clear" w:color="auto" w:fill="000000"/>
          </w:tcPr>
          <w:p w:rsidR="0004002B" w:rsidRPr="00F73570" w:rsidRDefault="0004002B" w:rsidP="0080434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4002B" w:rsidRDefault="0004002B" w:rsidP="00804347">
            <w:pPr>
              <w:rPr>
                <w:rFonts w:ascii="Arial" w:hAnsi="Arial" w:cs="Arial"/>
                <w:b/>
                <w:color w:val="FFFFFF"/>
                <w:sz w:val="22"/>
                <w:szCs w:val="22"/>
              </w:rPr>
            </w:pPr>
            <w:r w:rsidRPr="00F73570">
              <w:rPr>
                <w:rFonts w:ascii="Arial" w:hAnsi="Arial" w:cs="Arial"/>
                <w:b/>
                <w:color w:val="FFFFFF"/>
                <w:sz w:val="22"/>
                <w:szCs w:val="22"/>
              </w:rPr>
              <w:t>Comments</w:t>
            </w:r>
          </w:p>
          <w:p w:rsidR="0004002B" w:rsidRDefault="0004002B" w:rsidP="00804347">
            <w:pPr>
              <w:rPr>
                <w:rFonts w:ascii="Arial" w:hAnsi="Arial" w:cs="Arial"/>
                <w:b/>
                <w:color w:val="FFFFFF"/>
                <w:sz w:val="22"/>
                <w:szCs w:val="22"/>
              </w:rPr>
            </w:pPr>
          </w:p>
          <w:p w:rsidR="0004002B" w:rsidRPr="00F73570" w:rsidRDefault="0004002B" w:rsidP="00804347">
            <w:pPr>
              <w:rPr>
                <w:rFonts w:ascii="Arial" w:hAnsi="Arial" w:cs="Arial"/>
                <w:b/>
                <w:color w:val="FFFFFF"/>
                <w:sz w:val="22"/>
                <w:szCs w:val="22"/>
              </w:rPr>
            </w:pPr>
          </w:p>
        </w:tc>
      </w:tr>
      <w:tr w:rsidR="00DD500F" w:rsidTr="007854DA">
        <w:trPr>
          <w:trHeight w:val="2139"/>
        </w:trPr>
        <w:tc>
          <w:tcPr>
            <w:tcW w:w="3544" w:type="dxa"/>
          </w:tcPr>
          <w:p w:rsidR="00DD500F" w:rsidRPr="00327ADD" w:rsidRDefault="00DD500F" w:rsidP="00A3083E">
            <w:r w:rsidRPr="00860FE2">
              <w:rPr>
                <w:b/>
              </w:rPr>
              <w:t>7.  Improvement in data collection and standards</w:t>
            </w:r>
            <w:r w:rsidR="00C63DC5">
              <w:t xml:space="preserve"> throughout ACT Health Directorate.</w:t>
            </w:r>
          </w:p>
          <w:p w:rsidR="00DD500F" w:rsidRDefault="00DD500F" w:rsidP="00A3083E"/>
        </w:tc>
        <w:tc>
          <w:tcPr>
            <w:tcW w:w="4082" w:type="dxa"/>
          </w:tcPr>
          <w:p w:rsidR="008948DB" w:rsidRDefault="008948DB" w:rsidP="008948DB">
            <w:pPr>
              <w:rPr>
                <w:szCs w:val="24"/>
              </w:rPr>
            </w:pPr>
            <w:r>
              <w:rPr>
                <w:szCs w:val="24"/>
              </w:rPr>
              <w:t>A</w:t>
            </w:r>
            <w:r w:rsidRPr="00F42058">
              <w:rPr>
                <w:szCs w:val="24"/>
              </w:rPr>
              <w:t>ctivities under this initiative will be implemented up to 2012-13.</w:t>
            </w:r>
          </w:p>
          <w:p w:rsidR="00C63DC5" w:rsidRDefault="00C63DC5" w:rsidP="00BE0713">
            <w:pPr>
              <w:rPr>
                <w:szCs w:val="24"/>
              </w:rPr>
            </w:pPr>
          </w:p>
          <w:p w:rsidR="00C63DC5" w:rsidRDefault="008E4A4D" w:rsidP="00BE0713">
            <w:r>
              <w:rPr>
                <w:bCs/>
              </w:rPr>
              <w:t xml:space="preserve">Data collection </w:t>
            </w:r>
            <w:r w:rsidR="00C63DC5" w:rsidRPr="008D4E54">
              <w:rPr>
                <w:bCs/>
              </w:rPr>
              <w:t>start</w:t>
            </w:r>
            <w:r>
              <w:rPr>
                <w:bCs/>
              </w:rPr>
              <w:t>ed</w:t>
            </w:r>
            <w:r w:rsidR="00C63DC5" w:rsidRPr="008D4E54">
              <w:rPr>
                <w:bCs/>
              </w:rPr>
              <w:t xml:space="preserve"> from 1 July 2012.</w:t>
            </w:r>
          </w:p>
        </w:tc>
        <w:tc>
          <w:tcPr>
            <w:tcW w:w="2694" w:type="dxa"/>
          </w:tcPr>
          <w:p w:rsidR="00DD500F" w:rsidRDefault="00DD500F" w:rsidP="00A3083E">
            <w:pPr>
              <w:tabs>
                <w:tab w:val="left" w:pos="251"/>
              </w:tabs>
            </w:pPr>
            <w:r>
              <w:t>$0.448 million over four years</w:t>
            </w:r>
          </w:p>
          <w:p w:rsidR="00DD500F" w:rsidRDefault="00DD500F" w:rsidP="00A3083E">
            <w:pPr>
              <w:tabs>
                <w:tab w:val="left" w:pos="251"/>
              </w:tabs>
            </w:pPr>
          </w:p>
          <w:p w:rsidR="00E85F94" w:rsidRDefault="008E4A4D" w:rsidP="00A3083E">
            <w:pPr>
              <w:tabs>
                <w:tab w:val="left" w:pos="251"/>
              </w:tabs>
            </w:pPr>
            <w:r>
              <w:t>No expenditure on this item to date.</w:t>
            </w:r>
            <w:r w:rsidR="00E85F94">
              <w:t xml:space="preserve"> </w:t>
            </w:r>
          </w:p>
        </w:tc>
        <w:tc>
          <w:tcPr>
            <w:tcW w:w="4357" w:type="dxa"/>
          </w:tcPr>
          <w:p w:rsidR="0066554F" w:rsidRPr="00D2598B" w:rsidRDefault="0066554F" w:rsidP="0066554F">
            <w:r w:rsidRPr="00D2598B">
              <w:t>Data collection has commenced for Admitted Sub-acute and Non-acute Care Activity Based Funding Data Set Specifications, from 1 July 2012. This data will be reported to the Independent Hospital Pricing Authority in</w:t>
            </w:r>
            <w:r w:rsidRPr="00D2598B">
              <w:br/>
              <w:t>2012-13 on a quarterly basis.</w:t>
            </w:r>
          </w:p>
          <w:p w:rsidR="0066554F" w:rsidRPr="00D2598B" w:rsidRDefault="0066554F" w:rsidP="0066554F"/>
          <w:p w:rsidR="00DD500F" w:rsidRDefault="0066554F" w:rsidP="00A3083E">
            <w:r w:rsidRPr="00D2598B">
              <w:t>The ACT, in December 2011, par</w:t>
            </w:r>
            <w:r>
              <w:t xml:space="preserve">ticipated in </w:t>
            </w:r>
            <w:r w:rsidRPr="00D2598B">
              <w:t>the PricewaterhouseCoopers investigative review of cost drivers and classification systems for sub-acute care in Australia. This review will inform the work for the new classification system for sub-acute patient</w:t>
            </w:r>
            <w:r>
              <w:t>s, which is expected to commence</w:t>
            </w:r>
            <w:r w:rsidRPr="00D2598B">
              <w:t xml:space="preserve"> during 2012-13</w:t>
            </w:r>
            <w:r w:rsidR="003C072C">
              <w:t>.</w:t>
            </w:r>
          </w:p>
        </w:tc>
      </w:tr>
    </w:tbl>
    <w:p w:rsidR="009E1D93" w:rsidRDefault="009E1D93" w:rsidP="009E1D93">
      <w:pPr>
        <w:tabs>
          <w:tab w:val="left" w:pos="567"/>
        </w:tabs>
        <w:rPr>
          <w:sz w:val="12"/>
          <w:szCs w:val="12"/>
        </w:rPr>
      </w:pPr>
    </w:p>
    <w:p w:rsidR="004564BB" w:rsidRDefault="004564BB" w:rsidP="009E1D93">
      <w:pPr>
        <w:tabs>
          <w:tab w:val="left" w:pos="567"/>
        </w:tabs>
        <w:rPr>
          <w:sz w:val="12"/>
          <w:szCs w:val="12"/>
        </w:rPr>
      </w:pPr>
    </w:p>
    <w:tbl>
      <w:tblPr>
        <w:tblW w:w="14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5"/>
      </w:tblGrid>
      <w:tr w:rsidR="00A3083E" w:rsidTr="00993530">
        <w:trPr>
          <w:trHeight w:val="872"/>
        </w:trPr>
        <w:tc>
          <w:tcPr>
            <w:tcW w:w="14735" w:type="dxa"/>
          </w:tcPr>
          <w:p w:rsidR="003E7F0A" w:rsidRDefault="003E7F0A" w:rsidP="003E7F0A">
            <w:pPr>
              <w:rPr>
                <w:sz w:val="20"/>
              </w:rPr>
            </w:pPr>
            <w:r>
              <w:rPr>
                <w:sz w:val="20"/>
              </w:rPr>
              <w:t xml:space="preserve">Contact Officer: </w:t>
            </w:r>
            <w:r>
              <w:rPr>
                <w:i/>
                <w:sz w:val="20"/>
              </w:rPr>
              <w:t xml:space="preserve"> </w:t>
            </w:r>
            <w:r>
              <w:rPr>
                <w:b/>
                <w:szCs w:val="24"/>
              </w:rPr>
              <w:t>Ross O’Donoughue,  Executive Director, Policy &amp; Government Relations, ACT Health</w:t>
            </w:r>
            <w:r w:rsidR="00993530">
              <w:rPr>
                <w:b/>
                <w:szCs w:val="24"/>
              </w:rPr>
              <w:t xml:space="preserve"> Directorate</w:t>
            </w:r>
          </w:p>
          <w:p w:rsidR="003E7F0A" w:rsidRDefault="003E7F0A" w:rsidP="003E7F0A">
            <w:pPr>
              <w:rPr>
                <w:b/>
                <w:szCs w:val="24"/>
              </w:rPr>
            </w:pPr>
            <w:r>
              <w:rPr>
                <w:sz w:val="20"/>
              </w:rPr>
              <w:t xml:space="preserve">Phone: </w:t>
            </w:r>
            <w:r>
              <w:rPr>
                <w:b/>
                <w:szCs w:val="24"/>
              </w:rPr>
              <w:t>(02) 6205 0568</w:t>
            </w:r>
          </w:p>
          <w:p w:rsidR="003E7F0A" w:rsidRDefault="003E7F0A" w:rsidP="003E7F0A">
            <w:pPr>
              <w:rPr>
                <w:sz w:val="20"/>
              </w:rPr>
            </w:pPr>
            <w:r>
              <w:rPr>
                <w:sz w:val="20"/>
              </w:rPr>
              <w:t xml:space="preserve">Contact Officer: </w:t>
            </w:r>
            <w:r>
              <w:rPr>
                <w:i/>
                <w:sz w:val="20"/>
              </w:rPr>
              <w:t xml:space="preserve"> </w:t>
            </w:r>
            <w:r>
              <w:rPr>
                <w:b/>
                <w:szCs w:val="24"/>
              </w:rPr>
              <w:t>Matt Richter, Manager, Government Relations and Health Reform, ACT Health</w:t>
            </w:r>
            <w:r w:rsidR="00993530">
              <w:rPr>
                <w:b/>
                <w:szCs w:val="24"/>
              </w:rPr>
              <w:t xml:space="preserve"> Directorate</w:t>
            </w:r>
          </w:p>
          <w:p w:rsidR="00A3083E" w:rsidRPr="00891E09" w:rsidRDefault="003E7F0A" w:rsidP="003E7F0A">
            <w:pPr>
              <w:rPr>
                <w:b/>
                <w:szCs w:val="24"/>
              </w:rPr>
            </w:pPr>
            <w:r>
              <w:rPr>
                <w:sz w:val="20"/>
              </w:rPr>
              <w:t xml:space="preserve">Phone: </w:t>
            </w:r>
            <w:r>
              <w:rPr>
                <w:b/>
                <w:szCs w:val="24"/>
              </w:rPr>
              <w:t>(02) 6207 9143</w:t>
            </w:r>
          </w:p>
        </w:tc>
      </w:tr>
    </w:tbl>
    <w:p w:rsidR="00011078" w:rsidRDefault="00011078" w:rsidP="00011078">
      <w:pPr>
        <w:tabs>
          <w:tab w:val="left" w:pos="567"/>
        </w:tabs>
        <w:rPr>
          <w:sz w:val="12"/>
          <w:szCs w:val="12"/>
        </w:rPr>
      </w:pPr>
    </w:p>
    <w:p w:rsidR="001709EA" w:rsidRDefault="001709EA" w:rsidP="00011078">
      <w:pPr>
        <w:tabs>
          <w:tab w:val="left" w:pos="567"/>
        </w:tabs>
        <w:rPr>
          <w:sz w:val="12"/>
          <w:szCs w:val="12"/>
        </w:rPr>
      </w:pPr>
    </w:p>
    <w:p w:rsidR="001709EA" w:rsidRPr="009E1D93" w:rsidRDefault="001709EA" w:rsidP="00011078">
      <w:pPr>
        <w:tabs>
          <w:tab w:val="left" w:pos="567"/>
        </w:tabs>
        <w:rPr>
          <w:sz w:val="12"/>
          <w:szCs w:val="12"/>
        </w:rPr>
      </w:pPr>
    </w:p>
    <w:sectPr w:rsidR="001709EA" w:rsidRPr="009E1D93" w:rsidSect="009976DC">
      <w:headerReference w:type="even" r:id="rId8"/>
      <w:headerReference w:type="default" r:id="rId9"/>
      <w:footerReference w:type="even" r:id="rId10"/>
      <w:footerReference w:type="default" r:id="rId11"/>
      <w:headerReference w:type="first" r:id="rId12"/>
      <w:footerReference w:type="first" r:id="rId13"/>
      <w:pgSz w:w="16837" w:h="11905" w:orient="landscape" w:code="9"/>
      <w:pgMar w:top="1418" w:right="1134" w:bottom="1418" w:left="1134" w:header="144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4DA" w:rsidRDefault="007854DA">
      <w:r>
        <w:separator/>
      </w:r>
    </w:p>
  </w:endnote>
  <w:endnote w:type="continuationSeparator" w:id="0">
    <w:p w:rsidR="007854DA" w:rsidRDefault="0078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05" w:rsidRDefault="000E4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DA" w:rsidRDefault="000E4F05">
    <w:pPr>
      <w:pStyle w:val="Footer"/>
      <w:jc w:val="right"/>
    </w:pPr>
    <w:r>
      <w:fldChar w:fldCharType="begin"/>
    </w:r>
    <w:r>
      <w:instrText xml:space="preserve"> PAGE   \* MERGEFORMAT </w:instrText>
    </w:r>
    <w:r>
      <w:fldChar w:fldCharType="separate"/>
    </w:r>
    <w:r>
      <w:rPr>
        <w:noProof/>
      </w:rPr>
      <w:t>2</w:t>
    </w:r>
    <w:r>
      <w:rPr>
        <w:noProof/>
      </w:rPr>
      <w:fldChar w:fldCharType="end"/>
    </w:r>
  </w:p>
  <w:p w:rsidR="007854DA" w:rsidRDefault="007854DA" w:rsidP="0001107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05" w:rsidRDefault="000E4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4DA" w:rsidRDefault="007854DA">
      <w:r>
        <w:separator/>
      </w:r>
    </w:p>
  </w:footnote>
  <w:footnote w:type="continuationSeparator" w:id="0">
    <w:p w:rsidR="007854DA" w:rsidRDefault="0078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05" w:rsidRDefault="000E4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DA" w:rsidRPr="00AE0285" w:rsidRDefault="007854DA" w:rsidP="00AE0285">
    <w:pPr>
      <w:pStyle w:val="Header"/>
      <w:jc w:val="right"/>
      <w:rPr>
        <w:b/>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05" w:rsidRDefault="000E4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76A"/>
    <w:multiLevelType w:val="hybridMultilevel"/>
    <w:tmpl w:val="9698B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3EF2111"/>
    <w:multiLevelType w:val="hybridMultilevel"/>
    <w:tmpl w:val="7CBEE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7A3725"/>
    <w:multiLevelType w:val="hybridMultilevel"/>
    <w:tmpl w:val="DF52D6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134C6C28"/>
    <w:multiLevelType w:val="hybridMultilevel"/>
    <w:tmpl w:val="361062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29C7E74"/>
    <w:multiLevelType w:val="hybridMultilevel"/>
    <w:tmpl w:val="7258FC4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521230B"/>
    <w:multiLevelType w:val="hybridMultilevel"/>
    <w:tmpl w:val="A624432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29E90421"/>
    <w:multiLevelType w:val="hybridMultilevel"/>
    <w:tmpl w:val="6F709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2B464B"/>
    <w:multiLevelType w:val="hybridMultilevel"/>
    <w:tmpl w:val="D5B40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121F23"/>
    <w:multiLevelType w:val="hybridMultilevel"/>
    <w:tmpl w:val="32EE23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8066A92"/>
    <w:multiLevelType w:val="hybridMultilevel"/>
    <w:tmpl w:val="6F28D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A62027F"/>
    <w:multiLevelType w:val="multilevel"/>
    <w:tmpl w:val="F89E4650"/>
    <w:lvl w:ilvl="0">
      <w:start w:val="4"/>
      <w:numFmt w:val="upperLetter"/>
      <w:pStyle w:val="ScheduleNumberedPara"/>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851"/>
        </w:tabs>
        <w:ind w:left="851" w:hanging="567"/>
      </w:pPr>
      <w:rPr>
        <w:rFonts w:cs="Times New Roman" w:hint="default"/>
        <w:i w:val="0"/>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11">
    <w:nsid w:val="41A80F99"/>
    <w:multiLevelType w:val="hybridMultilevel"/>
    <w:tmpl w:val="32AC46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6D632AC"/>
    <w:multiLevelType w:val="hybridMultilevel"/>
    <w:tmpl w:val="449A3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7DF6E99"/>
    <w:multiLevelType w:val="hybridMultilevel"/>
    <w:tmpl w:val="46988ED0"/>
    <w:lvl w:ilvl="0" w:tplc="0C090001">
      <w:start w:val="1"/>
      <w:numFmt w:val="bullet"/>
      <w:lvlText w:val=""/>
      <w:lvlJc w:val="left"/>
      <w:pPr>
        <w:tabs>
          <w:tab w:val="num" w:pos="748"/>
        </w:tabs>
        <w:ind w:left="748" w:hanging="360"/>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14">
    <w:nsid w:val="5A7E68EA"/>
    <w:multiLevelType w:val="hybridMultilevel"/>
    <w:tmpl w:val="335CDE4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4391A88"/>
    <w:multiLevelType w:val="hybridMultilevel"/>
    <w:tmpl w:val="3426F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E2C4D26"/>
    <w:multiLevelType w:val="hybridMultilevel"/>
    <w:tmpl w:val="E5A6C5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8854AAC"/>
    <w:multiLevelType w:val="hybridMultilevel"/>
    <w:tmpl w:val="451E0452"/>
    <w:lvl w:ilvl="0" w:tplc="3814ABD4">
      <w:start w:val="1"/>
      <w:numFmt w:val="decimal"/>
      <w:pStyle w:val="Normalnumbered"/>
      <w:lvlText w:val="%1."/>
      <w:lvlJc w:val="left"/>
      <w:pPr>
        <w:tabs>
          <w:tab w:val="num" w:pos="567"/>
        </w:tabs>
        <w:ind w:left="567" w:hanging="567"/>
      </w:pPr>
      <w:rPr>
        <w:rFonts w:hint="default"/>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abstractNumId w:val="10"/>
  </w:num>
  <w:num w:numId="2">
    <w:abstractNumId w:val="17"/>
  </w:num>
  <w:num w:numId="3">
    <w:abstractNumId w:val="11"/>
  </w:num>
  <w:num w:numId="4">
    <w:abstractNumId w:val="14"/>
  </w:num>
  <w:num w:numId="5">
    <w:abstractNumId w:val="13"/>
  </w:num>
  <w:num w:numId="6">
    <w:abstractNumId w:val="2"/>
  </w:num>
  <w:num w:numId="7">
    <w:abstractNumId w:val="4"/>
  </w:num>
  <w:num w:numId="8">
    <w:abstractNumId w:val="8"/>
  </w:num>
  <w:num w:numId="9">
    <w:abstractNumId w:val="3"/>
  </w:num>
  <w:num w:numId="10">
    <w:abstractNumId w:val="16"/>
  </w:num>
  <w:num w:numId="11">
    <w:abstractNumId w:val="15"/>
  </w:num>
  <w:num w:numId="12">
    <w:abstractNumId w:val="12"/>
  </w:num>
  <w:num w:numId="13">
    <w:abstractNumId w:val="0"/>
  </w:num>
  <w:num w:numId="14">
    <w:abstractNumId w:val="6"/>
  </w:num>
  <w:num w:numId="15">
    <w:abstractNumId w:val="9"/>
  </w:num>
  <w:num w:numId="16">
    <w:abstractNumId w:val="1"/>
  </w:num>
  <w:num w:numId="17">
    <w:abstractNumId w:val="7"/>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docVars>
    <w:docVar w:name="_AMO_XmlVersion" w:val="Empty"/>
    <w:docVar w:name="dgnword-docGUID" w:val="{8D083170-4240-490E-974B-863FEC59ED69}"/>
    <w:docVar w:name="dgnword-eventsink" w:val="22232304"/>
  </w:docVars>
  <w:rsids>
    <w:rsidRoot w:val="00B95697"/>
    <w:rsid w:val="00000A05"/>
    <w:rsid w:val="0000147E"/>
    <w:rsid w:val="0000291D"/>
    <w:rsid w:val="00006907"/>
    <w:rsid w:val="000101D0"/>
    <w:rsid w:val="00011078"/>
    <w:rsid w:val="00011C77"/>
    <w:rsid w:val="00014AC3"/>
    <w:rsid w:val="00023D07"/>
    <w:rsid w:val="0003466F"/>
    <w:rsid w:val="0004002B"/>
    <w:rsid w:val="00041270"/>
    <w:rsid w:val="00042B5F"/>
    <w:rsid w:val="000572F1"/>
    <w:rsid w:val="0006241B"/>
    <w:rsid w:val="00062C22"/>
    <w:rsid w:val="00071FD9"/>
    <w:rsid w:val="00077876"/>
    <w:rsid w:val="00085293"/>
    <w:rsid w:val="00090C2C"/>
    <w:rsid w:val="000A31A1"/>
    <w:rsid w:val="000B07A2"/>
    <w:rsid w:val="000B5B0F"/>
    <w:rsid w:val="000B5BB0"/>
    <w:rsid w:val="000B7634"/>
    <w:rsid w:val="000C4F5A"/>
    <w:rsid w:val="000C6646"/>
    <w:rsid w:val="000D2A9F"/>
    <w:rsid w:val="000D6B08"/>
    <w:rsid w:val="000D7437"/>
    <w:rsid w:val="000E006F"/>
    <w:rsid w:val="000E4F05"/>
    <w:rsid w:val="000F0106"/>
    <w:rsid w:val="0010000D"/>
    <w:rsid w:val="001026A2"/>
    <w:rsid w:val="001055A9"/>
    <w:rsid w:val="00113BD3"/>
    <w:rsid w:val="001213EF"/>
    <w:rsid w:val="001359BA"/>
    <w:rsid w:val="001422D6"/>
    <w:rsid w:val="001439B4"/>
    <w:rsid w:val="00143F8F"/>
    <w:rsid w:val="0014552E"/>
    <w:rsid w:val="0016524E"/>
    <w:rsid w:val="00165387"/>
    <w:rsid w:val="001709EA"/>
    <w:rsid w:val="00170D70"/>
    <w:rsid w:val="001721AE"/>
    <w:rsid w:val="00184AD1"/>
    <w:rsid w:val="0018639D"/>
    <w:rsid w:val="0018656C"/>
    <w:rsid w:val="0018664A"/>
    <w:rsid w:val="001903DA"/>
    <w:rsid w:val="001907F8"/>
    <w:rsid w:val="00197497"/>
    <w:rsid w:val="00197F6F"/>
    <w:rsid w:val="001A0D81"/>
    <w:rsid w:val="001A30EB"/>
    <w:rsid w:val="001B3B5C"/>
    <w:rsid w:val="001C5E73"/>
    <w:rsid w:val="001C67F5"/>
    <w:rsid w:val="001D2F94"/>
    <w:rsid w:val="001E0B9D"/>
    <w:rsid w:val="001E3C64"/>
    <w:rsid w:val="001E4372"/>
    <w:rsid w:val="001E663C"/>
    <w:rsid w:val="001F0535"/>
    <w:rsid w:val="001F2F6A"/>
    <w:rsid w:val="001F5705"/>
    <w:rsid w:val="001F7F2D"/>
    <w:rsid w:val="00200AA3"/>
    <w:rsid w:val="0020484D"/>
    <w:rsid w:val="00215DE0"/>
    <w:rsid w:val="0022369D"/>
    <w:rsid w:val="0022617C"/>
    <w:rsid w:val="00226BA3"/>
    <w:rsid w:val="0022738E"/>
    <w:rsid w:val="00233F45"/>
    <w:rsid w:val="00241C20"/>
    <w:rsid w:val="00243F94"/>
    <w:rsid w:val="0025053E"/>
    <w:rsid w:val="00250F22"/>
    <w:rsid w:val="00260379"/>
    <w:rsid w:val="00266531"/>
    <w:rsid w:val="0028373F"/>
    <w:rsid w:val="00283D08"/>
    <w:rsid w:val="00287154"/>
    <w:rsid w:val="002967AA"/>
    <w:rsid w:val="002A3692"/>
    <w:rsid w:val="002B6298"/>
    <w:rsid w:val="002C3788"/>
    <w:rsid w:val="002C4953"/>
    <w:rsid w:val="002C5AC5"/>
    <w:rsid w:val="002C7E46"/>
    <w:rsid w:val="002D06E4"/>
    <w:rsid w:val="002D7807"/>
    <w:rsid w:val="002F1239"/>
    <w:rsid w:val="002F610B"/>
    <w:rsid w:val="003009BF"/>
    <w:rsid w:val="00311097"/>
    <w:rsid w:val="003146AD"/>
    <w:rsid w:val="00317D0E"/>
    <w:rsid w:val="00323C78"/>
    <w:rsid w:val="00324BC7"/>
    <w:rsid w:val="0033175F"/>
    <w:rsid w:val="003356DD"/>
    <w:rsid w:val="00337633"/>
    <w:rsid w:val="0034784B"/>
    <w:rsid w:val="00352AF2"/>
    <w:rsid w:val="00360424"/>
    <w:rsid w:val="00361D4E"/>
    <w:rsid w:val="00367E8E"/>
    <w:rsid w:val="0038052E"/>
    <w:rsid w:val="00390304"/>
    <w:rsid w:val="003909A9"/>
    <w:rsid w:val="003A788A"/>
    <w:rsid w:val="003B1F82"/>
    <w:rsid w:val="003B208B"/>
    <w:rsid w:val="003B3722"/>
    <w:rsid w:val="003B3B92"/>
    <w:rsid w:val="003B4B04"/>
    <w:rsid w:val="003B4FF5"/>
    <w:rsid w:val="003B5E31"/>
    <w:rsid w:val="003C072C"/>
    <w:rsid w:val="003C5495"/>
    <w:rsid w:val="003C7050"/>
    <w:rsid w:val="003C79E4"/>
    <w:rsid w:val="003D2D5B"/>
    <w:rsid w:val="003D42E3"/>
    <w:rsid w:val="003E2B1F"/>
    <w:rsid w:val="003E74BC"/>
    <w:rsid w:val="003E7F0A"/>
    <w:rsid w:val="003F11A1"/>
    <w:rsid w:val="003F5D83"/>
    <w:rsid w:val="003F6EC7"/>
    <w:rsid w:val="004019A0"/>
    <w:rsid w:val="0040377D"/>
    <w:rsid w:val="00404B37"/>
    <w:rsid w:val="00404D1A"/>
    <w:rsid w:val="0041137B"/>
    <w:rsid w:val="00415376"/>
    <w:rsid w:val="00416EA4"/>
    <w:rsid w:val="0042214E"/>
    <w:rsid w:val="004245E9"/>
    <w:rsid w:val="00426C33"/>
    <w:rsid w:val="00430BBE"/>
    <w:rsid w:val="00432183"/>
    <w:rsid w:val="004410E3"/>
    <w:rsid w:val="00443D5D"/>
    <w:rsid w:val="00446588"/>
    <w:rsid w:val="00446D1B"/>
    <w:rsid w:val="004564BB"/>
    <w:rsid w:val="00471B03"/>
    <w:rsid w:val="004735C5"/>
    <w:rsid w:val="00476451"/>
    <w:rsid w:val="00476A90"/>
    <w:rsid w:val="004963B0"/>
    <w:rsid w:val="004A1221"/>
    <w:rsid w:val="004A2D71"/>
    <w:rsid w:val="004A772F"/>
    <w:rsid w:val="004B310D"/>
    <w:rsid w:val="004B425D"/>
    <w:rsid w:val="004B58B2"/>
    <w:rsid w:val="004C7F1E"/>
    <w:rsid w:val="004D030F"/>
    <w:rsid w:val="004D5AFB"/>
    <w:rsid w:val="004E1F86"/>
    <w:rsid w:val="004E5C1E"/>
    <w:rsid w:val="004F4F94"/>
    <w:rsid w:val="004F7E92"/>
    <w:rsid w:val="00500525"/>
    <w:rsid w:val="00502428"/>
    <w:rsid w:val="0051150B"/>
    <w:rsid w:val="00513DA3"/>
    <w:rsid w:val="0052108E"/>
    <w:rsid w:val="00522590"/>
    <w:rsid w:val="00530E8E"/>
    <w:rsid w:val="00535F2A"/>
    <w:rsid w:val="005378E0"/>
    <w:rsid w:val="0054497E"/>
    <w:rsid w:val="0055118D"/>
    <w:rsid w:val="00556710"/>
    <w:rsid w:val="005660B7"/>
    <w:rsid w:val="005672BC"/>
    <w:rsid w:val="00574279"/>
    <w:rsid w:val="00580346"/>
    <w:rsid w:val="00585A3D"/>
    <w:rsid w:val="005865A8"/>
    <w:rsid w:val="005A1883"/>
    <w:rsid w:val="005B1072"/>
    <w:rsid w:val="005C08CA"/>
    <w:rsid w:val="005D10FA"/>
    <w:rsid w:val="005D3A72"/>
    <w:rsid w:val="005D5695"/>
    <w:rsid w:val="005F0E76"/>
    <w:rsid w:val="005F1591"/>
    <w:rsid w:val="005F3F55"/>
    <w:rsid w:val="00601BBC"/>
    <w:rsid w:val="00620720"/>
    <w:rsid w:val="00621CB0"/>
    <w:rsid w:val="00626237"/>
    <w:rsid w:val="00627F23"/>
    <w:rsid w:val="006320AD"/>
    <w:rsid w:val="0063213A"/>
    <w:rsid w:val="00655ED0"/>
    <w:rsid w:val="0066554F"/>
    <w:rsid w:val="006669AA"/>
    <w:rsid w:val="00671842"/>
    <w:rsid w:val="00677C8A"/>
    <w:rsid w:val="00681B5A"/>
    <w:rsid w:val="00691BC0"/>
    <w:rsid w:val="00693D38"/>
    <w:rsid w:val="006956B2"/>
    <w:rsid w:val="006966E6"/>
    <w:rsid w:val="00696C68"/>
    <w:rsid w:val="006A6F67"/>
    <w:rsid w:val="006B360C"/>
    <w:rsid w:val="006B4E92"/>
    <w:rsid w:val="006B511E"/>
    <w:rsid w:val="006C0612"/>
    <w:rsid w:val="006C15EF"/>
    <w:rsid w:val="006C3253"/>
    <w:rsid w:val="006C5462"/>
    <w:rsid w:val="006D006D"/>
    <w:rsid w:val="006D0A45"/>
    <w:rsid w:val="006D22D0"/>
    <w:rsid w:val="006D55FB"/>
    <w:rsid w:val="006D596A"/>
    <w:rsid w:val="006D7B3E"/>
    <w:rsid w:val="006E1474"/>
    <w:rsid w:val="006E17C4"/>
    <w:rsid w:val="006E30AF"/>
    <w:rsid w:val="006F195F"/>
    <w:rsid w:val="006F2A8A"/>
    <w:rsid w:val="007030B2"/>
    <w:rsid w:val="0071309A"/>
    <w:rsid w:val="00714404"/>
    <w:rsid w:val="00716C56"/>
    <w:rsid w:val="0071764D"/>
    <w:rsid w:val="00724BFA"/>
    <w:rsid w:val="00730671"/>
    <w:rsid w:val="007331BD"/>
    <w:rsid w:val="00735264"/>
    <w:rsid w:val="007436E8"/>
    <w:rsid w:val="0074387E"/>
    <w:rsid w:val="007503F6"/>
    <w:rsid w:val="00753751"/>
    <w:rsid w:val="00754405"/>
    <w:rsid w:val="00760908"/>
    <w:rsid w:val="00761033"/>
    <w:rsid w:val="00761C06"/>
    <w:rsid w:val="0077488A"/>
    <w:rsid w:val="00774CD9"/>
    <w:rsid w:val="00775B44"/>
    <w:rsid w:val="0077621A"/>
    <w:rsid w:val="007775EE"/>
    <w:rsid w:val="007854DA"/>
    <w:rsid w:val="0079157F"/>
    <w:rsid w:val="00792459"/>
    <w:rsid w:val="0079525C"/>
    <w:rsid w:val="00795EC1"/>
    <w:rsid w:val="00796115"/>
    <w:rsid w:val="007A6025"/>
    <w:rsid w:val="007A7E28"/>
    <w:rsid w:val="007B6415"/>
    <w:rsid w:val="007C74DD"/>
    <w:rsid w:val="007D21A1"/>
    <w:rsid w:val="007E0442"/>
    <w:rsid w:val="007E046E"/>
    <w:rsid w:val="007E22AD"/>
    <w:rsid w:val="007F1D42"/>
    <w:rsid w:val="007F26CA"/>
    <w:rsid w:val="008013CB"/>
    <w:rsid w:val="00804347"/>
    <w:rsid w:val="00806390"/>
    <w:rsid w:val="00817CE6"/>
    <w:rsid w:val="00821FC0"/>
    <w:rsid w:val="00827666"/>
    <w:rsid w:val="008276C5"/>
    <w:rsid w:val="00851687"/>
    <w:rsid w:val="0085327F"/>
    <w:rsid w:val="008631B8"/>
    <w:rsid w:val="008652D9"/>
    <w:rsid w:val="00866472"/>
    <w:rsid w:val="00873A39"/>
    <w:rsid w:val="00875D5C"/>
    <w:rsid w:val="008809A7"/>
    <w:rsid w:val="00882000"/>
    <w:rsid w:val="00882648"/>
    <w:rsid w:val="00884555"/>
    <w:rsid w:val="00887071"/>
    <w:rsid w:val="00887DAA"/>
    <w:rsid w:val="00890FAB"/>
    <w:rsid w:val="008925DA"/>
    <w:rsid w:val="008948DB"/>
    <w:rsid w:val="0089577A"/>
    <w:rsid w:val="00897B1B"/>
    <w:rsid w:val="008A22AD"/>
    <w:rsid w:val="008B58EE"/>
    <w:rsid w:val="008B6E8C"/>
    <w:rsid w:val="008C69E6"/>
    <w:rsid w:val="008D4282"/>
    <w:rsid w:val="008D6FCE"/>
    <w:rsid w:val="008E39F4"/>
    <w:rsid w:val="008E4A4D"/>
    <w:rsid w:val="008F2FF0"/>
    <w:rsid w:val="008F6497"/>
    <w:rsid w:val="009005E5"/>
    <w:rsid w:val="009225B3"/>
    <w:rsid w:val="00925016"/>
    <w:rsid w:val="0092773E"/>
    <w:rsid w:val="00934500"/>
    <w:rsid w:val="00942DAB"/>
    <w:rsid w:val="0094558D"/>
    <w:rsid w:val="00961600"/>
    <w:rsid w:val="009660B1"/>
    <w:rsid w:val="00974B1C"/>
    <w:rsid w:val="00980C08"/>
    <w:rsid w:val="009835A8"/>
    <w:rsid w:val="00985F9E"/>
    <w:rsid w:val="00993530"/>
    <w:rsid w:val="009976DC"/>
    <w:rsid w:val="009A0143"/>
    <w:rsid w:val="009A1074"/>
    <w:rsid w:val="009A39A9"/>
    <w:rsid w:val="009B1648"/>
    <w:rsid w:val="009B2415"/>
    <w:rsid w:val="009B683B"/>
    <w:rsid w:val="009C3AA8"/>
    <w:rsid w:val="009D09F3"/>
    <w:rsid w:val="009D34E3"/>
    <w:rsid w:val="009D4E8F"/>
    <w:rsid w:val="009D5B25"/>
    <w:rsid w:val="009E1D93"/>
    <w:rsid w:val="009F1CA9"/>
    <w:rsid w:val="009F2A2F"/>
    <w:rsid w:val="009F5F92"/>
    <w:rsid w:val="009F69CB"/>
    <w:rsid w:val="009F7B62"/>
    <w:rsid w:val="00A21F5E"/>
    <w:rsid w:val="00A22135"/>
    <w:rsid w:val="00A23360"/>
    <w:rsid w:val="00A3083E"/>
    <w:rsid w:val="00A3594B"/>
    <w:rsid w:val="00A44880"/>
    <w:rsid w:val="00A5170A"/>
    <w:rsid w:val="00A5240C"/>
    <w:rsid w:val="00A56237"/>
    <w:rsid w:val="00A5796B"/>
    <w:rsid w:val="00A62DD7"/>
    <w:rsid w:val="00A66AA3"/>
    <w:rsid w:val="00A77F8A"/>
    <w:rsid w:val="00A80332"/>
    <w:rsid w:val="00A81B75"/>
    <w:rsid w:val="00A84576"/>
    <w:rsid w:val="00A86E44"/>
    <w:rsid w:val="00A91004"/>
    <w:rsid w:val="00A92D7F"/>
    <w:rsid w:val="00A939A6"/>
    <w:rsid w:val="00A9415A"/>
    <w:rsid w:val="00A94AC2"/>
    <w:rsid w:val="00A94CF2"/>
    <w:rsid w:val="00AA30A8"/>
    <w:rsid w:val="00AC4E68"/>
    <w:rsid w:val="00AC54B6"/>
    <w:rsid w:val="00AC5B1F"/>
    <w:rsid w:val="00AD0712"/>
    <w:rsid w:val="00AD5C55"/>
    <w:rsid w:val="00AE0285"/>
    <w:rsid w:val="00AE4E6B"/>
    <w:rsid w:val="00AE6447"/>
    <w:rsid w:val="00AF3808"/>
    <w:rsid w:val="00AF3D2D"/>
    <w:rsid w:val="00AF3F96"/>
    <w:rsid w:val="00AF6C1E"/>
    <w:rsid w:val="00AF7CE4"/>
    <w:rsid w:val="00B00303"/>
    <w:rsid w:val="00B0380D"/>
    <w:rsid w:val="00B10C94"/>
    <w:rsid w:val="00B204D6"/>
    <w:rsid w:val="00B20543"/>
    <w:rsid w:val="00B212E4"/>
    <w:rsid w:val="00B21C3F"/>
    <w:rsid w:val="00B23AA0"/>
    <w:rsid w:val="00B26071"/>
    <w:rsid w:val="00B30B79"/>
    <w:rsid w:val="00B35D1A"/>
    <w:rsid w:val="00B371F5"/>
    <w:rsid w:val="00B41859"/>
    <w:rsid w:val="00B434B0"/>
    <w:rsid w:val="00B45561"/>
    <w:rsid w:val="00B50E17"/>
    <w:rsid w:val="00B52166"/>
    <w:rsid w:val="00B569F1"/>
    <w:rsid w:val="00B616D3"/>
    <w:rsid w:val="00B6200C"/>
    <w:rsid w:val="00B6786B"/>
    <w:rsid w:val="00B75AFC"/>
    <w:rsid w:val="00B76CF4"/>
    <w:rsid w:val="00B80FAE"/>
    <w:rsid w:val="00B81A01"/>
    <w:rsid w:val="00B87A9B"/>
    <w:rsid w:val="00B923AC"/>
    <w:rsid w:val="00B95697"/>
    <w:rsid w:val="00BA6A49"/>
    <w:rsid w:val="00BB1CC5"/>
    <w:rsid w:val="00BB3C93"/>
    <w:rsid w:val="00BC44AD"/>
    <w:rsid w:val="00BD08D9"/>
    <w:rsid w:val="00BD6C03"/>
    <w:rsid w:val="00BE0713"/>
    <w:rsid w:val="00BF201B"/>
    <w:rsid w:val="00BF6398"/>
    <w:rsid w:val="00C0050D"/>
    <w:rsid w:val="00C01175"/>
    <w:rsid w:val="00C11F69"/>
    <w:rsid w:val="00C266E9"/>
    <w:rsid w:val="00C300C3"/>
    <w:rsid w:val="00C41346"/>
    <w:rsid w:val="00C43DB3"/>
    <w:rsid w:val="00C450E9"/>
    <w:rsid w:val="00C516F0"/>
    <w:rsid w:val="00C51F91"/>
    <w:rsid w:val="00C52DDE"/>
    <w:rsid w:val="00C57B71"/>
    <w:rsid w:val="00C62A12"/>
    <w:rsid w:val="00C62CB0"/>
    <w:rsid w:val="00C63DC5"/>
    <w:rsid w:val="00C67370"/>
    <w:rsid w:val="00C757A1"/>
    <w:rsid w:val="00C766E9"/>
    <w:rsid w:val="00C83FA9"/>
    <w:rsid w:val="00C84AD3"/>
    <w:rsid w:val="00C95C5A"/>
    <w:rsid w:val="00C9683B"/>
    <w:rsid w:val="00C971EF"/>
    <w:rsid w:val="00CA2445"/>
    <w:rsid w:val="00CA66DC"/>
    <w:rsid w:val="00CB1E12"/>
    <w:rsid w:val="00CB603B"/>
    <w:rsid w:val="00CB6459"/>
    <w:rsid w:val="00CB735E"/>
    <w:rsid w:val="00CD0784"/>
    <w:rsid w:val="00CE0363"/>
    <w:rsid w:val="00CE0B77"/>
    <w:rsid w:val="00CE15CA"/>
    <w:rsid w:val="00CE2865"/>
    <w:rsid w:val="00CE5C7E"/>
    <w:rsid w:val="00CF0058"/>
    <w:rsid w:val="00CF1F0A"/>
    <w:rsid w:val="00CF4485"/>
    <w:rsid w:val="00D003A5"/>
    <w:rsid w:val="00D02796"/>
    <w:rsid w:val="00D06EDF"/>
    <w:rsid w:val="00D07EE7"/>
    <w:rsid w:val="00D12B7E"/>
    <w:rsid w:val="00D12FE3"/>
    <w:rsid w:val="00D13D2E"/>
    <w:rsid w:val="00D17C71"/>
    <w:rsid w:val="00D20201"/>
    <w:rsid w:val="00D21CE4"/>
    <w:rsid w:val="00D253BF"/>
    <w:rsid w:val="00D274B6"/>
    <w:rsid w:val="00D3109E"/>
    <w:rsid w:val="00D3165B"/>
    <w:rsid w:val="00D36031"/>
    <w:rsid w:val="00D377C4"/>
    <w:rsid w:val="00D37E55"/>
    <w:rsid w:val="00D4627E"/>
    <w:rsid w:val="00D5150E"/>
    <w:rsid w:val="00D63D4E"/>
    <w:rsid w:val="00D71C68"/>
    <w:rsid w:val="00D7223E"/>
    <w:rsid w:val="00D76702"/>
    <w:rsid w:val="00D8037E"/>
    <w:rsid w:val="00D8178A"/>
    <w:rsid w:val="00D85365"/>
    <w:rsid w:val="00D90DB9"/>
    <w:rsid w:val="00D92AD4"/>
    <w:rsid w:val="00D938D0"/>
    <w:rsid w:val="00D95FAA"/>
    <w:rsid w:val="00D96B8D"/>
    <w:rsid w:val="00DA172C"/>
    <w:rsid w:val="00DA40B3"/>
    <w:rsid w:val="00DA50A4"/>
    <w:rsid w:val="00DB140F"/>
    <w:rsid w:val="00DB1746"/>
    <w:rsid w:val="00DB2195"/>
    <w:rsid w:val="00DB6645"/>
    <w:rsid w:val="00DC19F0"/>
    <w:rsid w:val="00DC707A"/>
    <w:rsid w:val="00DD500F"/>
    <w:rsid w:val="00DE1FF7"/>
    <w:rsid w:val="00DE5644"/>
    <w:rsid w:val="00DF44C7"/>
    <w:rsid w:val="00E00AF8"/>
    <w:rsid w:val="00E07638"/>
    <w:rsid w:val="00E10522"/>
    <w:rsid w:val="00E14A2F"/>
    <w:rsid w:val="00E1739F"/>
    <w:rsid w:val="00E2038B"/>
    <w:rsid w:val="00E24892"/>
    <w:rsid w:val="00E44128"/>
    <w:rsid w:val="00E4487C"/>
    <w:rsid w:val="00E45C38"/>
    <w:rsid w:val="00E5044D"/>
    <w:rsid w:val="00E51414"/>
    <w:rsid w:val="00E53D70"/>
    <w:rsid w:val="00E63DF2"/>
    <w:rsid w:val="00E65C6B"/>
    <w:rsid w:val="00E747C1"/>
    <w:rsid w:val="00E81172"/>
    <w:rsid w:val="00E832F5"/>
    <w:rsid w:val="00E85F94"/>
    <w:rsid w:val="00E86EA2"/>
    <w:rsid w:val="00E91506"/>
    <w:rsid w:val="00E91616"/>
    <w:rsid w:val="00E96844"/>
    <w:rsid w:val="00E9735C"/>
    <w:rsid w:val="00EA274D"/>
    <w:rsid w:val="00EA2DC6"/>
    <w:rsid w:val="00EA505C"/>
    <w:rsid w:val="00EB0286"/>
    <w:rsid w:val="00EB08CC"/>
    <w:rsid w:val="00EB3FE7"/>
    <w:rsid w:val="00EC03B2"/>
    <w:rsid w:val="00EC6858"/>
    <w:rsid w:val="00ED244D"/>
    <w:rsid w:val="00ED2F30"/>
    <w:rsid w:val="00ED6CB2"/>
    <w:rsid w:val="00EE48AA"/>
    <w:rsid w:val="00EE6575"/>
    <w:rsid w:val="00F05D82"/>
    <w:rsid w:val="00F14852"/>
    <w:rsid w:val="00F16929"/>
    <w:rsid w:val="00F224CF"/>
    <w:rsid w:val="00F31996"/>
    <w:rsid w:val="00F36D49"/>
    <w:rsid w:val="00F37C26"/>
    <w:rsid w:val="00F41E0E"/>
    <w:rsid w:val="00F456AC"/>
    <w:rsid w:val="00F45ACA"/>
    <w:rsid w:val="00F46DD5"/>
    <w:rsid w:val="00F517AA"/>
    <w:rsid w:val="00F5279A"/>
    <w:rsid w:val="00F53483"/>
    <w:rsid w:val="00F53BCD"/>
    <w:rsid w:val="00F56B5D"/>
    <w:rsid w:val="00F6424D"/>
    <w:rsid w:val="00F6468E"/>
    <w:rsid w:val="00F707DE"/>
    <w:rsid w:val="00F71DAE"/>
    <w:rsid w:val="00F73570"/>
    <w:rsid w:val="00F7501A"/>
    <w:rsid w:val="00F76839"/>
    <w:rsid w:val="00F77178"/>
    <w:rsid w:val="00F80851"/>
    <w:rsid w:val="00F8114C"/>
    <w:rsid w:val="00F84F86"/>
    <w:rsid w:val="00FA175D"/>
    <w:rsid w:val="00FA5D4F"/>
    <w:rsid w:val="00FB5383"/>
    <w:rsid w:val="00FB7E6D"/>
    <w:rsid w:val="00FC1D76"/>
    <w:rsid w:val="00FD0F89"/>
    <w:rsid w:val="00FE08BB"/>
    <w:rsid w:val="00FE4626"/>
    <w:rsid w:val="00FE5472"/>
    <w:rsid w:val="00FE5A92"/>
    <w:rsid w:val="00FE6627"/>
    <w:rsid w:val="00FF08F1"/>
    <w:rsid w:val="00FF39BD"/>
    <w:rsid w:val="00FF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link w:val="FooterChar"/>
    <w:uiPriority w:val="99"/>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CharCharChar">
    <w:name w:val="Char Char Char"/>
    <w:basedOn w:val="Normal"/>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rsid w:val="00CB603B"/>
    <w:rPr>
      <w:rFonts w:ascii="Arial" w:hAnsi="Arial" w:cs="Arial"/>
      <w:sz w:val="22"/>
      <w:szCs w:val="22"/>
      <w:lang w:eastAsia="en-US"/>
    </w:rPr>
  </w:style>
  <w:style w:type="paragraph" w:customStyle="1" w:styleId="a">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basedOn w:val="DefaultParagraphFont"/>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basedOn w:val="DefaultParagraphFont"/>
    <w:link w:val="Normalnumbered"/>
    <w:locked/>
    <w:rsid w:val="00FF08F1"/>
    <w:rPr>
      <w:rFonts w:ascii="Corbel" w:hAnsi="Corbel" w:cs="Corbel"/>
      <w:color w:val="000000"/>
      <w:sz w:val="23"/>
      <w:szCs w:val="23"/>
    </w:rPr>
  </w:style>
  <w:style w:type="character" w:styleId="Hyperlink">
    <w:name w:val="Hyperlink"/>
    <w:basedOn w:val="DefaultParagraphFont"/>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character" w:customStyle="1" w:styleId="FooterChar">
    <w:name w:val="Footer Char"/>
    <w:basedOn w:val="DefaultParagraphFont"/>
    <w:link w:val="Footer"/>
    <w:uiPriority w:val="99"/>
    <w:rsid w:val="00446588"/>
    <w:rPr>
      <w:sz w:val="24"/>
    </w:rPr>
  </w:style>
  <w:style w:type="paragraph" w:styleId="ListParagraph">
    <w:name w:val="List Paragraph"/>
    <w:basedOn w:val="Normal"/>
    <w:uiPriority w:val="34"/>
    <w:qFormat/>
    <w:rsid w:val="00DD500F"/>
    <w:pPr>
      <w:ind w:left="720"/>
      <w:contextualSpacing/>
    </w:pPr>
  </w:style>
  <w:style w:type="character" w:styleId="Strong">
    <w:name w:val="Strong"/>
    <w:basedOn w:val="DefaultParagraphFont"/>
    <w:uiPriority w:val="22"/>
    <w:qFormat/>
    <w:rsid w:val="00C266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2104">
      <w:bodyDiv w:val="1"/>
      <w:marLeft w:val="0"/>
      <w:marRight w:val="0"/>
      <w:marTop w:val="0"/>
      <w:marBottom w:val="0"/>
      <w:divBdr>
        <w:top w:val="none" w:sz="0" w:space="0" w:color="auto"/>
        <w:left w:val="none" w:sz="0" w:space="0" w:color="auto"/>
        <w:bottom w:val="none" w:sz="0" w:space="0" w:color="auto"/>
        <w:right w:val="none" w:sz="0" w:space="0" w:color="auto"/>
      </w:divBdr>
    </w:div>
    <w:div w:id="472450375">
      <w:bodyDiv w:val="1"/>
      <w:marLeft w:val="0"/>
      <w:marRight w:val="0"/>
      <w:marTop w:val="0"/>
      <w:marBottom w:val="0"/>
      <w:divBdr>
        <w:top w:val="none" w:sz="0" w:space="0" w:color="auto"/>
        <w:left w:val="none" w:sz="0" w:space="0" w:color="auto"/>
        <w:bottom w:val="none" w:sz="0" w:space="0" w:color="auto"/>
        <w:right w:val="none" w:sz="0" w:space="0" w:color="auto"/>
      </w:divBdr>
    </w:div>
    <w:div w:id="634525666">
      <w:bodyDiv w:val="1"/>
      <w:marLeft w:val="0"/>
      <w:marRight w:val="0"/>
      <w:marTop w:val="0"/>
      <w:marBottom w:val="0"/>
      <w:divBdr>
        <w:top w:val="none" w:sz="0" w:space="0" w:color="auto"/>
        <w:left w:val="none" w:sz="0" w:space="0" w:color="auto"/>
        <w:bottom w:val="none" w:sz="0" w:space="0" w:color="auto"/>
        <w:right w:val="none" w:sz="0" w:space="0" w:color="auto"/>
      </w:divBdr>
    </w:div>
    <w:div w:id="1142961333">
      <w:bodyDiv w:val="1"/>
      <w:marLeft w:val="0"/>
      <w:marRight w:val="0"/>
      <w:marTop w:val="0"/>
      <w:marBottom w:val="0"/>
      <w:divBdr>
        <w:top w:val="none" w:sz="0" w:space="0" w:color="auto"/>
        <w:left w:val="none" w:sz="0" w:space="0" w:color="auto"/>
        <w:bottom w:val="none" w:sz="0" w:space="0" w:color="auto"/>
        <w:right w:val="none" w:sz="0" w:space="0" w:color="auto"/>
      </w:divBdr>
    </w:div>
    <w:div w:id="16912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11172</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2013-01-14T03:16:00Z</dcterms:created>
  <dcterms:modified xsi:type="dcterms:W3CDTF">2013-01-14T03:17:00Z</dcterms:modified>
</cp:coreProperties>
</file>