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2E" w:rsidRDefault="00BD08D9" w:rsidP="00980C08">
      <w:pPr>
        <w:rPr>
          <w:rFonts w:ascii="Arial" w:hAnsi="Arial" w:cs="Arial"/>
          <w:b/>
          <w:sz w:val="26"/>
          <w:szCs w:val="26"/>
        </w:rPr>
      </w:pPr>
      <w:bookmarkStart w:id="0" w:name="_GoBack"/>
      <w:bookmarkEnd w:id="0"/>
      <w:r>
        <w:rPr>
          <w:rFonts w:ascii="Arial" w:hAnsi="Arial" w:cs="Arial"/>
          <w:b/>
          <w:sz w:val="26"/>
          <w:szCs w:val="26"/>
        </w:rPr>
        <w:t>Australian Capital Territory</w:t>
      </w:r>
      <w:r w:rsidR="00574279">
        <w:rPr>
          <w:rFonts w:ascii="Arial" w:hAnsi="Arial" w:cs="Arial"/>
          <w:b/>
          <w:sz w:val="26"/>
          <w:szCs w:val="26"/>
        </w:rPr>
        <w:t xml:space="preserve"> </w:t>
      </w:r>
      <w:r w:rsidR="00E832F5">
        <w:rPr>
          <w:rFonts w:ascii="Arial" w:hAnsi="Arial" w:cs="Arial"/>
          <w:b/>
          <w:sz w:val="26"/>
          <w:szCs w:val="26"/>
        </w:rPr>
        <w:t xml:space="preserve">– </w:t>
      </w:r>
      <w:r w:rsidR="006956B2">
        <w:rPr>
          <w:rFonts w:ascii="Arial" w:hAnsi="Arial" w:cs="Arial"/>
          <w:b/>
          <w:sz w:val="26"/>
          <w:szCs w:val="26"/>
        </w:rPr>
        <w:t>Progress</w:t>
      </w:r>
      <w:r w:rsidR="00023D07" w:rsidRPr="00D96B8D">
        <w:rPr>
          <w:rFonts w:ascii="Arial" w:hAnsi="Arial" w:cs="Arial"/>
          <w:b/>
          <w:sz w:val="26"/>
          <w:szCs w:val="26"/>
        </w:rPr>
        <w:t xml:space="preserve"> against</w:t>
      </w:r>
      <w:r w:rsidR="00E832F5">
        <w:rPr>
          <w:rFonts w:ascii="Arial" w:hAnsi="Arial" w:cs="Arial"/>
          <w:b/>
          <w:sz w:val="26"/>
          <w:szCs w:val="26"/>
        </w:rPr>
        <w:t xml:space="preserve"> </w:t>
      </w:r>
      <w:r w:rsidR="00806390">
        <w:rPr>
          <w:rFonts w:ascii="Arial" w:hAnsi="Arial" w:cs="Arial"/>
          <w:b/>
          <w:sz w:val="26"/>
          <w:szCs w:val="26"/>
        </w:rPr>
        <w:t>Subacute Care</w:t>
      </w:r>
      <w:r w:rsidR="00023D07" w:rsidRPr="00D96B8D">
        <w:rPr>
          <w:rFonts w:ascii="Arial" w:hAnsi="Arial" w:cs="Arial"/>
          <w:b/>
          <w:sz w:val="26"/>
          <w:szCs w:val="26"/>
        </w:rPr>
        <w:t xml:space="preserve"> Implementation Plan</w:t>
      </w:r>
    </w:p>
    <w:p w:rsidR="006956B2" w:rsidRDefault="006956B2" w:rsidP="00980C08">
      <w:pPr>
        <w:rPr>
          <w:sz w:val="12"/>
          <w:szCs w:val="12"/>
        </w:rPr>
      </w:pPr>
      <w:r>
        <w:rPr>
          <w:rFonts w:ascii="Arial" w:hAnsi="Arial" w:cs="Arial"/>
          <w:b/>
          <w:sz w:val="26"/>
          <w:szCs w:val="26"/>
        </w:rPr>
        <w:t>National Partnership Agreement on Hospital and Health Workforce Reform – Schedule C</w:t>
      </w:r>
    </w:p>
    <w:p w:rsidR="00D13D2E" w:rsidRDefault="00D13D2E" w:rsidP="00D13D2E">
      <w:pPr>
        <w:rPr>
          <w:sz w:val="12"/>
          <w:szCs w:val="12"/>
        </w:rPr>
      </w:pPr>
    </w:p>
    <w:p w:rsidR="00B212E4" w:rsidRDefault="00B212E4" w:rsidP="00D13D2E">
      <w:pPr>
        <w:rPr>
          <w:sz w:val="12"/>
          <w:szCs w:val="12"/>
        </w:rPr>
      </w:pPr>
    </w:p>
    <w:p w:rsidR="00E832F5" w:rsidRPr="00BD08D9" w:rsidRDefault="00E832F5" w:rsidP="00806390">
      <w:pPr>
        <w:ind w:left="1134" w:hanging="1134"/>
        <w:rPr>
          <w:rFonts w:ascii="Arial" w:hAnsi="Arial" w:cs="Arial"/>
          <w:b/>
          <w:sz w:val="26"/>
          <w:szCs w:val="26"/>
        </w:rPr>
      </w:pPr>
      <w:r w:rsidRPr="00BD08D9">
        <w:rPr>
          <w:rFonts w:ascii="Arial" w:hAnsi="Arial" w:cs="Arial"/>
          <w:b/>
          <w:sz w:val="26"/>
          <w:szCs w:val="26"/>
        </w:rPr>
        <w:t>July</w:t>
      </w:r>
      <w:r w:rsidR="00B508F4">
        <w:rPr>
          <w:rFonts w:ascii="Arial" w:hAnsi="Arial" w:cs="Arial"/>
          <w:b/>
          <w:sz w:val="26"/>
          <w:szCs w:val="26"/>
        </w:rPr>
        <w:t xml:space="preserve"> 2012</w:t>
      </w:r>
      <w:r w:rsidRPr="00BD08D9">
        <w:rPr>
          <w:rFonts w:ascii="Arial" w:hAnsi="Arial" w:cs="Arial"/>
          <w:b/>
          <w:sz w:val="26"/>
          <w:szCs w:val="26"/>
        </w:rPr>
        <w:t xml:space="preserve"> – </w:t>
      </w:r>
      <w:r w:rsidR="00BB1CC5" w:rsidRPr="00BD08D9">
        <w:rPr>
          <w:rFonts w:ascii="Arial" w:hAnsi="Arial" w:cs="Arial"/>
          <w:b/>
          <w:sz w:val="26"/>
          <w:szCs w:val="26"/>
        </w:rPr>
        <w:t xml:space="preserve">June </w:t>
      </w:r>
      <w:r w:rsidR="00B508F4">
        <w:rPr>
          <w:rFonts w:ascii="Arial" w:hAnsi="Arial" w:cs="Arial"/>
          <w:b/>
          <w:sz w:val="26"/>
          <w:szCs w:val="26"/>
        </w:rPr>
        <w:t>2013</w:t>
      </w:r>
    </w:p>
    <w:p w:rsidR="00BD08D9" w:rsidRDefault="00BD08D9" w:rsidP="00EB0286">
      <w:pPr>
        <w:tabs>
          <w:tab w:val="left" w:pos="9524"/>
        </w:tabs>
        <w:outlineLvl w:val="0"/>
        <w:rPr>
          <w:sz w:val="12"/>
          <w:szCs w:val="12"/>
        </w:rPr>
      </w:pPr>
      <w:r>
        <w:rPr>
          <w:rFonts w:ascii="Arial" w:hAnsi="Arial" w:cs="Arial"/>
          <w:b/>
          <w:sz w:val="26"/>
          <w:szCs w:val="26"/>
        </w:rPr>
        <w:t>ACT HEALTH</w:t>
      </w:r>
      <w:r w:rsidR="00EB0286">
        <w:rPr>
          <w:rFonts w:ascii="Arial" w:hAnsi="Arial" w:cs="Arial"/>
          <w:b/>
          <w:sz w:val="26"/>
          <w:szCs w:val="26"/>
        </w:rPr>
        <w:tab/>
      </w:r>
    </w:p>
    <w:p w:rsidR="00430BBE" w:rsidRDefault="00430BBE" w:rsidP="00D13D2E">
      <w:pPr>
        <w:rPr>
          <w:sz w:val="12"/>
          <w:szCs w:val="12"/>
        </w:rPr>
      </w:pPr>
    </w:p>
    <w:tbl>
      <w:tblPr>
        <w:tblW w:w="1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082"/>
        <w:gridCol w:w="2694"/>
        <w:gridCol w:w="4357"/>
        <w:gridCol w:w="4357"/>
      </w:tblGrid>
      <w:tr w:rsidR="00430BBE" w:rsidRPr="00F73570" w:rsidTr="00851900">
        <w:trPr>
          <w:gridAfter w:val="1"/>
          <w:wAfter w:w="4357" w:type="dxa"/>
        </w:trPr>
        <w:tc>
          <w:tcPr>
            <w:tcW w:w="14677" w:type="dxa"/>
            <w:gridSpan w:val="4"/>
            <w:shd w:val="clear" w:color="auto" w:fill="0C0C0C"/>
          </w:tcPr>
          <w:p w:rsidR="00430BBE" w:rsidRDefault="00430BBE" w:rsidP="00D13D2E">
            <w:pPr>
              <w:rPr>
                <w:rFonts w:ascii="Arial" w:hAnsi="Arial" w:cs="Arial"/>
                <w:b/>
                <w:color w:val="FFFFFF"/>
                <w:sz w:val="22"/>
                <w:szCs w:val="22"/>
              </w:rPr>
            </w:pPr>
            <w:r w:rsidRPr="00F73570">
              <w:rPr>
                <w:rFonts w:ascii="Arial" w:hAnsi="Arial" w:cs="Arial"/>
                <w:b/>
                <w:color w:val="FFFFFF"/>
                <w:sz w:val="22"/>
                <w:szCs w:val="22"/>
              </w:rPr>
              <w:t>Summary of Progress</w:t>
            </w:r>
          </w:p>
          <w:p w:rsidR="006E17C4" w:rsidRPr="00F73570" w:rsidRDefault="00EB0286" w:rsidP="00EB0286">
            <w:pPr>
              <w:tabs>
                <w:tab w:val="left" w:pos="8825"/>
              </w:tabs>
              <w:rPr>
                <w:rFonts w:ascii="Arial" w:hAnsi="Arial" w:cs="Arial"/>
                <w:b/>
                <w:color w:val="FFFFFF"/>
                <w:sz w:val="22"/>
                <w:szCs w:val="22"/>
              </w:rPr>
            </w:pPr>
            <w:r>
              <w:rPr>
                <w:rFonts w:ascii="Arial" w:hAnsi="Arial" w:cs="Arial"/>
                <w:b/>
                <w:color w:val="FFFFFF"/>
                <w:sz w:val="22"/>
                <w:szCs w:val="22"/>
              </w:rPr>
              <w:tab/>
            </w:r>
          </w:p>
        </w:tc>
      </w:tr>
      <w:tr w:rsidR="00430BBE" w:rsidRPr="00F73570" w:rsidTr="00851900">
        <w:trPr>
          <w:gridAfter w:val="1"/>
          <w:wAfter w:w="4357" w:type="dxa"/>
        </w:trPr>
        <w:tc>
          <w:tcPr>
            <w:tcW w:w="14677" w:type="dxa"/>
            <w:gridSpan w:val="4"/>
            <w:shd w:val="clear" w:color="auto" w:fill="FFFFFF" w:themeFill="background1"/>
          </w:tcPr>
          <w:p w:rsidR="00EB0286" w:rsidRPr="005617DD" w:rsidRDefault="00EB0286" w:rsidP="00EB0286">
            <w:pPr>
              <w:rPr>
                <w:rFonts w:asciiTheme="minorHAnsi" w:hAnsiTheme="minorHAnsi"/>
              </w:rPr>
            </w:pPr>
            <w:r w:rsidRPr="005617DD">
              <w:rPr>
                <w:rFonts w:asciiTheme="minorHAnsi" w:hAnsiTheme="minorHAnsi"/>
              </w:rPr>
              <w:t xml:space="preserve">The majority of initiatives presented under the ACT’s Implementation Plan are funded by the ACT Government. This progress report presents </w:t>
            </w:r>
            <w:r w:rsidR="00545CAC">
              <w:rPr>
                <w:rFonts w:asciiTheme="minorHAnsi" w:hAnsiTheme="minorHAnsi"/>
              </w:rPr>
              <w:t xml:space="preserve">a </w:t>
            </w:r>
            <w:r w:rsidRPr="005617DD">
              <w:rPr>
                <w:rFonts w:asciiTheme="minorHAnsi" w:hAnsiTheme="minorHAnsi"/>
              </w:rPr>
              <w:t>summary of progress against initiatives funded by the Commonwealth.</w:t>
            </w:r>
          </w:p>
          <w:p w:rsidR="00B37323" w:rsidRDefault="00B37323" w:rsidP="00EB0286">
            <w:pPr>
              <w:rPr>
                <w:rFonts w:asciiTheme="minorHAnsi" w:hAnsiTheme="minorHAnsi"/>
              </w:rPr>
            </w:pPr>
          </w:p>
          <w:p w:rsidR="00B37323" w:rsidRPr="00B37323" w:rsidRDefault="00B37323" w:rsidP="00B37323">
            <w:pPr>
              <w:rPr>
                <w:rFonts w:asciiTheme="minorHAnsi" w:hAnsiTheme="minorHAnsi"/>
              </w:rPr>
            </w:pPr>
            <w:r w:rsidRPr="00B37323">
              <w:rPr>
                <w:rFonts w:asciiTheme="minorHAnsi" w:hAnsiTheme="minorHAnsi"/>
              </w:rPr>
              <w:t>The ACT’s subacute service provision activity growth has been impacted by factors external to aspects identified in the ACT implementation plan, such as professional recruitment constraints and revisions of the original subacute service provision baseline due to national and local changes to the counting and recording of subacute activity.</w:t>
            </w:r>
          </w:p>
          <w:p w:rsidR="00B37323" w:rsidRPr="00B37323" w:rsidRDefault="00B37323" w:rsidP="00B37323">
            <w:pPr>
              <w:rPr>
                <w:rFonts w:asciiTheme="minorHAnsi" w:hAnsiTheme="minorHAnsi"/>
              </w:rPr>
            </w:pPr>
          </w:p>
          <w:p w:rsidR="00B37323" w:rsidRPr="00B37323" w:rsidRDefault="00B37323" w:rsidP="00B37323">
            <w:pPr>
              <w:rPr>
                <w:rFonts w:asciiTheme="minorHAnsi" w:hAnsiTheme="minorHAnsi"/>
              </w:rPr>
            </w:pPr>
            <w:r w:rsidRPr="00B37323">
              <w:rPr>
                <w:rFonts w:asciiTheme="minorHAnsi" w:hAnsiTheme="minorHAnsi"/>
              </w:rPr>
              <w:t xml:space="preserve">Despite these challenges, the ACT has been and remains committed to increasing and improving sub-acute service provision, and the </w:t>
            </w:r>
            <w:r w:rsidR="00D8583A">
              <w:rPr>
                <w:rFonts w:asciiTheme="minorHAnsi" w:hAnsiTheme="minorHAnsi"/>
              </w:rPr>
              <w:t>National Par</w:t>
            </w:r>
            <w:r w:rsidR="00545CAC">
              <w:rPr>
                <w:rFonts w:asciiTheme="minorHAnsi" w:hAnsiTheme="minorHAnsi"/>
              </w:rPr>
              <w:t>tnership Agreement on Hospital H</w:t>
            </w:r>
            <w:r w:rsidR="00D8583A">
              <w:rPr>
                <w:rFonts w:asciiTheme="minorHAnsi" w:hAnsiTheme="minorHAnsi"/>
              </w:rPr>
              <w:t xml:space="preserve">ealth Workforce Reform (NPA on HHWR) </w:t>
            </w:r>
            <w:r w:rsidRPr="00B37323">
              <w:rPr>
                <w:rFonts w:asciiTheme="minorHAnsi" w:hAnsiTheme="minorHAnsi"/>
              </w:rPr>
              <w:t xml:space="preserve">has enabled significant achievements towards this ongoing goal.  The </w:t>
            </w:r>
            <w:r w:rsidR="00D8583A">
              <w:rPr>
                <w:rFonts w:asciiTheme="minorHAnsi" w:hAnsiTheme="minorHAnsi"/>
              </w:rPr>
              <w:t>NPA on HHWR</w:t>
            </w:r>
            <w:r w:rsidRPr="00B37323">
              <w:rPr>
                <w:rFonts w:asciiTheme="minorHAnsi" w:hAnsiTheme="minorHAnsi"/>
              </w:rPr>
              <w:t xml:space="preserve"> has enabled significant workforce enhancement in the ACT, which the ACT will continue to fund upon conclusion of the NPA, including:</w:t>
            </w:r>
          </w:p>
          <w:p w:rsidR="00B37323" w:rsidRPr="00B37323" w:rsidRDefault="00B37323" w:rsidP="00B37323">
            <w:pPr>
              <w:rPr>
                <w:rFonts w:asciiTheme="minorHAnsi" w:hAnsiTheme="minorHAnsi"/>
              </w:rPr>
            </w:pPr>
          </w:p>
          <w:p w:rsidR="00B37323" w:rsidRPr="00B37323" w:rsidRDefault="00B37323" w:rsidP="00B37323">
            <w:pPr>
              <w:pStyle w:val="ListParagraph"/>
              <w:numPr>
                <w:ilvl w:val="0"/>
                <w:numId w:val="20"/>
              </w:numPr>
              <w:contextualSpacing w:val="0"/>
              <w:rPr>
                <w:rFonts w:asciiTheme="minorHAnsi" w:hAnsiTheme="minorHAnsi"/>
              </w:rPr>
            </w:pPr>
            <w:r w:rsidRPr="00B37323">
              <w:rPr>
                <w:rFonts w:asciiTheme="minorHAnsi" w:hAnsiTheme="minorHAnsi"/>
              </w:rPr>
              <w:t>1.5 FTE allied health professionals at Canberra Hospital palliative care.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1.0 FTE Health Service Officer supporting the Equipment Loan Service.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2.0 FTE Registered Nurses functioning as discharge co-coordinators (in the Aged Care and Rehabilitation Service).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1.0 FTE disability counsellor (in the Aged Care and Rehabilitation Service).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0.6 FTE geriatrician in the Rapid Assessment of the Deteriorating Aged at Risk service.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0.5 FTE Occupational Therapist in the Rapid Assessment of the Deteriorating Aged at Risk service.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0.5 FTE Registered Nurse Level 2 in the Rapid Assessment of the Deteriorating Aged at Risk service.  </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3.0 FTE in the Older Persons Mental Health Service.</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1.0 FTE Palliative Care Nurse Practitioner at Canberra Hospital.</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 xml:space="preserve">1.0 FTE Palliative Care Nurse Practitioner at Clare Holland House. </w:t>
            </w:r>
          </w:p>
          <w:p w:rsidR="00B37323" w:rsidRPr="00B37323" w:rsidRDefault="00B37323" w:rsidP="00B37323">
            <w:pPr>
              <w:pStyle w:val="1"/>
              <w:numPr>
                <w:ilvl w:val="0"/>
                <w:numId w:val="20"/>
              </w:numPr>
              <w:jc w:val="both"/>
              <w:rPr>
                <w:rFonts w:asciiTheme="minorHAnsi" w:hAnsiTheme="minorHAnsi"/>
              </w:rPr>
            </w:pPr>
            <w:r w:rsidRPr="00B37323">
              <w:rPr>
                <w:rFonts w:asciiTheme="minorHAnsi" w:hAnsiTheme="minorHAnsi"/>
              </w:rPr>
              <w:t>0.63</w:t>
            </w:r>
            <w:r w:rsidR="000237CF">
              <w:rPr>
                <w:rFonts w:asciiTheme="minorHAnsi" w:hAnsiTheme="minorHAnsi"/>
              </w:rPr>
              <w:t xml:space="preserve"> </w:t>
            </w:r>
            <w:r w:rsidRPr="00B37323">
              <w:rPr>
                <w:rFonts w:asciiTheme="minorHAnsi" w:hAnsiTheme="minorHAnsi"/>
              </w:rPr>
              <w:t>FTE Registered Nurse Level as part of the clinical nursing palliative care team at Canberra Hospital.</w:t>
            </w:r>
          </w:p>
          <w:p w:rsidR="00B37323" w:rsidRPr="00B37323" w:rsidRDefault="00B37323" w:rsidP="00B37323">
            <w:pPr>
              <w:pStyle w:val="1"/>
              <w:ind w:left="1110" w:firstLine="0"/>
              <w:jc w:val="both"/>
              <w:rPr>
                <w:rFonts w:asciiTheme="minorHAnsi" w:hAnsiTheme="minorHAnsi"/>
              </w:rPr>
            </w:pPr>
          </w:p>
          <w:p w:rsidR="00B37323" w:rsidRPr="00B37323" w:rsidRDefault="00B37323" w:rsidP="00B37323">
            <w:pPr>
              <w:rPr>
                <w:rFonts w:asciiTheme="minorHAnsi" w:hAnsiTheme="minorHAnsi"/>
              </w:rPr>
            </w:pPr>
            <w:r w:rsidRPr="00B37323">
              <w:rPr>
                <w:rFonts w:asciiTheme="minorHAnsi" w:hAnsiTheme="minorHAnsi"/>
              </w:rPr>
              <w:t xml:space="preserve">In addition to this workforce enhancement, which has enabled the increase and improvement of a range of sub-acute services, the </w:t>
            </w:r>
            <w:r w:rsidR="00D8583A">
              <w:rPr>
                <w:rFonts w:asciiTheme="minorHAnsi" w:hAnsiTheme="minorHAnsi"/>
              </w:rPr>
              <w:t>NPA on HHWR</w:t>
            </w:r>
            <w:r w:rsidR="00D8583A" w:rsidRPr="00B37323" w:rsidDel="00D8583A">
              <w:rPr>
                <w:rFonts w:asciiTheme="minorHAnsi" w:hAnsiTheme="minorHAnsi"/>
              </w:rPr>
              <w:t xml:space="preserve"> </w:t>
            </w:r>
            <w:r w:rsidRPr="00B37323">
              <w:rPr>
                <w:rFonts w:asciiTheme="minorHAnsi" w:hAnsiTheme="minorHAnsi"/>
              </w:rPr>
              <w:t>has also enabled the purchase of equipment for the Equipment Loan Services (ELS) to meet demand and to expand the range of equipment available to rehabilitation patients, such as bariatric equipment, bathing items and wheelchairs.</w:t>
            </w:r>
          </w:p>
          <w:p w:rsidR="00B37323" w:rsidRPr="00B37323" w:rsidRDefault="00B37323" w:rsidP="00B37323">
            <w:pPr>
              <w:rPr>
                <w:rFonts w:asciiTheme="minorHAnsi" w:hAnsiTheme="minorHAnsi"/>
              </w:rPr>
            </w:pPr>
          </w:p>
          <w:p w:rsidR="00B37323" w:rsidRPr="00B37323" w:rsidRDefault="00B37323" w:rsidP="00B37323">
            <w:pPr>
              <w:rPr>
                <w:rFonts w:asciiTheme="minorHAnsi" w:hAnsiTheme="minorHAnsi"/>
              </w:rPr>
            </w:pPr>
            <w:r w:rsidRPr="00B37323">
              <w:rPr>
                <w:rFonts w:asciiTheme="minorHAnsi" w:hAnsiTheme="minorHAnsi"/>
              </w:rPr>
              <w:t xml:space="preserve">The ACT’s ongoing commitment to sub-acute service provision and continuation of key principles beyond the </w:t>
            </w:r>
            <w:r w:rsidR="00D8583A">
              <w:rPr>
                <w:rFonts w:asciiTheme="minorHAnsi" w:hAnsiTheme="minorHAnsi"/>
              </w:rPr>
              <w:t>NPA on HHWR</w:t>
            </w:r>
            <w:r w:rsidRPr="00B37323">
              <w:rPr>
                <w:rFonts w:asciiTheme="minorHAnsi" w:hAnsiTheme="minorHAnsi"/>
              </w:rPr>
              <w:t xml:space="preserve"> is evidenced through the development of a new subacute hospital.  </w:t>
            </w:r>
          </w:p>
          <w:p w:rsidR="00B37323" w:rsidRPr="005617DD" w:rsidRDefault="00B37323" w:rsidP="00EB0286">
            <w:pPr>
              <w:rPr>
                <w:rFonts w:asciiTheme="minorHAnsi" w:hAnsiTheme="minorHAnsi"/>
              </w:rPr>
            </w:pPr>
          </w:p>
          <w:p w:rsidR="00B37323" w:rsidRPr="00D06EDF" w:rsidRDefault="00B37323" w:rsidP="00D06EDF">
            <w:pPr>
              <w:tabs>
                <w:tab w:val="left" w:pos="426"/>
              </w:tabs>
              <w:spacing w:line="276" w:lineRule="auto"/>
              <w:rPr>
                <w:color w:val="FF0000"/>
                <w:szCs w:val="24"/>
              </w:rPr>
            </w:pPr>
          </w:p>
        </w:tc>
      </w:tr>
      <w:tr w:rsidR="00CE5C7E" w:rsidRPr="00F73570" w:rsidTr="00851900">
        <w:trPr>
          <w:gridAfter w:val="1"/>
          <w:wAfter w:w="4357" w:type="dxa"/>
        </w:trPr>
        <w:tc>
          <w:tcPr>
            <w:tcW w:w="3544" w:type="dxa"/>
            <w:shd w:val="clear" w:color="auto" w:fill="000000"/>
          </w:tcPr>
          <w:p w:rsidR="00CE5C7E" w:rsidRPr="00F73570" w:rsidRDefault="00F14852" w:rsidP="00B923AC">
            <w:pPr>
              <w:rPr>
                <w:rFonts w:ascii="Arial" w:hAnsi="Arial" w:cs="Arial"/>
                <w:b/>
                <w:color w:val="FFFFFF"/>
                <w:sz w:val="22"/>
                <w:szCs w:val="22"/>
              </w:rPr>
            </w:pPr>
            <w:r w:rsidRPr="00F73570">
              <w:rPr>
                <w:rFonts w:ascii="Arial" w:hAnsi="Arial" w:cs="Arial"/>
                <w:b/>
                <w:color w:val="FFFFFF"/>
                <w:sz w:val="22"/>
                <w:szCs w:val="22"/>
              </w:rPr>
              <w:lastRenderedPageBreak/>
              <w:t>Key d</w:t>
            </w:r>
            <w:r w:rsidR="00CE5C7E" w:rsidRPr="00F73570">
              <w:rPr>
                <w:rFonts w:ascii="Arial" w:hAnsi="Arial" w:cs="Arial"/>
                <w:b/>
                <w:color w:val="FFFFFF"/>
                <w:sz w:val="22"/>
                <w:szCs w:val="22"/>
              </w:rPr>
              <w:t xml:space="preserve">eliverables </w:t>
            </w:r>
          </w:p>
        </w:tc>
        <w:tc>
          <w:tcPr>
            <w:tcW w:w="4082" w:type="dxa"/>
            <w:shd w:val="clear" w:color="auto" w:fill="000000"/>
          </w:tcPr>
          <w:p w:rsidR="00CE5C7E" w:rsidRPr="00F73570" w:rsidRDefault="00F14852" w:rsidP="00B923AC">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CE5C7E" w:rsidRPr="006F6A57" w:rsidRDefault="00F14852" w:rsidP="00B923AC">
            <w:pPr>
              <w:rPr>
                <w:rFonts w:asciiTheme="minorHAnsi" w:hAnsiTheme="minorHAnsi" w:cs="Arial"/>
                <w:b/>
                <w:color w:val="FFFFFF"/>
                <w:szCs w:val="24"/>
              </w:rPr>
            </w:pPr>
            <w:r w:rsidRPr="006F6A57">
              <w:rPr>
                <w:rFonts w:asciiTheme="minorHAnsi" w:hAnsiTheme="minorHAnsi" w:cs="Arial"/>
                <w:b/>
                <w:color w:val="FFFFFF"/>
                <w:szCs w:val="24"/>
              </w:rPr>
              <w:t>Allocation of NPA funding</w:t>
            </w:r>
          </w:p>
        </w:tc>
        <w:tc>
          <w:tcPr>
            <w:tcW w:w="4357" w:type="dxa"/>
            <w:shd w:val="clear" w:color="auto" w:fill="000000"/>
          </w:tcPr>
          <w:p w:rsidR="00CE5C7E" w:rsidRPr="006F6A57" w:rsidRDefault="00CE5C7E" w:rsidP="00B923AC">
            <w:pPr>
              <w:rPr>
                <w:rFonts w:asciiTheme="minorHAnsi" w:hAnsiTheme="minorHAnsi" w:cs="Arial"/>
                <w:b/>
                <w:color w:val="FFFFFF"/>
                <w:szCs w:val="24"/>
              </w:rPr>
            </w:pPr>
            <w:r w:rsidRPr="006F6A57">
              <w:rPr>
                <w:rFonts w:asciiTheme="minorHAnsi" w:hAnsiTheme="minorHAnsi" w:cs="Arial"/>
                <w:b/>
                <w:color w:val="FFFFFF"/>
                <w:szCs w:val="24"/>
              </w:rPr>
              <w:t>Comments</w:t>
            </w:r>
          </w:p>
          <w:p w:rsidR="006E17C4" w:rsidRPr="006F6A57" w:rsidRDefault="006E17C4" w:rsidP="00B923AC">
            <w:pPr>
              <w:rPr>
                <w:rFonts w:asciiTheme="minorHAnsi" w:hAnsiTheme="minorHAnsi" w:cs="Arial"/>
                <w:b/>
                <w:color w:val="FFFFFF"/>
                <w:szCs w:val="24"/>
              </w:rPr>
            </w:pPr>
          </w:p>
          <w:p w:rsidR="006E17C4" w:rsidRPr="006F6A57" w:rsidRDefault="006E17C4" w:rsidP="00B923AC">
            <w:pPr>
              <w:rPr>
                <w:rFonts w:asciiTheme="minorHAnsi" w:hAnsiTheme="minorHAnsi" w:cs="Arial"/>
                <w:b/>
                <w:color w:val="FFFFFF"/>
                <w:szCs w:val="24"/>
              </w:rPr>
            </w:pPr>
          </w:p>
        </w:tc>
      </w:tr>
      <w:tr w:rsidR="00806390" w:rsidTr="00851900">
        <w:trPr>
          <w:gridAfter w:val="1"/>
          <w:wAfter w:w="4357" w:type="dxa"/>
          <w:trHeight w:val="67"/>
        </w:trPr>
        <w:tc>
          <w:tcPr>
            <w:tcW w:w="3544" w:type="dxa"/>
          </w:tcPr>
          <w:p w:rsidR="000638C7" w:rsidRPr="000638C7" w:rsidRDefault="000638C7" w:rsidP="000638C7">
            <w:pPr>
              <w:rPr>
                <w:rFonts w:asciiTheme="minorHAnsi" w:hAnsiTheme="minorHAnsi"/>
                <w:szCs w:val="24"/>
              </w:rPr>
            </w:pPr>
            <w:r w:rsidRPr="000638C7">
              <w:rPr>
                <w:rFonts w:asciiTheme="minorHAnsi" w:hAnsiTheme="minorHAnsi"/>
                <w:b/>
                <w:bCs/>
                <w:szCs w:val="24"/>
              </w:rPr>
              <w:t>1.  Enhance equipment funding</w:t>
            </w:r>
            <w:r w:rsidRPr="000638C7">
              <w:rPr>
                <w:rFonts w:asciiTheme="minorHAnsi" w:hAnsiTheme="minorHAnsi"/>
                <w:szCs w:val="24"/>
              </w:rPr>
              <w:t xml:space="preserve"> for the Rehabilitation, Aged and Community Care (RACC) Equipment Loan Service (ELS) to expand the range of equipment available to rehabilitation patients.  This service is provided by RACC at the Canberra Hospital.</w:t>
            </w:r>
          </w:p>
          <w:p w:rsidR="000638C7" w:rsidRPr="000638C7" w:rsidRDefault="000638C7" w:rsidP="000638C7">
            <w:pPr>
              <w:rPr>
                <w:rFonts w:asciiTheme="minorHAnsi" w:hAnsiTheme="minorHAnsi"/>
                <w:i/>
                <w:iCs/>
                <w:szCs w:val="24"/>
              </w:rPr>
            </w:pPr>
          </w:p>
          <w:p w:rsidR="000638C7" w:rsidRPr="000638C7" w:rsidRDefault="000638C7" w:rsidP="000638C7">
            <w:pPr>
              <w:pStyle w:val="NoSpacing"/>
              <w:rPr>
                <w:rFonts w:asciiTheme="minorHAnsi" w:hAnsiTheme="minorHAnsi"/>
                <w:sz w:val="24"/>
                <w:szCs w:val="24"/>
              </w:rPr>
            </w:pPr>
            <w:r w:rsidRPr="000638C7">
              <w:rPr>
                <w:rFonts w:asciiTheme="minorHAnsi" w:hAnsiTheme="minorHAnsi"/>
                <w:sz w:val="24"/>
                <w:szCs w:val="24"/>
              </w:rPr>
              <w:t>Location: Rehabilitation, Aged and Community Care – Village Creek Centre Kambah</w:t>
            </w:r>
          </w:p>
          <w:p w:rsidR="006E1474" w:rsidRPr="005617DD" w:rsidRDefault="006E1474" w:rsidP="00D377C4">
            <w:pPr>
              <w:rPr>
                <w:rFonts w:asciiTheme="minorHAnsi" w:hAnsiTheme="minorHAnsi"/>
                <w:i/>
              </w:rPr>
            </w:pPr>
          </w:p>
        </w:tc>
        <w:tc>
          <w:tcPr>
            <w:tcW w:w="4082" w:type="dxa"/>
            <w:shd w:val="clear" w:color="auto" w:fill="FFFFFF" w:themeFill="background1"/>
          </w:tcPr>
          <w:p w:rsidR="000638C7" w:rsidRPr="00EE0328" w:rsidRDefault="000638C7" w:rsidP="000638C7">
            <w:pPr>
              <w:rPr>
                <w:rFonts w:asciiTheme="minorHAnsi" w:hAnsiTheme="minorHAnsi"/>
                <w:szCs w:val="24"/>
              </w:rPr>
            </w:pPr>
            <w:r w:rsidRPr="00EE0328">
              <w:rPr>
                <w:rFonts w:asciiTheme="minorHAnsi" w:hAnsiTheme="minorHAnsi"/>
              </w:rPr>
              <w:t>Equipment requirements have been identified and ordered from July 2012 to June 2013.</w:t>
            </w:r>
          </w:p>
          <w:p w:rsidR="000638C7" w:rsidRPr="00EE0328" w:rsidRDefault="000638C7" w:rsidP="000638C7">
            <w:pPr>
              <w:rPr>
                <w:rFonts w:asciiTheme="minorHAnsi" w:hAnsiTheme="minorHAnsi"/>
              </w:rPr>
            </w:pPr>
          </w:p>
          <w:p w:rsidR="000638C7" w:rsidRPr="00EE0328" w:rsidRDefault="000638C7" w:rsidP="000638C7">
            <w:pPr>
              <w:rPr>
                <w:rFonts w:asciiTheme="minorHAnsi" w:hAnsiTheme="minorHAnsi"/>
              </w:rPr>
            </w:pPr>
            <w:r w:rsidRPr="00EE0328">
              <w:rPr>
                <w:rFonts w:asciiTheme="minorHAnsi" w:hAnsiTheme="minorHAnsi"/>
              </w:rPr>
              <w:t>Activities/purchasing under this initiative have been implemented up to and ending 30 June 2013.</w:t>
            </w:r>
          </w:p>
          <w:p w:rsidR="000638C7" w:rsidRPr="00EE0328" w:rsidRDefault="000638C7" w:rsidP="000638C7">
            <w:pPr>
              <w:rPr>
                <w:rFonts w:asciiTheme="minorHAnsi" w:hAnsiTheme="minorHAnsi"/>
                <w:color w:val="000000"/>
              </w:rPr>
            </w:pPr>
            <w:r w:rsidRPr="00EE0328">
              <w:rPr>
                <w:rFonts w:asciiTheme="minorHAnsi" w:hAnsiTheme="minorHAnsi"/>
                <w:color w:val="000000"/>
              </w:rPr>
              <w:t xml:space="preserve"> </w:t>
            </w:r>
          </w:p>
          <w:p w:rsidR="000638C7" w:rsidRPr="00EE0328" w:rsidRDefault="000638C7" w:rsidP="000638C7">
            <w:pPr>
              <w:rPr>
                <w:rFonts w:asciiTheme="minorHAnsi" w:hAnsiTheme="minorHAnsi"/>
                <w:color w:val="FF0000"/>
              </w:rPr>
            </w:pPr>
            <w:r w:rsidRPr="00EE0328">
              <w:rPr>
                <w:rFonts w:asciiTheme="minorHAnsi" w:hAnsiTheme="minorHAnsi"/>
                <w:color w:val="000000"/>
              </w:rPr>
              <w:t>1.0 F</w:t>
            </w:r>
            <w:r w:rsidRPr="00EE0328">
              <w:rPr>
                <w:rFonts w:asciiTheme="minorHAnsi" w:hAnsiTheme="minorHAnsi"/>
              </w:rPr>
              <w:t>TE Health Service Officer (HSO) who was permanently appointed in September 2010 continues to work in this role on an ongoing basis.</w:t>
            </w:r>
          </w:p>
          <w:p w:rsidR="006E1474" w:rsidRDefault="006E1474" w:rsidP="006E1474">
            <w:pPr>
              <w:rPr>
                <w:rFonts w:asciiTheme="minorHAnsi" w:hAnsiTheme="minorHAnsi"/>
              </w:rPr>
            </w:pPr>
          </w:p>
          <w:p w:rsidR="009F09B0" w:rsidRPr="00EE0328" w:rsidRDefault="009F09B0" w:rsidP="006E1474">
            <w:pPr>
              <w:rPr>
                <w:rFonts w:asciiTheme="minorHAnsi" w:hAnsiTheme="minorHAnsi"/>
              </w:rPr>
            </w:pPr>
          </w:p>
        </w:tc>
        <w:tc>
          <w:tcPr>
            <w:tcW w:w="2694" w:type="dxa"/>
          </w:tcPr>
          <w:p w:rsidR="00EE0328" w:rsidRPr="006F6A57" w:rsidRDefault="00EE0328" w:rsidP="00EE0328">
            <w:pPr>
              <w:rPr>
                <w:rFonts w:asciiTheme="minorHAnsi" w:hAnsiTheme="minorHAnsi"/>
                <w:szCs w:val="24"/>
              </w:rPr>
            </w:pPr>
            <w:r w:rsidRPr="006F6A57">
              <w:rPr>
                <w:rFonts w:asciiTheme="minorHAnsi" w:hAnsiTheme="minorHAnsi"/>
                <w:szCs w:val="24"/>
              </w:rPr>
              <w:t>$726k over four years</w:t>
            </w:r>
          </w:p>
          <w:p w:rsidR="00EE0328" w:rsidRPr="006F6A57" w:rsidRDefault="00EE0328" w:rsidP="00EE0328">
            <w:pPr>
              <w:rPr>
                <w:rFonts w:asciiTheme="minorHAnsi" w:hAnsiTheme="minorHAnsi"/>
                <w:szCs w:val="24"/>
              </w:rPr>
            </w:pPr>
            <w:r w:rsidRPr="006F6A57">
              <w:rPr>
                <w:rFonts w:asciiTheme="minorHAnsi" w:hAnsiTheme="minorHAnsi"/>
                <w:szCs w:val="24"/>
              </w:rPr>
              <w:t>(out of total Rehabilitation funding of $1.995 million over four years).</w:t>
            </w:r>
          </w:p>
          <w:p w:rsidR="00EE0328" w:rsidRPr="006F6A57" w:rsidRDefault="00EE0328" w:rsidP="00EE0328">
            <w:pPr>
              <w:rPr>
                <w:rFonts w:asciiTheme="minorHAnsi" w:hAnsiTheme="minorHAnsi"/>
                <w:szCs w:val="24"/>
              </w:rPr>
            </w:pPr>
          </w:p>
          <w:p w:rsidR="00EE0328" w:rsidRPr="006F6A57" w:rsidRDefault="00EE0328" w:rsidP="00EE0328">
            <w:pPr>
              <w:rPr>
                <w:rFonts w:asciiTheme="minorHAnsi" w:hAnsiTheme="minorHAnsi"/>
                <w:szCs w:val="24"/>
              </w:rPr>
            </w:pPr>
          </w:p>
          <w:p w:rsidR="006B4E92" w:rsidRPr="006F6A57" w:rsidRDefault="00EE0328" w:rsidP="00EE0328">
            <w:pPr>
              <w:rPr>
                <w:rFonts w:asciiTheme="minorHAnsi" w:hAnsiTheme="minorHAnsi"/>
                <w:szCs w:val="24"/>
              </w:rPr>
            </w:pPr>
            <w:r w:rsidRPr="006F6A57">
              <w:rPr>
                <w:rFonts w:asciiTheme="minorHAnsi" w:hAnsiTheme="minorHAnsi"/>
                <w:szCs w:val="24"/>
              </w:rPr>
              <w:t>Total expenditure for 2012-13 on this key deliverable is $139,579.71</w:t>
            </w:r>
          </w:p>
        </w:tc>
        <w:tc>
          <w:tcPr>
            <w:tcW w:w="4357" w:type="dxa"/>
          </w:tcPr>
          <w:p w:rsidR="00EE0328" w:rsidRPr="006F6A57" w:rsidRDefault="00EE0328" w:rsidP="00EE0328">
            <w:pPr>
              <w:rPr>
                <w:rFonts w:asciiTheme="minorHAnsi" w:hAnsiTheme="minorHAnsi"/>
                <w:szCs w:val="24"/>
              </w:rPr>
            </w:pPr>
            <w:r w:rsidRPr="006F6A57">
              <w:rPr>
                <w:rFonts w:asciiTheme="minorHAnsi" w:hAnsiTheme="minorHAnsi"/>
                <w:szCs w:val="24"/>
              </w:rPr>
              <w:t>The staffing profile for Equipment Loan Service (ELS) has been enhanced to include an additional 1.0 FTE Health Service Officer (HSO).</w:t>
            </w:r>
          </w:p>
          <w:p w:rsidR="00EE0328" w:rsidRPr="006F6A57" w:rsidRDefault="00EE0328" w:rsidP="00EE0328">
            <w:pPr>
              <w:rPr>
                <w:rFonts w:asciiTheme="minorHAnsi" w:hAnsiTheme="minorHAnsi"/>
                <w:szCs w:val="24"/>
              </w:rPr>
            </w:pPr>
          </w:p>
          <w:p w:rsidR="00EE0328" w:rsidRPr="006F6A57" w:rsidRDefault="00694AD1" w:rsidP="00EE0328">
            <w:pPr>
              <w:rPr>
                <w:rFonts w:asciiTheme="minorHAnsi" w:hAnsiTheme="minorHAnsi"/>
                <w:szCs w:val="24"/>
              </w:rPr>
            </w:pPr>
            <w:r>
              <w:rPr>
                <w:rFonts w:asciiTheme="minorHAnsi" w:hAnsiTheme="minorHAnsi"/>
                <w:szCs w:val="24"/>
              </w:rPr>
              <w:t xml:space="preserve">Equipments </w:t>
            </w:r>
            <w:r w:rsidR="00EE0328" w:rsidRPr="006F6A57">
              <w:rPr>
                <w:rFonts w:asciiTheme="minorHAnsi" w:hAnsiTheme="minorHAnsi"/>
                <w:szCs w:val="24"/>
              </w:rPr>
              <w:t>for the ELS enhancement pool was ordered and received by 30 June 2013.</w:t>
            </w:r>
          </w:p>
          <w:p w:rsidR="00EE0328" w:rsidRPr="006F6A57" w:rsidRDefault="00EE0328" w:rsidP="00EE0328">
            <w:pPr>
              <w:rPr>
                <w:rFonts w:asciiTheme="minorHAnsi" w:hAnsiTheme="minorHAnsi"/>
                <w:szCs w:val="24"/>
              </w:rPr>
            </w:pPr>
          </w:p>
          <w:p w:rsidR="00EE0328" w:rsidRPr="006F6A57" w:rsidRDefault="00EE0328" w:rsidP="00EE0328">
            <w:pPr>
              <w:rPr>
                <w:rFonts w:asciiTheme="minorHAnsi" w:hAnsiTheme="minorHAnsi"/>
                <w:szCs w:val="24"/>
              </w:rPr>
            </w:pPr>
            <w:r w:rsidRPr="006F6A57">
              <w:rPr>
                <w:rFonts w:asciiTheme="minorHAnsi" w:hAnsiTheme="minorHAnsi"/>
                <w:szCs w:val="24"/>
              </w:rPr>
              <w:t>Bariatric equipment such as bathing items and wheelchairs were purchased to meet demand.</w:t>
            </w:r>
          </w:p>
          <w:p w:rsidR="00EB0286" w:rsidRDefault="00EB0286" w:rsidP="00D3165B">
            <w:pPr>
              <w:rPr>
                <w:rFonts w:asciiTheme="minorHAnsi" w:hAnsiTheme="minorHAnsi"/>
                <w:szCs w:val="24"/>
              </w:rPr>
            </w:pPr>
          </w:p>
          <w:p w:rsidR="00097480" w:rsidRDefault="00097480" w:rsidP="00D3165B">
            <w:pPr>
              <w:rPr>
                <w:rFonts w:asciiTheme="minorHAnsi" w:hAnsiTheme="minorHAnsi"/>
                <w:szCs w:val="24"/>
              </w:rPr>
            </w:pPr>
          </w:p>
          <w:p w:rsidR="00097480" w:rsidRDefault="00097480" w:rsidP="00D3165B">
            <w:pPr>
              <w:rPr>
                <w:rFonts w:asciiTheme="minorHAnsi" w:hAnsiTheme="minorHAnsi"/>
                <w:szCs w:val="24"/>
              </w:rPr>
            </w:pPr>
          </w:p>
          <w:p w:rsidR="00545186" w:rsidRDefault="00545186" w:rsidP="00D3165B">
            <w:pPr>
              <w:rPr>
                <w:rFonts w:asciiTheme="minorHAnsi" w:hAnsiTheme="minorHAnsi"/>
                <w:szCs w:val="24"/>
              </w:rPr>
            </w:pPr>
          </w:p>
          <w:p w:rsidR="00545186" w:rsidRDefault="00545186" w:rsidP="00D3165B">
            <w:pPr>
              <w:rPr>
                <w:rFonts w:asciiTheme="minorHAnsi" w:hAnsiTheme="minorHAnsi"/>
                <w:szCs w:val="24"/>
              </w:rPr>
            </w:pPr>
          </w:p>
          <w:p w:rsidR="009F09B0" w:rsidRPr="006F6A57" w:rsidRDefault="009F09B0" w:rsidP="00D3165B">
            <w:pPr>
              <w:rPr>
                <w:rFonts w:asciiTheme="minorHAnsi" w:hAnsiTheme="minorHAnsi"/>
                <w:szCs w:val="24"/>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lastRenderedPageBreak/>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6F6A57" w:rsidRDefault="00097480" w:rsidP="003723A7">
            <w:pPr>
              <w:rPr>
                <w:rFonts w:asciiTheme="minorHAnsi" w:hAnsiTheme="minorHAnsi" w:cs="Arial"/>
                <w:b/>
                <w:color w:val="FFFFFF"/>
                <w:szCs w:val="24"/>
              </w:rPr>
            </w:pPr>
            <w:r w:rsidRPr="006F6A57">
              <w:rPr>
                <w:rFonts w:asciiTheme="minorHAnsi" w:hAnsiTheme="minorHAnsi" w:cs="Arial"/>
                <w:b/>
                <w:color w:val="FFFFFF"/>
                <w:szCs w:val="24"/>
              </w:rPr>
              <w:t>Allocation of NPA funding</w:t>
            </w:r>
          </w:p>
        </w:tc>
        <w:tc>
          <w:tcPr>
            <w:tcW w:w="4357" w:type="dxa"/>
            <w:shd w:val="clear" w:color="auto" w:fill="000000"/>
          </w:tcPr>
          <w:p w:rsidR="00097480" w:rsidRPr="006F6A57" w:rsidRDefault="00097480" w:rsidP="003723A7">
            <w:pPr>
              <w:rPr>
                <w:rFonts w:asciiTheme="minorHAnsi" w:hAnsiTheme="minorHAnsi" w:cs="Arial"/>
                <w:b/>
                <w:color w:val="FFFFFF"/>
                <w:szCs w:val="24"/>
              </w:rPr>
            </w:pPr>
            <w:r w:rsidRPr="006F6A57">
              <w:rPr>
                <w:rFonts w:asciiTheme="minorHAnsi" w:hAnsiTheme="minorHAnsi" w:cs="Arial"/>
                <w:b/>
                <w:color w:val="FFFFFF"/>
                <w:szCs w:val="24"/>
              </w:rPr>
              <w:t>Comments</w:t>
            </w:r>
          </w:p>
          <w:p w:rsidR="00097480" w:rsidRPr="006F6A57" w:rsidRDefault="00097480" w:rsidP="003723A7">
            <w:pPr>
              <w:rPr>
                <w:rFonts w:asciiTheme="minorHAnsi" w:hAnsiTheme="minorHAnsi" w:cs="Arial"/>
                <w:b/>
                <w:color w:val="FFFFFF"/>
                <w:szCs w:val="24"/>
              </w:rPr>
            </w:pPr>
          </w:p>
          <w:p w:rsidR="00097480" w:rsidRPr="006F6A57" w:rsidRDefault="00097480" w:rsidP="003723A7">
            <w:pPr>
              <w:rPr>
                <w:rFonts w:asciiTheme="minorHAnsi" w:hAnsiTheme="minorHAnsi" w:cs="Arial"/>
                <w:b/>
                <w:color w:val="FFFFFF"/>
                <w:szCs w:val="24"/>
              </w:rPr>
            </w:pPr>
          </w:p>
        </w:tc>
      </w:tr>
      <w:tr w:rsidR="0063213A" w:rsidTr="00851900">
        <w:trPr>
          <w:gridAfter w:val="1"/>
          <w:wAfter w:w="4357" w:type="dxa"/>
          <w:trHeight w:val="2139"/>
        </w:trPr>
        <w:tc>
          <w:tcPr>
            <w:tcW w:w="3544" w:type="dxa"/>
          </w:tcPr>
          <w:p w:rsidR="00681B5A" w:rsidRPr="004971D1" w:rsidRDefault="0014552E" w:rsidP="00535F2A">
            <w:pPr>
              <w:rPr>
                <w:rFonts w:asciiTheme="minorHAnsi" w:hAnsiTheme="minorHAnsi"/>
              </w:rPr>
            </w:pPr>
            <w:r w:rsidRPr="004971D1">
              <w:rPr>
                <w:rFonts w:asciiTheme="minorHAnsi" w:hAnsiTheme="minorHAnsi"/>
                <w:b/>
              </w:rPr>
              <w:t>2.  Rehabilitation Discharge Care Coordination Service</w:t>
            </w:r>
            <w:r w:rsidRPr="004971D1">
              <w:rPr>
                <w:rFonts w:asciiTheme="minorHAnsi" w:hAnsiTheme="minorHAnsi"/>
              </w:rPr>
              <w:t>.  This service covers the ACT region</w:t>
            </w:r>
            <w:r w:rsidR="00993530" w:rsidRPr="004971D1">
              <w:rPr>
                <w:rFonts w:asciiTheme="minorHAnsi" w:hAnsiTheme="minorHAnsi"/>
              </w:rPr>
              <w:t xml:space="preserve"> and consist</w:t>
            </w:r>
            <w:r w:rsidR="004B425D" w:rsidRPr="004971D1">
              <w:rPr>
                <w:rFonts w:asciiTheme="minorHAnsi" w:hAnsiTheme="minorHAnsi"/>
              </w:rPr>
              <w:t>s</w:t>
            </w:r>
            <w:r w:rsidRPr="004971D1">
              <w:rPr>
                <w:rFonts w:asciiTheme="minorHAnsi" w:hAnsiTheme="minorHAnsi"/>
              </w:rPr>
              <w:t xml:space="preserve"> of two skilled rehabilitation Registered Nurses whose role is to participate in the development of care plans for patients. </w:t>
            </w:r>
          </w:p>
          <w:p w:rsidR="00681B5A" w:rsidRPr="004971D1" w:rsidRDefault="00681B5A" w:rsidP="00535F2A">
            <w:pPr>
              <w:rPr>
                <w:rFonts w:asciiTheme="minorHAnsi" w:hAnsiTheme="minorHAnsi"/>
              </w:rPr>
            </w:pPr>
          </w:p>
          <w:p w:rsidR="00681B5A" w:rsidRPr="004971D1" w:rsidRDefault="00681B5A" w:rsidP="00535F2A">
            <w:pPr>
              <w:rPr>
                <w:rFonts w:asciiTheme="minorHAnsi" w:hAnsiTheme="minorHAnsi"/>
              </w:rPr>
            </w:pPr>
          </w:p>
          <w:p w:rsidR="00681B5A" w:rsidRPr="004971D1" w:rsidRDefault="00681B5A" w:rsidP="00535F2A">
            <w:pPr>
              <w:rPr>
                <w:rFonts w:asciiTheme="minorHAnsi" w:hAnsiTheme="minorHAnsi"/>
              </w:rPr>
            </w:pPr>
          </w:p>
          <w:p w:rsidR="00681B5A" w:rsidRPr="004971D1" w:rsidRDefault="00681B5A" w:rsidP="00535F2A">
            <w:pPr>
              <w:rPr>
                <w:rFonts w:asciiTheme="minorHAnsi" w:hAnsiTheme="minorHAnsi"/>
              </w:rPr>
            </w:pPr>
          </w:p>
        </w:tc>
        <w:tc>
          <w:tcPr>
            <w:tcW w:w="4082" w:type="dxa"/>
          </w:tcPr>
          <w:p w:rsidR="00B20BB9" w:rsidRPr="004971D1" w:rsidRDefault="00B20BB9" w:rsidP="00B20BB9">
            <w:pPr>
              <w:rPr>
                <w:rFonts w:asciiTheme="minorHAnsi" w:hAnsiTheme="minorHAnsi"/>
                <w:szCs w:val="24"/>
              </w:rPr>
            </w:pPr>
            <w:r w:rsidRPr="004971D1">
              <w:rPr>
                <w:rFonts w:asciiTheme="minorHAnsi" w:hAnsiTheme="minorHAnsi"/>
              </w:rPr>
              <w:t>Activities under this initiative ha</w:t>
            </w:r>
            <w:r w:rsidRPr="004971D1">
              <w:rPr>
                <w:rFonts w:asciiTheme="minorHAnsi" w:hAnsiTheme="minorHAnsi"/>
                <w:color w:val="000000"/>
              </w:rPr>
              <w:t>ve</w:t>
            </w:r>
            <w:r w:rsidRPr="004971D1">
              <w:rPr>
                <w:rFonts w:asciiTheme="minorHAnsi" w:hAnsiTheme="minorHAnsi"/>
              </w:rPr>
              <w:t xml:space="preserve"> been implemented up to 30 June 2013</w:t>
            </w:r>
            <w:r w:rsidRPr="004971D1">
              <w:rPr>
                <w:rFonts w:asciiTheme="minorHAnsi" w:hAnsiTheme="minorHAnsi"/>
                <w:color w:val="000000"/>
              </w:rPr>
              <w:t>.</w:t>
            </w:r>
          </w:p>
          <w:p w:rsidR="00B20BB9" w:rsidRPr="004971D1" w:rsidRDefault="00B20BB9" w:rsidP="00B20BB9">
            <w:pPr>
              <w:rPr>
                <w:rFonts w:asciiTheme="minorHAnsi" w:hAnsiTheme="minorHAnsi"/>
                <w:color w:val="000000"/>
              </w:rPr>
            </w:pPr>
          </w:p>
          <w:p w:rsidR="00B20BB9" w:rsidRPr="004971D1" w:rsidRDefault="00B20BB9" w:rsidP="00B20BB9">
            <w:pPr>
              <w:rPr>
                <w:rFonts w:asciiTheme="minorHAnsi" w:hAnsiTheme="minorHAnsi"/>
                <w:color w:val="000000"/>
              </w:rPr>
            </w:pPr>
            <w:r w:rsidRPr="004971D1">
              <w:rPr>
                <w:rFonts w:asciiTheme="minorHAnsi" w:hAnsiTheme="minorHAnsi"/>
                <w:color w:val="000000"/>
              </w:rPr>
              <w:t xml:space="preserve">Two Registered Nurses (2.0 FTE) </w:t>
            </w:r>
            <w:r w:rsidR="00694AD1">
              <w:rPr>
                <w:rFonts w:asciiTheme="minorHAnsi" w:hAnsiTheme="minorHAnsi"/>
                <w:color w:val="000000"/>
              </w:rPr>
              <w:t xml:space="preserve">work </w:t>
            </w:r>
            <w:r w:rsidRPr="004971D1">
              <w:rPr>
                <w:rFonts w:asciiTheme="minorHAnsi" w:hAnsiTheme="minorHAnsi"/>
                <w:color w:val="000000"/>
              </w:rPr>
              <w:t>as Discharge co-ordinators were employed in February 2010 and continue in these roles.</w:t>
            </w:r>
          </w:p>
          <w:p w:rsidR="00B20BB9" w:rsidRPr="004971D1" w:rsidRDefault="00B20BB9" w:rsidP="00B20BB9">
            <w:pPr>
              <w:rPr>
                <w:rFonts w:asciiTheme="minorHAnsi" w:hAnsiTheme="minorHAnsi"/>
              </w:rPr>
            </w:pPr>
          </w:p>
          <w:p w:rsidR="00B508F4" w:rsidRPr="004971D1" w:rsidRDefault="00B508F4" w:rsidP="00C95C5A">
            <w:pPr>
              <w:rPr>
                <w:rFonts w:asciiTheme="minorHAnsi" w:hAnsiTheme="minorHAnsi"/>
              </w:rPr>
            </w:pPr>
          </w:p>
        </w:tc>
        <w:tc>
          <w:tcPr>
            <w:tcW w:w="2694" w:type="dxa"/>
          </w:tcPr>
          <w:p w:rsidR="0063213A" w:rsidRPr="006F6A57" w:rsidRDefault="0063213A" w:rsidP="00535F2A">
            <w:pPr>
              <w:tabs>
                <w:tab w:val="left" w:pos="251"/>
              </w:tabs>
              <w:rPr>
                <w:rFonts w:asciiTheme="minorHAnsi" w:hAnsiTheme="minorHAnsi"/>
                <w:szCs w:val="24"/>
              </w:rPr>
            </w:pPr>
            <w:r w:rsidRPr="006F6A57">
              <w:rPr>
                <w:rFonts w:asciiTheme="minorHAnsi" w:hAnsiTheme="minorHAnsi"/>
                <w:szCs w:val="24"/>
              </w:rPr>
              <w:t>$828k over four years</w:t>
            </w:r>
          </w:p>
          <w:p w:rsidR="0063213A" w:rsidRPr="006F6A57" w:rsidRDefault="0063213A" w:rsidP="00535F2A">
            <w:pPr>
              <w:tabs>
                <w:tab w:val="left" w:pos="251"/>
              </w:tabs>
              <w:rPr>
                <w:rFonts w:asciiTheme="minorHAnsi" w:hAnsiTheme="minorHAnsi"/>
                <w:szCs w:val="24"/>
              </w:rPr>
            </w:pPr>
            <w:r w:rsidRPr="006F6A57">
              <w:rPr>
                <w:rFonts w:asciiTheme="minorHAnsi" w:hAnsiTheme="minorHAnsi"/>
                <w:szCs w:val="24"/>
              </w:rPr>
              <w:t>(out of total Rehabilitation funding of $1.995 million over four years)</w:t>
            </w:r>
          </w:p>
          <w:p w:rsidR="00EA274D" w:rsidRPr="006F6A57" w:rsidRDefault="00EA274D" w:rsidP="00EA274D">
            <w:pPr>
              <w:rPr>
                <w:rFonts w:asciiTheme="minorHAnsi" w:hAnsiTheme="minorHAnsi" w:cs="Calibri"/>
                <w:color w:val="1F497D"/>
                <w:szCs w:val="24"/>
              </w:rPr>
            </w:pPr>
          </w:p>
          <w:p w:rsidR="00E24892" w:rsidRPr="006F6A57" w:rsidRDefault="00BB34C9" w:rsidP="00EA274D">
            <w:pPr>
              <w:rPr>
                <w:rFonts w:asciiTheme="minorHAnsi" w:hAnsiTheme="minorHAnsi"/>
                <w:szCs w:val="24"/>
              </w:rPr>
            </w:pPr>
            <w:r w:rsidRPr="006F6A57">
              <w:rPr>
                <w:rFonts w:asciiTheme="minorHAnsi" w:hAnsiTheme="minorHAnsi"/>
                <w:szCs w:val="24"/>
              </w:rPr>
              <w:t>Total expenditure for</w:t>
            </w:r>
            <w:r w:rsidRPr="006F6A57">
              <w:rPr>
                <w:rFonts w:asciiTheme="minorHAnsi" w:hAnsiTheme="minorHAnsi"/>
                <w:color w:val="1F497D"/>
                <w:szCs w:val="24"/>
              </w:rPr>
              <w:t xml:space="preserve"> </w:t>
            </w:r>
            <w:r w:rsidRPr="006F6A57">
              <w:rPr>
                <w:rFonts w:asciiTheme="minorHAnsi" w:hAnsiTheme="minorHAnsi"/>
                <w:szCs w:val="24"/>
              </w:rPr>
              <w:t xml:space="preserve">2012-13 on this key deliverable </w:t>
            </w:r>
            <w:r w:rsidRPr="006F6A57">
              <w:rPr>
                <w:rFonts w:asciiTheme="minorHAnsi" w:hAnsiTheme="minorHAnsi"/>
                <w:color w:val="000000"/>
                <w:szCs w:val="24"/>
              </w:rPr>
              <w:t>is  </w:t>
            </w:r>
            <w:r w:rsidRPr="006F6A57">
              <w:rPr>
                <w:rFonts w:asciiTheme="minorHAnsi" w:hAnsiTheme="minorHAnsi"/>
                <w:szCs w:val="24"/>
              </w:rPr>
              <w:t>$258,901.14</w:t>
            </w:r>
          </w:p>
        </w:tc>
        <w:tc>
          <w:tcPr>
            <w:tcW w:w="4357" w:type="dxa"/>
          </w:tcPr>
          <w:p w:rsidR="004B425D" w:rsidRDefault="00BB34C9" w:rsidP="00367E8E">
            <w:pPr>
              <w:rPr>
                <w:rFonts w:asciiTheme="minorHAnsi" w:hAnsiTheme="minorHAnsi"/>
                <w:szCs w:val="24"/>
              </w:rPr>
            </w:pPr>
            <w:r w:rsidRPr="006F6A57">
              <w:rPr>
                <w:rFonts w:asciiTheme="minorHAnsi" w:hAnsiTheme="minorHAnsi"/>
                <w:szCs w:val="24"/>
              </w:rPr>
              <w:t>The two registered nurses provide contact with patients eligible for admission to an inpatient rehabilitation unit to ensure the patients are aware what to expect.  In addition, their role focuses on assisting with discharge coordination for complex patients including facilitating goal setting meetings, and case conferences.  Post-discharge follow-up/home visits are undertaken to ensure any evolving issues can be resolved without readmission to hospital.</w:t>
            </w:r>
          </w:p>
          <w:p w:rsidR="00694AD1" w:rsidRPr="006F6A57" w:rsidRDefault="00694AD1" w:rsidP="00367E8E">
            <w:pPr>
              <w:rPr>
                <w:rFonts w:asciiTheme="minorHAnsi" w:hAnsiTheme="minorHAnsi"/>
                <w:color w:val="1F497D"/>
                <w:szCs w:val="24"/>
              </w:rPr>
            </w:pPr>
          </w:p>
        </w:tc>
      </w:tr>
      <w:tr w:rsidR="00077876" w:rsidTr="00851900">
        <w:trPr>
          <w:gridAfter w:val="1"/>
          <w:wAfter w:w="4357" w:type="dxa"/>
          <w:trHeight w:val="2139"/>
        </w:trPr>
        <w:tc>
          <w:tcPr>
            <w:tcW w:w="3544" w:type="dxa"/>
          </w:tcPr>
          <w:p w:rsidR="00077876" w:rsidRPr="00491971" w:rsidRDefault="00077876" w:rsidP="00077876">
            <w:pPr>
              <w:rPr>
                <w:rFonts w:asciiTheme="minorHAnsi" w:hAnsiTheme="minorHAnsi"/>
              </w:rPr>
            </w:pPr>
            <w:r w:rsidRPr="00491971">
              <w:rPr>
                <w:rFonts w:asciiTheme="minorHAnsi" w:hAnsiTheme="minorHAnsi"/>
                <w:b/>
              </w:rPr>
              <w:t>3.  Disability Counsellor</w:t>
            </w:r>
            <w:r w:rsidRPr="00491971">
              <w:rPr>
                <w:rFonts w:asciiTheme="minorHAnsi" w:hAnsiTheme="minorHAnsi"/>
              </w:rPr>
              <w:t xml:space="preserve"> – to provide counselling and support services to patients and their families or carers who are newly disabled</w:t>
            </w:r>
            <w:r w:rsidR="009F09B0">
              <w:rPr>
                <w:rFonts w:asciiTheme="minorHAnsi" w:hAnsiTheme="minorHAnsi"/>
              </w:rPr>
              <w:t>.</w:t>
            </w:r>
          </w:p>
          <w:p w:rsidR="00077876" w:rsidRPr="00491971" w:rsidRDefault="00077876" w:rsidP="00077876">
            <w:pPr>
              <w:rPr>
                <w:rFonts w:asciiTheme="minorHAnsi" w:hAnsiTheme="minorHAnsi"/>
                <w:b/>
              </w:rPr>
            </w:pPr>
            <w:r w:rsidRPr="00491971">
              <w:rPr>
                <w:rFonts w:asciiTheme="minorHAnsi" w:hAnsiTheme="minorHAnsi"/>
              </w:rPr>
              <w:t xml:space="preserve">This service covers the ACT </w:t>
            </w:r>
            <w:r w:rsidR="00694AD1">
              <w:rPr>
                <w:rFonts w:asciiTheme="minorHAnsi" w:hAnsiTheme="minorHAnsi"/>
              </w:rPr>
              <w:t xml:space="preserve">and surrounding </w:t>
            </w:r>
            <w:r w:rsidRPr="00491971">
              <w:rPr>
                <w:rFonts w:asciiTheme="minorHAnsi" w:hAnsiTheme="minorHAnsi"/>
              </w:rPr>
              <w:t xml:space="preserve">region.  </w:t>
            </w:r>
          </w:p>
        </w:tc>
        <w:tc>
          <w:tcPr>
            <w:tcW w:w="4082" w:type="dxa"/>
          </w:tcPr>
          <w:p w:rsidR="009F7B62" w:rsidRPr="00491971" w:rsidRDefault="009F7B62" w:rsidP="009F7B62">
            <w:pPr>
              <w:rPr>
                <w:rFonts w:asciiTheme="minorHAnsi" w:hAnsiTheme="minorHAnsi"/>
              </w:rPr>
            </w:pPr>
            <w:r w:rsidRPr="00491971">
              <w:rPr>
                <w:rFonts w:asciiTheme="minorHAnsi" w:hAnsiTheme="minorHAnsi"/>
              </w:rPr>
              <w:t xml:space="preserve">Activities under this initiative </w:t>
            </w:r>
            <w:r w:rsidR="00EE43DE" w:rsidRPr="00491971">
              <w:rPr>
                <w:rFonts w:asciiTheme="minorHAnsi" w:hAnsiTheme="minorHAnsi"/>
              </w:rPr>
              <w:t>has been</w:t>
            </w:r>
            <w:r w:rsidRPr="00491971">
              <w:rPr>
                <w:rFonts w:asciiTheme="minorHAnsi" w:hAnsiTheme="minorHAnsi"/>
              </w:rPr>
              <w:t xml:space="preserve"> implemented up to 2012-13.</w:t>
            </w:r>
          </w:p>
          <w:p w:rsidR="00761033" w:rsidRPr="00491971" w:rsidRDefault="00761033" w:rsidP="00761033">
            <w:pPr>
              <w:rPr>
                <w:rFonts w:asciiTheme="minorHAnsi" w:hAnsiTheme="minorHAnsi" w:cs="Calibri"/>
                <w:szCs w:val="22"/>
              </w:rPr>
            </w:pPr>
          </w:p>
          <w:p w:rsidR="00BD6910" w:rsidRPr="00491971" w:rsidRDefault="00BD6910" w:rsidP="00BD6910">
            <w:pPr>
              <w:rPr>
                <w:rFonts w:asciiTheme="minorHAnsi" w:hAnsiTheme="minorHAnsi"/>
                <w:color w:val="000000"/>
              </w:rPr>
            </w:pPr>
            <w:r w:rsidRPr="00491971">
              <w:rPr>
                <w:rFonts w:asciiTheme="minorHAnsi" w:hAnsiTheme="minorHAnsi"/>
                <w:color w:val="000000"/>
              </w:rPr>
              <w:t xml:space="preserve">A Disability Counsellor (1.0 FTE) was recruited in February 2010. </w:t>
            </w:r>
          </w:p>
          <w:p w:rsidR="00761033" w:rsidRPr="00491971" w:rsidRDefault="00761033" w:rsidP="00761033">
            <w:pPr>
              <w:rPr>
                <w:rFonts w:asciiTheme="minorHAnsi" w:hAnsiTheme="minorHAnsi"/>
                <w:color w:val="000000"/>
              </w:rPr>
            </w:pPr>
          </w:p>
          <w:p w:rsidR="009F2A2F" w:rsidRPr="00491971" w:rsidRDefault="009F2A2F" w:rsidP="004735C5">
            <w:pPr>
              <w:rPr>
                <w:rFonts w:asciiTheme="minorHAnsi" w:hAnsiTheme="minorHAnsi"/>
              </w:rPr>
            </w:pPr>
          </w:p>
        </w:tc>
        <w:tc>
          <w:tcPr>
            <w:tcW w:w="2694" w:type="dxa"/>
          </w:tcPr>
          <w:p w:rsidR="00077876" w:rsidRPr="006F6A57" w:rsidRDefault="00077876" w:rsidP="00535F2A">
            <w:pPr>
              <w:tabs>
                <w:tab w:val="left" w:pos="251"/>
              </w:tabs>
              <w:rPr>
                <w:rFonts w:asciiTheme="minorHAnsi" w:hAnsiTheme="minorHAnsi"/>
                <w:szCs w:val="24"/>
              </w:rPr>
            </w:pPr>
            <w:r w:rsidRPr="006F6A57">
              <w:rPr>
                <w:rFonts w:asciiTheme="minorHAnsi" w:hAnsiTheme="minorHAnsi"/>
                <w:szCs w:val="24"/>
              </w:rPr>
              <w:t>$440k over four years</w:t>
            </w:r>
          </w:p>
          <w:p w:rsidR="00077876" w:rsidRPr="006F6A57" w:rsidRDefault="00077876" w:rsidP="00535F2A">
            <w:pPr>
              <w:tabs>
                <w:tab w:val="left" w:pos="251"/>
              </w:tabs>
              <w:rPr>
                <w:rFonts w:asciiTheme="minorHAnsi" w:hAnsiTheme="minorHAnsi"/>
                <w:szCs w:val="24"/>
              </w:rPr>
            </w:pPr>
            <w:r w:rsidRPr="006F6A57">
              <w:rPr>
                <w:rFonts w:asciiTheme="minorHAnsi" w:hAnsiTheme="minorHAnsi"/>
                <w:szCs w:val="24"/>
              </w:rPr>
              <w:t>(out of total Rehabilitation funding of $1.995 million over four years)</w:t>
            </w:r>
          </w:p>
          <w:p w:rsidR="009F2A2F" w:rsidRPr="006F6A57" w:rsidRDefault="009F2A2F" w:rsidP="009F2A2F">
            <w:pPr>
              <w:rPr>
                <w:rFonts w:asciiTheme="minorHAnsi" w:hAnsiTheme="minorHAnsi"/>
                <w:szCs w:val="24"/>
              </w:rPr>
            </w:pPr>
          </w:p>
          <w:p w:rsidR="009F2A2F" w:rsidRPr="006F6A57" w:rsidRDefault="00491971" w:rsidP="009F2A2F">
            <w:pPr>
              <w:tabs>
                <w:tab w:val="left" w:pos="251"/>
              </w:tabs>
              <w:rPr>
                <w:rFonts w:asciiTheme="minorHAnsi" w:hAnsiTheme="minorHAnsi"/>
                <w:szCs w:val="24"/>
              </w:rPr>
            </w:pPr>
            <w:r w:rsidRPr="006F6A57">
              <w:rPr>
                <w:rFonts w:asciiTheme="minorHAnsi" w:hAnsiTheme="minorHAnsi"/>
                <w:szCs w:val="24"/>
              </w:rPr>
              <w:t>Total expenditure for 2012-13 on this key deliverable is $111,841.88</w:t>
            </w:r>
          </w:p>
        </w:tc>
        <w:tc>
          <w:tcPr>
            <w:tcW w:w="4357" w:type="dxa"/>
          </w:tcPr>
          <w:p w:rsidR="00097480" w:rsidRDefault="00491971" w:rsidP="00491971">
            <w:pPr>
              <w:rPr>
                <w:rFonts w:asciiTheme="minorHAnsi" w:hAnsiTheme="minorHAnsi"/>
                <w:szCs w:val="24"/>
              </w:rPr>
            </w:pPr>
            <w:r w:rsidRPr="006F6A57">
              <w:rPr>
                <w:rFonts w:asciiTheme="minorHAnsi" w:hAnsiTheme="minorHAnsi"/>
                <w:szCs w:val="24"/>
              </w:rPr>
              <w:t>The Disability Counsellor provides a service to clients and their families/carers in both the i</w:t>
            </w:r>
            <w:r w:rsidR="00694AD1">
              <w:rPr>
                <w:rFonts w:asciiTheme="minorHAnsi" w:hAnsiTheme="minorHAnsi"/>
                <w:szCs w:val="24"/>
              </w:rPr>
              <w:t>npatient and outpatient setting</w:t>
            </w:r>
            <w:r w:rsidRPr="006F6A57">
              <w:rPr>
                <w:rFonts w:asciiTheme="minorHAnsi" w:hAnsiTheme="minorHAnsi"/>
                <w:szCs w:val="24"/>
              </w:rPr>
              <w:t>. The counsellor’s service starts in the inpatient rehabilitation setting and continues into the comm</w:t>
            </w:r>
            <w:r w:rsidR="00694AD1">
              <w:rPr>
                <w:rFonts w:asciiTheme="minorHAnsi" w:hAnsiTheme="minorHAnsi"/>
                <w:szCs w:val="24"/>
              </w:rPr>
              <w:t>unity setting after the client is</w:t>
            </w:r>
            <w:r w:rsidRPr="006F6A57">
              <w:rPr>
                <w:rFonts w:asciiTheme="minorHAnsi" w:hAnsiTheme="minorHAnsi"/>
                <w:szCs w:val="24"/>
              </w:rPr>
              <w:t> discharge</w:t>
            </w:r>
            <w:r w:rsidR="00694AD1">
              <w:rPr>
                <w:rFonts w:asciiTheme="minorHAnsi" w:hAnsiTheme="minorHAnsi"/>
                <w:szCs w:val="24"/>
              </w:rPr>
              <w:t>d</w:t>
            </w:r>
            <w:r w:rsidRPr="006F6A57">
              <w:rPr>
                <w:rFonts w:asciiTheme="minorHAnsi" w:hAnsiTheme="minorHAnsi"/>
                <w:szCs w:val="24"/>
              </w:rPr>
              <w:t>. The counsellor also provides support to community based clients who have not been admitted into the hospital program. </w:t>
            </w:r>
          </w:p>
          <w:p w:rsidR="00097480" w:rsidRDefault="00097480" w:rsidP="00491971">
            <w:pPr>
              <w:rPr>
                <w:rFonts w:asciiTheme="minorHAnsi" w:hAnsiTheme="minorHAnsi"/>
                <w:szCs w:val="24"/>
              </w:rPr>
            </w:pPr>
          </w:p>
          <w:p w:rsidR="00097480" w:rsidRDefault="00097480" w:rsidP="00491971">
            <w:pPr>
              <w:rPr>
                <w:rFonts w:asciiTheme="minorHAnsi" w:hAnsiTheme="minorHAnsi"/>
                <w:szCs w:val="24"/>
              </w:rPr>
            </w:pPr>
          </w:p>
          <w:p w:rsidR="00B508F4" w:rsidRDefault="00B508F4" w:rsidP="00491971">
            <w:pPr>
              <w:rPr>
                <w:rFonts w:asciiTheme="minorHAnsi" w:hAnsiTheme="minorHAnsi"/>
                <w:szCs w:val="24"/>
              </w:rPr>
            </w:pPr>
          </w:p>
          <w:p w:rsidR="00545186" w:rsidRPr="006F6A57" w:rsidRDefault="00545186" w:rsidP="00491971">
            <w:pPr>
              <w:rPr>
                <w:rFonts w:asciiTheme="minorHAnsi" w:hAnsiTheme="minorHAnsi"/>
                <w:szCs w:val="24"/>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lastRenderedPageBreak/>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6F6A57" w:rsidRDefault="00097480" w:rsidP="003723A7">
            <w:pPr>
              <w:rPr>
                <w:rFonts w:asciiTheme="minorHAnsi" w:hAnsiTheme="minorHAnsi" w:cs="Arial"/>
                <w:b/>
                <w:color w:val="FFFFFF"/>
                <w:szCs w:val="24"/>
              </w:rPr>
            </w:pPr>
            <w:r w:rsidRPr="006F6A57">
              <w:rPr>
                <w:rFonts w:asciiTheme="minorHAnsi" w:hAnsiTheme="minorHAnsi" w:cs="Arial"/>
                <w:b/>
                <w:color w:val="FFFFFF"/>
                <w:szCs w:val="24"/>
              </w:rPr>
              <w:t>Allocation of NPA funding</w:t>
            </w:r>
          </w:p>
        </w:tc>
        <w:tc>
          <w:tcPr>
            <w:tcW w:w="4357" w:type="dxa"/>
            <w:shd w:val="clear" w:color="auto" w:fill="000000"/>
          </w:tcPr>
          <w:p w:rsidR="00097480" w:rsidRPr="006F6A57" w:rsidRDefault="00097480" w:rsidP="003723A7">
            <w:pPr>
              <w:rPr>
                <w:rFonts w:asciiTheme="minorHAnsi" w:hAnsiTheme="minorHAnsi" w:cs="Arial"/>
                <w:b/>
                <w:color w:val="FFFFFF"/>
                <w:szCs w:val="24"/>
              </w:rPr>
            </w:pPr>
            <w:r w:rsidRPr="006F6A57">
              <w:rPr>
                <w:rFonts w:asciiTheme="minorHAnsi" w:hAnsiTheme="minorHAnsi" w:cs="Arial"/>
                <w:b/>
                <w:color w:val="FFFFFF"/>
                <w:szCs w:val="24"/>
              </w:rPr>
              <w:t>Comments</w:t>
            </w:r>
          </w:p>
          <w:p w:rsidR="00097480" w:rsidRPr="006F6A57" w:rsidRDefault="00097480" w:rsidP="003723A7">
            <w:pPr>
              <w:rPr>
                <w:rFonts w:asciiTheme="minorHAnsi" w:hAnsiTheme="minorHAnsi" w:cs="Arial"/>
                <w:b/>
                <w:color w:val="FFFFFF"/>
                <w:szCs w:val="24"/>
              </w:rPr>
            </w:pPr>
          </w:p>
          <w:p w:rsidR="00097480" w:rsidRPr="006F6A57" w:rsidRDefault="00097480" w:rsidP="003723A7">
            <w:pPr>
              <w:rPr>
                <w:rFonts w:asciiTheme="minorHAnsi" w:hAnsiTheme="minorHAnsi" w:cs="Arial"/>
                <w:b/>
                <w:color w:val="FFFFFF"/>
                <w:szCs w:val="24"/>
              </w:rPr>
            </w:pPr>
          </w:p>
        </w:tc>
      </w:tr>
      <w:tr w:rsidR="00F7501A" w:rsidTr="00851900">
        <w:trPr>
          <w:gridAfter w:val="1"/>
          <w:wAfter w:w="4357" w:type="dxa"/>
          <w:trHeight w:val="1251"/>
        </w:trPr>
        <w:tc>
          <w:tcPr>
            <w:tcW w:w="3544" w:type="dxa"/>
          </w:tcPr>
          <w:p w:rsidR="00F7501A" w:rsidRPr="006F6A57" w:rsidRDefault="00F7501A" w:rsidP="00243F94">
            <w:pPr>
              <w:rPr>
                <w:rFonts w:asciiTheme="minorHAnsi" w:hAnsiTheme="minorHAnsi"/>
                <w:szCs w:val="24"/>
              </w:rPr>
            </w:pPr>
            <w:r w:rsidRPr="006F6A57">
              <w:rPr>
                <w:rFonts w:asciiTheme="minorHAnsi" w:hAnsiTheme="minorHAnsi"/>
                <w:b/>
                <w:szCs w:val="24"/>
              </w:rPr>
              <w:t>4.  Rapid Assessment of the Deteriorating Aged at Risk (RADAR)</w:t>
            </w:r>
            <w:r w:rsidR="00EE43DE" w:rsidRPr="006F6A57">
              <w:rPr>
                <w:rFonts w:asciiTheme="minorHAnsi" w:hAnsiTheme="minorHAnsi"/>
                <w:b/>
                <w:szCs w:val="24"/>
              </w:rPr>
              <w:t xml:space="preserve">: </w:t>
            </w:r>
            <w:r w:rsidR="00EE43DE" w:rsidRPr="006F6A57">
              <w:rPr>
                <w:rFonts w:asciiTheme="minorHAnsi" w:hAnsiTheme="minorHAnsi"/>
                <w:szCs w:val="24"/>
              </w:rPr>
              <w:t>expanding this</w:t>
            </w:r>
            <w:r w:rsidRPr="006F6A57">
              <w:rPr>
                <w:rFonts w:asciiTheme="minorHAnsi" w:hAnsiTheme="minorHAnsi"/>
                <w:b/>
                <w:szCs w:val="24"/>
              </w:rPr>
              <w:t xml:space="preserve"> </w:t>
            </w:r>
            <w:r w:rsidR="00EE43DE" w:rsidRPr="006F6A57">
              <w:rPr>
                <w:rFonts w:asciiTheme="minorHAnsi" w:hAnsiTheme="minorHAnsi"/>
                <w:szCs w:val="24"/>
              </w:rPr>
              <w:t>service</w:t>
            </w:r>
            <w:r w:rsidRPr="006F6A57">
              <w:rPr>
                <w:rFonts w:asciiTheme="minorHAnsi" w:hAnsiTheme="minorHAnsi"/>
                <w:b/>
                <w:szCs w:val="24"/>
              </w:rPr>
              <w:t xml:space="preserve"> </w:t>
            </w:r>
            <w:r w:rsidRPr="006F6A57">
              <w:rPr>
                <w:rFonts w:asciiTheme="minorHAnsi" w:hAnsiTheme="minorHAnsi"/>
                <w:szCs w:val="24"/>
              </w:rPr>
              <w:t xml:space="preserve">by increasing the capacity within the existing RADAR team by increasing FTEs.  The services are provided to the whole ACT </w:t>
            </w:r>
            <w:r w:rsidR="00694AD1">
              <w:rPr>
                <w:rFonts w:asciiTheme="minorHAnsi" w:hAnsiTheme="minorHAnsi"/>
                <w:szCs w:val="24"/>
              </w:rPr>
              <w:t xml:space="preserve">and surrounding </w:t>
            </w:r>
            <w:r w:rsidRPr="006F6A57">
              <w:rPr>
                <w:rFonts w:asciiTheme="minorHAnsi" w:hAnsiTheme="minorHAnsi"/>
                <w:szCs w:val="24"/>
              </w:rPr>
              <w:t>region.</w:t>
            </w:r>
          </w:p>
          <w:p w:rsidR="00F7501A" w:rsidRPr="006F6A57" w:rsidRDefault="00F7501A" w:rsidP="00077876">
            <w:pPr>
              <w:rPr>
                <w:rFonts w:asciiTheme="minorHAnsi" w:hAnsiTheme="minorHAnsi"/>
                <w:b/>
                <w:szCs w:val="24"/>
              </w:rPr>
            </w:pPr>
          </w:p>
        </w:tc>
        <w:tc>
          <w:tcPr>
            <w:tcW w:w="4082" w:type="dxa"/>
          </w:tcPr>
          <w:p w:rsidR="00313D26" w:rsidRPr="006F6A57" w:rsidRDefault="00313D26" w:rsidP="00313D26">
            <w:pPr>
              <w:rPr>
                <w:rFonts w:asciiTheme="minorHAnsi" w:hAnsiTheme="minorHAnsi"/>
                <w:szCs w:val="24"/>
              </w:rPr>
            </w:pPr>
            <w:r w:rsidRPr="006F6A57">
              <w:rPr>
                <w:rFonts w:asciiTheme="minorHAnsi" w:hAnsiTheme="minorHAnsi"/>
                <w:szCs w:val="24"/>
              </w:rPr>
              <w:t>An internal audit was conducted in September 2013 (change in personnel) which identified the omission of some staffing costs related to this program.</w:t>
            </w:r>
          </w:p>
          <w:p w:rsidR="00313D26" w:rsidRPr="006F6A57" w:rsidRDefault="00313D26" w:rsidP="00313D26">
            <w:pPr>
              <w:rPr>
                <w:rFonts w:asciiTheme="minorHAnsi" w:hAnsiTheme="minorHAnsi"/>
                <w:szCs w:val="24"/>
              </w:rPr>
            </w:pPr>
            <w:r w:rsidRPr="006F6A57">
              <w:rPr>
                <w:rFonts w:asciiTheme="minorHAnsi" w:hAnsiTheme="minorHAnsi"/>
                <w:szCs w:val="24"/>
              </w:rPr>
              <w:t>Correct staffing from commencement of the program should have been reported as:</w:t>
            </w:r>
          </w:p>
          <w:p w:rsidR="00313D26" w:rsidRPr="006F6A57" w:rsidRDefault="00313D26" w:rsidP="00313D26">
            <w:pPr>
              <w:rPr>
                <w:rFonts w:asciiTheme="minorHAnsi" w:hAnsiTheme="minorHAnsi"/>
                <w:szCs w:val="24"/>
              </w:rPr>
            </w:pPr>
            <w:r w:rsidRPr="006F6A57">
              <w:rPr>
                <w:rFonts w:asciiTheme="minorHAnsi" w:hAnsiTheme="minorHAnsi"/>
                <w:b/>
                <w:bCs/>
                <w:szCs w:val="24"/>
              </w:rPr>
              <w:t>2009-10</w:t>
            </w:r>
          </w:p>
          <w:p w:rsidR="00313D26" w:rsidRPr="006F6A57" w:rsidRDefault="00313D26" w:rsidP="00313D26">
            <w:pPr>
              <w:rPr>
                <w:rFonts w:asciiTheme="minorHAnsi" w:hAnsiTheme="minorHAnsi"/>
                <w:szCs w:val="24"/>
              </w:rPr>
            </w:pPr>
            <w:r w:rsidRPr="006F6A57">
              <w:rPr>
                <w:rFonts w:asciiTheme="minorHAnsi" w:hAnsiTheme="minorHAnsi"/>
                <w:szCs w:val="24"/>
              </w:rPr>
              <w:t>Reg</w:t>
            </w:r>
            <w:r w:rsidR="00E07620">
              <w:rPr>
                <w:rFonts w:asciiTheme="minorHAnsi" w:hAnsiTheme="minorHAnsi"/>
                <w:szCs w:val="24"/>
              </w:rPr>
              <w:t>istered</w:t>
            </w:r>
            <w:r w:rsidRPr="006F6A57">
              <w:rPr>
                <w:rFonts w:asciiTheme="minorHAnsi" w:hAnsiTheme="minorHAnsi"/>
                <w:szCs w:val="24"/>
              </w:rPr>
              <w:t xml:space="preserve"> Nurse Level 2 – 1.0 FTE</w:t>
            </w:r>
          </w:p>
          <w:p w:rsidR="00313D26" w:rsidRPr="006F6A57" w:rsidRDefault="00313D26" w:rsidP="00313D26">
            <w:pPr>
              <w:rPr>
                <w:rFonts w:asciiTheme="minorHAnsi" w:hAnsiTheme="minorHAnsi"/>
                <w:szCs w:val="24"/>
              </w:rPr>
            </w:pPr>
            <w:r w:rsidRPr="006F6A57">
              <w:rPr>
                <w:rFonts w:asciiTheme="minorHAnsi" w:hAnsiTheme="minorHAnsi"/>
                <w:szCs w:val="24"/>
              </w:rPr>
              <w:t>HPO3 – 1.0 FTE</w:t>
            </w:r>
          </w:p>
          <w:p w:rsidR="00313D26" w:rsidRPr="006F6A57" w:rsidRDefault="00313D26" w:rsidP="00313D26">
            <w:pPr>
              <w:rPr>
                <w:rFonts w:asciiTheme="minorHAnsi" w:hAnsiTheme="minorHAnsi"/>
                <w:szCs w:val="24"/>
              </w:rPr>
            </w:pPr>
            <w:r w:rsidRPr="006F6A57">
              <w:rPr>
                <w:rFonts w:asciiTheme="minorHAnsi" w:hAnsiTheme="minorHAnsi"/>
                <w:szCs w:val="24"/>
              </w:rPr>
              <w:t>Geriatrician 0.6 FTE</w:t>
            </w:r>
          </w:p>
          <w:p w:rsidR="00313D26" w:rsidRPr="006F6A57" w:rsidRDefault="00313D26" w:rsidP="00313D26">
            <w:pPr>
              <w:rPr>
                <w:rFonts w:asciiTheme="minorHAnsi" w:hAnsiTheme="minorHAnsi"/>
                <w:szCs w:val="24"/>
              </w:rPr>
            </w:pPr>
            <w:r w:rsidRPr="006F6A57">
              <w:rPr>
                <w:rFonts w:asciiTheme="minorHAnsi" w:hAnsiTheme="minorHAnsi"/>
                <w:szCs w:val="24"/>
              </w:rPr>
              <w:t xml:space="preserve">DON – 0.15FTE </w:t>
            </w:r>
          </w:p>
          <w:p w:rsidR="00313D26" w:rsidRPr="006F6A57" w:rsidRDefault="00313D26" w:rsidP="00313D26">
            <w:pPr>
              <w:rPr>
                <w:rFonts w:asciiTheme="minorHAnsi" w:hAnsiTheme="minorHAnsi"/>
                <w:szCs w:val="24"/>
              </w:rPr>
            </w:pPr>
            <w:r w:rsidRPr="006F6A57">
              <w:rPr>
                <w:rFonts w:asciiTheme="minorHAnsi" w:hAnsiTheme="minorHAnsi"/>
                <w:szCs w:val="24"/>
              </w:rPr>
              <w:t> </w:t>
            </w:r>
          </w:p>
          <w:p w:rsidR="00313D26" w:rsidRPr="006F6A57" w:rsidRDefault="00313D26" w:rsidP="00313D26">
            <w:pPr>
              <w:rPr>
                <w:rFonts w:asciiTheme="minorHAnsi" w:hAnsiTheme="minorHAnsi"/>
                <w:szCs w:val="24"/>
              </w:rPr>
            </w:pPr>
            <w:r w:rsidRPr="006F6A57">
              <w:rPr>
                <w:rFonts w:asciiTheme="minorHAnsi" w:hAnsiTheme="minorHAnsi"/>
                <w:b/>
                <w:bCs/>
                <w:szCs w:val="24"/>
              </w:rPr>
              <w:t>2010-11</w:t>
            </w:r>
          </w:p>
          <w:p w:rsidR="0079157F" w:rsidRDefault="00E07620" w:rsidP="00B508F4">
            <w:pPr>
              <w:rPr>
                <w:rFonts w:asciiTheme="minorHAnsi" w:hAnsiTheme="minorHAnsi"/>
                <w:szCs w:val="24"/>
              </w:rPr>
            </w:pPr>
            <w:r w:rsidRPr="006F6A57">
              <w:rPr>
                <w:rFonts w:asciiTheme="minorHAnsi" w:hAnsiTheme="minorHAnsi"/>
                <w:szCs w:val="24"/>
              </w:rPr>
              <w:t>Reg</w:t>
            </w:r>
            <w:r>
              <w:rPr>
                <w:rFonts w:asciiTheme="minorHAnsi" w:hAnsiTheme="minorHAnsi"/>
                <w:szCs w:val="24"/>
              </w:rPr>
              <w:t>istered</w:t>
            </w:r>
            <w:r w:rsidR="00313D26" w:rsidRPr="006F6A57">
              <w:rPr>
                <w:rFonts w:asciiTheme="minorHAnsi" w:hAnsiTheme="minorHAnsi"/>
                <w:szCs w:val="24"/>
              </w:rPr>
              <w:t xml:space="preserve"> Nurse Level 2 – 1.5 FTE</w:t>
            </w:r>
          </w:p>
          <w:p w:rsidR="00097480" w:rsidRPr="006F6A57" w:rsidRDefault="00097480" w:rsidP="00097480">
            <w:pPr>
              <w:rPr>
                <w:rFonts w:asciiTheme="minorHAnsi" w:hAnsiTheme="minorHAnsi"/>
                <w:szCs w:val="24"/>
              </w:rPr>
            </w:pPr>
            <w:r w:rsidRPr="006F6A57">
              <w:rPr>
                <w:rFonts w:asciiTheme="minorHAnsi" w:hAnsiTheme="minorHAnsi"/>
                <w:szCs w:val="24"/>
              </w:rPr>
              <w:t>HPO3 – 0.5 FTE</w:t>
            </w:r>
          </w:p>
          <w:p w:rsidR="00097480" w:rsidRPr="006F6A57" w:rsidRDefault="00097480" w:rsidP="00097480">
            <w:pPr>
              <w:rPr>
                <w:rFonts w:asciiTheme="minorHAnsi" w:hAnsiTheme="minorHAnsi"/>
                <w:szCs w:val="24"/>
              </w:rPr>
            </w:pPr>
            <w:r w:rsidRPr="006F6A57">
              <w:rPr>
                <w:rFonts w:asciiTheme="minorHAnsi" w:hAnsiTheme="minorHAnsi"/>
                <w:szCs w:val="24"/>
              </w:rPr>
              <w:t>Geriatrician 0.6 FTE</w:t>
            </w:r>
          </w:p>
          <w:p w:rsidR="00097480" w:rsidRPr="006F6A57" w:rsidRDefault="00097480" w:rsidP="00097480">
            <w:pPr>
              <w:rPr>
                <w:rFonts w:asciiTheme="minorHAnsi" w:hAnsiTheme="minorHAnsi"/>
                <w:szCs w:val="24"/>
              </w:rPr>
            </w:pPr>
            <w:r w:rsidRPr="006F6A57">
              <w:rPr>
                <w:rFonts w:asciiTheme="minorHAnsi" w:hAnsiTheme="minorHAnsi"/>
                <w:szCs w:val="24"/>
              </w:rPr>
              <w:t>DON – 0.15 FTE (9 mths)</w:t>
            </w:r>
          </w:p>
          <w:p w:rsidR="00097480" w:rsidRPr="006F6A57" w:rsidRDefault="00097480" w:rsidP="00097480">
            <w:pPr>
              <w:rPr>
                <w:rFonts w:asciiTheme="minorHAnsi" w:hAnsiTheme="minorHAnsi"/>
                <w:szCs w:val="24"/>
              </w:rPr>
            </w:pPr>
            <w:r w:rsidRPr="006F6A57">
              <w:rPr>
                <w:rFonts w:asciiTheme="minorHAnsi" w:hAnsiTheme="minorHAnsi"/>
                <w:szCs w:val="24"/>
              </w:rPr>
              <w:t>ADON – 0.33FTE (3 mths)</w:t>
            </w:r>
          </w:p>
          <w:p w:rsidR="00097480" w:rsidRPr="006F6A57" w:rsidRDefault="00097480" w:rsidP="00097480">
            <w:pPr>
              <w:rPr>
                <w:rFonts w:asciiTheme="minorHAnsi" w:hAnsiTheme="minorHAnsi"/>
                <w:szCs w:val="24"/>
              </w:rPr>
            </w:pPr>
          </w:p>
          <w:p w:rsidR="00097480" w:rsidRPr="006F6A57" w:rsidRDefault="00097480" w:rsidP="00097480">
            <w:pPr>
              <w:rPr>
                <w:rFonts w:asciiTheme="minorHAnsi" w:hAnsiTheme="minorHAnsi"/>
                <w:szCs w:val="24"/>
              </w:rPr>
            </w:pPr>
            <w:r w:rsidRPr="006F6A57">
              <w:rPr>
                <w:rFonts w:asciiTheme="minorHAnsi" w:hAnsiTheme="minorHAnsi"/>
                <w:b/>
                <w:bCs/>
                <w:szCs w:val="24"/>
              </w:rPr>
              <w:t>2011-12</w:t>
            </w:r>
          </w:p>
          <w:p w:rsidR="00097480" w:rsidRPr="006F6A57" w:rsidRDefault="00097480" w:rsidP="00097480">
            <w:pPr>
              <w:rPr>
                <w:rFonts w:asciiTheme="minorHAnsi" w:hAnsiTheme="minorHAnsi"/>
                <w:szCs w:val="24"/>
              </w:rPr>
            </w:pPr>
            <w:r w:rsidRPr="006F6A57">
              <w:rPr>
                <w:rFonts w:asciiTheme="minorHAnsi" w:hAnsiTheme="minorHAnsi"/>
                <w:szCs w:val="24"/>
              </w:rPr>
              <w:t>Reg</w:t>
            </w:r>
            <w:r>
              <w:rPr>
                <w:rFonts w:asciiTheme="minorHAnsi" w:hAnsiTheme="minorHAnsi"/>
                <w:szCs w:val="24"/>
              </w:rPr>
              <w:t>istered</w:t>
            </w:r>
            <w:r w:rsidRPr="006F6A57">
              <w:rPr>
                <w:rFonts w:asciiTheme="minorHAnsi" w:hAnsiTheme="minorHAnsi"/>
                <w:szCs w:val="24"/>
              </w:rPr>
              <w:t xml:space="preserve"> Nurse Level 2 – 1.5 FTE</w:t>
            </w:r>
          </w:p>
          <w:p w:rsidR="00097480" w:rsidRPr="006F6A57" w:rsidRDefault="00097480" w:rsidP="00097480">
            <w:pPr>
              <w:rPr>
                <w:rFonts w:asciiTheme="minorHAnsi" w:hAnsiTheme="minorHAnsi"/>
                <w:szCs w:val="24"/>
              </w:rPr>
            </w:pPr>
            <w:r w:rsidRPr="006F6A57">
              <w:rPr>
                <w:rFonts w:asciiTheme="minorHAnsi" w:hAnsiTheme="minorHAnsi"/>
                <w:szCs w:val="24"/>
              </w:rPr>
              <w:t>HPO3 – 0.5 FTE</w:t>
            </w:r>
          </w:p>
          <w:p w:rsidR="00097480" w:rsidRPr="006F6A57" w:rsidRDefault="00097480" w:rsidP="00097480">
            <w:pPr>
              <w:rPr>
                <w:rFonts w:asciiTheme="minorHAnsi" w:hAnsiTheme="minorHAnsi"/>
                <w:szCs w:val="24"/>
              </w:rPr>
            </w:pPr>
            <w:r w:rsidRPr="006F6A57">
              <w:rPr>
                <w:rFonts w:asciiTheme="minorHAnsi" w:hAnsiTheme="minorHAnsi"/>
                <w:szCs w:val="24"/>
              </w:rPr>
              <w:t>Geriatrician 0.6 FTE</w:t>
            </w:r>
          </w:p>
          <w:p w:rsidR="00097480" w:rsidRPr="006F6A57" w:rsidRDefault="00097480" w:rsidP="00097480">
            <w:pPr>
              <w:rPr>
                <w:rFonts w:asciiTheme="minorHAnsi" w:hAnsiTheme="minorHAnsi"/>
                <w:szCs w:val="24"/>
              </w:rPr>
            </w:pPr>
            <w:r w:rsidRPr="006F6A57">
              <w:rPr>
                <w:rFonts w:asciiTheme="minorHAnsi" w:hAnsiTheme="minorHAnsi"/>
                <w:szCs w:val="24"/>
              </w:rPr>
              <w:t xml:space="preserve">ADON – 0.33FTE </w:t>
            </w:r>
          </w:p>
          <w:p w:rsidR="00097480" w:rsidRPr="006F6A57" w:rsidRDefault="00097480" w:rsidP="00097480">
            <w:pPr>
              <w:rPr>
                <w:rFonts w:asciiTheme="minorHAnsi" w:hAnsiTheme="minorHAnsi"/>
                <w:szCs w:val="24"/>
              </w:rPr>
            </w:pPr>
            <w:r w:rsidRPr="006F6A57">
              <w:rPr>
                <w:rFonts w:asciiTheme="minorHAnsi" w:hAnsiTheme="minorHAnsi"/>
                <w:szCs w:val="24"/>
              </w:rPr>
              <w:t> </w:t>
            </w:r>
          </w:p>
        </w:tc>
        <w:tc>
          <w:tcPr>
            <w:tcW w:w="2694" w:type="dxa"/>
          </w:tcPr>
          <w:p w:rsidR="00F7501A" w:rsidRPr="006F6A57" w:rsidRDefault="00F7501A" w:rsidP="00535F2A">
            <w:pPr>
              <w:tabs>
                <w:tab w:val="left" w:pos="251"/>
              </w:tabs>
              <w:rPr>
                <w:rFonts w:asciiTheme="minorHAnsi" w:hAnsiTheme="minorHAnsi"/>
                <w:szCs w:val="24"/>
              </w:rPr>
            </w:pPr>
            <w:r w:rsidRPr="006F6A57">
              <w:rPr>
                <w:rFonts w:asciiTheme="minorHAnsi" w:hAnsiTheme="minorHAnsi"/>
                <w:szCs w:val="24"/>
              </w:rPr>
              <w:t>$1.622 million over four years</w:t>
            </w:r>
          </w:p>
          <w:p w:rsidR="00F7501A" w:rsidRPr="006F6A57" w:rsidRDefault="00F7501A" w:rsidP="00535F2A">
            <w:pPr>
              <w:tabs>
                <w:tab w:val="left" w:pos="251"/>
              </w:tabs>
              <w:rPr>
                <w:rFonts w:asciiTheme="minorHAnsi" w:hAnsiTheme="minorHAnsi"/>
                <w:szCs w:val="24"/>
              </w:rPr>
            </w:pPr>
          </w:p>
          <w:p w:rsidR="00F7501A" w:rsidRPr="006F6A57" w:rsidRDefault="005C7D0F" w:rsidP="00B152E0">
            <w:pPr>
              <w:rPr>
                <w:rFonts w:asciiTheme="minorHAnsi" w:hAnsiTheme="minorHAnsi"/>
                <w:szCs w:val="24"/>
              </w:rPr>
            </w:pPr>
            <w:r w:rsidRPr="006F6A57">
              <w:rPr>
                <w:rFonts w:asciiTheme="minorHAnsi" w:hAnsiTheme="minorHAnsi"/>
                <w:szCs w:val="24"/>
              </w:rPr>
              <w:t>Total expenditure for 2012-13 on this key deliverable is  $602,733.63</w:t>
            </w:r>
          </w:p>
        </w:tc>
        <w:tc>
          <w:tcPr>
            <w:tcW w:w="4357" w:type="dxa"/>
          </w:tcPr>
          <w:p w:rsidR="005C7D0F" w:rsidRPr="006F6A57" w:rsidRDefault="005C7D0F" w:rsidP="005C7D0F">
            <w:pPr>
              <w:rPr>
                <w:rFonts w:asciiTheme="minorHAnsi" w:hAnsiTheme="minorHAnsi"/>
                <w:szCs w:val="24"/>
              </w:rPr>
            </w:pPr>
            <w:r w:rsidRPr="006F6A57">
              <w:rPr>
                <w:rFonts w:asciiTheme="minorHAnsi" w:hAnsiTheme="minorHAnsi"/>
                <w:szCs w:val="24"/>
              </w:rPr>
              <w:t>RADAR continues to provide a short term assessment and management service to elderly clients living in the community or in a residential aged care facility (RACF). Referrals are received from General Practitioners’ (GP’s) who have a deteriorating elderly client in the community who potentially can be managed at home or in a residential aged care facility.</w:t>
            </w:r>
          </w:p>
          <w:p w:rsidR="005C7D0F" w:rsidRPr="006F6A57" w:rsidRDefault="005C7D0F" w:rsidP="005C7D0F">
            <w:pPr>
              <w:rPr>
                <w:rFonts w:asciiTheme="minorHAnsi" w:hAnsiTheme="minorHAnsi"/>
                <w:szCs w:val="24"/>
              </w:rPr>
            </w:pPr>
            <w:r w:rsidRPr="006F6A57">
              <w:rPr>
                <w:rFonts w:asciiTheme="minorHAnsi" w:hAnsiTheme="minorHAnsi"/>
                <w:szCs w:val="24"/>
              </w:rPr>
              <w:t> </w:t>
            </w:r>
          </w:p>
          <w:p w:rsidR="001F7F2D" w:rsidRDefault="005C7D0F" w:rsidP="00B508F4">
            <w:pPr>
              <w:rPr>
                <w:rFonts w:asciiTheme="minorHAnsi" w:hAnsiTheme="minorHAnsi"/>
                <w:szCs w:val="24"/>
              </w:rPr>
            </w:pPr>
            <w:r w:rsidRPr="006F6A57">
              <w:rPr>
                <w:rFonts w:asciiTheme="minorHAnsi" w:hAnsiTheme="minorHAnsi"/>
                <w:szCs w:val="24"/>
              </w:rPr>
              <w:t>In the reporting period 1 July 2012 – 30 June 2013</w:t>
            </w:r>
            <w:r w:rsidR="00694AD1">
              <w:rPr>
                <w:rFonts w:asciiTheme="minorHAnsi" w:hAnsiTheme="minorHAnsi"/>
                <w:szCs w:val="24"/>
              </w:rPr>
              <w:t>,</w:t>
            </w:r>
            <w:r w:rsidRPr="006F6A57">
              <w:rPr>
                <w:rFonts w:asciiTheme="minorHAnsi" w:hAnsiTheme="minorHAnsi"/>
                <w:szCs w:val="24"/>
              </w:rPr>
              <w:t xml:space="preserve"> RADAR had 349 referrals and 2545 occ</w:t>
            </w:r>
            <w:r w:rsidR="00694AD1">
              <w:rPr>
                <w:rFonts w:asciiTheme="minorHAnsi" w:hAnsiTheme="minorHAnsi"/>
                <w:szCs w:val="24"/>
              </w:rPr>
              <w:t xml:space="preserve">asions of service. Activity </w:t>
            </w:r>
            <w:r w:rsidRPr="006F6A57">
              <w:rPr>
                <w:rFonts w:asciiTheme="minorHAnsi" w:hAnsiTheme="minorHAnsi"/>
                <w:szCs w:val="24"/>
              </w:rPr>
              <w:t xml:space="preserve">significantly increased compared with the previous year. Of the 349 patients referred </w:t>
            </w:r>
            <w:r w:rsidR="00097480">
              <w:rPr>
                <w:rFonts w:asciiTheme="minorHAnsi" w:hAnsiTheme="minorHAnsi"/>
                <w:szCs w:val="24"/>
              </w:rPr>
              <w:t>to RADAR, 45 required admission</w:t>
            </w:r>
          </w:p>
          <w:p w:rsidR="00097480" w:rsidRDefault="00097480" w:rsidP="00097480">
            <w:pPr>
              <w:rPr>
                <w:rFonts w:asciiTheme="minorHAnsi" w:hAnsiTheme="minorHAnsi"/>
                <w:szCs w:val="24"/>
              </w:rPr>
            </w:pPr>
            <w:r w:rsidRPr="006F6A57">
              <w:rPr>
                <w:rFonts w:asciiTheme="minorHAnsi" w:hAnsiTheme="minorHAnsi"/>
                <w:szCs w:val="24"/>
              </w:rPr>
              <w:t>to hospital</w:t>
            </w:r>
            <w:r w:rsidR="009F09B0">
              <w:rPr>
                <w:rFonts w:asciiTheme="minorHAnsi" w:hAnsiTheme="minorHAnsi"/>
                <w:szCs w:val="24"/>
              </w:rPr>
              <w:t xml:space="preserve">. </w:t>
            </w:r>
            <w:r w:rsidRPr="006F6A57">
              <w:rPr>
                <w:rFonts w:asciiTheme="minorHAnsi" w:hAnsiTheme="minorHAnsi"/>
                <w:szCs w:val="24"/>
              </w:rPr>
              <w:t xml:space="preserve"> This reflects an admission rate of only 13%. This means that 87% of patients seen by the RADAR team, received clinical intervention and management that resulted in the patient not requiring admission to hospital. An increase in Nurse Practitioner FTE and Geriatrician FTE was a direct response to an increase in service demand. </w:t>
            </w:r>
          </w:p>
          <w:p w:rsidR="00545186" w:rsidRPr="00097480" w:rsidRDefault="00545186" w:rsidP="00097480">
            <w:pPr>
              <w:rPr>
                <w:rFonts w:asciiTheme="minorHAnsi" w:hAnsiTheme="minorHAnsi"/>
                <w:szCs w:val="24"/>
                <w:highlight w:val="yellow"/>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097480" w:rsidTr="00851900">
        <w:trPr>
          <w:gridAfter w:val="1"/>
          <w:wAfter w:w="4357" w:type="dxa"/>
          <w:trHeight w:val="1251"/>
        </w:trPr>
        <w:tc>
          <w:tcPr>
            <w:tcW w:w="3544" w:type="dxa"/>
          </w:tcPr>
          <w:p w:rsidR="00097480" w:rsidRPr="006F6A57" w:rsidRDefault="00097480" w:rsidP="00243F94">
            <w:pPr>
              <w:rPr>
                <w:rFonts w:asciiTheme="minorHAnsi" w:hAnsiTheme="minorHAnsi"/>
                <w:b/>
                <w:szCs w:val="24"/>
              </w:rPr>
            </w:pPr>
          </w:p>
        </w:tc>
        <w:tc>
          <w:tcPr>
            <w:tcW w:w="4082" w:type="dxa"/>
          </w:tcPr>
          <w:p w:rsidR="00097480" w:rsidRPr="006F6A57" w:rsidRDefault="00097480" w:rsidP="00097480">
            <w:pPr>
              <w:rPr>
                <w:rFonts w:asciiTheme="minorHAnsi" w:hAnsiTheme="minorHAnsi"/>
                <w:szCs w:val="24"/>
              </w:rPr>
            </w:pPr>
            <w:r w:rsidRPr="006F6A57">
              <w:rPr>
                <w:rFonts w:asciiTheme="minorHAnsi" w:hAnsiTheme="minorHAnsi"/>
                <w:b/>
                <w:bCs/>
                <w:szCs w:val="24"/>
              </w:rPr>
              <w:t>2012-13</w:t>
            </w:r>
          </w:p>
          <w:p w:rsidR="00097480" w:rsidRPr="006F6A57" w:rsidRDefault="00097480" w:rsidP="00097480">
            <w:pPr>
              <w:rPr>
                <w:rFonts w:asciiTheme="minorHAnsi" w:hAnsiTheme="minorHAnsi"/>
                <w:szCs w:val="24"/>
              </w:rPr>
            </w:pPr>
            <w:r w:rsidRPr="006F6A57">
              <w:rPr>
                <w:rFonts w:asciiTheme="minorHAnsi" w:hAnsiTheme="minorHAnsi"/>
                <w:szCs w:val="24"/>
              </w:rPr>
              <w:t>Reg</w:t>
            </w:r>
            <w:r>
              <w:rPr>
                <w:rFonts w:asciiTheme="minorHAnsi" w:hAnsiTheme="minorHAnsi"/>
                <w:szCs w:val="24"/>
              </w:rPr>
              <w:t>istered</w:t>
            </w:r>
            <w:r w:rsidRPr="006F6A57">
              <w:rPr>
                <w:rFonts w:asciiTheme="minorHAnsi" w:hAnsiTheme="minorHAnsi"/>
                <w:szCs w:val="24"/>
              </w:rPr>
              <w:t xml:space="preserve"> Nurse Level 2 – 1.5 FTE</w:t>
            </w:r>
          </w:p>
          <w:p w:rsidR="00097480" w:rsidRPr="006F6A57" w:rsidRDefault="00097480" w:rsidP="00097480">
            <w:pPr>
              <w:rPr>
                <w:rFonts w:asciiTheme="minorHAnsi" w:hAnsiTheme="minorHAnsi"/>
                <w:szCs w:val="24"/>
              </w:rPr>
            </w:pPr>
            <w:r w:rsidRPr="006F6A57">
              <w:rPr>
                <w:rFonts w:asciiTheme="minorHAnsi" w:hAnsiTheme="minorHAnsi"/>
                <w:szCs w:val="24"/>
              </w:rPr>
              <w:t>HPO3 – 0.5 FTE</w:t>
            </w:r>
          </w:p>
          <w:p w:rsidR="00097480" w:rsidRPr="006F6A57" w:rsidRDefault="00097480" w:rsidP="00097480">
            <w:pPr>
              <w:rPr>
                <w:rFonts w:asciiTheme="minorHAnsi" w:hAnsiTheme="minorHAnsi"/>
                <w:szCs w:val="24"/>
              </w:rPr>
            </w:pPr>
            <w:r w:rsidRPr="006F6A57">
              <w:rPr>
                <w:rFonts w:asciiTheme="minorHAnsi" w:hAnsiTheme="minorHAnsi"/>
                <w:szCs w:val="24"/>
              </w:rPr>
              <w:t xml:space="preserve">Geriatrician 0.8 FTE </w:t>
            </w:r>
          </w:p>
          <w:p w:rsidR="00097480" w:rsidRPr="006F6A57" w:rsidRDefault="00097480" w:rsidP="00097480">
            <w:pPr>
              <w:rPr>
                <w:rFonts w:asciiTheme="minorHAnsi" w:hAnsiTheme="minorHAnsi"/>
                <w:szCs w:val="24"/>
              </w:rPr>
            </w:pPr>
            <w:r w:rsidRPr="006F6A57">
              <w:rPr>
                <w:rFonts w:asciiTheme="minorHAnsi" w:hAnsiTheme="minorHAnsi"/>
                <w:szCs w:val="24"/>
              </w:rPr>
              <w:t>ADON – 0.33FTE</w:t>
            </w:r>
          </w:p>
          <w:p w:rsidR="00097480" w:rsidRPr="006F6A57" w:rsidRDefault="00097480" w:rsidP="00097480">
            <w:pPr>
              <w:rPr>
                <w:rFonts w:asciiTheme="minorHAnsi" w:hAnsiTheme="minorHAnsi"/>
                <w:szCs w:val="24"/>
              </w:rPr>
            </w:pPr>
            <w:r w:rsidRPr="006F6A57">
              <w:rPr>
                <w:rFonts w:asciiTheme="minorHAnsi" w:hAnsiTheme="minorHAnsi"/>
                <w:szCs w:val="24"/>
              </w:rPr>
              <w:t>Nurse Practitioner – 0.5</w:t>
            </w:r>
            <w:r w:rsidRPr="006F6A57">
              <w:rPr>
                <w:rFonts w:asciiTheme="minorHAnsi" w:hAnsiTheme="minorHAnsi"/>
                <w:bCs/>
                <w:szCs w:val="24"/>
              </w:rPr>
              <w:t> FTE</w:t>
            </w:r>
          </w:p>
          <w:p w:rsidR="00097480" w:rsidRPr="006F6A57" w:rsidRDefault="00097480" w:rsidP="00097480">
            <w:pPr>
              <w:rPr>
                <w:rFonts w:asciiTheme="minorHAnsi" w:hAnsiTheme="minorHAnsi"/>
                <w:szCs w:val="24"/>
              </w:rPr>
            </w:pPr>
            <w:r w:rsidRPr="006F6A57">
              <w:rPr>
                <w:rFonts w:asciiTheme="minorHAnsi" w:hAnsiTheme="minorHAnsi"/>
                <w:szCs w:val="24"/>
              </w:rPr>
              <w:t>Activities under this initiative have been implemented up to 30 June 2013</w:t>
            </w:r>
            <w:r>
              <w:rPr>
                <w:rFonts w:asciiTheme="minorHAnsi" w:hAnsiTheme="minorHAnsi"/>
                <w:szCs w:val="24"/>
              </w:rPr>
              <w:t>.</w:t>
            </w:r>
          </w:p>
        </w:tc>
        <w:tc>
          <w:tcPr>
            <w:tcW w:w="2694" w:type="dxa"/>
          </w:tcPr>
          <w:p w:rsidR="00097480" w:rsidRPr="006F6A57" w:rsidRDefault="00097480" w:rsidP="00535F2A">
            <w:pPr>
              <w:tabs>
                <w:tab w:val="left" w:pos="251"/>
              </w:tabs>
              <w:rPr>
                <w:rFonts w:asciiTheme="minorHAnsi" w:hAnsiTheme="minorHAnsi"/>
                <w:szCs w:val="24"/>
              </w:rPr>
            </w:pPr>
          </w:p>
        </w:tc>
        <w:tc>
          <w:tcPr>
            <w:tcW w:w="4357" w:type="dxa"/>
          </w:tcPr>
          <w:p w:rsidR="00097480" w:rsidRPr="006F6A57" w:rsidRDefault="00097480" w:rsidP="00097480">
            <w:pPr>
              <w:rPr>
                <w:rFonts w:asciiTheme="minorHAnsi" w:hAnsiTheme="minorHAnsi"/>
                <w:szCs w:val="24"/>
              </w:rPr>
            </w:pPr>
            <w:r w:rsidRPr="006F6A57">
              <w:rPr>
                <w:rFonts w:asciiTheme="minorHAnsi" w:hAnsiTheme="minorHAnsi"/>
                <w:szCs w:val="24"/>
              </w:rPr>
              <w:t>RADAR continues to promote its service to GPs. RADAR staff have contributed to the training of ACT Ambulance Service officers in their Extended Care Paramedics (ECP) pilot program funded by Health Workforce Australia. RADAR continues to</w:t>
            </w:r>
            <w:r>
              <w:rPr>
                <w:rFonts w:asciiTheme="minorHAnsi" w:hAnsiTheme="minorHAnsi"/>
                <w:szCs w:val="24"/>
              </w:rPr>
              <w:t xml:space="preserve"> work closely with </w:t>
            </w:r>
            <w:r w:rsidRPr="006F6A57">
              <w:rPr>
                <w:rFonts w:asciiTheme="minorHAnsi" w:hAnsiTheme="minorHAnsi"/>
                <w:szCs w:val="24"/>
              </w:rPr>
              <w:t>ACT Health Hospital in the Home (HITH).</w:t>
            </w:r>
          </w:p>
          <w:p w:rsidR="00097480" w:rsidRPr="006F6A57" w:rsidRDefault="00097480" w:rsidP="005C7D0F">
            <w:pPr>
              <w:rPr>
                <w:rFonts w:asciiTheme="minorHAnsi" w:hAnsiTheme="minorHAnsi"/>
                <w:szCs w:val="24"/>
              </w:rPr>
            </w:pPr>
          </w:p>
        </w:tc>
      </w:tr>
      <w:tr w:rsidR="00535F2A" w:rsidTr="00851900">
        <w:trPr>
          <w:gridAfter w:val="1"/>
          <w:wAfter w:w="4357" w:type="dxa"/>
          <w:trHeight w:val="2139"/>
        </w:trPr>
        <w:tc>
          <w:tcPr>
            <w:tcW w:w="3544" w:type="dxa"/>
          </w:tcPr>
          <w:p w:rsidR="00535F2A" w:rsidRPr="006F6A57" w:rsidRDefault="00535F2A" w:rsidP="004245E9">
            <w:pPr>
              <w:rPr>
                <w:rFonts w:asciiTheme="minorHAnsi" w:hAnsiTheme="minorHAnsi"/>
                <w:b/>
              </w:rPr>
            </w:pPr>
            <w:r w:rsidRPr="006F6A57">
              <w:rPr>
                <w:rFonts w:asciiTheme="minorHAnsi" w:hAnsiTheme="minorHAnsi"/>
                <w:b/>
              </w:rPr>
              <w:t>5.  Enhancement to existing services within the Older Persons Mental Health Service (OPMHS)</w:t>
            </w:r>
            <w:r w:rsidRPr="006F6A57">
              <w:rPr>
                <w:rFonts w:asciiTheme="minorHAnsi" w:hAnsiTheme="minorHAnsi"/>
                <w:i/>
                <w:szCs w:val="24"/>
              </w:rPr>
              <w:t xml:space="preserve"> </w:t>
            </w:r>
            <w:r w:rsidRPr="006F6A57">
              <w:rPr>
                <w:rFonts w:asciiTheme="minorHAnsi" w:hAnsiTheme="minorHAnsi"/>
                <w:szCs w:val="24"/>
              </w:rPr>
              <w:t>located at Calvary Hospital.</w:t>
            </w:r>
          </w:p>
          <w:p w:rsidR="00535F2A" w:rsidRPr="003D4AB7" w:rsidRDefault="00535F2A" w:rsidP="00243F94">
            <w:pPr>
              <w:rPr>
                <w:b/>
              </w:rPr>
            </w:pPr>
          </w:p>
        </w:tc>
        <w:tc>
          <w:tcPr>
            <w:tcW w:w="4082" w:type="dxa"/>
          </w:tcPr>
          <w:p w:rsidR="00FE5472" w:rsidRPr="006F6A57" w:rsidRDefault="00FE5472" w:rsidP="00FE5472">
            <w:pPr>
              <w:rPr>
                <w:rFonts w:asciiTheme="minorHAnsi" w:hAnsiTheme="minorHAnsi"/>
                <w:szCs w:val="24"/>
              </w:rPr>
            </w:pPr>
            <w:r w:rsidRPr="006F6A57">
              <w:rPr>
                <w:rFonts w:asciiTheme="minorHAnsi" w:hAnsiTheme="minorHAnsi"/>
                <w:szCs w:val="24"/>
              </w:rPr>
              <w:t xml:space="preserve">Activities under this initiative </w:t>
            </w:r>
            <w:r w:rsidR="009F09B0">
              <w:rPr>
                <w:rFonts w:asciiTheme="minorHAnsi" w:hAnsiTheme="minorHAnsi"/>
                <w:szCs w:val="24"/>
              </w:rPr>
              <w:t>have</w:t>
            </w:r>
            <w:r w:rsidR="00C4101C" w:rsidRPr="006F6A57">
              <w:rPr>
                <w:rFonts w:asciiTheme="minorHAnsi" w:hAnsiTheme="minorHAnsi"/>
                <w:szCs w:val="24"/>
              </w:rPr>
              <w:t xml:space="preserve"> been</w:t>
            </w:r>
            <w:r w:rsidRPr="006F6A57">
              <w:rPr>
                <w:rFonts w:asciiTheme="minorHAnsi" w:hAnsiTheme="minorHAnsi"/>
                <w:szCs w:val="24"/>
              </w:rPr>
              <w:t xml:space="preserve"> implemented up to </w:t>
            </w:r>
            <w:r w:rsidR="00C4101C" w:rsidRPr="006F6A57">
              <w:rPr>
                <w:rFonts w:asciiTheme="minorHAnsi" w:hAnsiTheme="minorHAnsi"/>
                <w:szCs w:val="24"/>
              </w:rPr>
              <w:t>30 June 2013</w:t>
            </w:r>
            <w:r w:rsidRPr="006F6A57">
              <w:rPr>
                <w:rFonts w:asciiTheme="minorHAnsi" w:hAnsiTheme="minorHAnsi"/>
                <w:szCs w:val="24"/>
              </w:rPr>
              <w:t>.</w:t>
            </w:r>
          </w:p>
          <w:p w:rsidR="00FE5472" w:rsidRPr="006F6A57" w:rsidRDefault="00FE5472" w:rsidP="00FE5472">
            <w:pPr>
              <w:rPr>
                <w:rFonts w:asciiTheme="minorHAnsi" w:hAnsiTheme="minorHAnsi"/>
                <w:szCs w:val="24"/>
              </w:rPr>
            </w:pPr>
          </w:p>
          <w:p w:rsidR="006F6A57" w:rsidRPr="006F6A57" w:rsidRDefault="006F6A57" w:rsidP="006F6A57">
            <w:pPr>
              <w:rPr>
                <w:rFonts w:asciiTheme="minorHAnsi" w:hAnsiTheme="minorHAnsi"/>
                <w:color w:val="FF0000"/>
                <w:szCs w:val="24"/>
              </w:rPr>
            </w:pPr>
            <w:r w:rsidRPr="006F6A57">
              <w:rPr>
                <w:rFonts w:asciiTheme="minorHAnsi" w:hAnsiTheme="minorHAnsi"/>
                <w:szCs w:val="24"/>
              </w:rPr>
              <w:t>Three full time staff were recruited and employed in September 2009 and continue to work as a sub-team within the Older Persons Mental Health Community Team (OPMHCT).</w:t>
            </w:r>
          </w:p>
          <w:p w:rsidR="006F6A57" w:rsidRPr="006F6A57" w:rsidRDefault="006F6A57" w:rsidP="006F6A57">
            <w:pPr>
              <w:rPr>
                <w:rFonts w:asciiTheme="minorHAnsi" w:hAnsiTheme="minorHAnsi"/>
                <w:szCs w:val="24"/>
              </w:rPr>
            </w:pPr>
          </w:p>
          <w:p w:rsidR="006F6A57" w:rsidRPr="006F6A57" w:rsidRDefault="006F6A57" w:rsidP="006F6A57">
            <w:pPr>
              <w:rPr>
                <w:rFonts w:asciiTheme="minorHAnsi" w:hAnsiTheme="minorHAnsi"/>
                <w:b/>
                <w:bCs/>
                <w:szCs w:val="24"/>
              </w:rPr>
            </w:pPr>
          </w:p>
          <w:p w:rsidR="006F6A57" w:rsidRPr="006F6A57" w:rsidRDefault="006F6A57" w:rsidP="006F6A57">
            <w:pPr>
              <w:rPr>
                <w:rFonts w:asciiTheme="minorHAnsi" w:hAnsiTheme="minorHAnsi"/>
                <w:szCs w:val="24"/>
              </w:rPr>
            </w:pPr>
            <w:r w:rsidRPr="006F6A57">
              <w:rPr>
                <w:rFonts w:asciiTheme="minorHAnsi" w:hAnsiTheme="minorHAnsi"/>
                <w:szCs w:val="24"/>
              </w:rPr>
              <w:t xml:space="preserve">Two of the </w:t>
            </w:r>
            <w:r w:rsidRPr="006F6A57">
              <w:rPr>
                <w:rFonts w:asciiTheme="minorHAnsi" w:hAnsiTheme="minorHAnsi"/>
                <w:i/>
                <w:iCs/>
                <w:szCs w:val="24"/>
              </w:rPr>
              <w:t xml:space="preserve">OPMHCT Sub Team </w:t>
            </w:r>
            <w:r w:rsidRPr="006F6A57">
              <w:rPr>
                <w:rFonts w:asciiTheme="minorHAnsi" w:hAnsiTheme="minorHAnsi"/>
                <w:szCs w:val="24"/>
              </w:rPr>
              <w:t>members are continuing with their studies in Certificate IV training qualifications to support the delivery of educational sessions</w:t>
            </w:r>
            <w:r w:rsidR="009F09B0">
              <w:rPr>
                <w:rFonts w:asciiTheme="minorHAnsi" w:hAnsiTheme="minorHAnsi"/>
                <w:szCs w:val="24"/>
              </w:rPr>
              <w:t>.</w:t>
            </w:r>
          </w:p>
          <w:p w:rsidR="006F6A57" w:rsidRPr="006F6A57" w:rsidRDefault="006F6A57" w:rsidP="006F6A57">
            <w:pPr>
              <w:rPr>
                <w:rFonts w:asciiTheme="minorHAnsi" w:hAnsiTheme="minorHAnsi"/>
                <w:szCs w:val="24"/>
              </w:rPr>
            </w:pPr>
            <w:r w:rsidRPr="006F6A57">
              <w:rPr>
                <w:rFonts w:asciiTheme="minorHAnsi" w:hAnsiTheme="minorHAnsi"/>
                <w:b/>
                <w:bCs/>
                <w:szCs w:val="24"/>
                <w:u w:val="single"/>
              </w:rPr>
              <w:t>Services Liaison:</w:t>
            </w:r>
            <w:r w:rsidRPr="006F6A57">
              <w:rPr>
                <w:rFonts w:asciiTheme="minorHAnsi" w:hAnsiTheme="minorHAnsi"/>
                <w:szCs w:val="24"/>
              </w:rPr>
              <w:t xml:space="preserve">  </w:t>
            </w:r>
          </w:p>
          <w:p w:rsidR="00545186" w:rsidRDefault="006F6A57"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had service liaisons with Morling Lodge, Mirinjani, Jindalee and Calvary Retirement Village</w:t>
            </w:r>
          </w:p>
          <w:p w:rsidR="00C4101C" w:rsidRPr="00B508F4" w:rsidRDefault="006F6A57" w:rsidP="00097480">
            <w:pPr>
              <w:rPr>
                <w:rFonts w:asciiTheme="minorHAnsi" w:hAnsiTheme="minorHAnsi"/>
                <w:szCs w:val="24"/>
              </w:rPr>
            </w:pPr>
            <w:r w:rsidRPr="006F6A57">
              <w:rPr>
                <w:rFonts w:asciiTheme="minorHAnsi" w:hAnsiTheme="minorHAnsi"/>
                <w:szCs w:val="24"/>
              </w:rPr>
              <w:t xml:space="preserve"> </w:t>
            </w:r>
          </w:p>
        </w:tc>
        <w:tc>
          <w:tcPr>
            <w:tcW w:w="2694" w:type="dxa"/>
          </w:tcPr>
          <w:p w:rsidR="00535F2A" w:rsidRPr="006F6A57" w:rsidRDefault="00535F2A" w:rsidP="00535F2A">
            <w:pPr>
              <w:tabs>
                <w:tab w:val="left" w:pos="251"/>
              </w:tabs>
              <w:rPr>
                <w:rFonts w:asciiTheme="minorHAnsi" w:hAnsiTheme="minorHAnsi"/>
              </w:rPr>
            </w:pPr>
            <w:r w:rsidRPr="006F6A57">
              <w:rPr>
                <w:rFonts w:asciiTheme="minorHAnsi" w:hAnsiTheme="minorHAnsi"/>
              </w:rPr>
              <w:t>$1.276 million over four years</w:t>
            </w:r>
            <w:r w:rsidR="00626237" w:rsidRPr="006F6A57">
              <w:rPr>
                <w:rFonts w:asciiTheme="minorHAnsi" w:hAnsiTheme="minorHAnsi"/>
              </w:rPr>
              <w:t>.</w:t>
            </w:r>
          </w:p>
          <w:p w:rsidR="00626237" w:rsidRPr="006F6A57" w:rsidRDefault="00626237" w:rsidP="00535F2A">
            <w:pPr>
              <w:tabs>
                <w:tab w:val="left" w:pos="251"/>
              </w:tabs>
              <w:rPr>
                <w:rFonts w:asciiTheme="minorHAnsi" w:hAnsiTheme="minorHAnsi"/>
              </w:rPr>
            </w:pPr>
          </w:p>
          <w:p w:rsidR="006F6A57" w:rsidRPr="006F6A57" w:rsidRDefault="006F6A57" w:rsidP="006F6A57">
            <w:pPr>
              <w:rPr>
                <w:rFonts w:asciiTheme="minorHAnsi" w:hAnsiTheme="minorHAnsi"/>
              </w:rPr>
            </w:pPr>
            <w:r w:rsidRPr="006F6A57">
              <w:rPr>
                <w:rFonts w:asciiTheme="minorHAnsi" w:hAnsiTheme="minorHAnsi"/>
              </w:rPr>
              <w:t>Total expenditure for   2012-13 on this key deliverable is  $370,911</w:t>
            </w:r>
            <w:r w:rsidR="009F09B0">
              <w:rPr>
                <w:rFonts w:asciiTheme="minorHAnsi" w:hAnsiTheme="minorHAnsi"/>
              </w:rPr>
              <w:t>.</w:t>
            </w:r>
            <w:r w:rsidRPr="006F6A57">
              <w:rPr>
                <w:rFonts w:asciiTheme="minorHAnsi" w:hAnsiTheme="minorHAnsi"/>
              </w:rPr>
              <w:t xml:space="preserve"> </w:t>
            </w:r>
          </w:p>
          <w:p w:rsidR="00184AD1" w:rsidRPr="006F6A57" w:rsidRDefault="00184AD1"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5D5695" w:rsidRPr="006F6A57" w:rsidRDefault="005D5695" w:rsidP="00535F2A">
            <w:pPr>
              <w:tabs>
                <w:tab w:val="left" w:pos="251"/>
              </w:tabs>
              <w:rPr>
                <w:rFonts w:asciiTheme="minorHAnsi" w:hAnsiTheme="minorHAnsi"/>
                <w:highlight w:val="yellow"/>
              </w:rPr>
            </w:pPr>
          </w:p>
          <w:p w:rsidR="00C757A1" w:rsidRPr="006F6A57" w:rsidRDefault="00C757A1" w:rsidP="00535F2A">
            <w:pPr>
              <w:tabs>
                <w:tab w:val="left" w:pos="251"/>
              </w:tabs>
              <w:rPr>
                <w:rFonts w:asciiTheme="minorHAnsi" w:hAnsiTheme="minorHAnsi"/>
                <w:highlight w:val="yellow"/>
              </w:rPr>
            </w:pPr>
          </w:p>
          <w:p w:rsidR="00C757A1" w:rsidRPr="006F6A57" w:rsidRDefault="00C757A1" w:rsidP="00535F2A">
            <w:pPr>
              <w:tabs>
                <w:tab w:val="left" w:pos="251"/>
              </w:tabs>
              <w:rPr>
                <w:rFonts w:asciiTheme="minorHAnsi" w:hAnsiTheme="minorHAnsi"/>
                <w:highlight w:val="yellow"/>
              </w:rPr>
            </w:pPr>
          </w:p>
          <w:p w:rsidR="00C757A1" w:rsidRPr="006F6A57" w:rsidRDefault="00C757A1" w:rsidP="00535F2A">
            <w:pPr>
              <w:tabs>
                <w:tab w:val="left" w:pos="251"/>
              </w:tabs>
              <w:rPr>
                <w:rFonts w:asciiTheme="minorHAnsi" w:hAnsiTheme="minorHAnsi"/>
                <w:highlight w:val="yellow"/>
              </w:rPr>
            </w:pPr>
          </w:p>
          <w:p w:rsidR="00C757A1" w:rsidRPr="006F6A57" w:rsidRDefault="00C757A1" w:rsidP="00535F2A">
            <w:pPr>
              <w:tabs>
                <w:tab w:val="left" w:pos="251"/>
              </w:tabs>
              <w:rPr>
                <w:rFonts w:asciiTheme="minorHAnsi" w:hAnsiTheme="minorHAnsi"/>
                <w:highlight w:val="yellow"/>
              </w:rPr>
            </w:pPr>
          </w:p>
          <w:p w:rsidR="004A2D71" w:rsidRPr="006F6A57" w:rsidRDefault="004A2D71" w:rsidP="00535F2A">
            <w:pPr>
              <w:tabs>
                <w:tab w:val="left" w:pos="251"/>
              </w:tabs>
              <w:rPr>
                <w:rFonts w:asciiTheme="minorHAnsi" w:hAnsiTheme="minorHAnsi"/>
                <w:highlight w:val="yellow"/>
              </w:rPr>
            </w:pPr>
          </w:p>
        </w:tc>
        <w:tc>
          <w:tcPr>
            <w:tcW w:w="4357" w:type="dxa"/>
          </w:tcPr>
          <w:p w:rsidR="00535F2A" w:rsidRPr="006F6A57" w:rsidRDefault="006F6A57" w:rsidP="008E4A4D">
            <w:pPr>
              <w:rPr>
                <w:rFonts w:asciiTheme="minorHAnsi" w:hAnsiTheme="minorHAnsi"/>
                <w:szCs w:val="24"/>
              </w:rPr>
            </w:pPr>
            <w:r w:rsidRPr="006F6A57">
              <w:rPr>
                <w:rFonts w:asciiTheme="minorHAnsi" w:hAnsiTheme="minorHAnsi"/>
              </w:rPr>
              <w:t>Enhancement to the existing services also cover expanding liaison to service area providing educational sessions to residential aged care facilities; and ensuring the continuity of clinical consultation in the facilities.  All of these were undertaken by OPMHCT.</w:t>
            </w: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097480" w:rsidTr="00851900">
        <w:trPr>
          <w:gridAfter w:val="1"/>
          <w:wAfter w:w="4357" w:type="dxa"/>
          <w:trHeight w:val="2139"/>
        </w:trPr>
        <w:tc>
          <w:tcPr>
            <w:tcW w:w="3544" w:type="dxa"/>
          </w:tcPr>
          <w:p w:rsidR="00097480" w:rsidRPr="006F6A57" w:rsidRDefault="00097480" w:rsidP="004245E9">
            <w:pPr>
              <w:rPr>
                <w:rFonts w:asciiTheme="minorHAnsi" w:hAnsiTheme="minorHAnsi"/>
                <w:b/>
              </w:rPr>
            </w:pPr>
          </w:p>
        </w:tc>
        <w:tc>
          <w:tcPr>
            <w:tcW w:w="4082" w:type="dxa"/>
          </w:tcPr>
          <w:p w:rsidR="00097480" w:rsidRPr="006F6A57" w:rsidRDefault="00097480" w:rsidP="00097480">
            <w:pPr>
              <w:rPr>
                <w:rFonts w:asciiTheme="minorHAnsi" w:hAnsiTheme="minorHAnsi"/>
                <w:szCs w:val="24"/>
              </w:rPr>
            </w:pPr>
            <w:r w:rsidRPr="006F6A57">
              <w:rPr>
                <w:rFonts w:asciiTheme="minorHAnsi" w:hAnsiTheme="minorHAnsi"/>
                <w:szCs w:val="24"/>
              </w:rPr>
              <w:t>on multiple occasions.  These service liaisons were  to either support consumers transitioning from independent living to RACF’s or to support and participate in management planning to RACF  staff, assisting them to manage established residents presenting with challenging behaviours.</w:t>
            </w:r>
          </w:p>
          <w:p w:rsidR="00097480" w:rsidRPr="006F6A57" w:rsidRDefault="00097480" w:rsidP="00097480">
            <w:pPr>
              <w:rPr>
                <w:rFonts w:asciiTheme="minorHAnsi" w:hAnsiTheme="minorHAnsi"/>
                <w:szCs w:val="24"/>
              </w:rPr>
            </w:pPr>
          </w:p>
          <w:p w:rsidR="00097480" w:rsidRPr="006F6A57"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w:t>
            </w:r>
            <w:r>
              <w:rPr>
                <w:rFonts w:asciiTheme="minorHAnsi" w:hAnsiTheme="minorHAnsi"/>
                <w:szCs w:val="24"/>
              </w:rPr>
              <w:t>worked</w:t>
            </w:r>
            <w:r w:rsidRPr="006F6A57">
              <w:rPr>
                <w:rFonts w:asciiTheme="minorHAnsi" w:hAnsiTheme="minorHAnsi"/>
                <w:szCs w:val="24"/>
              </w:rPr>
              <w:t xml:space="preserve"> with ACT Housing for a tenant who presented with challenging behaviours as well as potential for physical and ment</w:t>
            </w:r>
            <w:r>
              <w:rPr>
                <w:rFonts w:asciiTheme="minorHAnsi" w:hAnsiTheme="minorHAnsi"/>
                <w:szCs w:val="24"/>
              </w:rPr>
              <w:t>al health deterioration.  This</w:t>
            </w:r>
            <w:r w:rsidRPr="006F6A57">
              <w:rPr>
                <w:rFonts w:asciiTheme="minorHAnsi" w:hAnsiTheme="minorHAnsi"/>
                <w:szCs w:val="24"/>
              </w:rPr>
              <w:t xml:space="preserve"> enhanced coordinated care and support to the tenant who required RACF placement.</w:t>
            </w:r>
          </w:p>
          <w:p w:rsidR="00097480" w:rsidRPr="006F6A57" w:rsidRDefault="00097480" w:rsidP="00097480">
            <w:pPr>
              <w:rPr>
                <w:rFonts w:asciiTheme="minorHAnsi" w:hAnsiTheme="minorHAnsi"/>
                <w:szCs w:val="24"/>
              </w:rPr>
            </w:pPr>
          </w:p>
          <w:p w:rsidR="00097480" w:rsidRPr="006F6A57"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w:t>
            </w:r>
            <w:r>
              <w:rPr>
                <w:rFonts w:asciiTheme="minorHAnsi" w:hAnsiTheme="minorHAnsi"/>
                <w:szCs w:val="24"/>
              </w:rPr>
              <w:t xml:space="preserve">worked </w:t>
            </w:r>
            <w:r w:rsidRPr="006F6A57">
              <w:rPr>
                <w:rFonts w:asciiTheme="minorHAnsi" w:hAnsiTheme="minorHAnsi"/>
                <w:szCs w:val="24"/>
              </w:rPr>
              <w:t>with multiple non government organisations for consumers, providing preventative services to reduce the need for unnecessary hospital admissions and providing enhanced coordinated care and support for consumers requiring RACF placement.</w:t>
            </w:r>
          </w:p>
          <w:p w:rsidR="00097480" w:rsidRDefault="00097480" w:rsidP="00097480">
            <w:pPr>
              <w:rPr>
                <w:rFonts w:asciiTheme="minorHAnsi" w:hAnsiTheme="minorHAnsi"/>
                <w:szCs w:val="24"/>
              </w:rPr>
            </w:pPr>
          </w:p>
          <w:p w:rsidR="00545186" w:rsidRPr="006F6A57" w:rsidRDefault="00545186" w:rsidP="00097480">
            <w:pPr>
              <w:rPr>
                <w:rFonts w:asciiTheme="minorHAnsi" w:hAnsiTheme="minorHAnsi"/>
                <w:szCs w:val="24"/>
              </w:rPr>
            </w:pPr>
          </w:p>
        </w:tc>
        <w:tc>
          <w:tcPr>
            <w:tcW w:w="2694" w:type="dxa"/>
          </w:tcPr>
          <w:p w:rsidR="00097480" w:rsidRPr="006F6A57" w:rsidRDefault="00097480" w:rsidP="00535F2A">
            <w:pPr>
              <w:tabs>
                <w:tab w:val="left" w:pos="251"/>
              </w:tabs>
              <w:rPr>
                <w:rFonts w:asciiTheme="minorHAnsi" w:hAnsiTheme="minorHAnsi"/>
              </w:rPr>
            </w:pPr>
          </w:p>
        </w:tc>
        <w:tc>
          <w:tcPr>
            <w:tcW w:w="4357" w:type="dxa"/>
          </w:tcPr>
          <w:p w:rsidR="00097480" w:rsidRPr="006F6A57" w:rsidRDefault="00097480" w:rsidP="008E4A4D">
            <w:pPr>
              <w:rPr>
                <w:rFonts w:asciiTheme="minorHAnsi" w:hAnsiTheme="minorHAnsi"/>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9A47EC" w:rsidTr="00851900">
        <w:trPr>
          <w:gridAfter w:val="1"/>
          <w:wAfter w:w="4357" w:type="dxa"/>
          <w:trHeight w:val="542"/>
        </w:trPr>
        <w:tc>
          <w:tcPr>
            <w:tcW w:w="3544" w:type="dxa"/>
          </w:tcPr>
          <w:p w:rsidR="009A47EC" w:rsidRPr="006F6A57" w:rsidRDefault="009A47EC" w:rsidP="004245E9">
            <w:pPr>
              <w:rPr>
                <w:rFonts w:asciiTheme="minorHAnsi" w:hAnsiTheme="minorHAnsi"/>
                <w:b/>
              </w:rPr>
            </w:pPr>
          </w:p>
        </w:tc>
        <w:tc>
          <w:tcPr>
            <w:tcW w:w="4082" w:type="dxa"/>
          </w:tcPr>
          <w:p w:rsidR="009A47EC" w:rsidRPr="006F6A57" w:rsidRDefault="009A47EC" w:rsidP="009A47EC">
            <w:pPr>
              <w:rPr>
                <w:rFonts w:asciiTheme="minorHAnsi" w:hAnsiTheme="minorHAnsi"/>
                <w:szCs w:val="24"/>
              </w:rPr>
            </w:pPr>
          </w:p>
          <w:p w:rsidR="009A47EC" w:rsidRPr="006F6A57" w:rsidRDefault="009A47EC" w:rsidP="009A47EC">
            <w:pPr>
              <w:rPr>
                <w:rFonts w:asciiTheme="minorHAnsi" w:hAnsiTheme="minorHAnsi"/>
                <w:b/>
                <w:bCs/>
                <w:szCs w:val="24"/>
                <w:u w:val="single"/>
              </w:rPr>
            </w:pPr>
            <w:r w:rsidRPr="006F6A57">
              <w:rPr>
                <w:rFonts w:asciiTheme="minorHAnsi" w:hAnsiTheme="minorHAnsi"/>
                <w:b/>
                <w:bCs/>
                <w:szCs w:val="24"/>
                <w:u w:val="single"/>
              </w:rPr>
              <w:t>Educational session:</w:t>
            </w:r>
          </w:p>
          <w:p w:rsidR="00097480" w:rsidRPr="006F6A57" w:rsidRDefault="009A47EC"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provided individual and group education </w:t>
            </w:r>
            <w:r w:rsidR="00097480" w:rsidRPr="006F6A57">
              <w:rPr>
                <w:rFonts w:asciiTheme="minorHAnsi" w:hAnsiTheme="minorHAnsi"/>
                <w:szCs w:val="24"/>
              </w:rPr>
              <w:t>sessions with Morling Lodge, Mirinjani,</w:t>
            </w:r>
            <w:r w:rsidR="00097480">
              <w:rPr>
                <w:rFonts w:asciiTheme="minorHAnsi" w:hAnsiTheme="minorHAnsi"/>
                <w:szCs w:val="24"/>
              </w:rPr>
              <w:t xml:space="preserve"> </w:t>
            </w:r>
            <w:r w:rsidR="00097480" w:rsidRPr="006F6A57">
              <w:rPr>
                <w:rFonts w:asciiTheme="minorHAnsi" w:hAnsiTheme="minorHAnsi"/>
                <w:szCs w:val="24"/>
              </w:rPr>
              <w:t>Jindalee and Calvary Retirement Village on multiple occasions focusing on targeted/individual issues related to residents mental health presentations.</w:t>
            </w:r>
          </w:p>
          <w:p w:rsidR="00097480" w:rsidRPr="006F6A57" w:rsidRDefault="00097480" w:rsidP="00097480">
            <w:pPr>
              <w:rPr>
                <w:rFonts w:asciiTheme="minorHAnsi" w:hAnsiTheme="minorHAnsi"/>
                <w:szCs w:val="24"/>
              </w:rPr>
            </w:pPr>
          </w:p>
          <w:p w:rsidR="00097480" w:rsidRPr="006F6A57"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 xml:space="preserve">OPMHCT Sub Team </w:t>
            </w:r>
            <w:r w:rsidRPr="006F6A57">
              <w:rPr>
                <w:rFonts w:asciiTheme="minorHAnsi" w:hAnsiTheme="minorHAnsi"/>
                <w:szCs w:val="24"/>
              </w:rPr>
              <w:t>provided individual and group education sessions at Southern Cross Garran with a focus on mental health presentations which initiated awareness of mental health issues and prompted a response from staff members seeking clarification, validation and assistance for personal and professional purposes.</w:t>
            </w:r>
          </w:p>
          <w:p w:rsidR="00097480" w:rsidRPr="006F6A57" w:rsidRDefault="00097480" w:rsidP="00097480">
            <w:pPr>
              <w:rPr>
                <w:rFonts w:asciiTheme="minorHAnsi" w:hAnsiTheme="minorHAnsi"/>
                <w:szCs w:val="24"/>
              </w:rPr>
            </w:pPr>
          </w:p>
          <w:p w:rsidR="009A47EC"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participated in internal education sessions regarding Behavioural and Psychological Symptoms of Dementia which they have then used to educate RACF staff, enhancing the management and care of RACF residents who regularly</w:t>
            </w:r>
          </w:p>
          <w:p w:rsidR="00EE7398" w:rsidRDefault="00EE7398" w:rsidP="009A47EC">
            <w:pPr>
              <w:rPr>
                <w:rFonts w:asciiTheme="minorHAnsi" w:hAnsiTheme="minorHAnsi"/>
                <w:szCs w:val="24"/>
              </w:rPr>
            </w:pPr>
          </w:p>
          <w:p w:rsidR="00545186" w:rsidRPr="006F6A57" w:rsidRDefault="00545186" w:rsidP="009A47EC">
            <w:pPr>
              <w:rPr>
                <w:rFonts w:asciiTheme="minorHAnsi" w:hAnsiTheme="minorHAnsi"/>
                <w:szCs w:val="24"/>
              </w:rPr>
            </w:pPr>
          </w:p>
        </w:tc>
        <w:tc>
          <w:tcPr>
            <w:tcW w:w="2694" w:type="dxa"/>
          </w:tcPr>
          <w:p w:rsidR="009A47EC" w:rsidRDefault="009A47EC" w:rsidP="00535F2A">
            <w:pPr>
              <w:tabs>
                <w:tab w:val="left" w:pos="251"/>
              </w:tabs>
              <w:rPr>
                <w:rFonts w:asciiTheme="minorHAnsi" w:hAnsiTheme="minorHAnsi"/>
              </w:rPr>
            </w:pPr>
          </w:p>
          <w:p w:rsidR="00EE7398" w:rsidRPr="006F6A57" w:rsidRDefault="00EE7398" w:rsidP="00535F2A">
            <w:pPr>
              <w:tabs>
                <w:tab w:val="left" w:pos="251"/>
              </w:tabs>
              <w:rPr>
                <w:rFonts w:asciiTheme="minorHAnsi" w:hAnsiTheme="minorHAnsi"/>
              </w:rPr>
            </w:pPr>
          </w:p>
        </w:tc>
        <w:tc>
          <w:tcPr>
            <w:tcW w:w="4357" w:type="dxa"/>
          </w:tcPr>
          <w:p w:rsidR="009A47EC" w:rsidRPr="006F6A57" w:rsidRDefault="009A47EC" w:rsidP="008E4A4D">
            <w:pPr>
              <w:rPr>
                <w:rFonts w:asciiTheme="minorHAnsi" w:hAnsiTheme="minorHAnsi"/>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9A47EC" w:rsidTr="00851900">
        <w:trPr>
          <w:gridAfter w:val="1"/>
          <w:wAfter w:w="4357" w:type="dxa"/>
          <w:trHeight w:val="542"/>
        </w:trPr>
        <w:tc>
          <w:tcPr>
            <w:tcW w:w="3544" w:type="dxa"/>
          </w:tcPr>
          <w:p w:rsidR="009A47EC" w:rsidRDefault="009A47EC" w:rsidP="004245E9">
            <w:pPr>
              <w:rPr>
                <w:rFonts w:asciiTheme="minorHAnsi" w:hAnsiTheme="minorHAnsi"/>
                <w:b/>
              </w:rPr>
            </w:pPr>
          </w:p>
        </w:tc>
        <w:tc>
          <w:tcPr>
            <w:tcW w:w="4082" w:type="dxa"/>
          </w:tcPr>
          <w:p w:rsidR="009A47EC" w:rsidRPr="006F6A57" w:rsidRDefault="009A47EC" w:rsidP="009A47EC">
            <w:pPr>
              <w:rPr>
                <w:rFonts w:asciiTheme="minorHAnsi" w:hAnsiTheme="minorHAnsi"/>
                <w:szCs w:val="24"/>
              </w:rPr>
            </w:pPr>
            <w:r w:rsidRPr="006F6A57">
              <w:rPr>
                <w:rFonts w:asciiTheme="minorHAnsi" w:hAnsiTheme="minorHAnsi"/>
                <w:szCs w:val="24"/>
              </w:rPr>
              <w:t xml:space="preserve">present with this diagnosis. </w:t>
            </w:r>
          </w:p>
          <w:p w:rsidR="009A47EC" w:rsidRPr="006F6A57" w:rsidRDefault="009A47EC" w:rsidP="009A47EC">
            <w:pPr>
              <w:rPr>
                <w:rFonts w:asciiTheme="minorHAnsi" w:hAnsiTheme="minorHAnsi"/>
                <w:szCs w:val="24"/>
              </w:rPr>
            </w:pPr>
          </w:p>
          <w:p w:rsidR="00097480" w:rsidRPr="006F6A57" w:rsidRDefault="009A47EC"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participated in internal education sessions regarding Compassion Fatigue and Burnout which</w:t>
            </w:r>
            <w:r w:rsidR="00097480" w:rsidRPr="006F6A57">
              <w:rPr>
                <w:rFonts w:asciiTheme="minorHAnsi" w:hAnsiTheme="minorHAnsi"/>
                <w:szCs w:val="24"/>
              </w:rPr>
              <w:t xml:space="preserve"> they have then used to educate RACF staff, assisting RACF staff to manage</w:t>
            </w:r>
            <w:r w:rsidR="00097480">
              <w:rPr>
                <w:rFonts w:asciiTheme="minorHAnsi" w:hAnsiTheme="minorHAnsi"/>
                <w:szCs w:val="24"/>
              </w:rPr>
              <w:t xml:space="preserve"> </w:t>
            </w:r>
            <w:r w:rsidR="00097480" w:rsidRPr="006F6A57">
              <w:rPr>
                <w:rFonts w:asciiTheme="minorHAnsi" w:hAnsiTheme="minorHAnsi"/>
                <w:szCs w:val="24"/>
              </w:rPr>
              <w:t>their stress of caring for residents with challenging behaviours.</w:t>
            </w:r>
          </w:p>
          <w:p w:rsidR="00097480" w:rsidRPr="006F6A57" w:rsidRDefault="00097480" w:rsidP="00097480">
            <w:pPr>
              <w:ind w:firstLine="567"/>
              <w:rPr>
                <w:rFonts w:asciiTheme="minorHAnsi" w:hAnsiTheme="minorHAnsi"/>
                <w:szCs w:val="24"/>
              </w:rPr>
            </w:pPr>
          </w:p>
          <w:p w:rsidR="00097480" w:rsidRPr="006F6A57" w:rsidRDefault="00097480" w:rsidP="00097480">
            <w:pPr>
              <w:rPr>
                <w:rFonts w:asciiTheme="minorHAnsi" w:hAnsiTheme="minorHAnsi"/>
                <w:szCs w:val="24"/>
              </w:rPr>
            </w:pPr>
            <w:r w:rsidRPr="006F6A57">
              <w:rPr>
                <w:rFonts w:asciiTheme="minorHAnsi" w:hAnsiTheme="minorHAnsi"/>
                <w:szCs w:val="24"/>
              </w:rPr>
              <w:t xml:space="preserve">Members of the </w:t>
            </w:r>
            <w:r w:rsidRPr="006F6A57">
              <w:rPr>
                <w:rFonts w:asciiTheme="minorHAnsi" w:hAnsiTheme="minorHAnsi"/>
                <w:i/>
                <w:iCs/>
                <w:szCs w:val="24"/>
              </w:rPr>
              <w:t>OPMHCT Sub Team</w:t>
            </w:r>
            <w:r w:rsidRPr="006F6A57">
              <w:rPr>
                <w:rFonts w:asciiTheme="minorHAnsi" w:hAnsiTheme="minorHAnsi"/>
                <w:szCs w:val="24"/>
              </w:rPr>
              <w:t xml:space="preserve"> presented at the 13</w:t>
            </w:r>
            <w:r w:rsidRPr="006F6A57">
              <w:rPr>
                <w:rFonts w:asciiTheme="minorHAnsi" w:hAnsiTheme="minorHAnsi"/>
                <w:szCs w:val="24"/>
                <w:vertAlign w:val="superscript"/>
              </w:rPr>
              <w:t>th</w:t>
            </w:r>
            <w:r w:rsidRPr="006F6A57">
              <w:rPr>
                <w:rFonts w:asciiTheme="minorHAnsi" w:hAnsiTheme="minorHAnsi"/>
                <w:szCs w:val="24"/>
              </w:rPr>
              <w:t> </w:t>
            </w:r>
            <w:r w:rsidR="003A1177">
              <w:rPr>
                <w:rFonts w:asciiTheme="minorHAnsi" w:hAnsiTheme="minorHAnsi"/>
                <w:szCs w:val="24"/>
              </w:rPr>
              <w:t>I</w:t>
            </w:r>
            <w:r w:rsidRPr="006F6A57">
              <w:rPr>
                <w:rFonts w:asciiTheme="minorHAnsi" w:hAnsiTheme="minorHAnsi"/>
                <w:szCs w:val="24"/>
              </w:rPr>
              <w:t>nternational Mental Health Conference on the Gold Coast.  The presentation was titled The Integration of Resolution with Recovery Principles for the Ageing Person. This presentation enhanced awareness to other aged care service providers of the difficulties facing clinicians who support clients who are faced with death and dying at the end stage of the lifespan.</w:t>
            </w:r>
          </w:p>
          <w:p w:rsidR="00097480" w:rsidRPr="006F6A57" w:rsidRDefault="00097480" w:rsidP="00097480">
            <w:pPr>
              <w:rPr>
                <w:rFonts w:asciiTheme="minorHAnsi" w:hAnsiTheme="minorHAnsi"/>
                <w:szCs w:val="24"/>
              </w:rPr>
            </w:pPr>
          </w:p>
          <w:p w:rsidR="00545186"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provided education sessions to consumers and carers in their own homes to assist with the understanding and management of complex mental illness</w:t>
            </w:r>
          </w:p>
          <w:p w:rsidR="009A47EC" w:rsidRDefault="009A47EC" w:rsidP="00097480">
            <w:pPr>
              <w:rPr>
                <w:rFonts w:asciiTheme="minorHAnsi" w:hAnsiTheme="minorHAnsi"/>
                <w:szCs w:val="24"/>
              </w:rPr>
            </w:pPr>
            <w:r w:rsidRPr="006F6A57">
              <w:rPr>
                <w:rFonts w:asciiTheme="minorHAnsi" w:hAnsiTheme="minorHAnsi"/>
                <w:szCs w:val="24"/>
              </w:rPr>
              <w:t xml:space="preserve"> </w:t>
            </w:r>
          </w:p>
        </w:tc>
        <w:tc>
          <w:tcPr>
            <w:tcW w:w="2694" w:type="dxa"/>
          </w:tcPr>
          <w:p w:rsidR="009A47EC" w:rsidRPr="006F6A57" w:rsidRDefault="009A47EC" w:rsidP="00535F2A">
            <w:pPr>
              <w:tabs>
                <w:tab w:val="left" w:pos="251"/>
              </w:tabs>
              <w:rPr>
                <w:rFonts w:asciiTheme="minorHAnsi" w:hAnsiTheme="minorHAnsi"/>
              </w:rPr>
            </w:pPr>
          </w:p>
        </w:tc>
        <w:tc>
          <w:tcPr>
            <w:tcW w:w="4357" w:type="dxa"/>
          </w:tcPr>
          <w:p w:rsidR="009A47EC" w:rsidRPr="006F6A57" w:rsidRDefault="009A47EC" w:rsidP="008E4A4D">
            <w:pPr>
              <w:rPr>
                <w:rFonts w:asciiTheme="minorHAnsi" w:hAnsiTheme="minorHAnsi"/>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9A47EC" w:rsidTr="00851900">
        <w:trPr>
          <w:gridAfter w:val="1"/>
          <w:wAfter w:w="4357" w:type="dxa"/>
          <w:trHeight w:val="967"/>
        </w:trPr>
        <w:tc>
          <w:tcPr>
            <w:tcW w:w="3544" w:type="dxa"/>
          </w:tcPr>
          <w:p w:rsidR="009A47EC" w:rsidRDefault="009A47EC" w:rsidP="004245E9">
            <w:pPr>
              <w:rPr>
                <w:rFonts w:asciiTheme="minorHAnsi" w:hAnsiTheme="minorHAnsi"/>
                <w:b/>
              </w:rPr>
            </w:pPr>
          </w:p>
        </w:tc>
        <w:tc>
          <w:tcPr>
            <w:tcW w:w="4082" w:type="dxa"/>
          </w:tcPr>
          <w:p w:rsidR="009A47EC" w:rsidRDefault="009A47EC" w:rsidP="009A47EC">
            <w:pPr>
              <w:rPr>
                <w:rFonts w:asciiTheme="minorHAnsi" w:hAnsiTheme="minorHAnsi"/>
                <w:szCs w:val="24"/>
              </w:rPr>
            </w:pPr>
            <w:r w:rsidRPr="006F6A57">
              <w:rPr>
                <w:rFonts w:asciiTheme="minorHAnsi" w:hAnsiTheme="minorHAnsi"/>
                <w:szCs w:val="24"/>
              </w:rPr>
              <w:t xml:space="preserve">presentations, preventing unnecessary hospital admissions and supporting transition from independent living to RACF placements. </w:t>
            </w:r>
          </w:p>
          <w:p w:rsidR="00097480" w:rsidRPr="006F6A57"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provided education sessions to non government organisations to prevent unnecessary</w:t>
            </w:r>
            <w:r>
              <w:rPr>
                <w:rFonts w:asciiTheme="minorHAnsi" w:hAnsiTheme="minorHAnsi"/>
                <w:szCs w:val="24"/>
              </w:rPr>
              <w:t xml:space="preserve"> </w:t>
            </w:r>
            <w:r w:rsidRPr="006F6A57">
              <w:rPr>
                <w:rFonts w:asciiTheme="minorHAnsi" w:hAnsiTheme="minorHAnsi"/>
                <w:szCs w:val="24"/>
              </w:rPr>
              <w:t>hospital admission and to promote and support successful transition back to the community for older persons with mental illness and complex care needs.</w:t>
            </w:r>
          </w:p>
          <w:p w:rsidR="00097480" w:rsidRPr="006F6A57" w:rsidRDefault="00097480" w:rsidP="00097480">
            <w:pPr>
              <w:rPr>
                <w:rFonts w:asciiTheme="minorHAnsi" w:hAnsiTheme="minorHAnsi"/>
                <w:b/>
                <w:bCs/>
                <w:szCs w:val="24"/>
                <w:u w:val="single"/>
              </w:rPr>
            </w:pPr>
          </w:p>
          <w:p w:rsidR="00097480" w:rsidRPr="006F6A57" w:rsidRDefault="00097480" w:rsidP="00097480">
            <w:pPr>
              <w:rPr>
                <w:rFonts w:asciiTheme="minorHAnsi" w:hAnsiTheme="minorHAnsi"/>
                <w:szCs w:val="24"/>
              </w:rPr>
            </w:pPr>
            <w:r w:rsidRPr="006F6A57">
              <w:rPr>
                <w:rFonts w:asciiTheme="minorHAnsi" w:hAnsiTheme="minorHAnsi"/>
                <w:szCs w:val="24"/>
              </w:rPr>
              <w:t xml:space="preserve">A member of the </w:t>
            </w:r>
            <w:r w:rsidRPr="006F6A57">
              <w:rPr>
                <w:rFonts w:asciiTheme="minorHAnsi" w:hAnsiTheme="minorHAnsi"/>
                <w:i/>
                <w:iCs/>
                <w:szCs w:val="24"/>
              </w:rPr>
              <w:t>OPMHCT Sub Team</w:t>
            </w:r>
            <w:r w:rsidRPr="006F6A57">
              <w:rPr>
                <w:rFonts w:asciiTheme="minorHAnsi" w:hAnsiTheme="minorHAnsi"/>
                <w:szCs w:val="24"/>
              </w:rPr>
              <w:t xml:space="preserve"> delivered training to the Canberra Institute of Technology Chronic Disease workshop.</w:t>
            </w:r>
          </w:p>
          <w:p w:rsidR="00097480" w:rsidRPr="006F6A57" w:rsidRDefault="00097480" w:rsidP="00097480">
            <w:pPr>
              <w:rPr>
                <w:rFonts w:asciiTheme="minorHAnsi" w:hAnsiTheme="minorHAnsi"/>
                <w:szCs w:val="24"/>
              </w:rPr>
            </w:pPr>
          </w:p>
          <w:p w:rsidR="00097480" w:rsidRPr="006F6A57" w:rsidRDefault="00097480" w:rsidP="00097480">
            <w:pPr>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 xml:space="preserve">OPMHCT Sub Team </w:t>
            </w:r>
            <w:r w:rsidRPr="006F6A57">
              <w:rPr>
                <w:rFonts w:asciiTheme="minorHAnsi" w:hAnsiTheme="minorHAnsi"/>
                <w:szCs w:val="24"/>
              </w:rPr>
              <w:t>provided education session to Social Workers at Calvary John James Hospital to assist with identification and clarification of mental health issues in older adults.</w:t>
            </w:r>
          </w:p>
          <w:p w:rsidR="00097480" w:rsidRPr="006F6A57" w:rsidRDefault="00097480" w:rsidP="00097480">
            <w:pPr>
              <w:rPr>
                <w:rFonts w:asciiTheme="minorHAnsi" w:hAnsiTheme="minorHAnsi"/>
                <w:szCs w:val="24"/>
              </w:rPr>
            </w:pPr>
          </w:p>
          <w:p w:rsidR="00097480" w:rsidRPr="006F6A57" w:rsidRDefault="00097480" w:rsidP="00097480">
            <w:pPr>
              <w:rPr>
                <w:rFonts w:asciiTheme="minorHAnsi" w:hAnsiTheme="minorHAnsi"/>
                <w:b/>
                <w:bCs/>
                <w:szCs w:val="24"/>
                <w:u w:val="single"/>
              </w:rPr>
            </w:pPr>
            <w:r w:rsidRPr="006F6A57">
              <w:rPr>
                <w:rFonts w:asciiTheme="minorHAnsi" w:hAnsiTheme="minorHAnsi"/>
                <w:b/>
                <w:bCs/>
                <w:szCs w:val="24"/>
                <w:u w:val="single"/>
              </w:rPr>
              <w:t>Clinical Consultation:</w:t>
            </w:r>
          </w:p>
          <w:p w:rsidR="00097480" w:rsidRPr="006F6A57" w:rsidRDefault="00097480" w:rsidP="00097480">
            <w:pPr>
              <w:rPr>
                <w:rFonts w:asciiTheme="minorHAnsi" w:hAnsiTheme="minorHAnsi"/>
                <w:szCs w:val="24"/>
              </w:rPr>
            </w:pPr>
            <w:r w:rsidRPr="006F6A57">
              <w:rPr>
                <w:rFonts w:asciiTheme="minorHAnsi" w:hAnsiTheme="minorHAnsi"/>
                <w:szCs w:val="24"/>
              </w:rPr>
              <w:t xml:space="preserve">In accordance with ACT Health Directorate’s </w:t>
            </w:r>
            <w:r w:rsidRPr="006F6A57">
              <w:rPr>
                <w:rFonts w:asciiTheme="minorHAnsi" w:hAnsiTheme="minorHAnsi"/>
                <w:i/>
                <w:iCs/>
                <w:szCs w:val="24"/>
              </w:rPr>
              <w:t>Mental Health, Justice Health &amp; Alcohol &amp; Drug Services</w:t>
            </w:r>
          </w:p>
          <w:p w:rsidR="009A47EC" w:rsidRDefault="009A47EC" w:rsidP="009A47EC">
            <w:pPr>
              <w:rPr>
                <w:rFonts w:asciiTheme="minorHAnsi" w:hAnsiTheme="minorHAnsi"/>
                <w:szCs w:val="24"/>
              </w:rPr>
            </w:pPr>
          </w:p>
          <w:p w:rsidR="00545186" w:rsidRPr="006F6A57" w:rsidRDefault="00545186" w:rsidP="009A47EC">
            <w:pPr>
              <w:rPr>
                <w:rFonts w:asciiTheme="minorHAnsi" w:hAnsiTheme="minorHAnsi"/>
                <w:szCs w:val="24"/>
              </w:rPr>
            </w:pPr>
          </w:p>
        </w:tc>
        <w:tc>
          <w:tcPr>
            <w:tcW w:w="2694" w:type="dxa"/>
          </w:tcPr>
          <w:p w:rsidR="009A47EC" w:rsidRPr="006F6A57" w:rsidRDefault="009A47EC" w:rsidP="00535F2A">
            <w:pPr>
              <w:tabs>
                <w:tab w:val="left" w:pos="251"/>
              </w:tabs>
              <w:rPr>
                <w:rFonts w:asciiTheme="minorHAnsi" w:hAnsiTheme="minorHAnsi"/>
              </w:rPr>
            </w:pPr>
          </w:p>
        </w:tc>
        <w:tc>
          <w:tcPr>
            <w:tcW w:w="4357" w:type="dxa"/>
          </w:tcPr>
          <w:p w:rsidR="009A47EC" w:rsidRPr="006F6A57" w:rsidRDefault="009A47EC" w:rsidP="008E4A4D">
            <w:pPr>
              <w:rPr>
                <w:rFonts w:asciiTheme="minorHAnsi" w:hAnsiTheme="minorHAnsi"/>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097480" w:rsidTr="00851900">
        <w:trPr>
          <w:gridAfter w:val="1"/>
          <w:wAfter w:w="4357" w:type="dxa"/>
          <w:trHeight w:val="2139"/>
        </w:trPr>
        <w:tc>
          <w:tcPr>
            <w:tcW w:w="3544" w:type="dxa"/>
          </w:tcPr>
          <w:p w:rsidR="00097480" w:rsidRDefault="00097480" w:rsidP="004245E9">
            <w:pPr>
              <w:rPr>
                <w:rFonts w:asciiTheme="minorHAnsi" w:hAnsiTheme="minorHAnsi"/>
                <w:b/>
              </w:rPr>
            </w:pPr>
          </w:p>
        </w:tc>
        <w:tc>
          <w:tcPr>
            <w:tcW w:w="4082" w:type="dxa"/>
          </w:tcPr>
          <w:p w:rsidR="00097480" w:rsidRDefault="00097480" w:rsidP="00F92867">
            <w:pPr>
              <w:rPr>
                <w:rFonts w:asciiTheme="minorHAnsi" w:hAnsiTheme="minorHAnsi"/>
                <w:szCs w:val="24"/>
              </w:rPr>
            </w:pPr>
            <w:r w:rsidRPr="006F6A57">
              <w:rPr>
                <w:rFonts w:asciiTheme="minorHAnsi" w:hAnsiTheme="minorHAnsi"/>
                <w:i/>
                <w:iCs/>
                <w:szCs w:val="24"/>
              </w:rPr>
              <w:t>Division’s clinical reporting requirements</w:t>
            </w:r>
            <w:r w:rsidRPr="006F6A57">
              <w:rPr>
                <w:rFonts w:asciiTheme="minorHAnsi" w:hAnsiTheme="minorHAnsi"/>
                <w:szCs w:val="24"/>
              </w:rPr>
              <w:t xml:space="preserve">, a review of all </w:t>
            </w:r>
            <w:r w:rsidR="003A1177" w:rsidRPr="006F6A57">
              <w:rPr>
                <w:rFonts w:asciiTheme="minorHAnsi" w:hAnsiTheme="minorHAnsi"/>
                <w:szCs w:val="24"/>
              </w:rPr>
              <w:t>consumers’</w:t>
            </w:r>
            <w:r w:rsidRPr="006F6A57">
              <w:rPr>
                <w:rFonts w:asciiTheme="minorHAnsi" w:hAnsiTheme="minorHAnsi"/>
                <w:szCs w:val="24"/>
              </w:rPr>
              <w:t xml:space="preserve"> progress is required every 3 months.  As part of this process the </w:t>
            </w:r>
            <w:r w:rsidRPr="006F6A57">
              <w:rPr>
                <w:rFonts w:asciiTheme="minorHAnsi" w:hAnsiTheme="minorHAnsi"/>
                <w:i/>
                <w:iCs/>
                <w:szCs w:val="24"/>
              </w:rPr>
              <w:t>OPMHCT Sub Team</w:t>
            </w:r>
            <w:r w:rsidRPr="006F6A57">
              <w:rPr>
                <w:rFonts w:asciiTheme="minorHAnsi" w:hAnsiTheme="minorHAnsi"/>
                <w:szCs w:val="24"/>
              </w:rPr>
              <w:t xml:space="preserve"> liaise with RACF</w:t>
            </w:r>
          </w:p>
          <w:p w:rsidR="00097480" w:rsidRDefault="00097480" w:rsidP="00097480">
            <w:pPr>
              <w:pStyle w:val="ListParagraph"/>
              <w:ind w:left="0"/>
              <w:rPr>
                <w:rFonts w:asciiTheme="minorHAnsi" w:hAnsiTheme="minorHAnsi"/>
                <w:szCs w:val="24"/>
              </w:rPr>
            </w:pPr>
            <w:r w:rsidRPr="006F6A57">
              <w:rPr>
                <w:rFonts w:asciiTheme="minorHAnsi" w:hAnsiTheme="minorHAnsi"/>
                <w:szCs w:val="24"/>
              </w:rPr>
              <w:t xml:space="preserve">staff and aged care services for input on consumers’ status.  </w:t>
            </w:r>
          </w:p>
          <w:p w:rsidR="00097480" w:rsidRDefault="00097480" w:rsidP="00097480">
            <w:pPr>
              <w:pStyle w:val="ListParagraph"/>
              <w:ind w:left="0"/>
              <w:rPr>
                <w:rFonts w:asciiTheme="minorHAnsi" w:hAnsiTheme="minorHAnsi"/>
                <w:szCs w:val="24"/>
              </w:rPr>
            </w:pPr>
          </w:p>
          <w:p w:rsidR="00097480" w:rsidRPr="006F6A57" w:rsidRDefault="00097480" w:rsidP="00097480">
            <w:pPr>
              <w:pStyle w:val="ListParagraph"/>
              <w:ind w:left="0"/>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liaises with RACF’s and aged care services in respect to new referrals to OPMHCT and closure of OPMHCT consumers.  </w:t>
            </w:r>
          </w:p>
          <w:p w:rsidR="00097480" w:rsidRPr="006F6A57" w:rsidRDefault="00097480" w:rsidP="00097480">
            <w:pPr>
              <w:pStyle w:val="ListParagraph"/>
              <w:ind w:left="0"/>
              <w:rPr>
                <w:rFonts w:asciiTheme="minorHAnsi" w:hAnsiTheme="minorHAnsi"/>
                <w:szCs w:val="24"/>
              </w:rPr>
            </w:pPr>
          </w:p>
          <w:p w:rsidR="00097480" w:rsidRPr="006F6A57" w:rsidRDefault="00097480" w:rsidP="00097480">
            <w:pPr>
              <w:pStyle w:val="ListParagraph"/>
              <w:ind w:left="0"/>
              <w:rPr>
                <w:rFonts w:asciiTheme="minorHAnsi" w:hAnsiTheme="minorHAnsi"/>
                <w:szCs w:val="24"/>
              </w:rPr>
            </w:pPr>
            <w:r w:rsidRPr="006F6A57">
              <w:rPr>
                <w:rFonts w:asciiTheme="minorHAnsi" w:hAnsiTheme="minorHAnsi"/>
                <w:szCs w:val="24"/>
              </w:rPr>
              <w:t xml:space="preserve">Clinical consultation and hands on support occurs between the </w:t>
            </w:r>
            <w:r w:rsidRPr="006F6A57">
              <w:rPr>
                <w:rFonts w:asciiTheme="minorHAnsi" w:hAnsiTheme="minorHAnsi"/>
                <w:i/>
                <w:iCs/>
                <w:szCs w:val="24"/>
              </w:rPr>
              <w:t>OPMHCT Sub Team</w:t>
            </w:r>
            <w:r w:rsidRPr="006F6A57">
              <w:rPr>
                <w:rFonts w:asciiTheme="minorHAnsi" w:hAnsiTheme="minorHAnsi"/>
                <w:szCs w:val="24"/>
              </w:rPr>
              <w:t xml:space="preserve"> and OPMHCT staff regarding the transition of consumers from home to RACF’s. </w:t>
            </w:r>
          </w:p>
          <w:p w:rsidR="00097480" w:rsidRPr="006F6A57" w:rsidRDefault="00097480" w:rsidP="00097480">
            <w:pPr>
              <w:pStyle w:val="ListParagraph"/>
              <w:ind w:left="0"/>
              <w:rPr>
                <w:rFonts w:asciiTheme="minorHAnsi" w:hAnsiTheme="minorHAnsi"/>
                <w:szCs w:val="24"/>
              </w:rPr>
            </w:pPr>
          </w:p>
          <w:p w:rsidR="00097480" w:rsidRDefault="00097480" w:rsidP="00097480">
            <w:pPr>
              <w:pStyle w:val="ListParagraph"/>
              <w:ind w:left="0"/>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has been allocated new consumers to clinically manage where the primary/current issue has been progressing transitions from home to RACF’s.</w:t>
            </w:r>
          </w:p>
          <w:p w:rsidR="00097480" w:rsidRDefault="00097480" w:rsidP="00097480">
            <w:pPr>
              <w:pStyle w:val="ListParagraph"/>
              <w:ind w:left="0"/>
              <w:rPr>
                <w:rFonts w:asciiTheme="minorHAnsi" w:hAnsiTheme="minorHAnsi"/>
                <w:szCs w:val="24"/>
              </w:rPr>
            </w:pPr>
          </w:p>
          <w:p w:rsidR="00097480" w:rsidRDefault="00097480" w:rsidP="00097480">
            <w:pPr>
              <w:pStyle w:val="ListParagraph"/>
              <w:ind w:left="0"/>
              <w:rPr>
                <w:rFonts w:asciiTheme="minorHAnsi" w:hAnsiTheme="minorHAnsi"/>
                <w:szCs w:val="24"/>
              </w:rPr>
            </w:pPr>
          </w:p>
          <w:p w:rsidR="00097480" w:rsidRPr="006F6A57" w:rsidRDefault="00097480" w:rsidP="00097480">
            <w:pPr>
              <w:pStyle w:val="ListParagraph"/>
              <w:ind w:left="0"/>
              <w:rPr>
                <w:rFonts w:asciiTheme="minorHAnsi" w:hAnsiTheme="minorHAnsi"/>
                <w:szCs w:val="24"/>
              </w:rPr>
            </w:pPr>
          </w:p>
          <w:p w:rsidR="00097480" w:rsidRDefault="00097480" w:rsidP="00F92867">
            <w:pPr>
              <w:rPr>
                <w:rFonts w:asciiTheme="minorHAnsi" w:hAnsiTheme="minorHAnsi"/>
                <w:i/>
                <w:iCs/>
                <w:szCs w:val="24"/>
              </w:rPr>
            </w:pPr>
          </w:p>
          <w:p w:rsidR="00545186" w:rsidRPr="006F6A57" w:rsidRDefault="00545186" w:rsidP="00F92867">
            <w:pPr>
              <w:rPr>
                <w:rFonts w:asciiTheme="minorHAnsi" w:hAnsiTheme="minorHAnsi"/>
                <w:i/>
                <w:iCs/>
                <w:szCs w:val="24"/>
              </w:rPr>
            </w:pPr>
          </w:p>
        </w:tc>
        <w:tc>
          <w:tcPr>
            <w:tcW w:w="2694" w:type="dxa"/>
          </w:tcPr>
          <w:p w:rsidR="00097480" w:rsidRPr="006F6A57" w:rsidRDefault="00097480" w:rsidP="00535F2A">
            <w:pPr>
              <w:tabs>
                <w:tab w:val="left" w:pos="251"/>
              </w:tabs>
              <w:rPr>
                <w:rFonts w:asciiTheme="minorHAnsi" w:hAnsiTheme="minorHAnsi"/>
              </w:rPr>
            </w:pPr>
          </w:p>
        </w:tc>
        <w:tc>
          <w:tcPr>
            <w:tcW w:w="4357" w:type="dxa"/>
          </w:tcPr>
          <w:p w:rsidR="00097480" w:rsidRPr="006F6A57" w:rsidRDefault="00097480" w:rsidP="008E4A4D">
            <w:pPr>
              <w:rPr>
                <w:rFonts w:asciiTheme="minorHAnsi" w:hAnsiTheme="minorHAnsi"/>
              </w:rPr>
            </w:pPr>
          </w:p>
        </w:tc>
      </w:tr>
      <w:tr w:rsidR="00097480" w:rsidRPr="00F73570" w:rsidTr="00851900">
        <w:trPr>
          <w:gridAfter w:val="1"/>
          <w:wAfter w:w="4357" w:type="dxa"/>
        </w:trPr>
        <w:tc>
          <w:tcPr>
            <w:tcW w:w="354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Progress and timing</w:t>
            </w:r>
          </w:p>
        </w:tc>
        <w:tc>
          <w:tcPr>
            <w:tcW w:w="2694" w:type="dxa"/>
            <w:shd w:val="clear" w:color="auto" w:fill="000000"/>
          </w:tcPr>
          <w:p w:rsidR="00097480" w:rsidRPr="00F73570" w:rsidRDefault="00097480" w:rsidP="003723A7">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097480" w:rsidRDefault="00097480" w:rsidP="003723A7">
            <w:pPr>
              <w:rPr>
                <w:rFonts w:ascii="Arial" w:hAnsi="Arial" w:cs="Arial"/>
                <w:b/>
                <w:color w:val="FFFFFF"/>
                <w:sz w:val="22"/>
                <w:szCs w:val="22"/>
              </w:rPr>
            </w:pPr>
            <w:r w:rsidRPr="00F73570">
              <w:rPr>
                <w:rFonts w:ascii="Arial" w:hAnsi="Arial" w:cs="Arial"/>
                <w:b/>
                <w:color w:val="FFFFFF"/>
                <w:sz w:val="22"/>
                <w:szCs w:val="22"/>
              </w:rPr>
              <w:t>Comments</w:t>
            </w:r>
          </w:p>
          <w:p w:rsidR="00097480" w:rsidRPr="00F73570" w:rsidRDefault="00097480" w:rsidP="003723A7">
            <w:pPr>
              <w:rPr>
                <w:rFonts w:ascii="Arial" w:hAnsi="Arial" w:cs="Arial"/>
                <w:b/>
                <w:color w:val="FFFFFF"/>
                <w:sz w:val="22"/>
                <w:szCs w:val="22"/>
              </w:rPr>
            </w:pPr>
          </w:p>
        </w:tc>
      </w:tr>
      <w:tr w:rsidR="009A47EC" w:rsidTr="00851900">
        <w:trPr>
          <w:gridAfter w:val="1"/>
          <w:wAfter w:w="4357" w:type="dxa"/>
          <w:trHeight w:val="2139"/>
        </w:trPr>
        <w:tc>
          <w:tcPr>
            <w:tcW w:w="3544" w:type="dxa"/>
          </w:tcPr>
          <w:p w:rsidR="009A47EC" w:rsidRDefault="009A47EC" w:rsidP="004245E9">
            <w:pPr>
              <w:rPr>
                <w:rFonts w:asciiTheme="minorHAnsi" w:hAnsiTheme="minorHAnsi"/>
                <w:b/>
              </w:rPr>
            </w:pPr>
          </w:p>
        </w:tc>
        <w:tc>
          <w:tcPr>
            <w:tcW w:w="4082" w:type="dxa"/>
          </w:tcPr>
          <w:p w:rsidR="009A47EC" w:rsidRPr="006F6A57" w:rsidRDefault="009A47EC" w:rsidP="009A47EC">
            <w:pPr>
              <w:pStyle w:val="ListParagraph"/>
              <w:ind w:left="0"/>
              <w:rPr>
                <w:rFonts w:asciiTheme="minorHAnsi" w:hAnsiTheme="minorHAnsi"/>
                <w:szCs w:val="24"/>
              </w:rPr>
            </w:pPr>
          </w:p>
          <w:p w:rsidR="009A47EC" w:rsidRPr="006F6A57" w:rsidRDefault="009A47EC" w:rsidP="009A47EC">
            <w:pPr>
              <w:pStyle w:val="ListParagraph"/>
              <w:ind w:left="0"/>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has been allocated new consumers to clinically manage who present with complex needs.</w:t>
            </w:r>
          </w:p>
          <w:p w:rsidR="009A47EC" w:rsidRPr="006F6A57" w:rsidRDefault="009A47EC" w:rsidP="009A47EC">
            <w:pPr>
              <w:pStyle w:val="ListParagraph"/>
              <w:ind w:left="0"/>
              <w:rPr>
                <w:rFonts w:asciiTheme="minorHAnsi" w:hAnsiTheme="minorHAnsi"/>
                <w:szCs w:val="24"/>
              </w:rPr>
            </w:pPr>
          </w:p>
          <w:p w:rsidR="00097480" w:rsidRDefault="009A47EC" w:rsidP="00097480">
            <w:pPr>
              <w:pStyle w:val="ListParagraph"/>
              <w:ind w:left="0"/>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consults with the Parkinson’s Disease Nurse Practitioner to assist with the </w:t>
            </w:r>
            <w:r w:rsidR="00097480" w:rsidRPr="006F6A57">
              <w:rPr>
                <w:rFonts w:asciiTheme="minorHAnsi" w:hAnsiTheme="minorHAnsi"/>
                <w:szCs w:val="24"/>
              </w:rPr>
              <w:t>management of challenging behaviours associated with Parkinson’s Disease/ Dementia.</w:t>
            </w:r>
          </w:p>
          <w:p w:rsidR="00097480" w:rsidRPr="006F6A57" w:rsidRDefault="00097480" w:rsidP="00097480">
            <w:pPr>
              <w:pStyle w:val="ListParagraph"/>
              <w:ind w:left="0"/>
              <w:rPr>
                <w:rFonts w:asciiTheme="minorHAnsi" w:hAnsiTheme="minorHAnsi"/>
                <w:szCs w:val="24"/>
              </w:rPr>
            </w:pPr>
          </w:p>
          <w:p w:rsidR="009A47EC" w:rsidRPr="006F6A57" w:rsidRDefault="00097480" w:rsidP="00097480">
            <w:pPr>
              <w:pStyle w:val="ListParagraph"/>
              <w:ind w:left="0"/>
              <w:rPr>
                <w:rFonts w:asciiTheme="minorHAnsi" w:hAnsiTheme="minorHAnsi"/>
                <w:szCs w:val="24"/>
              </w:rPr>
            </w:pPr>
            <w:r w:rsidRPr="006F6A57">
              <w:rPr>
                <w:rFonts w:asciiTheme="minorHAnsi" w:hAnsiTheme="minorHAnsi"/>
                <w:szCs w:val="24"/>
              </w:rPr>
              <w:t xml:space="preserve">The </w:t>
            </w:r>
            <w:r w:rsidRPr="006F6A57">
              <w:rPr>
                <w:rFonts w:asciiTheme="minorHAnsi" w:hAnsiTheme="minorHAnsi"/>
                <w:i/>
                <w:iCs/>
                <w:szCs w:val="24"/>
              </w:rPr>
              <w:t>OPMHCT Sub Team</w:t>
            </w:r>
            <w:r w:rsidRPr="006F6A57">
              <w:rPr>
                <w:rFonts w:asciiTheme="minorHAnsi" w:hAnsiTheme="minorHAnsi"/>
                <w:szCs w:val="24"/>
              </w:rPr>
              <w:t xml:space="preserve"> consults with non government organisations to assist with the management of older persons with MI and complex care needs.</w:t>
            </w:r>
          </w:p>
        </w:tc>
        <w:tc>
          <w:tcPr>
            <w:tcW w:w="2694" w:type="dxa"/>
          </w:tcPr>
          <w:p w:rsidR="009A47EC" w:rsidRPr="006F6A57" w:rsidRDefault="009A47EC" w:rsidP="00535F2A">
            <w:pPr>
              <w:tabs>
                <w:tab w:val="left" w:pos="251"/>
              </w:tabs>
              <w:rPr>
                <w:rFonts w:asciiTheme="minorHAnsi" w:hAnsiTheme="minorHAnsi"/>
              </w:rPr>
            </w:pPr>
          </w:p>
        </w:tc>
        <w:tc>
          <w:tcPr>
            <w:tcW w:w="4357" w:type="dxa"/>
          </w:tcPr>
          <w:p w:rsidR="009A47EC" w:rsidRPr="006F6A57" w:rsidRDefault="009A47EC" w:rsidP="008E4A4D">
            <w:pPr>
              <w:rPr>
                <w:rFonts w:asciiTheme="minorHAnsi" w:hAnsiTheme="minorHAnsi"/>
              </w:rPr>
            </w:pPr>
          </w:p>
        </w:tc>
      </w:tr>
      <w:tr w:rsidR="00851900" w:rsidTr="00851900">
        <w:trPr>
          <w:trHeight w:val="67"/>
        </w:trPr>
        <w:tc>
          <w:tcPr>
            <w:tcW w:w="3544" w:type="dxa"/>
          </w:tcPr>
          <w:p w:rsidR="00851900" w:rsidRPr="00EE7398" w:rsidRDefault="00851900" w:rsidP="008631B8">
            <w:pPr>
              <w:rPr>
                <w:rFonts w:asciiTheme="minorHAnsi" w:hAnsiTheme="minorHAnsi"/>
              </w:rPr>
            </w:pPr>
            <w:r w:rsidRPr="00EE7398">
              <w:rPr>
                <w:rFonts w:asciiTheme="minorHAnsi" w:hAnsiTheme="minorHAnsi"/>
                <w:b/>
              </w:rPr>
              <w:t>6.  Expand palliative care</w:t>
            </w:r>
            <w:r w:rsidRPr="00EE7398">
              <w:rPr>
                <w:rFonts w:asciiTheme="minorHAnsi" w:hAnsiTheme="minorHAnsi"/>
              </w:rPr>
              <w:t xml:space="preserve"> </w:t>
            </w:r>
            <w:r w:rsidRPr="00EE7398">
              <w:rPr>
                <w:rFonts w:asciiTheme="minorHAnsi" w:hAnsiTheme="minorHAnsi"/>
                <w:b/>
              </w:rPr>
              <w:t>service</w:t>
            </w:r>
            <w:r w:rsidRPr="00EE7398">
              <w:rPr>
                <w:rFonts w:asciiTheme="minorHAnsi" w:hAnsiTheme="minorHAnsi"/>
              </w:rPr>
              <w:t xml:space="preserve"> by increasing FTEs for palliative care Nurse Practitioners, Nurses and Clinical Supervision at the Canberra Hospital.</w:t>
            </w:r>
          </w:p>
        </w:tc>
        <w:tc>
          <w:tcPr>
            <w:tcW w:w="4082" w:type="dxa"/>
          </w:tcPr>
          <w:p w:rsidR="00851900" w:rsidRPr="00AB79D2" w:rsidRDefault="00851900" w:rsidP="00851900">
            <w:pPr>
              <w:shd w:val="clear" w:color="auto" w:fill="FFFFFF"/>
              <w:rPr>
                <w:rFonts w:asciiTheme="minorHAnsi" w:hAnsiTheme="minorHAnsi"/>
              </w:rPr>
            </w:pPr>
            <w:r w:rsidRPr="00AB79D2">
              <w:rPr>
                <w:rFonts w:asciiTheme="minorHAnsi" w:hAnsiTheme="minorHAnsi"/>
              </w:rPr>
              <w:t>A second Nurse Practitioner position has been recruited to at 1.0FTE and has been transferred to Calvary Health Care to enable a Palliative</w:t>
            </w:r>
          </w:p>
          <w:p w:rsidR="00545186" w:rsidRDefault="00851900" w:rsidP="003A1177">
            <w:pPr>
              <w:rPr>
                <w:rFonts w:asciiTheme="minorHAnsi" w:hAnsiTheme="minorHAnsi"/>
              </w:rPr>
            </w:pPr>
            <w:r w:rsidRPr="00AB79D2">
              <w:rPr>
                <w:rFonts w:asciiTheme="minorHAnsi" w:hAnsiTheme="minorHAnsi"/>
              </w:rPr>
              <w:t>Care Nurse Practitioner in Clare Holland House</w:t>
            </w:r>
          </w:p>
          <w:p w:rsidR="003A1177" w:rsidRDefault="003A1177" w:rsidP="003A1177">
            <w:pPr>
              <w:rPr>
                <w:rFonts w:asciiTheme="minorHAnsi" w:hAnsiTheme="minorHAnsi"/>
              </w:rPr>
            </w:pPr>
          </w:p>
          <w:p w:rsidR="003A1177" w:rsidRDefault="003A1177" w:rsidP="003A1177">
            <w:pPr>
              <w:rPr>
                <w:rFonts w:asciiTheme="minorHAnsi" w:hAnsiTheme="minorHAnsi"/>
              </w:rPr>
            </w:pPr>
          </w:p>
          <w:p w:rsidR="003A1177" w:rsidRDefault="003A1177" w:rsidP="003A1177">
            <w:pPr>
              <w:rPr>
                <w:rFonts w:asciiTheme="minorHAnsi" w:hAnsiTheme="minorHAnsi"/>
              </w:rPr>
            </w:pPr>
          </w:p>
          <w:p w:rsidR="003A1177" w:rsidRDefault="003A1177" w:rsidP="003A1177">
            <w:pPr>
              <w:rPr>
                <w:rFonts w:asciiTheme="minorHAnsi" w:hAnsiTheme="minorHAnsi"/>
              </w:rPr>
            </w:pPr>
          </w:p>
          <w:p w:rsidR="003A1177" w:rsidRDefault="003A1177" w:rsidP="003A1177">
            <w:pPr>
              <w:rPr>
                <w:rFonts w:asciiTheme="minorHAnsi" w:hAnsiTheme="minorHAnsi"/>
              </w:rPr>
            </w:pPr>
          </w:p>
          <w:p w:rsidR="003A1177" w:rsidRPr="00F73570" w:rsidRDefault="003A1177" w:rsidP="003A1177">
            <w:pPr>
              <w:rPr>
                <w:rFonts w:ascii="Arial" w:hAnsi="Arial" w:cs="Arial"/>
                <w:b/>
                <w:color w:val="FFFFFF"/>
                <w:sz w:val="22"/>
                <w:szCs w:val="22"/>
              </w:rPr>
            </w:pPr>
          </w:p>
        </w:tc>
        <w:tc>
          <w:tcPr>
            <w:tcW w:w="2694" w:type="dxa"/>
          </w:tcPr>
          <w:p w:rsidR="00BC2FD7" w:rsidRPr="00AB79D2" w:rsidRDefault="00BC2FD7" w:rsidP="00BC2FD7">
            <w:pPr>
              <w:rPr>
                <w:rFonts w:asciiTheme="minorHAnsi" w:hAnsiTheme="minorHAnsi"/>
                <w:szCs w:val="24"/>
                <w:lang w:eastAsia="en-US"/>
              </w:rPr>
            </w:pPr>
            <w:r w:rsidRPr="00AB79D2">
              <w:rPr>
                <w:rFonts w:asciiTheme="minorHAnsi" w:hAnsiTheme="minorHAnsi"/>
                <w:szCs w:val="24"/>
                <w:lang w:eastAsia="en-US"/>
              </w:rPr>
              <w:t>$1.995 million over four years.</w:t>
            </w:r>
          </w:p>
          <w:p w:rsidR="00BC2FD7" w:rsidRPr="00AB79D2" w:rsidRDefault="00BC2FD7" w:rsidP="00BC2FD7">
            <w:pPr>
              <w:rPr>
                <w:rFonts w:asciiTheme="minorHAnsi" w:hAnsiTheme="minorHAnsi"/>
                <w:szCs w:val="24"/>
                <w:lang w:eastAsia="en-US"/>
              </w:rPr>
            </w:pPr>
          </w:p>
          <w:p w:rsidR="00851900" w:rsidRPr="000C4F5A" w:rsidRDefault="00BC2FD7" w:rsidP="00BC2FD7">
            <w:pPr>
              <w:rPr>
                <w:szCs w:val="24"/>
              </w:rPr>
            </w:pPr>
            <w:r w:rsidRPr="00AB79D2">
              <w:rPr>
                <w:rFonts w:asciiTheme="minorHAnsi" w:hAnsiTheme="minorHAnsi"/>
              </w:rPr>
              <w:t xml:space="preserve">Total expenditure for   2012-13 on this key </w:t>
            </w:r>
            <w:r w:rsidRPr="004B29D0">
              <w:rPr>
                <w:rFonts w:asciiTheme="minorHAnsi" w:hAnsiTheme="minorHAnsi"/>
              </w:rPr>
              <w:t xml:space="preserve">deliverable is </w:t>
            </w:r>
            <w:r w:rsidRPr="004B29D0">
              <w:rPr>
                <w:rFonts w:asciiTheme="minorHAnsi" w:hAnsiTheme="minorHAnsi"/>
                <w:szCs w:val="24"/>
              </w:rPr>
              <w:t> </w:t>
            </w:r>
            <w:r w:rsidRPr="004B29D0">
              <w:rPr>
                <w:rFonts w:asciiTheme="minorHAnsi" w:hAnsiTheme="minorHAnsi"/>
              </w:rPr>
              <w:t>$560,187</w:t>
            </w:r>
            <w:r w:rsidR="00851900" w:rsidRPr="00F73570">
              <w:rPr>
                <w:rFonts w:ascii="Arial" w:hAnsi="Arial" w:cs="Arial"/>
                <w:b/>
                <w:color w:val="FFFFFF"/>
                <w:sz w:val="22"/>
                <w:szCs w:val="22"/>
              </w:rPr>
              <w:t>ss and timing</w:t>
            </w:r>
          </w:p>
        </w:tc>
        <w:tc>
          <w:tcPr>
            <w:tcW w:w="4357" w:type="dxa"/>
          </w:tcPr>
          <w:p w:rsidR="00124CBD" w:rsidRPr="00AB79D2" w:rsidRDefault="00124CBD" w:rsidP="00124CBD">
            <w:pPr>
              <w:shd w:val="clear" w:color="auto" w:fill="FFFFFF"/>
              <w:rPr>
                <w:rFonts w:asciiTheme="minorHAnsi" w:hAnsiTheme="minorHAnsi"/>
              </w:rPr>
            </w:pPr>
            <w:r w:rsidRPr="00AB79D2">
              <w:rPr>
                <w:rFonts w:asciiTheme="minorHAnsi" w:hAnsiTheme="minorHAnsi"/>
              </w:rPr>
              <w:t xml:space="preserve">There are $500,301 </w:t>
            </w:r>
            <w:r w:rsidR="003A1177">
              <w:rPr>
                <w:rFonts w:asciiTheme="minorHAnsi" w:hAnsiTheme="minorHAnsi"/>
              </w:rPr>
              <w:t xml:space="preserve">in </w:t>
            </w:r>
            <w:r w:rsidRPr="00AB79D2">
              <w:rPr>
                <w:rFonts w:asciiTheme="minorHAnsi" w:hAnsiTheme="minorHAnsi"/>
              </w:rPr>
              <w:t>remaining fund</w:t>
            </w:r>
            <w:r w:rsidR="003A1177">
              <w:rPr>
                <w:rFonts w:asciiTheme="minorHAnsi" w:hAnsiTheme="minorHAnsi"/>
              </w:rPr>
              <w:t>s</w:t>
            </w:r>
            <w:r w:rsidRPr="00AB79D2">
              <w:rPr>
                <w:rFonts w:asciiTheme="minorHAnsi" w:hAnsiTheme="minorHAnsi"/>
              </w:rPr>
              <w:t xml:space="preserve"> as a result of the delay in the employment of the two nurse practitioners in 2009-10 and 2010-11.  This funding will be used for continuation of the positions in 2013-14</w:t>
            </w:r>
            <w:r>
              <w:rPr>
                <w:rFonts w:asciiTheme="minorHAnsi" w:hAnsiTheme="minorHAnsi"/>
              </w:rPr>
              <w:t>.</w:t>
            </w:r>
          </w:p>
          <w:p w:rsidR="00851900" w:rsidRPr="00F73570" w:rsidRDefault="00851900" w:rsidP="003723A7">
            <w:pPr>
              <w:rPr>
                <w:rFonts w:ascii="Arial" w:hAnsi="Arial" w:cs="Arial"/>
                <w:b/>
                <w:color w:val="FFFFFF"/>
                <w:sz w:val="22"/>
                <w:szCs w:val="22"/>
              </w:rPr>
            </w:pPr>
            <w:r w:rsidRPr="00F73570">
              <w:rPr>
                <w:rFonts w:ascii="Arial" w:hAnsi="Arial" w:cs="Arial"/>
                <w:b/>
                <w:color w:val="FFFFFF"/>
                <w:sz w:val="22"/>
                <w:szCs w:val="22"/>
              </w:rPr>
              <w:t>f NPA funding</w:t>
            </w:r>
          </w:p>
        </w:tc>
        <w:tc>
          <w:tcPr>
            <w:tcW w:w="4357" w:type="dxa"/>
          </w:tcPr>
          <w:p w:rsidR="00851900" w:rsidRDefault="00851900" w:rsidP="003723A7">
            <w:pPr>
              <w:rPr>
                <w:rFonts w:ascii="Arial" w:hAnsi="Arial" w:cs="Arial"/>
                <w:b/>
                <w:color w:val="FFFFFF"/>
                <w:sz w:val="22"/>
                <w:szCs w:val="22"/>
              </w:rPr>
            </w:pPr>
            <w:r w:rsidRPr="00F73570">
              <w:rPr>
                <w:rFonts w:ascii="Arial" w:hAnsi="Arial" w:cs="Arial"/>
                <w:b/>
                <w:color w:val="FFFFFF"/>
                <w:sz w:val="22"/>
                <w:szCs w:val="22"/>
              </w:rPr>
              <w:t>Comments</w:t>
            </w:r>
          </w:p>
          <w:p w:rsidR="00851900" w:rsidRDefault="00851900" w:rsidP="003723A7">
            <w:pPr>
              <w:rPr>
                <w:rFonts w:ascii="Arial" w:hAnsi="Arial" w:cs="Arial"/>
                <w:b/>
                <w:color w:val="FFFFFF"/>
                <w:sz w:val="22"/>
                <w:szCs w:val="22"/>
              </w:rPr>
            </w:pPr>
          </w:p>
          <w:p w:rsidR="00851900" w:rsidRPr="00F73570" w:rsidRDefault="00851900" w:rsidP="003723A7">
            <w:pPr>
              <w:rPr>
                <w:rFonts w:ascii="Arial" w:hAnsi="Arial" w:cs="Arial"/>
                <w:b/>
                <w:color w:val="FFFFFF"/>
                <w:sz w:val="22"/>
                <w:szCs w:val="22"/>
              </w:rPr>
            </w:pPr>
          </w:p>
        </w:tc>
      </w:tr>
      <w:tr w:rsidR="00851900" w:rsidRPr="00F73570" w:rsidTr="00851900">
        <w:trPr>
          <w:gridAfter w:val="1"/>
          <w:wAfter w:w="4357" w:type="dxa"/>
        </w:trPr>
        <w:tc>
          <w:tcPr>
            <w:tcW w:w="3544" w:type="dxa"/>
            <w:shd w:val="clear" w:color="auto" w:fill="000000"/>
          </w:tcPr>
          <w:p w:rsidR="00851900" w:rsidRPr="00F73570" w:rsidRDefault="00851900" w:rsidP="00952B56">
            <w:pPr>
              <w:rPr>
                <w:rFonts w:ascii="Arial" w:hAnsi="Arial" w:cs="Arial"/>
                <w:b/>
                <w:color w:val="FFFFFF"/>
                <w:sz w:val="22"/>
                <w:szCs w:val="22"/>
              </w:rPr>
            </w:pPr>
            <w:r w:rsidRPr="00F73570">
              <w:rPr>
                <w:rFonts w:ascii="Arial" w:hAnsi="Arial" w:cs="Arial"/>
                <w:b/>
                <w:color w:val="FFFFFF"/>
                <w:sz w:val="22"/>
                <w:szCs w:val="22"/>
              </w:rPr>
              <w:t xml:space="preserve">Key deliverables </w:t>
            </w:r>
          </w:p>
        </w:tc>
        <w:tc>
          <w:tcPr>
            <w:tcW w:w="4082" w:type="dxa"/>
            <w:shd w:val="clear" w:color="auto" w:fill="000000"/>
          </w:tcPr>
          <w:p w:rsidR="00851900" w:rsidRPr="000C4F5A" w:rsidRDefault="00851900" w:rsidP="00952B56">
            <w:pPr>
              <w:rPr>
                <w:szCs w:val="24"/>
              </w:rPr>
            </w:pPr>
            <w:r w:rsidRPr="00F73570">
              <w:rPr>
                <w:rFonts w:ascii="Arial" w:hAnsi="Arial" w:cs="Arial"/>
                <w:b/>
                <w:color w:val="FFFFFF"/>
                <w:sz w:val="22"/>
                <w:szCs w:val="22"/>
              </w:rPr>
              <w:t>Progress and timing</w:t>
            </w:r>
          </w:p>
        </w:tc>
        <w:tc>
          <w:tcPr>
            <w:tcW w:w="2694" w:type="dxa"/>
            <w:shd w:val="clear" w:color="auto" w:fill="000000"/>
          </w:tcPr>
          <w:p w:rsidR="00851900" w:rsidRPr="00F73570" w:rsidRDefault="00851900" w:rsidP="00952B56">
            <w:pPr>
              <w:rPr>
                <w:rFonts w:ascii="Arial" w:hAnsi="Arial" w:cs="Arial"/>
                <w:b/>
                <w:color w:val="FFFFFF"/>
                <w:sz w:val="22"/>
                <w:szCs w:val="22"/>
              </w:rPr>
            </w:pPr>
            <w:r w:rsidRPr="00F73570">
              <w:rPr>
                <w:rFonts w:ascii="Arial" w:hAnsi="Arial" w:cs="Arial"/>
                <w:b/>
                <w:color w:val="FFFFFF"/>
                <w:sz w:val="22"/>
                <w:szCs w:val="22"/>
              </w:rPr>
              <w:t>Allocation of NPA funding</w:t>
            </w:r>
          </w:p>
        </w:tc>
        <w:tc>
          <w:tcPr>
            <w:tcW w:w="4357" w:type="dxa"/>
            <w:shd w:val="clear" w:color="auto" w:fill="000000"/>
          </w:tcPr>
          <w:p w:rsidR="00851900" w:rsidRDefault="00851900" w:rsidP="00952B56">
            <w:pPr>
              <w:rPr>
                <w:rFonts w:ascii="Arial" w:hAnsi="Arial" w:cs="Arial"/>
                <w:b/>
                <w:color w:val="FFFFFF"/>
                <w:sz w:val="22"/>
                <w:szCs w:val="22"/>
              </w:rPr>
            </w:pPr>
            <w:r w:rsidRPr="00F73570">
              <w:rPr>
                <w:rFonts w:ascii="Arial" w:hAnsi="Arial" w:cs="Arial"/>
                <w:b/>
                <w:color w:val="FFFFFF"/>
                <w:sz w:val="22"/>
                <w:szCs w:val="22"/>
              </w:rPr>
              <w:t>Comments</w:t>
            </w:r>
          </w:p>
          <w:p w:rsidR="00851900" w:rsidRDefault="00851900" w:rsidP="00952B56">
            <w:pPr>
              <w:rPr>
                <w:rFonts w:ascii="Arial" w:hAnsi="Arial" w:cs="Arial"/>
                <w:b/>
                <w:color w:val="FFFFFF"/>
                <w:sz w:val="22"/>
                <w:szCs w:val="22"/>
              </w:rPr>
            </w:pPr>
          </w:p>
          <w:p w:rsidR="00851900" w:rsidRPr="00F73570" w:rsidRDefault="00851900" w:rsidP="00952B56">
            <w:pPr>
              <w:rPr>
                <w:rFonts w:ascii="Arial" w:hAnsi="Arial" w:cs="Arial"/>
                <w:b/>
                <w:color w:val="FFFFFF"/>
                <w:sz w:val="22"/>
                <w:szCs w:val="22"/>
              </w:rPr>
            </w:pPr>
          </w:p>
        </w:tc>
      </w:tr>
      <w:tr w:rsidR="00851900" w:rsidTr="00851900">
        <w:trPr>
          <w:gridAfter w:val="1"/>
          <w:wAfter w:w="4357" w:type="dxa"/>
          <w:trHeight w:val="414"/>
        </w:trPr>
        <w:tc>
          <w:tcPr>
            <w:tcW w:w="3544" w:type="dxa"/>
          </w:tcPr>
          <w:p w:rsidR="00851900" w:rsidRPr="00B508F4" w:rsidRDefault="00851900" w:rsidP="008631B8">
            <w:pPr>
              <w:rPr>
                <w:b/>
                <w:highlight w:val="yellow"/>
              </w:rPr>
            </w:pPr>
          </w:p>
        </w:tc>
        <w:tc>
          <w:tcPr>
            <w:tcW w:w="4082" w:type="dxa"/>
          </w:tcPr>
          <w:p w:rsidR="00851900" w:rsidRPr="00AB79D2" w:rsidRDefault="00851900" w:rsidP="00F92867">
            <w:pPr>
              <w:shd w:val="clear" w:color="auto" w:fill="FFFFFF"/>
              <w:rPr>
                <w:rFonts w:asciiTheme="minorHAnsi" w:hAnsiTheme="minorHAnsi"/>
              </w:rPr>
            </w:pPr>
            <w:r w:rsidRPr="00AB79D2">
              <w:rPr>
                <w:rFonts w:asciiTheme="minorHAnsi" w:hAnsiTheme="minorHAnsi"/>
              </w:rPr>
              <w:t>An RN2 has been recruited at 0.63FTE, as part of the clinical nursing palliative care team at Canberra Hospital.</w:t>
            </w:r>
          </w:p>
          <w:p w:rsidR="00851900" w:rsidRPr="00AB79D2" w:rsidRDefault="00851900" w:rsidP="00952B56">
            <w:pPr>
              <w:shd w:val="clear" w:color="auto" w:fill="FFFFFF"/>
              <w:rPr>
                <w:rFonts w:asciiTheme="minorHAnsi" w:hAnsiTheme="minorHAnsi"/>
              </w:rPr>
            </w:pPr>
            <w:r>
              <w:rPr>
                <w:rFonts w:asciiTheme="minorHAnsi" w:hAnsiTheme="minorHAnsi"/>
              </w:rPr>
              <w:t xml:space="preserve">Two allied health </w:t>
            </w:r>
            <w:r w:rsidR="003A1177">
              <w:rPr>
                <w:rFonts w:asciiTheme="minorHAnsi" w:hAnsiTheme="minorHAnsi"/>
              </w:rPr>
              <w:t>professional</w:t>
            </w:r>
            <w:r w:rsidRPr="00AB79D2">
              <w:rPr>
                <w:rFonts w:asciiTheme="minorHAnsi" w:hAnsiTheme="minorHAnsi"/>
              </w:rPr>
              <w:t> positions have been recruited to, totalling 1.5</w:t>
            </w:r>
            <w:r>
              <w:rPr>
                <w:rFonts w:asciiTheme="minorHAnsi" w:hAnsiTheme="minorHAnsi"/>
              </w:rPr>
              <w:t xml:space="preserve"> </w:t>
            </w:r>
            <w:r w:rsidRPr="00AB79D2">
              <w:rPr>
                <w:rFonts w:asciiTheme="minorHAnsi" w:hAnsiTheme="minorHAnsi"/>
              </w:rPr>
              <w:t xml:space="preserve">FTE. </w:t>
            </w:r>
          </w:p>
          <w:p w:rsidR="00851900" w:rsidRPr="005475A8" w:rsidRDefault="003A1177" w:rsidP="005475A8">
            <w:pPr>
              <w:shd w:val="clear" w:color="auto" w:fill="FFFFFF"/>
              <w:rPr>
                <w:rFonts w:asciiTheme="minorHAnsi" w:hAnsiTheme="minorHAnsi"/>
                <w:color w:val="C00000"/>
                <w:highlight w:val="yellow"/>
              </w:rPr>
            </w:pPr>
            <w:r>
              <w:rPr>
                <w:rFonts w:asciiTheme="minorHAnsi" w:hAnsiTheme="minorHAnsi"/>
              </w:rPr>
              <w:t>R</w:t>
            </w:r>
            <w:r w:rsidR="00851900" w:rsidRPr="00AB79D2">
              <w:rPr>
                <w:rFonts w:asciiTheme="minorHAnsi" w:hAnsiTheme="minorHAnsi"/>
              </w:rPr>
              <w:t xml:space="preserve">esearch </w:t>
            </w:r>
            <w:r w:rsidR="00851900">
              <w:rPr>
                <w:rFonts w:asciiTheme="minorHAnsi" w:hAnsiTheme="minorHAnsi"/>
              </w:rPr>
              <w:t>with a topic on</w:t>
            </w:r>
            <w:r w:rsidR="00851900" w:rsidRPr="00AB79D2">
              <w:rPr>
                <w:rFonts w:asciiTheme="minorHAnsi" w:hAnsiTheme="minorHAnsi"/>
              </w:rPr>
              <w:t xml:space="preserve"> ‘caregiver well-being’ has been commenced.</w:t>
            </w:r>
          </w:p>
        </w:tc>
        <w:tc>
          <w:tcPr>
            <w:tcW w:w="2694" w:type="dxa"/>
          </w:tcPr>
          <w:p w:rsidR="00851900" w:rsidRPr="00B508F4" w:rsidRDefault="00851900">
            <w:pPr>
              <w:rPr>
                <w:rFonts w:asciiTheme="minorHAnsi" w:hAnsiTheme="minorHAnsi"/>
                <w:szCs w:val="24"/>
                <w:highlight w:val="yellow"/>
                <w:lang w:eastAsia="en-US"/>
              </w:rPr>
            </w:pPr>
          </w:p>
        </w:tc>
        <w:tc>
          <w:tcPr>
            <w:tcW w:w="4357" w:type="dxa"/>
          </w:tcPr>
          <w:p w:rsidR="00851900" w:rsidRPr="00B508F4" w:rsidRDefault="00851900" w:rsidP="00371059">
            <w:pPr>
              <w:shd w:val="clear" w:color="auto" w:fill="FFFFFF"/>
              <w:rPr>
                <w:rFonts w:asciiTheme="minorHAnsi" w:hAnsiTheme="minorHAnsi"/>
                <w:szCs w:val="24"/>
                <w:highlight w:val="yellow"/>
              </w:rPr>
            </w:pPr>
          </w:p>
        </w:tc>
      </w:tr>
      <w:tr w:rsidR="00851900" w:rsidTr="00851900">
        <w:trPr>
          <w:gridAfter w:val="1"/>
          <w:wAfter w:w="4357" w:type="dxa"/>
          <w:trHeight w:val="2139"/>
        </w:trPr>
        <w:tc>
          <w:tcPr>
            <w:tcW w:w="3544" w:type="dxa"/>
          </w:tcPr>
          <w:p w:rsidR="00851900" w:rsidRPr="00AB79D2" w:rsidRDefault="00851900" w:rsidP="00A3083E">
            <w:pPr>
              <w:rPr>
                <w:rFonts w:asciiTheme="minorHAnsi" w:hAnsiTheme="minorHAnsi"/>
              </w:rPr>
            </w:pPr>
            <w:r w:rsidRPr="00AB79D2">
              <w:rPr>
                <w:rFonts w:asciiTheme="minorHAnsi" w:hAnsiTheme="minorHAnsi"/>
                <w:b/>
              </w:rPr>
              <w:t>7.  Improvement in data collection and standards</w:t>
            </w:r>
            <w:r w:rsidRPr="00AB79D2">
              <w:rPr>
                <w:rFonts w:asciiTheme="minorHAnsi" w:hAnsiTheme="minorHAnsi"/>
              </w:rPr>
              <w:t xml:space="preserve"> throughout ACT Health Directorate.</w:t>
            </w:r>
          </w:p>
          <w:p w:rsidR="00851900" w:rsidRPr="00AB79D2" w:rsidRDefault="00851900" w:rsidP="00A3083E">
            <w:pPr>
              <w:rPr>
                <w:rFonts w:asciiTheme="minorHAnsi" w:hAnsiTheme="minorHAnsi"/>
              </w:rPr>
            </w:pPr>
          </w:p>
        </w:tc>
        <w:tc>
          <w:tcPr>
            <w:tcW w:w="4082" w:type="dxa"/>
          </w:tcPr>
          <w:p w:rsidR="00851900" w:rsidRPr="00AB79D2" w:rsidRDefault="00851900" w:rsidP="008948DB">
            <w:pPr>
              <w:rPr>
                <w:rFonts w:asciiTheme="minorHAnsi" w:hAnsiTheme="minorHAnsi"/>
                <w:szCs w:val="24"/>
              </w:rPr>
            </w:pPr>
            <w:r w:rsidRPr="00AB79D2">
              <w:rPr>
                <w:rFonts w:asciiTheme="minorHAnsi" w:hAnsiTheme="minorHAnsi"/>
                <w:szCs w:val="24"/>
              </w:rPr>
              <w:t>Activities under this initiative will be implemented up to 2012-13.</w:t>
            </w:r>
          </w:p>
          <w:p w:rsidR="00851900" w:rsidRPr="00AB79D2" w:rsidRDefault="00851900" w:rsidP="00BE0713">
            <w:pPr>
              <w:rPr>
                <w:rFonts w:asciiTheme="minorHAnsi" w:hAnsiTheme="minorHAnsi"/>
                <w:szCs w:val="24"/>
              </w:rPr>
            </w:pPr>
          </w:p>
          <w:p w:rsidR="00851900" w:rsidRPr="00AB79D2" w:rsidRDefault="00851900" w:rsidP="00BE0713">
            <w:pPr>
              <w:rPr>
                <w:rFonts w:asciiTheme="minorHAnsi" w:hAnsiTheme="minorHAnsi"/>
              </w:rPr>
            </w:pPr>
            <w:r w:rsidRPr="00AB79D2">
              <w:rPr>
                <w:rFonts w:asciiTheme="minorHAnsi" w:hAnsiTheme="minorHAnsi"/>
                <w:bCs/>
              </w:rPr>
              <w:t>Data collection started from 1 July 2012.</w:t>
            </w:r>
          </w:p>
        </w:tc>
        <w:tc>
          <w:tcPr>
            <w:tcW w:w="2694" w:type="dxa"/>
          </w:tcPr>
          <w:p w:rsidR="00851900" w:rsidRPr="00AB79D2" w:rsidRDefault="00851900" w:rsidP="00A3083E">
            <w:pPr>
              <w:tabs>
                <w:tab w:val="left" w:pos="251"/>
              </w:tabs>
              <w:rPr>
                <w:rFonts w:asciiTheme="minorHAnsi" w:hAnsiTheme="minorHAnsi"/>
              </w:rPr>
            </w:pPr>
            <w:r w:rsidRPr="00AB79D2">
              <w:rPr>
                <w:rFonts w:asciiTheme="minorHAnsi" w:hAnsiTheme="minorHAnsi"/>
              </w:rPr>
              <w:t>$0.448 million over four years</w:t>
            </w:r>
          </w:p>
          <w:p w:rsidR="00851900" w:rsidRPr="00AB79D2" w:rsidRDefault="00851900" w:rsidP="00A3083E">
            <w:pPr>
              <w:tabs>
                <w:tab w:val="left" w:pos="251"/>
              </w:tabs>
              <w:rPr>
                <w:rFonts w:asciiTheme="minorHAnsi" w:hAnsiTheme="minorHAnsi"/>
              </w:rPr>
            </w:pPr>
          </w:p>
          <w:p w:rsidR="00851900" w:rsidRPr="00AB79D2" w:rsidRDefault="00851900" w:rsidP="00A3083E">
            <w:pPr>
              <w:tabs>
                <w:tab w:val="left" w:pos="251"/>
              </w:tabs>
              <w:rPr>
                <w:rFonts w:asciiTheme="minorHAnsi" w:hAnsiTheme="minorHAnsi"/>
              </w:rPr>
            </w:pPr>
            <w:r w:rsidRPr="00AB79D2">
              <w:rPr>
                <w:rFonts w:asciiTheme="minorHAnsi" w:hAnsiTheme="minorHAnsi"/>
              </w:rPr>
              <w:t>Fully expended.</w:t>
            </w:r>
          </w:p>
          <w:p w:rsidR="00851900" w:rsidRPr="00AB79D2" w:rsidRDefault="00851900" w:rsidP="00A3083E">
            <w:pPr>
              <w:tabs>
                <w:tab w:val="left" w:pos="251"/>
              </w:tabs>
              <w:rPr>
                <w:rFonts w:asciiTheme="minorHAnsi" w:hAnsiTheme="minorHAnsi"/>
              </w:rPr>
            </w:pPr>
          </w:p>
        </w:tc>
        <w:tc>
          <w:tcPr>
            <w:tcW w:w="4357" w:type="dxa"/>
          </w:tcPr>
          <w:p w:rsidR="00851900" w:rsidRPr="00AB79D2" w:rsidRDefault="00851900" w:rsidP="00AB79D2">
            <w:pPr>
              <w:rPr>
                <w:rFonts w:asciiTheme="minorHAnsi" w:hAnsiTheme="minorHAnsi"/>
                <w:strike/>
              </w:rPr>
            </w:pPr>
            <w:r w:rsidRPr="00AB79D2">
              <w:rPr>
                <w:rFonts w:asciiTheme="minorHAnsi" w:hAnsiTheme="minorHAnsi"/>
              </w:rPr>
              <w:t>The ACT is collecting and supplying data for Admitted Sub-acute and Non-acute Care to the Independent Hospital Pricing Authority and the Administrator of the National Health Funding Pool as per their respective data requirements</w:t>
            </w:r>
            <w:r>
              <w:rPr>
                <w:rFonts w:asciiTheme="minorHAnsi" w:hAnsiTheme="minorHAnsi"/>
              </w:rPr>
              <w:t>.</w:t>
            </w:r>
          </w:p>
          <w:p w:rsidR="00851900" w:rsidRPr="00AB79D2" w:rsidRDefault="00851900" w:rsidP="008C5B39">
            <w:pPr>
              <w:rPr>
                <w:rFonts w:asciiTheme="minorHAnsi" w:hAnsiTheme="minorHAnsi"/>
              </w:rPr>
            </w:pPr>
          </w:p>
          <w:p w:rsidR="00851900" w:rsidRPr="005475A8" w:rsidRDefault="00851900" w:rsidP="008C5B39">
            <w:pPr>
              <w:rPr>
                <w:rFonts w:asciiTheme="minorHAnsi" w:hAnsiTheme="minorHAnsi"/>
                <w:highlight w:val="yellow"/>
              </w:rPr>
            </w:pPr>
            <w:r w:rsidRPr="00AB79D2">
              <w:rPr>
                <w:rFonts w:asciiTheme="minorHAnsi" w:hAnsiTheme="minorHAnsi"/>
              </w:rPr>
              <w:t>In early 2013 the ACT developed the ACT Data Integrity Strategy to improve data quality and standards including clinical data systems to the final datasets used to analyse and report on activity. The ACT has created and recruited to the position of Director of Information Integrity. The Director of Information Integrity will audit and support the ongoing improvement of data collections and standards used throughout the ACT Health Directorate.</w:t>
            </w:r>
          </w:p>
        </w:tc>
      </w:tr>
    </w:tbl>
    <w:p w:rsidR="00AB79D2" w:rsidRDefault="00AB79D2" w:rsidP="009E1D93">
      <w:pPr>
        <w:tabs>
          <w:tab w:val="left" w:pos="567"/>
        </w:tabs>
        <w:rPr>
          <w:sz w:val="12"/>
          <w:szCs w:val="12"/>
        </w:rPr>
      </w:pPr>
    </w:p>
    <w:p w:rsidR="00545186" w:rsidRDefault="00545186" w:rsidP="009E1D93">
      <w:pPr>
        <w:tabs>
          <w:tab w:val="left" w:pos="567"/>
        </w:tabs>
        <w:rPr>
          <w:sz w:val="12"/>
          <w:szCs w:val="12"/>
        </w:rPr>
      </w:pPr>
    </w:p>
    <w:p w:rsidR="004564BB" w:rsidRDefault="004564BB" w:rsidP="009E1D93">
      <w:pPr>
        <w:tabs>
          <w:tab w:val="left" w:pos="567"/>
        </w:tabs>
        <w:rPr>
          <w:sz w:val="12"/>
          <w:szCs w:val="12"/>
        </w:rPr>
      </w:pPr>
    </w:p>
    <w:tbl>
      <w:tblPr>
        <w:tblStyle w:val="TableGrid"/>
        <w:tblW w:w="0" w:type="auto"/>
        <w:tblInd w:w="108" w:type="dxa"/>
        <w:tblLook w:val="04A0" w:firstRow="1" w:lastRow="0" w:firstColumn="1" w:lastColumn="0" w:noHBand="0" w:noVBand="1"/>
      </w:tblPr>
      <w:tblGrid>
        <w:gridCol w:w="14677"/>
      </w:tblGrid>
      <w:tr w:rsidR="00371059" w:rsidTr="00371059">
        <w:tc>
          <w:tcPr>
            <w:tcW w:w="14677" w:type="dxa"/>
          </w:tcPr>
          <w:p w:rsidR="00371059" w:rsidRPr="008D31A2" w:rsidRDefault="00371059" w:rsidP="00011078">
            <w:pPr>
              <w:tabs>
                <w:tab w:val="left" w:pos="567"/>
              </w:tabs>
              <w:rPr>
                <w:rFonts w:asciiTheme="minorHAnsi" w:hAnsiTheme="minorHAnsi"/>
                <w:b/>
                <w:szCs w:val="24"/>
              </w:rPr>
            </w:pPr>
            <w:r w:rsidRPr="008D31A2">
              <w:rPr>
                <w:rFonts w:asciiTheme="minorHAnsi" w:hAnsiTheme="minorHAnsi"/>
                <w:b/>
                <w:szCs w:val="24"/>
              </w:rPr>
              <w:t>Changes in expend</w:t>
            </w:r>
            <w:r w:rsidR="008D31A2">
              <w:rPr>
                <w:rFonts w:asciiTheme="minorHAnsi" w:hAnsiTheme="minorHAnsi"/>
                <w:b/>
                <w:szCs w:val="24"/>
              </w:rPr>
              <w:t>itures</w:t>
            </w:r>
            <w:r w:rsidRPr="008D31A2">
              <w:rPr>
                <w:rFonts w:asciiTheme="minorHAnsi" w:hAnsiTheme="minorHAnsi"/>
                <w:b/>
                <w:szCs w:val="24"/>
              </w:rPr>
              <w:t>:</w:t>
            </w:r>
          </w:p>
          <w:p w:rsidR="00371059" w:rsidRDefault="00371059" w:rsidP="00011078">
            <w:pPr>
              <w:tabs>
                <w:tab w:val="left" w:pos="567"/>
              </w:tabs>
              <w:rPr>
                <w:rFonts w:asciiTheme="minorHAnsi" w:hAnsiTheme="minorHAnsi"/>
                <w:szCs w:val="24"/>
              </w:rPr>
            </w:pPr>
          </w:p>
          <w:tbl>
            <w:tblPr>
              <w:tblW w:w="14140" w:type="dxa"/>
              <w:tblLook w:val="04A0" w:firstRow="1" w:lastRow="0" w:firstColumn="1" w:lastColumn="0" w:noHBand="0" w:noVBand="1"/>
            </w:tblPr>
            <w:tblGrid>
              <w:gridCol w:w="1440"/>
              <w:gridCol w:w="3800"/>
              <w:gridCol w:w="1360"/>
              <w:gridCol w:w="1320"/>
              <w:gridCol w:w="1300"/>
              <w:gridCol w:w="1220"/>
              <w:gridCol w:w="3700"/>
            </w:tblGrid>
            <w:tr w:rsidR="008D31A2" w:rsidRPr="008D31A2" w:rsidTr="008D31A2">
              <w:trPr>
                <w:trHeight w:val="360"/>
              </w:trPr>
              <w:tc>
                <w:tcPr>
                  <w:tcW w:w="524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b/>
                      <w:bCs/>
                      <w:color w:val="000000"/>
                      <w:sz w:val="22"/>
                      <w:szCs w:val="22"/>
                    </w:rPr>
                  </w:pPr>
                  <w:r w:rsidRPr="008D31A2">
                    <w:rPr>
                      <w:rFonts w:ascii="Calibri" w:hAnsi="Calibri"/>
                      <w:b/>
                      <w:bCs/>
                      <w:color w:val="000000"/>
                      <w:sz w:val="22"/>
                      <w:szCs w:val="22"/>
                    </w:rPr>
                    <w:t>Key deliverable</w:t>
                  </w:r>
                </w:p>
              </w:tc>
              <w:tc>
                <w:tcPr>
                  <w:tcW w:w="5200" w:type="dxa"/>
                  <w:gridSpan w:val="4"/>
                  <w:tcBorders>
                    <w:top w:val="single" w:sz="8" w:space="0" w:color="auto"/>
                    <w:left w:val="nil"/>
                    <w:bottom w:val="single" w:sz="4" w:space="0" w:color="auto"/>
                    <w:right w:val="single" w:sz="4" w:space="0" w:color="auto"/>
                  </w:tcBorders>
                  <w:shd w:val="clear" w:color="auto" w:fill="auto"/>
                  <w:vAlign w:val="bottom"/>
                  <w:hideMark/>
                </w:tcPr>
                <w:p w:rsidR="008D31A2" w:rsidRPr="008D31A2" w:rsidRDefault="004F6842" w:rsidP="008D31A2">
                  <w:pPr>
                    <w:jc w:val="center"/>
                    <w:rPr>
                      <w:rFonts w:ascii="Calibri" w:hAnsi="Calibri"/>
                      <w:b/>
                      <w:bCs/>
                      <w:color w:val="000000"/>
                      <w:sz w:val="22"/>
                      <w:szCs w:val="22"/>
                    </w:rPr>
                  </w:pPr>
                  <w:r>
                    <w:rPr>
                      <w:rFonts w:ascii="Calibri" w:hAnsi="Calibri"/>
                      <w:b/>
                      <w:bCs/>
                      <w:color w:val="000000"/>
                      <w:sz w:val="22"/>
                      <w:szCs w:val="22"/>
                    </w:rPr>
                    <w:t xml:space="preserve"> Expenditure</w:t>
                  </w:r>
                  <w:r w:rsidR="008D31A2" w:rsidRPr="008D31A2">
                    <w:rPr>
                      <w:rFonts w:ascii="Calibri" w:hAnsi="Calibri"/>
                      <w:b/>
                      <w:bCs/>
                      <w:color w:val="000000"/>
                      <w:sz w:val="22"/>
                      <w:szCs w:val="22"/>
                    </w:rPr>
                    <w:t xml:space="preserve"> ($)</w:t>
                  </w:r>
                </w:p>
              </w:tc>
              <w:tc>
                <w:tcPr>
                  <w:tcW w:w="3700" w:type="dxa"/>
                  <w:tcBorders>
                    <w:top w:val="single" w:sz="8" w:space="0" w:color="auto"/>
                    <w:left w:val="nil"/>
                    <w:bottom w:val="single" w:sz="4" w:space="0" w:color="auto"/>
                    <w:right w:val="single" w:sz="8" w:space="0" w:color="auto"/>
                  </w:tcBorders>
                  <w:shd w:val="clear" w:color="auto" w:fill="auto"/>
                  <w:vAlign w:val="bottom"/>
                  <w:hideMark/>
                </w:tcPr>
                <w:p w:rsidR="008D31A2" w:rsidRPr="008D31A2" w:rsidRDefault="008D31A2" w:rsidP="008D31A2">
                  <w:pPr>
                    <w:rPr>
                      <w:rFonts w:ascii="Calibri" w:hAnsi="Calibri"/>
                      <w:b/>
                      <w:bCs/>
                      <w:color w:val="000000"/>
                      <w:sz w:val="22"/>
                      <w:szCs w:val="22"/>
                    </w:rPr>
                  </w:pPr>
                  <w:r w:rsidRPr="008D31A2">
                    <w:rPr>
                      <w:rFonts w:ascii="Calibri" w:hAnsi="Calibri"/>
                      <w:b/>
                      <w:bCs/>
                      <w:color w:val="000000"/>
                      <w:sz w:val="22"/>
                      <w:szCs w:val="22"/>
                    </w:rPr>
                    <w:t>remaining funding over four years ($)</w:t>
                  </w:r>
                </w:p>
              </w:tc>
            </w:tr>
            <w:tr w:rsidR="008D31A2" w:rsidRPr="008D31A2" w:rsidTr="008D31A2">
              <w:trPr>
                <w:trHeight w:val="290"/>
              </w:trPr>
              <w:tc>
                <w:tcPr>
                  <w:tcW w:w="1440" w:type="dxa"/>
                  <w:tcBorders>
                    <w:top w:val="nil"/>
                    <w:left w:val="single" w:sz="8" w:space="0" w:color="auto"/>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w:t>
                  </w:r>
                </w:p>
              </w:tc>
              <w:tc>
                <w:tcPr>
                  <w:tcW w:w="380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2009-2010</w:t>
                  </w:r>
                </w:p>
              </w:tc>
              <w:tc>
                <w:tcPr>
                  <w:tcW w:w="132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2010-11</w:t>
                  </w:r>
                </w:p>
              </w:tc>
              <w:tc>
                <w:tcPr>
                  <w:tcW w:w="130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2011-12</w:t>
                  </w:r>
                </w:p>
              </w:tc>
              <w:tc>
                <w:tcPr>
                  <w:tcW w:w="122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2012-13</w:t>
                  </w:r>
                </w:p>
              </w:tc>
              <w:tc>
                <w:tcPr>
                  <w:tcW w:w="3700" w:type="dxa"/>
                  <w:tcBorders>
                    <w:top w:val="nil"/>
                    <w:left w:val="nil"/>
                    <w:bottom w:val="single" w:sz="4" w:space="0" w:color="auto"/>
                    <w:right w:val="single" w:sz="8"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w:t>
                  </w:r>
                </w:p>
              </w:tc>
            </w:tr>
            <w:tr w:rsidR="008D31A2" w:rsidRPr="008D31A2" w:rsidTr="008D31A2">
              <w:trPr>
                <w:trHeight w:val="290"/>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4</w:t>
                  </w:r>
                </w:p>
              </w:tc>
              <w:tc>
                <w:tcPr>
                  <w:tcW w:w="380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previously reported</w:t>
                  </w:r>
                </w:p>
              </w:tc>
              <w:tc>
                <w:tcPr>
                  <w:tcW w:w="136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162,125</w:t>
                  </w:r>
                </w:p>
              </w:tc>
              <w:tc>
                <w:tcPr>
                  <w:tcW w:w="132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288,530</w:t>
                  </w:r>
                </w:p>
              </w:tc>
              <w:tc>
                <w:tcPr>
                  <w:tcW w:w="130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262,115</w:t>
                  </w:r>
                </w:p>
              </w:tc>
              <w:tc>
                <w:tcPr>
                  <w:tcW w:w="122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n/a</w:t>
                  </w:r>
                </w:p>
              </w:tc>
              <w:tc>
                <w:tcPr>
                  <w:tcW w:w="3700" w:type="dxa"/>
                  <w:tcBorders>
                    <w:top w:val="nil"/>
                    <w:left w:val="nil"/>
                    <w:bottom w:val="single" w:sz="4" w:space="0" w:color="auto"/>
                    <w:right w:val="single" w:sz="8"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n/a</w:t>
                  </w:r>
                </w:p>
              </w:tc>
            </w:tr>
            <w:tr w:rsidR="008D31A2" w:rsidRPr="008D31A2" w:rsidTr="008D31A2">
              <w:trPr>
                <w:trHeight w:val="300"/>
              </w:trPr>
              <w:tc>
                <w:tcPr>
                  <w:tcW w:w="1440" w:type="dxa"/>
                  <w:tcBorders>
                    <w:top w:val="nil"/>
                    <w:left w:val="single" w:sz="8" w:space="0" w:color="auto"/>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4</w:t>
                  </w:r>
                </w:p>
              </w:tc>
              <w:tc>
                <w:tcPr>
                  <w:tcW w:w="380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xml:space="preserve">amended expenditure reported </w:t>
                  </w:r>
                </w:p>
              </w:tc>
              <w:tc>
                <w:tcPr>
                  <w:tcW w:w="136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167,250</w:t>
                  </w:r>
                </w:p>
              </w:tc>
              <w:tc>
                <w:tcPr>
                  <w:tcW w:w="132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390,342</w:t>
                  </w:r>
                </w:p>
              </w:tc>
              <w:tc>
                <w:tcPr>
                  <w:tcW w:w="130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426,426</w:t>
                  </w:r>
                </w:p>
              </w:tc>
              <w:tc>
                <w:tcPr>
                  <w:tcW w:w="122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602,734</w:t>
                  </w:r>
                </w:p>
              </w:tc>
              <w:tc>
                <w:tcPr>
                  <w:tcW w:w="3700" w:type="dxa"/>
                  <w:tcBorders>
                    <w:top w:val="nil"/>
                    <w:left w:val="nil"/>
                    <w:bottom w:val="single" w:sz="8" w:space="0" w:color="auto"/>
                    <w:right w:val="single" w:sz="8" w:space="0" w:color="auto"/>
                  </w:tcBorders>
                  <w:shd w:val="clear" w:color="000000" w:fill="FFFFFF"/>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35,248</w:t>
                  </w:r>
                </w:p>
              </w:tc>
            </w:tr>
          </w:tbl>
          <w:p w:rsidR="00371059" w:rsidRDefault="00371059" w:rsidP="00011078">
            <w:pPr>
              <w:tabs>
                <w:tab w:val="left" w:pos="567"/>
              </w:tabs>
              <w:rPr>
                <w:rFonts w:asciiTheme="minorHAnsi" w:hAnsiTheme="minorHAnsi"/>
                <w:szCs w:val="24"/>
              </w:rPr>
            </w:pPr>
          </w:p>
          <w:tbl>
            <w:tblPr>
              <w:tblW w:w="14140" w:type="dxa"/>
              <w:tblLook w:val="04A0" w:firstRow="1" w:lastRow="0" w:firstColumn="1" w:lastColumn="0" w:noHBand="0" w:noVBand="1"/>
            </w:tblPr>
            <w:tblGrid>
              <w:gridCol w:w="1440"/>
              <w:gridCol w:w="3800"/>
              <w:gridCol w:w="1360"/>
              <w:gridCol w:w="1320"/>
              <w:gridCol w:w="1300"/>
              <w:gridCol w:w="1220"/>
              <w:gridCol w:w="3700"/>
            </w:tblGrid>
            <w:tr w:rsidR="008D31A2" w:rsidRPr="008D31A2" w:rsidTr="008D31A2">
              <w:trPr>
                <w:trHeight w:val="350"/>
              </w:trPr>
              <w:tc>
                <w:tcPr>
                  <w:tcW w:w="5240"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b/>
                      <w:bCs/>
                      <w:color w:val="000000"/>
                      <w:sz w:val="22"/>
                      <w:szCs w:val="22"/>
                    </w:rPr>
                  </w:pPr>
                  <w:r w:rsidRPr="008D31A2">
                    <w:rPr>
                      <w:rFonts w:ascii="Calibri" w:hAnsi="Calibri"/>
                      <w:b/>
                      <w:bCs/>
                      <w:color w:val="000000"/>
                      <w:sz w:val="22"/>
                      <w:szCs w:val="22"/>
                    </w:rPr>
                    <w:t>Key deliverable</w:t>
                  </w:r>
                </w:p>
              </w:tc>
              <w:tc>
                <w:tcPr>
                  <w:tcW w:w="5200" w:type="dxa"/>
                  <w:gridSpan w:val="4"/>
                  <w:tcBorders>
                    <w:top w:val="single" w:sz="8" w:space="0" w:color="auto"/>
                    <w:left w:val="nil"/>
                    <w:bottom w:val="single" w:sz="4" w:space="0" w:color="auto"/>
                    <w:right w:val="single" w:sz="4" w:space="0" w:color="auto"/>
                  </w:tcBorders>
                  <w:shd w:val="clear" w:color="auto" w:fill="auto"/>
                  <w:vAlign w:val="bottom"/>
                  <w:hideMark/>
                </w:tcPr>
                <w:p w:rsidR="008D31A2" w:rsidRPr="008D31A2" w:rsidRDefault="004F6842" w:rsidP="008D31A2">
                  <w:pPr>
                    <w:jc w:val="center"/>
                    <w:rPr>
                      <w:rFonts w:ascii="Calibri" w:hAnsi="Calibri"/>
                      <w:b/>
                      <w:bCs/>
                      <w:color w:val="000000"/>
                      <w:sz w:val="22"/>
                      <w:szCs w:val="22"/>
                    </w:rPr>
                  </w:pPr>
                  <w:r>
                    <w:rPr>
                      <w:rFonts w:ascii="Calibri" w:hAnsi="Calibri"/>
                      <w:b/>
                      <w:bCs/>
                      <w:color w:val="000000"/>
                      <w:sz w:val="22"/>
                      <w:szCs w:val="22"/>
                    </w:rPr>
                    <w:t xml:space="preserve"> Expenditure</w:t>
                  </w:r>
                  <w:r w:rsidR="008D31A2" w:rsidRPr="008D31A2">
                    <w:rPr>
                      <w:rFonts w:ascii="Calibri" w:hAnsi="Calibri"/>
                      <w:b/>
                      <w:bCs/>
                      <w:color w:val="000000"/>
                      <w:sz w:val="22"/>
                      <w:szCs w:val="22"/>
                    </w:rPr>
                    <w:t xml:space="preserve"> ($)</w:t>
                  </w:r>
                </w:p>
              </w:tc>
              <w:tc>
                <w:tcPr>
                  <w:tcW w:w="3700" w:type="dxa"/>
                  <w:tcBorders>
                    <w:top w:val="single" w:sz="8" w:space="0" w:color="auto"/>
                    <w:left w:val="nil"/>
                    <w:bottom w:val="single" w:sz="4" w:space="0" w:color="auto"/>
                    <w:right w:val="single" w:sz="8" w:space="0" w:color="auto"/>
                  </w:tcBorders>
                  <w:shd w:val="clear" w:color="auto" w:fill="auto"/>
                  <w:vAlign w:val="bottom"/>
                  <w:hideMark/>
                </w:tcPr>
                <w:p w:rsidR="008D31A2" w:rsidRPr="008D31A2" w:rsidRDefault="008D31A2" w:rsidP="008D31A2">
                  <w:pPr>
                    <w:rPr>
                      <w:rFonts w:ascii="Calibri" w:hAnsi="Calibri"/>
                      <w:b/>
                      <w:bCs/>
                      <w:color w:val="000000"/>
                      <w:sz w:val="22"/>
                      <w:szCs w:val="22"/>
                    </w:rPr>
                  </w:pPr>
                  <w:r w:rsidRPr="008D31A2">
                    <w:rPr>
                      <w:rFonts w:ascii="Calibri" w:hAnsi="Calibri"/>
                      <w:b/>
                      <w:bCs/>
                      <w:color w:val="000000"/>
                      <w:sz w:val="22"/>
                      <w:szCs w:val="22"/>
                    </w:rPr>
                    <w:t>remaining funding over four years ($)</w:t>
                  </w:r>
                </w:p>
              </w:tc>
            </w:tr>
            <w:tr w:rsidR="008D31A2" w:rsidRPr="008D31A2" w:rsidTr="008D31A2">
              <w:trPr>
                <w:trHeight w:val="290"/>
              </w:trPr>
              <w:tc>
                <w:tcPr>
                  <w:tcW w:w="1440" w:type="dxa"/>
                  <w:tcBorders>
                    <w:top w:val="nil"/>
                    <w:left w:val="single" w:sz="8" w:space="0" w:color="auto"/>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w:t>
                  </w:r>
                </w:p>
              </w:tc>
              <w:tc>
                <w:tcPr>
                  <w:tcW w:w="380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2009-2010</w:t>
                  </w:r>
                </w:p>
              </w:tc>
              <w:tc>
                <w:tcPr>
                  <w:tcW w:w="132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2010-11</w:t>
                  </w:r>
                </w:p>
              </w:tc>
              <w:tc>
                <w:tcPr>
                  <w:tcW w:w="130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2011-12</w:t>
                  </w:r>
                </w:p>
              </w:tc>
              <w:tc>
                <w:tcPr>
                  <w:tcW w:w="122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2012-13</w:t>
                  </w:r>
                </w:p>
              </w:tc>
              <w:tc>
                <w:tcPr>
                  <w:tcW w:w="3700" w:type="dxa"/>
                  <w:tcBorders>
                    <w:top w:val="nil"/>
                    <w:left w:val="nil"/>
                    <w:bottom w:val="single" w:sz="4" w:space="0" w:color="auto"/>
                    <w:right w:val="single" w:sz="8"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w:t>
                  </w:r>
                </w:p>
              </w:tc>
            </w:tr>
            <w:tr w:rsidR="008D31A2" w:rsidRPr="008D31A2" w:rsidTr="008D31A2">
              <w:trPr>
                <w:trHeight w:val="290"/>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6</w:t>
                  </w:r>
                </w:p>
              </w:tc>
              <w:tc>
                <w:tcPr>
                  <w:tcW w:w="3800" w:type="dxa"/>
                  <w:tcBorders>
                    <w:top w:val="nil"/>
                    <w:left w:val="nil"/>
                    <w:bottom w:val="single" w:sz="4" w:space="0" w:color="auto"/>
                    <w:right w:val="single" w:sz="4" w:space="0" w:color="auto"/>
                  </w:tcBorders>
                  <w:shd w:val="clear" w:color="auto" w:fill="auto"/>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previously reported</w:t>
                  </w:r>
                </w:p>
              </w:tc>
              <w:tc>
                <w:tcPr>
                  <w:tcW w:w="136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28,316</w:t>
                  </w:r>
                </w:p>
              </w:tc>
              <w:tc>
                <w:tcPr>
                  <w:tcW w:w="132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327,137</w:t>
                  </w:r>
                </w:p>
              </w:tc>
              <w:tc>
                <w:tcPr>
                  <w:tcW w:w="130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413,568</w:t>
                  </w:r>
                </w:p>
              </w:tc>
              <w:tc>
                <w:tcPr>
                  <w:tcW w:w="1220" w:type="dxa"/>
                  <w:tcBorders>
                    <w:top w:val="nil"/>
                    <w:left w:val="nil"/>
                    <w:bottom w:val="single" w:sz="4"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n/a</w:t>
                  </w:r>
                </w:p>
              </w:tc>
              <w:tc>
                <w:tcPr>
                  <w:tcW w:w="3700" w:type="dxa"/>
                  <w:tcBorders>
                    <w:top w:val="nil"/>
                    <w:left w:val="nil"/>
                    <w:bottom w:val="single" w:sz="4" w:space="0" w:color="auto"/>
                    <w:right w:val="single" w:sz="8"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n/a</w:t>
                  </w:r>
                </w:p>
              </w:tc>
            </w:tr>
            <w:tr w:rsidR="008D31A2" w:rsidRPr="008D31A2" w:rsidTr="008D31A2">
              <w:trPr>
                <w:trHeight w:val="300"/>
              </w:trPr>
              <w:tc>
                <w:tcPr>
                  <w:tcW w:w="1440" w:type="dxa"/>
                  <w:tcBorders>
                    <w:top w:val="nil"/>
                    <w:left w:val="single" w:sz="8" w:space="0" w:color="auto"/>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6</w:t>
                  </w:r>
                </w:p>
              </w:tc>
              <w:tc>
                <w:tcPr>
                  <w:tcW w:w="380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rPr>
                      <w:rFonts w:ascii="Calibri" w:hAnsi="Calibri"/>
                      <w:color w:val="000000"/>
                      <w:sz w:val="22"/>
                      <w:szCs w:val="22"/>
                    </w:rPr>
                  </w:pPr>
                  <w:r w:rsidRPr="008D31A2">
                    <w:rPr>
                      <w:rFonts w:ascii="Calibri" w:hAnsi="Calibri"/>
                      <w:color w:val="000000"/>
                      <w:sz w:val="22"/>
                      <w:szCs w:val="22"/>
                    </w:rPr>
                    <w:t xml:space="preserve">amended expenditure reported </w:t>
                  </w:r>
                </w:p>
              </w:tc>
              <w:tc>
                <w:tcPr>
                  <w:tcW w:w="136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28,316</w:t>
                  </w:r>
                </w:p>
              </w:tc>
              <w:tc>
                <w:tcPr>
                  <w:tcW w:w="132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350,192</w:t>
                  </w:r>
                </w:p>
              </w:tc>
              <w:tc>
                <w:tcPr>
                  <w:tcW w:w="130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555,995</w:t>
                  </w:r>
                </w:p>
              </w:tc>
              <w:tc>
                <w:tcPr>
                  <w:tcW w:w="1220" w:type="dxa"/>
                  <w:tcBorders>
                    <w:top w:val="nil"/>
                    <w:left w:val="nil"/>
                    <w:bottom w:val="single" w:sz="8" w:space="0" w:color="auto"/>
                    <w:right w:val="single" w:sz="4" w:space="0" w:color="auto"/>
                  </w:tcBorders>
                  <w:shd w:val="clear" w:color="auto" w:fill="auto"/>
                  <w:noWrap/>
                  <w:vAlign w:val="bottom"/>
                  <w:hideMark/>
                </w:tcPr>
                <w:p w:rsidR="008D31A2" w:rsidRPr="008D31A2" w:rsidRDefault="008D31A2" w:rsidP="008D31A2">
                  <w:pPr>
                    <w:jc w:val="center"/>
                    <w:rPr>
                      <w:rFonts w:ascii="Calibri" w:hAnsi="Calibri"/>
                      <w:sz w:val="22"/>
                      <w:szCs w:val="22"/>
                    </w:rPr>
                  </w:pPr>
                  <w:r w:rsidRPr="008D31A2">
                    <w:rPr>
                      <w:rFonts w:ascii="Calibri" w:hAnsi="Calibri"/>
                      <w:sz w:val="22"/>
                      <w:szCs w:val="22"/>
                    </w:rPr>
                    <w:t>560,187 </w:t>
                  </w:r>
                </w:p>
              </w:tc>
              <w:tc>
                <w:tcPr>
                  <w:tcW w:w="3700" w:type="dxa"/>
                  <w:tcBorders>
                    <w:top w:val="nil"/>
                    <w:left w:val="nil"/>
                    <w:bottom w:val="single" w:sz="8" w:space="0" w:color="auto"/>
                    <w:right w:val="single" w:sz="8" w:space="0" w:color="auto"/>
                  </w:tcBorders>
                  <w:shd w:val="clear" w:color="000000" w:fill="FFFFFF"/>
                  <w:noWrap/>
                  <w:vAlign w:val="bottom"/>
                  <w:hideMark/>
                </w:tcPr>
                <w:p w:rsidR="008D31A2" w:rsidRPr="008D31A2" w:rsidRDefault="008D31A2" w:rsidP="008D31A2">
                  <w:pPr>
                    <w:jc w:val="center"/>
                    <w:rPr>
                      <w:rFonts w:ascii="Calibri" w:hAnsi="Calibri"/>
                      <w:color w:val="000000"/>
                      <w:sz w:val="22"/>
                      <w:szCs w:val="22"/>
                    </w:rPr>
                  </w:pPr>
                  <w:r w:rsidRPr="008D31A2">
                    <w:rPr>
                      <w:rFonts w:ascii="Calibri" w:hAnsi="Calibri"/>
                      <w:color w:val="000000"/>
                      <w:sz w:val="22"/>
                      <w:szCs w:val="22"/>
                    </w:rPr>
                    <w:t>500,310</w:t>
                  </w:r>
                  <w:r w:rsidR="00B508F4">
                    <w:rPr>
                      <w:rFonts w:ascii="Calibri" w:hAnsi="Calibri"/>
                      <w:color w:val="000000"/>
                      <w:sz w:val="22"/>
                      <w:szCs w:val="22"/>
                    </w:rPr>
                    <w:t>*</w:t>
                  </w:r>
                </w:p>
              </w:tc>
            </w:tr>
          </w:tbl>
          <w:p w:rsidR="00371059" w:rsidRPr="00CA1EDA" w:rsidRDefault="00B508F4" w:rsidP="00011078">
            <w:pPr>
              <w:tabs>
                <w:tab w:val="left" w:pos="567"/>
              </w:tabs>
              <w:rPr>
                <w:rFonts w:asciiTheme="minorHAnsi" w:hAnsiTheme="minorHAnsi"/>
                <w:sz w:val="16"/>
                <w:szCs w:val="16"/>
              </w:rPr>
            </w:pPr>
            <w:r w:rsidRPr="00B508F4">
              <w:rPr>
                <w:rFonts w:asciiTheme="minorHAnsi" w:hAnsiTheme="minorHAnsi"/>
                <w:sz w:val="16"/>
                <w:szCs w:val="16"/>
              </w:rPr>
              <w:t xml:space="preserve">*this funding is being spent in 2013-14 for the continuation of </w:t>
            </w:r>
            <w:r w:rsidR="00E40D4B">
              <w:rPr>
                <w:rFonts w:asciiTheme="minorHAnsi" w:hAnsiTheme="minorHAnsi"/>
                <w:sz w:val="16"/>
                <w:szCs w:val="16"/>
              </w:rPr>
              <w:t xml:space="preserve"> two nurse practitioner</w:t>
            </w:r>
            <w:r w:rsidRPr="00B508F4">
              <w:rPr>
                <w:rFonts w:asciiTheme="minorHAnsi" w:hAnsiTheme="minorHAnsi"/>
                <w:sz w:val="16"/>
                <w:szCs w:val="16"/>
              </w:rPr>
              <w:t xml:space="preserve"> position</w:t>
            </w:r>
            <w:r w:rsidR="00E40D4B">
              <w:rPr>
                <w:rFonts w:asciiTheme="minorHAnsi" w:hAnsiTheme="minorHAnsi"/>
                <w:sz w:val="16"/>
                <w:szCs w:val="16"/>
              </w:rPr>
              <w:t>s</w:t>
            </w:r>
            <w:r w:rsidRPr="00B508F4">
              <w:rPr>
                <w:rFonts w:asciiTheme="minorHAnsi" w:hAnsiTheme="minorHAnsi"/>
                <w:sz w:val="16"/>
                <w:szCs w:val="16"/>
              </w:rPr>
              <w:t>.</w:t>
            </w:r>
          </w:p>
        </w:tc>
      </w:tr>
    </w:tbl>
    <w:p w:rsidR="00CA1EDA" w:rsidRDefault="00CA1EDA" w:rsidP="00011078">
      <w:pPr>
        <w:tabs>
          <w:tab w:val="left" w:pos="567"/>
        </w:tabs>
        <w:rPr>
          <w:sz w:val="12"/>
          <w:szCs w:val="12"/>
        </w:rPr>
      </w:pPr>
    </w:p>
    <w:tbl>
      <w:tblPr>
        <w:tblpPr w:leftFromText="180" w:rightFromText="180" w:vertAnchor="text" w:horzAnchor="margin" w:tblpX="108" w:tblpY="49"/>
        <w:tblW w:w="14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7"/>
      </w:tblGrid>
      <w:tr w:rsidR="00371059" w:rsidTr="00371059">
        <w:trPr>
          <w:trHeight w:val="872"/>
        </w:trPr>
        <w:tc>
          <w:tcPr>
            <w:tcW w:w="14627" w:type="dxa"/>
          </w:tcPr>
          <w:p w:rsidR="00371059" w:rsidRPr="004F6842" w:rsidRDefault="00371059" w:rsidP="00371059">
            <w:pPr>
              <w:rPr>
                <w:rFonts w:asciiTheme="minorHAnsi" w:hAnsiTheme="minorHAnsi"/>
                <w:sz w:val="20"/>
              </w:rPr>
            </w:pPr>
            <w:r w:rsidRPr="004F6842">
              <w:rPr>
                <w:rFonts w:asciiTheme="minorHAnsi" w:hAnsiTheme="minorHAnsi"/>
                <w:sz w:val="20"/>
              </w:rPr>
              <w:t xml:space="preserve">Contact Officer: </w:t>
            </w:r>
            <w:r w:rsidRPr="004F6842">
              <w:rPr>
                <w:rFonts w:asciiTheme="minorHAnsi" w:hAnsiTheme="minorHAnsi"/>
                <w:i/>
                <w:sz w:val="20"/>
              </w:rPr>
              <w:t xml:space="preserve"> </w:t>
            </w:r>
            <w:r w:rsidR="0035750F" w:rsidRPr="004F6842">
              <w:rPr>
                <w:rFonts w:asciiTheme="minorHAnsi" w:hAnsiTheme="minorHAnsi"/>
                <w:b/>
                <w:szCs w:val="24"/>
              </w:rPr>
              <w:t xml:space="preserve"> </w:t>
            </w:r>
            <w:r w:rsidR="00D8583A">
              <w:rPr>
                <w:rFonts w:asciiTheme="minorHAnsi" w:hAnsiTheme="minorHAnsi"/>
                <w:b/>
                <w:szCs w:val="24"/>
              </w:rPr>
              <w:t xml:space="preserve"> Ross O’Donoughue</w:t>
            </w:r>
            <w:r w:rsidR="00CC41C3" w:rsidRPr="004F6842">
              <w:rPr>
                <w:rFonts w:asciiTheme="minorHAnsi" w:hAnsiTheme="minorHAnsi"/>
                <w:b/>
                <w:szCs w:val="24"/>
              </w:rPr>
              <w:t>,</w:t>
            </w:r>
            <w:r w:rsidR="0035750F" w:rsidRPr="004F6842">
              <w:rPr>
                <w:rFonts w:asciiTheme="minorHAnsi" w:hAnsiTheme="minorHAnsi"/>
                <w:b/>
                <w:szCs w:val="24"/>
              </w:rPr>
              <w:t xml:space="preserve"> </w:t>
            </w:r>
            <w:r w:rsidRPr="004F6842">
              <w:rPr>
                <w:rFonts w:asciiTheme="minorHAnsi" w:hAnsiTheme="minorHAnsi"/>
                <w:b/>
                <w:szCs w:val="24"/>
              </w:rPr>
              <w:t>Executive Director, Policy &amp; Government Relations, ACT Health</w:t>
            </w:r>
            <w:r w:rsidRPr="004F6842">
              <w:rPr>
                <w:rFonts w:asciiTheme="minorHAnsi" w:hAnsiTheme="minorHAnsi"/>
                <w:sz w:val="20"/>
              </w:rPr>
              <w:t xml:space="preserve">  </w:t>
            </w:r>
          </w:p>
          <w:p w:rsidR="00371059" w:rsidRPr="004F6842" w:rsidRDefault="00371059" w:rsidP="00371059">
            <w:pPr>
              <w:rPr>
                <w:rFonts w:asciiTheme="minorHAnsi" w:hAnsiTheme="minorHAnsi"/>
                <w:sz w:val="20"/>
              </w:rPr>
            </w:pPr>
            <w:r w:rsidRPr="004F6842">
              <w:rPr>
                <w:rFonts w:asciiTheme="minorHAnsi" w:hAnsiTheme="minorHAnsi"/>
                <w:sz w:val="20"/>
              </w:rPr>
              <w:t xml:space="preserve">Phone: </w:t>
            </w:r>
            <w:r w:rsidR="00184BCF" w:rsidRPr="004F6842">
              <w:rPr>
                <w:rFonts w:asciiTheme="minorHAnsi" w:hAnsiTheme="minorHAnsi"/>
                <w:b/>
                <w:szCs w:val="24"/>
              </w:rPr>
              <w:t>(02) 6205</w:t>
            </w:r>
            <w:r w:rsidRPr="004F6842">
              <w:rPr>
                <w:rFonts w:asciiTheme="minorHAnsi" w:hAnsiTheme="minorHAnsi"/>
                <w:b/>
                <w:szCs w:val="24"/>
              </w:rPr>
              <w:t>0568</w:t>
            </w:r>
          </w:p>
          <w:p w:rsidR="00371059" w:rsidRPr="004F6842" w:rsidRDefault="00371059" w:rsidP="00371059">
            <w:pPr>
              <w:rPr>
                <w:rFonts w:asciiTheme="minorHAnsi" w:hAnsiTheme="minorHAnsi"/>
                <w:sz w:val="20"/>
              </w:rPr>
            </w:pPr>
            <w:r w:rsidRPr="004F6842">
              <w:rPr>
                <w:rFonts w:asciiTheme="minorHAnsi" w:hAnsiTheme="minorHAnsi"/>
                <w:sz w:val="20"/>
              </w:rPr>
              <w:t>Contact Officer:</w:t>
            </w:r>
            <w:r w:rsidR="0035750F" w:rsidRPr="004F6842">
              <w:rPr>
                <w:rFonts w:asciiTheme="minorHAnsi" w:hAnsiTheme="minorHAnsi"/>
                <w:b/>
                <w:szCs w:val="24"/>
              </w:rPr>
              <w:t xml:space="preserve"> Inez Nimpuno, Senior Policy Officer</w:t>
            </w:r>
            <w:r w:rsidRPr="004F6842">
              <w:rPr>
                <w:rFonts w:asciiTheme="minorHAnsi" w:hAnsiTheme="minorHAnsi"/>
                <w:b/>
                <w:szCs w:val="24"/>
              </w:rPr>
              <w:t xml:space="preserve">, </w:t>
            </w:r>
            <w:r w:rsidR="0035750F" w:rsidRPr="004F6842">
              <w:rPr>
                <w:rFonts w:asciiTheme="minorHAnsi" w:hAnsiTheme="minorHAnsi"/>
                <w:b/>
                <w:szCs w:val="24"/>
              </w:rPr>
              <w:t>Government Relations and Health Reform</w:t>
            </w:r>
            <w:r w:rsidRPr="004F6842">
              <w:rPr>
                <w:rFonts w:asciiTheme="minorHAnsi" w:hAnsiTheme="minorHAnsi"/>
                <w:b/>
                <w:szCs w:val="24"/>
              </w:rPr>
              <w:t>, ACT Health</w:t>
            </w:r>
          </w:p>
          <w:p w:rsidR="00371059" w:rsidRPr="00891E09" w:rsidRDefault="00371059" w:rsidP="00371059">
            <w:pPr>
              <w:rPr>
                <w:b/>
                <w:szCs w:val="24"/>
              </w:rPr>
            </w:pPr>
            <w:r w:rsidRPr="004F6842">
              <w:rPr>
                <w:rFonts w:asciiTheme="minorHAnsi" w:hAnsiTheme="minorHAnsi"/>
                <w:sz w:val="20"/>
              </w:rPr>
              <w:t xml:space="preserve">Phone: </w:t>
            </w:r>
            <w:r w:rsidRPr="004F6842">
              <w:rPr>
                <w:rFonts w:asciiTheme="minorHAnsi" w:hAnsiTheme="minorHAnsi"/>
                <w:b/>
                <w:szCs w:val="24"/>
              </w:rPr>
              <w:t>(02) 620</w:t>
            </w:r>
            <w:r w:rsidR="0035750F" w:rsidRPr="004F6842">
              <w:rPr>
                <w:rFonts w:asciiTheme="minorHAnsi" w:hAnsiTheme="minorHAnsi"/>
                <w:b/>
                <w:szCs w:val="24"/>
              </w:rPr>
              <w:t>54802</w:t>
            </w:r>
          </w:p>
        </w:tc>
      </w:tr>
    </w:tbl>
    <w:p w:rsidR="001709EA" w:rsidRPr="009E1D93" w:rsidRDefault="001709EA" w:rsidP="00011078">
      <w:pPr>
        <w:tabs>
          <w:tab w:val="left" w:pos="567"/>
        </w:tabs>
        <w:rPr>
          <w:sz w:val="12"/>
          <w:szCs w:val="12"/>
        </w:rPr>
      </w:pPr>
    </w:p>
    <w:sectPr w:rsidR="001709EA" w:rsidRPr="009E1D93" w:rsidSect="00112434">
      <w:footerReference w:type="default" r:id="rId8"/>
      <w:pgSz w:w="16837" w:h="11905" w:orient="landscape" w:code="9"/>
      <w:pgMar w:top="1418" w:right="1134" w:bottom="1418" w:left="1134" w:header="144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58" w:rsidRDefault="00C21A58">
      <w:r>
        <w:separator/>
      </w:r>
    </w:p>
  </w:endnote>
  <w:endnote w:type="continuationSeparator" w:id="0">
    <w:p w:rsidR="00C21A58" w:rsidRDefault="00C2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32" w:rsidRDefault="000B3DD1">
    <w:pPr>
      <w:pStyle w:val="Footer"/>
      <w:jc w:val="right"/>
    </w:pPr>
    <w:r>
      <w:fldChar w:fldCharType="begin"/>
    </w:r>
    <w:r>
      <w:instrText xml:space="preserve"> PAGE   \* MERGEFORMAT </w:instrText>
    </w:r>
    <w:r>
      <w:fldChar w:fldCharType="separate"/>
    </w:r>
    <w:r w:rsidR="00E60E15">
      <w:rPr>
        <w:noProof/>
      </w:rPr>
      <w:t>2</w:t>
    </w:r>
    <w:r>
      <w:rPr>
        <w:noProof/>
      </w:rPr>
      <w:fldChar w:fldCharType="end"/>
    </w:r>
  </w:p>
  <w:p w:rsidR="00C93332" w:rsidRDefault="00C93332" w:rsidP="000110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58" w:rsidRDefault="00C21A58">
      <w:r>
        <w:separator/>
      </w:r>
    </w:p>
  </w:footnote>
  <w:footnote w:type="continuationSeparator" w:id="0">
    <w:p w:rsidR="00C21A58" w:rsidRDefault="00C21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76A"/>
    <w:multiLevelType w:val="hybridMultilevel"/>
    <w:tmpl w:val="9698B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3EF2111"/>
    <w:multiLevelType w:val="hybridMultilevel"/>
    <w:tmpl w:val="7CBEE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7A3725"/>
    <w:multiLevelType w:val="hybridMultilevel"/>
    <w:tmpl w:val="DF52D6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134C6C28"/>
    <w:multiLevelType w:val="hybridMultilevel"/>
    <w:tmpl w:val="361062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29C7E74"/>
    <w:multiLevelType w:val="hybridMultilevel"/>
    <w:tmpl w:val="7258FC4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521230B"/>
    <w:multiLevelType w:val="hybridMultilevel"/>
    <w:tmpl w:val="A624432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29E90421"/>
    <w:multiLevelType w:val="hybridMultilevel"/>
    <w:tmpl w:val="6F709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2B464B"/>
    <w:multiLevelType w:val="hybridMultilevel"/>
    <w:tmpl w:val="D5B40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121F23"/>
    <w:multiLevelType w:val="hybridMultilevel"/>
    <w:tmpl w:val="32EE23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8066A92"/>
    <w:multiLevelType w:val="hybridMultilevel"/>
    <w:tmpl w:val="6F28D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A62027F"/>
    <w:multiLevelType w:val="multilevel"/>
    <w:tmpl w:val="F89E4650"/>
    <w:lvl w:ilvl="0">
      <w:start w:val="4"/>
      <w:numFmt w:val="upperLetter"/>
      <w:pStyle w:val="ScheduleNumberedPara"/>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851"/>
        </w:tabs>
        <w:ind w:left="851" w:hanging="567"/>
      </w:pPr>
      <w:rPr>
        <w:rFonts w:cs="Times New Roman" w:hint="default"/>
        <w:i w:val="0"/>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11">
    <w:nsid w:val="41A80F99"/>
    <w:multiLevelType w:val="hybridMultilevel"/>
    <w:tmpl w:val="32AC46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6D632AC"/>
    <w:multiLevelType w:val="hybridMultilevel"/>
    <w:tmpl w:val="449A3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7DF6E99"/>
    <w:multiLevelType w:val="hybridMultilevel"/>
    <w:tmpl w:val="46988ED0"/>
    <w:lvl w:ilvl="0" w:tplc="0C090001">
      <w:start w:val="1"/>
      <w:numFmt w:val="bullet"/>
      <w:lvlText w:val=""/>
      <w:lvlJc w:val="left"/>
      <w:pPr>
        <w:tabs>
          <w:tab w:val="num" w:pos="748"/>
        </w:tabs>
        <w:ind w:left="748" w:hanging="360"/>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14">
    <w:nsid w:val="4B95655C"/>
    <w:multiLevelType w:val="hybridMultilevel"/>
    <w:tmpl w:val="6C50C4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7E68EA"/>
    <w:multiLevelType w:val="hybridMultilevel"/>
    <w:tmpl w:val="335CDE4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CB25112"/>
    <w:multiLevelType w:val="multilevel"/>
    <w:tmpl w:val="2AB48B5E"/>
    <w:lvl w:ilvl="0">
      <w:start w:val="1"/>
      <w:numFmt w:val="lowerRoman"/>
      <w:lvlText w:val="%1."/>
      <w:lvlJc w:val="right"/>
      <w:pPr>
        <w:ind w:left="1110" w:hanging="390"/>
      </w:pPr>
    </w:lvl>
    <w:lvl w:ilvl="1">
      <w:start w:val="1"/>
      <w:numFmt w:val="decimal"/>
      <w:lvlText w:val="%1.%2"/>
      <w:lvlJc w:val="left"/>
      <w:pPr>
        <w:ind w:left="1830" w:hanging="390"/>
      </w:pPr>
    </w:lvl>
    <w:lvl w:ilvl="2">
      <w:start w:val="1"/>
      <w:numFmt w:val="decimal"/>
      <w:lvlText w:val="%1.%2.%3"/>
      <w:lvlJc w:val="left"/>
      <w:pPr>
        <w:ind w:left="2880" w:hanging="720"/>
      </w:pPr>
    </w:lvl>
    <w:lvl w:ilvl="3">
      <w:start w:val="1"/>
      <w:numFmt w:val="decimal"/>
      <w:lvlText w:val="%1.%2.%3.%4"/>
      <w:lvlJc w:val="left"/>
      <w:pPr>
        <w:ind w:left="3960" w:hanging="1080"/>
      </w:pPr>
    </w:lvl>
    <w:lvl w:ilvl="4">
      <w:start w:val="1"/>
      <w:numFmt w:val="decimal"/>
      <w:lvlText w:val="%1.%2.%3.%4.%5"/>
      <w:lvlJc w:val="left"/>
      <w:pPr>
        <w:ind w:left="4680" w:hanging="1080"/>
      </w:pPr>
    </w:lvl>
    <w:lvl w:ilvl="5">
      <w:start w:val="1"/>
      <w:numFmt w:val="decimal"/>
      <w:lvlText w:val="%1.%2.%3.%4.%5.%6"/>
      <w:lvlJc w:val="left"/>
      <w:pPr>
        <w:ind w:left="5760" w:hanging="1440"/>
      </w:pPr>
    </w:lvl>
    <w:lvl w:ilvl="6">
      <w:start w:val="1"/>
      <w:numFmt w:val="decimal"/>
      <w:lvlText w:val="%1.%2.%3.%4.%5.%6.%7"/>
      <w:lvlJc w:val="left"/>
      <w:pPr>
        <w:ind w:left="6480" w:hanging="1440"/>
      </w:pPr>
    </w:lvl>
    <w:lvl w:ilvl="7">
      <w:start w:val="1"/>
      <w:numFmt w:val="decimal"/>
      <w:lvlText w:val="%1.%2.%3.%4.%5.%6.%7.%8"/>
      <w:lvlJc w:val="left"/>
      <w:pPr>
        <w:ind w:left="7560" w:hanging="1800"/>
      </w:pPr>
    </w:lvl>
    <w:lvl w:ilvl="8">
      <w:start w:val="1"/>
      <w:numFmt w:val="decimal"/>
      <w:lvlText w:val="%1.%2.%3.%4.%5.%6.%7.%8.%9"/>
      <w:lvlJc w:val="left"/>
      <w:pPr>
        <w:ind w:left="8280" w:hanging="1800"/>
      </w:pPr>
    </w:lvl>
  </w:abstractNum>
  <w:abstractNum w:abstractNumId="17">
    <w:nsid w:val="64391A88"/>
    <w:multiLevelType w:val="hybridMultilevel"/>
    <w:tmpl w:val="3426F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E2C4D26"/>
    <w:multiLevelType w:val="hybridMultilevel"/>
    <w:tmpl w:val="E5A6C5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8854AAC"/>
    <w:multiLevelType w:val="hybridMultilevel"/>
    <w:tmpl w:val="451E0452"/>
    <w:lvl w:ilvl="0" w:tplc="3814ABD4">
      <w:start w:val="1"/>
      <w:numFmt w:val="decimal"/>
      <w:pStyle w:val="Normalnumbered"/>
      <w:lvlText w:val="%1."/>
      <w:lvlJc w:val="left"/>
      <w:pPr>
        <w:tabs>
          <w:tab w:val="num" w:pos="567"/>
        </w:tabs>
        <w:ind w:left="567" w:hanging="567"/>
      </w:pPr>
      <w:rPr>
        <w:rFonts w:hint="default"/>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abstractNumId w:val="10"/>
  </w:num>
  <w:num w:numId="2">
    <w:abstractNumId w:val="19"/>
  </w:num>
  <w:num w:numId="3">
    <w:abstractNumId w:val="11"/>
  </w:num>
  <w:num w:numId="4">
    <w:abstractNumId w:val="15"/>
  </w:num>
  <w:num w:numId="5">
    <w:abstractNumId w:val="13"/>
  </w:num>
  <w:num w:numId="6">
    <w:abstractNumId w:val="2"/>
  </w:num>
  <w:num w:numId="7">
    <w:abstractNumId w:val="4"/>
  </w:num>
  <w:num w:numId="8">
    <w:abstractNumId w:val="8"/>
  </w:num>
  <w:num w:numId="9">
    <w:abstractNumId w:val="3"/>
  </w:num>
  <w:num w:numId="10">
    <w:abstractNumId w:val="18"/>
  </w:num>
  <w:num w:numId="11">
    <w:abstractNumId w:val="17"/>
  </w:num>
  <w:num w:numId="12">
    <w:abstractNumId w:val="12"/>
  </w:num>
  <w:num w:numId="13">
    <w:abstractNumId w:val="0"/>
  </w:num>
  <w:num w:numId="14">
    <w:abstractNumId w:val="6"/>
  </w:num>
  <w:num w:numId="15">
    <w:abstractNumId w:val="9"/>
  </w:num>
  <w:num w:numId="16">
    <w:abstractNumId w:val="1"/>
  </w:num>
  <w:num w:numId="17">
    <w:abstractNumId w:val="7"/>
  </w:num>
  <w:num w:numId="18">
    <w:abstractNumId w:val="5"/>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8D083170-4240-490E-974B-863FEC59ED69}"/>
    <w:docVar w:name="dgnword-eventsink" w:val="22232304"/>
  </w:docVars>
  <w:rsids>
    <w:rsidRoot w:val="00B95697"/>
    <w:rsid w:val="00000A05"/>
    <w:rsid w:val="0000147E"/>
    <w:rsid w:val="0000291D"/>
    <w:rsid w:val="00006907"/>
    <w:rsid w:val="000101D0"/>
    <w:rsid w:val="00011078"/>
    <w:rsid w:val="00011B5D"/>
    <w:rsid w:val="00011C77"/>
    <w:rsid w:val="00014AC3"/>
    <w:rsid w:val="000237CF"/>
    <w:rsid w:val="00023D07"/>
    <w:rsid w:val="00024ED7"/>
    <w:rsid w:val="00025DCA"/>
    <w:rsid w:val="0003466F"/>
    <w:rsid w:val="0004002B"/>
    <w:rsid w:val="00041270"/>
    <w:rsid w:val="00042B5F"/>
    <w:rsid w:val="000572F1"/>
    <w:rsid w:val="0006241B"/>
    <w:rsid w:val="00062C22"/>
    <w:rsid w:val="000638C7"/>
    <w:rsid w:val="00071FD9"/>
    <w:rsid w:val="00077876"/>
    <w:rsid w:val="00085293"/>
    <w:rsid w:val="00090C2C"/>
    <w:rsid w:val="00097480"/>
    <w:rsid w:val="000A31A1"/>
    <w:rsid w:val="000B07A2"/>
    <w:rsid w:val="000B3DD1"/>
    <w:rsid w:val="000B5B0F"/>
    <w:rsid w:val="000B5BB0"/>
    <w:rsid w:val="000B7634"/>
    <w:rsid w:val="000C4F5A"/>
    <w:rsid w:val="000C604D"/>
    <w:rsid w:val="000C6646"/>
    <w:rsid w:val="000D2A9F"/>
    <w:rsid w:val="000D6B08"/>
    <w:rsid w:val="000D7437"/>
    <w:rsid w:val="000E006F"/>
    <w:rsid w:val="000F0106"/>
    <w:rsid w:val="0010000D"/>
    <w:rsid w:val="001026A2"/>
    <w:rsid w:val="001055A9"/>
    <w:rsid w:val="00112434"/>
    <w:rsid w:val="00113BD3"/>
    <w:rsid w:val="001213EF"/>
    <w:rsid w:val="00124CBD"/>
    <w:rsid w:val="001359BA"/>
    <w:rsid w:val="001422D6"/>
    <w:rsid w:val="001439B4"/>
    <w:rsid w:val="00143F8F"/>
    <w:rsid w:val="0014552E"/>
    <w:rsid w:val="0014766F"/>
    <w:rsid w:val="0016524E"/>
    <w:rsid w:val="00165387"/>
    <w:rsid w:val="001709EA"/>
    <w:rsid w:val="00170D70"/>
    <w:rsid w:val="001721AE"/>
    <w:rsid w:val="00184AD1"/>
    <w:rsid w:val="00184BCF"/>
    <w:rsid w:val="0018639D"/>
    <w:rsid w:val="0018656C"/>
    <w:rsid w:val="0018664A"/>
    <w:rsid w:val="001903DA"/>
    <w:rsid w:val="001907F8"/>
    <w:rsid w:val="00197497"/>
    <w:rsid w:val="00197F6F"/>
    <w:rsid w:val="001A0D81"/>
    <w:rsid w:val="001A30EB"/>
    <w:rsid w:val="001B3B5C"/>
    <w:rsid w:val="001C5E73"/>
    <w:rsid w:val="001C67F5"/>
    <w:rsid w:val="001D2F94"/>
    <w:rsid w:val="001E0B9D"/>
    <w:rsid w:val="001E3C64"/>
    <w:rsid w:val="001E4372"/>
    <w:rsid w:val="001E663C"/>
    <w:rsid w:val="001F0535"/>
    <w:rsid w:val="001F2F6A"/>
    <w:rsid w:val="001F5705"/>
    <w:rsid w:val="001F7F2D"/>
    <w:rsid w:val="00200AA3"/>
    <w:rsid w:val="0020484D"/>
    <w:rsid w:val="00215DE0"/>
    <w:rsid w:val="0022369D"/>
    <w:rsid w:val="0022617C"/>
    <w:rsid w:val="00226BA3"/>
    <w:rsid w:val="0022738E"/>
    <w:rsid w:val="00233F45"/>
    <w:rsid w:val="00241C20"/>
    <w:rsid w:val="00243F94"/>
    <w:rsid w:val="0025053E"/>
    <w:rsid w:val="00250F22"/>
    <w:rsid w:val="00260379"/>
    <w:rsid w:val="00266531"/>
    <w:rsid w:val="00270FF5"/>
    <w:rsid w:val="00276EFD"/>
    <w:rsid w:val="00282F3D"/>
    <w:rsid w:val="0028373F"/>
    <w:rsid w:val="00283D08"/>
    <w:rsid w:val="00287154"/>
    <w:rsid w:val="002967AA"/>
    <w:rsid w:val="002A3692"/>
    <w:rsid w:val="002B6298"/>
    <w:rsid w:val="002C3788"/>
    <w:rsid w:val="002C4953"/>
    <w:rsid w:val="002C5AC5"/>
    <w:rsid w:val="002C7E46"/>
    <w:rsid w:val="002D06E4"/>
    <w:rsid w:val="002D7807"/>
    <w:rsid w:val="002F1239"/>
    <w:rsid w:val="002F610B"/>
    <w:rsid w:val="003009BF"/>
    <w:rsid w:val="003101F2"/>
    <w:rsid w:val="00311097"/>
    <w:rsid w:val="00313D26"/>
    <w:rsid w:val="003146AD"/>
    <w:rsid w:val="00317D0E"/>
    <w:rsid w:val="00323C78"/>
    <w:rsid w:val="00324BC7"/>
    <w:rsid w:val="0033175F"/>
    <w:rsid w:val="003356DD"/>
    <w:rsid w:val="00337633"/>
    <w:rsid w:val="0034784B"/>
    <w:rsid w:val="00352AF2"/>
    <w:rsid w:val="0035750F"/>
    <w:rsid w:val="00360424"/>
    <w:rsid w:val="00361D4E"/>
    <w:rsid w:val="00367E8E"/>
    <w:rsid w:val="00371059"/>
    <w:rsid w:val="0038052E"/>
    <w:rsid w:val="00390304"/>
    <w:rsid w:val="003909A9"/>
    <w:rsid w:val="003A1177"/>
    <w:rsid w:val="003A5280"/>
    <w:rsid w:val="003A788A"/>
    <w:rsid w:val="003B1F82"/>
    <w:rsid w:val="003B208B"/>
    <w:rsid w:val="003B3722"/>
    <w:rsid w:val="003B3B92"/>
    <w:rsid w:val="003B4B04"/>
    <w:rsid w:val="003B4FF5"/>
    <w:rsid w:val="003B5E31"/>
    <w:rsid w:val="003C072C"/>
    <w:rsid w:val="003C5495"/>
    <w:rsid w:val="003C7050"/>
    <w:rsid w:val="003C79E4"/>
    <w:rsid w:val="003D2D5B"/>
    <w:rsid w:val="003D34DE"/>
    <w:rsid w:val="003D42E3"/>
    <w:rsid w:val="003E2B1F"/>
    <w:rsid w:val="003E74BC"/>
    <w:rsid w:val="003E7F0A"/>
    <w:rsid w:val="003F11A1"/>
    <w:rsid w:val="003F5D83"/>
    <w:rsid w:val="003F6281"/>
    <w:rsid w:val="003F6EC7"/>
    <w:rsid w:val="004019A0"/>
    <w:rsid w:val="0040377D"/>
    <w:rsid w:val="00404B37"/>
    <w:rsid w:val="00404D1A"/>
    <w:rsid w:val="0041137B"/>
    <w:rsid w:val="00415376"/>
    <w:rsid w:val="00416EA4"/>
    <w:rsid w:val="0042214E"/>
    <w:rsid w:val="004245E9"/>
    <w:rsid w:val="00426C33"/>
    <w:rsid w:val="00430BBE"/>
    <w:rsid w:val="00432183"/>
    <w:rsid w:val="004410E3"/>
    <w:rsid w:val="00443D5D"/>
    <w:rsid w:val="00446588"/>
    <w:rsid w:val="00446D1B"/>
    <w:rsid w:val="004564BB"/>
    <w:rsid w:val="00471B03"/>
    <w:rsid w:val="004735C5"/>
    <w:rsid w:val="00476451"/>
    <w:rsid w:val="00476A90"/>
    <w:rsid w:val="00491971"/>
    <w:rsid w:val="004956F1"/>
    <w:rsid w:val="004963B0"/>
    <w:rsid w:val="004971D1"/>
    <w:rsid w:val="004A1221"/>
    <w:rsid w:val="004A2D71"/>
    <w:rsid w:val="004A772F"/>
    <w:rsid w:val="004B29D0"/>
    <w:rsid w:val="004B310D"/>
    <w:rsid w:val="004B425D"/>
    <w:rsid w:val="004B58B2"/>
    <w:rsid w:val="004C7F1E"/>
    <w:rsid w:val="004D030F"/>
    <w:rsid w:val="004D5AFB"/>
    <w:rsid w:val="004E1F86"/>
    <w:rsid w:val="004E5C1E"/>
    <w:rsid w:val="004F4F94"/>
    <w:rsid w:val="004F6842"/>
    <w:rsid w:val="004F7E92"/>
    <w:rsid w:val="00500525"/>
    <w:rsid w:val="00502428"/>
    <w:rsid w:val="0051150B"/>
    <w:rsid w:val="00513DA3"/>
    <w:rsid w:val="0052108E"/>
    <w:rsid w:val="00522590"/>
    <w:rsid w:val="0052784D"/>
    <w:rsid w:val="00530E8E"/>
    <w:rsid w:val="00535F2A"/>
    <w:rsid w:val="005378E0"/>
    <w:rsid w:val="0054497E"/>
    <w:rsid w:val="00545186"/>
    <w:rsid w:val="00545CAC"/>
    <w:rsid w:val="005475A8"/>
    <w:rsid w:val="0055118D"/>
    <w:rsid w:val="00556710"/>
    <w:rsid w:val="005617DD"/>
    <w:rsid w:val="005660B7"/>
    <w:rsid w:val="005672BC"/>
    <w:rsid w:val="00574279"/>
    <w:rsid w:val="00580346"/>
    <w:rsid w:val="00585A3D"/>
    <w:rsid w:val="005865A8"/>
    <w:rsid w:val="005A1883"/>
    <w:rsid w:val="005B1072"/>
    <w:rsid w:val="005C08CA"/>
    <w:rsid w:val="005C7D0F"/>
    <w:rsid w:val="005D10FA"/>
    <w:rsid w:val="005D3A72"/>
    <w:rsid w:val="005D5695"/>
    <w:rsid w:val="005D5FF4"/>
    <w:rsid w:val="005F0E76"/>
    <w:rsid w:val="005F1591"/>
    <w:rsid w:val="005F3F55"/>
    <w:rsid w:val="00601BBC"/>
    <w:rsid w:val="00615E19"/>
    <w:rsid w:val="00620720"/>
    <w:rsid w:val="00621CB0"/>
    <w:rsid w:val="00626237"/>
    <w:rsid w:val="00627F23"/>
    <w:rsid w:val="006320AD"/>
    <w:rsid w:val="0063213A"/>
    <w:rsid w:val="00655ED0"/>
    <w:rsid w:val="00664A09"/>
    <w:rsid w:val="0066554F"/>
    <w:rsid w:val="006669AA"/>
    <w:rsid w:val="00671842"/>
    <w:rsid w:val="00677C8A"/>
    <w:rsid w:val="00681B5A"/>
    <w:rsid w:val="00691BC0"/>
    <w:rsid w:val="00693D38"/>
    <w:rsid w:val="00694AD1"/>
    <w:rsid w:val="006956B2"/>
    <w:rsid w:val="006966E6"/>
    <w:rsid w:val="00696C68"/>
    <w:rsid w:val="006A6F67"/>
    <w:rsid w:val="006B360C"/>
    <w:rsid w:val="006B4E92"/>
    <w:rsid w:val="006B511E"/>
    <w:rsid w:val="006C0612"/>
    <w:rsid w:val="006C15EF"/>
    <w:rsid w:val="006C3253"/>
    <w:rsid w:val="006C5462"/>
    <w:rsid w:val="006D006D"/>
    <w:rsid w:val="006D0A45"/>
    <w:rsid w:val="006D22D0"/>
    <w:rsid w:val="006D55FB"/>
    <w:rsid w:val="006D596A"/>
    <w:rsid w:val="006D7B3E"/>
    <w:rsid w:val="006E1474"/>
    <w:rsid w:val="006E17C4"/>
    <w:rsid w:val="006E30AF"/>
    <w:rsid w:val="006F195F"/>
    <w:rsid w:val="006F2A8A"/>
    <w:rsid w:val="006F6A57"/>
    <w:rsid w:val="007030B2"/>
    <w:rsid w:val="0071309A"/>
    <w:rsid w:val="00714404"/>
    <w:rsid w:val="00716C56"/>
    <w:rsid w:val="0071764D"/>
    <w:rsid w:val="00724BFA"/>
    <w:rsid w:val="00730671"/>
    <w:rsid w:val="007331BD"/>
    <w:rsid w:val="00735264"/>
    <w:rsid w:val="0074134B"/>
    <w:rsid w:val="007436E8"/>
    <w:rsid w:val="0074387E"/>
    <w:rsid w:val="007503F6"/>
    <w:rsid w:val="00753751"/>
    <w:rsid w:val="00754405"/>
    <w:rsid w:val="00760908"/>
    <w:rsid w:val="00761033"/>
    <w:rsid w:val="00761C06"/>
    <w:rsid w:val="0077488A"/>
    <w:rsid w:val="00774CD9"/>
    <w:rsid w:val="00775B44"/>
    <w:rsid w:val="0077621A"/>
    <w:rsid w:val="007775EE"/>
    <w:rsid w:val="007854DA"/>
    <w:rsid w:val="0079157F"/>
    <w:rsid w:val="00792459"/>
    <w:rsid w:val="0079525C"/>
    <w:rsid w:val="00795EC1"/>
    <w:rsid w:val="00796115"/>
    <w:rsid w:val="007A6025"/>
    <w:rsid w:val="007A7E28"/>
    <w:rsid w:val="007B13A4"/>
    <w:rsid w:val="007B6415"/>
    <w:rsid w:val="007C74DD"/>
    <w:rsid w:val="007D21A1"/>
    <w:rsid w:val="007E0442"/>
    <w:rsid w:val="007E046E"/>
    <w:rsid w:val="007E22AD"/>
    <w:rsid w:val="007F1D42"/>
    <w:rsid w:val="007F26CA"/>
    <w:rsid w:val="008013CB"/>
    <w:rsid w:val="00804347"/>
    <w:rsid w:val="00804A3F"/>
    <w:rsid w:val="00806390"/>
    <w:rsid w:val="00817CE6"/>
    <w:rsid w:val="00821FC0"/>
    <w:rsid w:val="00827666"/>
    <w:rsid w:val="008276C5"/>
    <w:rsid w:val="00851687"/>
    <w:rsid w:val="00851900"/>
    <w:rsid w:val="0085327F"/>
    <w:rsid w:val="008631B8"/>
    <w:rsid w:val="008652D9"/>
    <w:rsid w:val="00866472"/>
    <w:rsid w:val="00873A39"/>
    <w:rsid w:val="00875D5C"/>
    <w:rsid w:val="008809A7"/>
    <w:rsid w:val="00882000"/>
    <w:rsid w:val="00882648"/>
    <w:rsid w:val="00884555"/>
    <w:rsid w:val="00887071"/>
    <w:rsid w:val="00887DAA"/>
    <w:rsid w:val="00890FAB"/>
    <w:rsid w:val="008925DA"/>
    <w:rsid w:val="008948DB"/>
    <w:rsid w:val="0089577A"/>
    <w:rsid w:val="00897B1B"/>
    <w:rsid w:val="008A22AD"/>
    <w:rsid w:val="008A6E9C"/>
    <w:rsid w:val="008B58EE"/>
    <w:rsid w:val="008B6E8C"/>
    <w:rsid w:val="008C5B39"/>
    <w:rsid w:val="008C69E6"/>
    <w:rsid w:val="008D31A2"/>
    <w:rsid w:val="008D4282"/>
    <w:rsid w:val="008D6FCE"/>
    <w:rsid w:val="008E37B2"/>
    <w:rsid w:val="008E39F4"/>
    <w:rsid w:val="008E4A4D"/>
    <w:rsid w:val="008F2FF0"/>
    <w:rsid w:val="008F5FB0"/>
    <w:rsid w:val="008F6497"/>
    <w:rsid w:val="009005E5"/>
    <w:rsid w:val="009225B3"/>
    <w:rsid w:val="00925016"/>
    <w:rsid w:val="0092773E"/>
    <w:rsid w:val="00934500"/>
    <w:rsid w:val="00934ACD"/>
    <w:rsid w:val="00942DAB"/>
    <w:rsid w:val="0094558D"/>
    <w:rsid w:val="00952B56"/>
    <w:rsid w:val="00956A1A"/>
    <w:rsid w:val="00961600"/>
    <w:rsid w:val="009660B1"/>
    <w:rsid w:val="00974B1C"/>
    <w:rsid w:val="00980C08"/>
    <w:rsid w:val="009835A8"/>
    <w:rsid w:val="00985F9E"/>
    <w:rsid w:val="00993530"/>
    <w:rsid w:val="009976DC"/>
    <w:rsid w:val="009A0143"/>
    <w:rsid w:val="009A1074"/>
    <w:rsid w:val="009A39A9"/>
    <w:rsid w:val="009A47EC"/>
    <w:rsid w:val="009B1648"/>
    <w:rsid w:val="009B2415"/>
    <w:rsid w:val="009B683B"/>
    <w:rsid w:val="009C3AA8"/>
    <w:rsid w:val="009D09F3"/>
    <w:rsid w:val="009D34E3"/>
    <w:rsid w:val="009D4E8F"/>
    <w:rsid w:val="009D5B25"/>
    <w:rsid w:val="009E1D93"/>
    <w:rsid w:val="009E3D34"/>
    <w:rsid w:val="009F09B0"/>
    <w:rsid w:val="009F1CA9"/>
    <w:rsid w:val="009F2A2F"/>
    <w:rsid w:val="009F5F92"/>
    <w:rsid w:val="009F69CB"/>
    <w:rsid w:val="009F7B62"/>
    <w:rsid w:val="00A21F5E"/>
    <w:rsid w:val="00A22135"/>
    <w:rsid w:val="00A23360"/>
    <w:rsid w:val="00A24D81"/>
    <w:rsid w:val="00A3083E"/>
    <w:rsid w:val="00A3594B"/>
    <w:rsid w:val="00A44880"/>
    <w:rsid w:val="00A5170A"/>
    <w:rsid w:val="00A5240C"/>
    <w:rsid w:val="00A56237"/>
    <w:rsid w:val="00A5796B"/>
    <w:rsid w:val="00A62DD7"/>
    <w:rsid w:val="00A657A6"/>
    <w:rsid w:val="00A66AA3"/>
    <w:rsid w:val="00A77F8A"/>
    <w:rsid w:val="00A80332"/>
    <w:rsid w:val="00A81B75"/>
    <w:rsid w:val="00A84576"/>
    <w:rsid w:val="00A86E44"/>
    <w:rsid w:val="00A91004"/>
    <w:rsid w:val="00A92D7F"/>
    <w:rsid w:val="00A93443"/>
    <w:rsid w:val="00A939A6"/>
    <w:rsid w:val="00A9415A"/>
    <w:rsid w:val="00A94AC2"/>
    <w:rsid w:val="00A94CF2"/>
    <w:rsid w:val="00AA30A8"/>
    <w:rsid w:val="00AB79D2"/>
    <w:rsid w:val="00AC4E68"/>
    <w:rsid w:val="00AC54B6"/>
    <w:rsid w:val="00AC55C6"/>
    <w:rsid w:val="00AC5B1F"/>
    <w:rsid w:val="00AD0712"/>
    <w:rsid w:val="00AD5C55"/>
    <w:rsid w:val="00AE0285"/>
    <w:rsid w:val="00AE4E6B"/>
    <w:rsid w:val="00AE6447"/>
    <w:rsid w:val="00AF3808"/>
    <w:rsid w:val="00AF3D2D"/>
    <w:rsid w:val="00AF3F96"/>
    <w:rsid w:val="00AF6C1E"/>
    <w:rsid w:val="00AF7CE4"/>
    <w:rsid w:val="00B00303"/>
    <w:rsid w:val="00B0380D"/>
    <w:rsid w:val="00B10C94"/>
    <w:rsid w:val="00B152E0"/>
    <w:rsid w:val="00B204D6"/>
    <w:rsid w:val="00B20543"/>
    <w:rsid w:val="00B20BB9"/>
    <w:rsid w:val="00B212E4"/>
    <w:rsid w:val="00B21C3F"/>
    <w:rsid w:val="00B23AA0"/>
    <w:rsid w:val="00B26071"/>
    <w:rsid w:val="00B30B79"/>
    <w:rsid w:val="00B35D1A"/>
    <w:rsid w:val="00B371F5"/>
    <w:rsid w:val="00B37323"/>
    <w:rsid w:val="00B41859"/>
    <w:rsid w:val="00B42F8D"/>
    <w:rsid w:val="00B434B0"/>
    <w:rsid w:val="00B45561"/>
    <w:rsid w:val="00B508F4"/>
    <w:rsid w:val="00B50E17"/>
    <w:rsid w:val="00B52166"/>
    <w:rsid w:val="00B569F1"/>
    <w:rsid w:val="00B56C44"/>
    <w:rsid w:val="00B616D3"/>
    <w:rsid w:val="00B6200C"/>
    <w:rsid w:val="00B6786B"/>
    <w:rsid w:val="00B74756"/>
    <w:rsid w:val="00B75AFC"/>
    <w:rsid w:val="00B76CF4"/>
    <w:rsid w:val="00B80FAE"/>
    <w:rsid w:val="00B81A01"/>
    <w:rsid w:val="00B87A9B"/>
    <w:rsid w:val="00B923AC"/>
    <w:rsid w:val="00B95697"/>
    <w:rsid w:val="00BA6A49"/>
    <w:rsid w:val="00BB1CC5"/>
    <w:rsid w:val="00BB208B"/>
    <w:rsid w:val="00BB34C9"/>
    <w:rsid w:val="00BB3C93"/>
    <w:rsid w:val="00BC2FD7"/>
    <w:rsid w:val="00BC44AD"/>
    <w:rsid w:val="00BC4D2C"/>
    <w:rsid w:val="00BD08D9"/>
    <w:rsid w:val="00BD6910"/>
    <w:rsid w:val="00BD6C03"/>
    <w:rsid w:val="00BE0713"/>
    <w:rsid w:val="00BE35A2"/>
    <w:rsid w:val="00BE6C5A"/>
    <w:rsid w:val="00BF201B"/>
    <w:rsid w:val="00BF6398"/>
    <w:rsid w:val="00C0050D"/>
    <w:rsid w:val="00C01175"/>
    <w:rsid w:val="00C11F69"/>
    <w:rsid w:val="00C21A58"/>
    <w:rsid w:val="00C23AAC"/>
    <w:rsid w:val="00C266E9"/>
    <w:rsid w:val="00C26D75"/>
    <w:rsid w:val="00C300C3"/>
    <w:rsid w:val="00C4101C"/>
    <w:rsid w:val="00C41346"/>
    <w:rsid w:val="00C43DB3"/>
    <w:rsid w:val="00C450E9"/>
    <w:rsid w:val="00C516F0"/>
    <w:rsid w:val="00C51F91"/>
    <w:rsid w:val="00C52DDE"/>
    <w:rsid w:val="00C57B71"/>
    <w:rsid w:val="00C62A12"/>
    <w:rsid w:val="00C62CB0"/>
    <w:rsid w:val="00C63DC5"/>
    <w:rsid w:val="00C67370"/>
    <w:rsid w:val="00C757A1"/>
    <w:rsid w:val="00C766E9"/>
    <w:rsid w:val="00C83FA9"/>
    <w:rsid w:val="00C84AD3"/>
    <w:rsid w:val="00C93332"/>
    <w:rsid w:val="00C95C5A"/>
    <w:rsid w:val="00C9683B"/>
    <w:rsid w:val="00C971EF"/>
    <w:rsid w:val="00CA1EDA"/>
    <w:rsid w:val="00CA2445"/>
    <w:rsid w:val="00CA66DC"/>
    <w:rsid w:val="00CB1E12"/>
    <w:rsid w:val="00CB603B"/>
    <w:rsid w:val="00CB6459"/>
    <w:rsid w:val="00CB735E"/>
    <w:rsid w:val="00CC41C3"/>
    <w:rsid w:val="00CD0784"/>
    <w:rsid w:val="00CE0363"/>
    <w:rsid w:val="00CE0B77"/>
    <w:rsid w:val="00CE15CA"/>
    <w:rsid w:val="00CE2865"/>
    <w:rsid w:val="00CE5C7E"/>
    <w:rsid w:val="00CF0058"/>
    <w:rsid w:val="00CF1F0A"/>
    <w:rsid w:val="00CF4485"/>
    <w:rsid w:val="00D003A5"/>
    <w:rsid w:val="00D02796"/>
    <w:rsid w:val="00D06EDF"/>
    <w:rsid w:val="00D07EE7"/>
    <w:rsid w:val="00D12B7E"/>
    <w:rsid w:val="00D12FE3"/>
    <w:rsid w:val="00D13D2E"/>
    <w:rsid w:val="00D17C71"/>
    <w:rsid w:val="00D20201"/>
    <w:rsid w:val="00D21CE4"/>
    <w:rsid w:val="00D253BF"/>
    <w:rsid w:val="00D274B6"/>
    <w:rsid w:val="00D3109E"/>
    <w:rsid w:val="00D3165B"/>
    <w:rsid w:val="00D36031"/>
    <w:rsid w:val="00D36742"/>
    <w:rsid w:val="00D377C4"/>
    <w:rsid w:val="00D37E55"/>
    <w:rsid w:val="00D4627E"/>
    <w:rsid w:val="00D5150E"/>
    <w:rsid w:val="00D56F3F"/>
    <w:rsid w:val="00D63D4E"/>
    <w:rsid w:val="00D71C68"/>
    <w:rsid w:val="00D7223E"/>
    <w:rsid w:val="00D76702"/>
    <w:rsid w:val="00D8037E"/>
    <w:rsid w:val="00D8178A"/>
    <w:rsid w:val="00D85365"/>
    <w:rsid w:val="00D8583A"/>
    <w:rsid w:val="00D90DB9"/>
    <w:rsid w:val="00D92AD4"/>
    <w:rsid w:val="00D938D0"/>
    <w:rsid w:val="00D95FAA"/>
    <w:rsid w:val="00D96B8D"/>
    <w:rsid w:val="00DA172C"/>
    <w:rsid w:val="00DA40B3"/>
    <w:rsid w:val="00DA50A4"/>
    <w:rsid w:val="00DB140F"/>
    <w:rsid w:val="00DB1746"/>
    <w:rsid w:val="00DB2195"/>
    <w:rsid w:val="00DB6645"/>
    <w:rsid w:val="00DC19F0"/>
    <w:rsid w:val="00DC2809"/>
    <w:rsid w:val="00DC707A"/>
    <w:rsid w:val="00DD41DB"/>
    <w:rsid w:val="00DD500F"/>
    <w:rsid w:val="00DE1FF7"/>
    <w:rsid w:val="00DE5644"/>
    <w:rsid w:val="00DF44C7"/>
    <w:rsid w:val="00E00AF8"/>
    <w:rsid w:val="00E07620"/>
    <w:rsid w:val="00E07638"/>
    <w:rsid w:val="00E10522"/>
    <w:rsid w:val="00E14A2F"/>
    <w:rsid w:val="00E1739F"/>
    <w:rsid w:val="00E2038B"/>
    <w:rsid w:val="00E24892"/>
    <w:rsid w:val="00E40D4B"/>
    <w:rsid w:val="00E41E2A"/>
    <w:rsid w:val="00E44128"/>
    <w:rsid w:val="00E4487C"/>
    <w:rsid w:val="00E45C38"/>
    <w:rsid w:val="00E5044D"/>
    <w:rsid w:val="00E51414"/>
    <w:rsid w:val="00E53D70"/>
    <w:rsid w:val="00E60E15"/>
    <w:rsid w:val="00E63DF2"/>
    <w:rsid w:val="00E65C6B"/>
    <w:rsid w:val="00E747C1"/>
    <w:rsid w:val="00E81172"/>
    <w:rsid w:val="00E832F5"/>
    <w:rsid w:val="00E85F94"/>
    <w:rsid w:val="00E86EA2"/>
    <w:rsid w:val="00E91506"/>
    <w:rsid w:val="00E91616"/>
    <w:rsid w:val="00E96844"/>
    <w:rsid w:val="00E9735C"/>
    <w:rsid w:val="00EA274D"/>
    <w:rsid w:val="00EA2DC6"/>
    <w:rsid w:val="00EA505C"/>
    <w:rsid w:val="00EB0286"/>
    <w:rsid w:val="00EB08CC"/>
    <w:rsid w:val="00EB3FE7"/>
    <w:rsid w:val="00EC03B2"/>
    <w:rsid w:val="00EC6858"/>
    <w:rsid w:val="00ED244D"/>
    <w:rsid w:val="00ED2F30"/>
    <w:rsid w:val="00ED6CB2"/>
    <w:rsid w:val="00EE0328"/>
    <w:rsid w:val="00EE43DE"/>
    <w:rsid w:val="00EE48AA"/>
    <w:rsid w:val="00EE6575"/>
    <w:rsid w:val="00EE7398"/>
    <w:rsid w:val="00F05D82"/>
    <w:rsid w:val="00F14852"/>
    <w:rsid w:val="00F16929"/>
    <w:rsid w:val="00F224CF"/>
    <w:rsid w:val="00F31996"/>
    <w:rsid w:val="00F36D49"/>
    <w:rsid w:val="00F37C26"/>
    <w:rsid w:val="00F41E0E"/>
    <w:rsid w:val="00F456AC"/>
    <w:rsid w:val="00F45ACA"/>
    <w:rsid w:val="00F46A20"/>
    <w:rsid w:val="00F46DD5"/>
    <w:rsid w:val="00F517AA"/>
    <w:rsid w:val="00F5279A"/>
    <w:rsid w:val="00F53483"/>
    <w:rsid w:val="00F53BCD"/>
    <w:rsid w:val="00F56B5D"/>
    <w:rsid w:val="00F6424D"/>
    <w:rsid w:val="00F6468E"/>
    <w:rsid w:val="00F64E2A"/>
    <w:rsid w:val="00F707DE"/>
    <w:rsid w:val="00F71DAE"/>
    <w:rsid w:val="00F73570"/>
    <w:rsid w:val="00F7501A"/>
    <w:rsid w:val="00F7506C"/>
    <w:rsid w:val="00F76839"/>
    <w:rsid w:val="00F77178"/>
    <w:rsid w:val="00F80851"/>
    <w:rsid w:val="00F8114C"/>
    <w:rsid w:val="00F84F86"/>
    <w:rsid w:val="00F92867"/>
    <w:rsid w:val="00FA175D"/>
    <w:rsid w:val="00FA5D4F"/>
    <w:rsid w:val="00FB5383"/>
    <w:rsid w:val="00FB7E6D"/>
    <w:rsid w:val="00FC1D76"/>
    <w:rsid w:val="00FD0F89"/>
    <w:rsid w:val="00FE08BB"/>
    <w:rsid w:val="00FE4626"/>
    <w:rsid w:val="00FE5472"/>
    <w:rsid w:val="00FE5A92"/>
    <w:rsid w:val="00FE6627"/>
    <w:rsid w:val="00FF08F1"/>
    <w:rsid w:val="00FF39BD"/>
    <w:rsid w:val="00FF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link w:val="FooterChar"/>
    <w:uiPriority w:val="99"/>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CharCharChar">
    <w:name w:val="Char Char Char"/>
    <w:basedOn w:val="Normal"/>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rsid w:val="00CB603B"/>
    <w:rPr>
      <w:rFonts w:ascii="Arial" w:hAnsi="Arial" w:cs="Arial"/>
      <w:sz w:val="22"/>
      <w:szCs w:val="22"/>
      <w:lang w:eastAsia="en-US"/>
    </w:rPr>
  </w:style>
  <w:style w:type="paragraph" w:customStyle="1" w:styleId="a">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basedOn w:val="DefaultParagraphFont"/>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uiPriority w:val="99"/>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basedOn w:val="DefaultParagraphFont"/>
    <w:link w:val="Normalnumbered"/>
    <w:uiPriority w:val="99"/>
    <w:locked/>
    <w:rsid w:val="00FF08F1"/>
    <w:rPr>
      <w:rFonts w:ascii="Corbel" w:hAnsi="Corbel" w:cs="Corbel"/>
      <w:color w:val="000000"/>
      <w:sz w:val="23"/>
      <w:szCs w:val="23"/>
    </w:rPr>
  </w:style>
  <w:style w:type="character" w:styleId="Hyperlink">
    <w:name w:val="Hyperlink"/>
    <w:basedOn w:val="DefaultParagraphFont"/>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character" w:customStyle="1" w:styleId="FooterChar">
    <w:name w:val="Footer Char"/>
    <w:basedOn w:val="DefaultParagraphFont"/>
    <w:link w:val="Footer"/>
    <w:uiPriority w:val="99"/>
    <w:rsid w:val="00446588"/>
    <w:rPr>
      <w:sz w:val="24"/>
    </w:rPr>
  </w:style>
  <w:style w:type="paragraph" w:styleId="ListParagraph">
    <w:name w:val="List Paragraph"/>
    <w:basedOn w:val="Normal"/>
    <w:uiPriority w:val="34"/>
    <w:qFormat/>
    <w:rsid w:val="00DD500F"/>
    <w:pPr>
      <w:ind w:left="720"/>
      <w:contextualSpacing/>
    </w:pPr>
  </w:style>
  <w:style w:type="character" w:styleId="Strong">
    <w:name w:val="Strong"/>
    <w:basedOn w:val="DefaultParagraphFont"/>
    <w:uiPriority w:val="22"/>
    <w:qFormat/>
    <w:rsid w:val="00C266E9"/>
    <w:rPr>
      <w:b/>
      <w:bCs/>
    </w:rPr>
  </w:style>
  <w:style w:type="paragraph" w:styleId="NoSpacing">
    <w:name w:val="No Spacing"/>
    <w:basedOn w:val="Normal"/>
    <w:uiPriority w:val="99"/>
    <w:qFormat/>
    <w:rsid w:val="00C26D75"/>
    <w:rPr>
      <w:rFonts w:ascii="Calibri" w:hAnsi="Calibri" w:cs="Calibri"/>
      <w:sz w:val="22"/>
      <w:szCs w:val="22"/>
    </w:rPr>
  </w:style>
  <w:style w:type="paragraph" w:customStyle="1" w:styleId="1">
    <w:name w:val="_1"/>
    <w:basedOn w:val="Normal"/>
    <w:rsid w:val="00B37323"/>
    <w:pPr>
      <w:snapToGrid w:val="0"/>
      <w:ind w:left="720" w:hanging="72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link w:val="FooterChar"/>
    <w:uiPriority w:val="99"/>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CharCharChar">
    <w:name w:val="Char Char Char"/>
    <w:basedOn w:val="Normal"/>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rsid w:val="00CB603B"/>
    <w:rPr>
      <w:rFonts w:ascii="Arial" w:hAnsi="Arial" w:cs="Arial"/>
      <w:sz w:val="22"/>
      <w:szCs w:val="22"/>
      <w:lang w:eastAsia="en-US"/>
    </w:rPr>
  </w:style>
  <w:style w:type="paragraph" w:customStyle="1" w:styleId="a">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basedOn w:val="DefaultParagraphFont"/>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uiPriority w:val="99"/>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basedOn w:val="DefaultParagraphFont"/>
    <w:link w:val="Normalnumbered"/>
    <w:uiPriority w:val="99"/>
    <w:locked/>
    <w:rsid w:val="00FF08F1"/>
    <w:rPr>
      <w:rFonts w:ascii="Corbel" w:hAnsi="Corbel" w:cs="Corbel"/>
      <w:color w:val="000000"/>
      <w:sz w:val="23"/>
      <w:szCs w:val="23"/>
    </w:rPr>
  </w:style>
  <w:style w:type="character" w:styleId="Hyperlink">
    <w:name w:val="Hyperlink"/>
    <w:basedOn w:val="DefaultParagraphFont"/>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character" w:customStyle="1" w:styleId="FooterChar">
    <w:name w:val="Footer Char"/>
    <w:basedOn w:val="DefaultParagraphFont"/>
    <w:link w:val="Footer"/>
    <w:uiPriority w:val="99"/>
    <w:rsid w:val="00446588"/>
    <w:rPr>
      <w:sz w:val="24"/>
    </w:rPr>
  </w:style>
  <w:style w:type="paragraph" w:styleId="ListParagraph">
    <w:name w:val="List Paragraph"/>
    <w:basedOn w:val="Normal"/>
    <w:uiPriority w:val="34"/>
    <w:qFormat/>
    <w:rsid w:val="00DD500F"/>
    <w:pPr>
      <w:ind w:left="720"/>
      <w:contextualSpacing/>
    </w:pPr>
  </w:style>
  <w:style w:type="character" w:styleId="Strong">
    <w:name w:val="Strong"/>
    <w:basedOn w:val="DefaultParagraphFont"/>
    <w:uiPriority w:val="22"/>
    <w:qFormat/>
    <w:rsid w:val="00C266E9"/>
    <w:rPr>
      <w:b/>
      <w:bCs/>
    </w:rPr>
  </w:style>
  <w:style w:type="paragraph" w:styleId="NoSpacing">
    <w:name w:val="No Spacing"/>
    <w:basedOn w:val="Normal"/>
    <w:uiPriority w:val="99"/>
    <w:qFormat/>
    <w:rsid w:val="00C26D75"/>
    <w:rPr>
      <w:rFonts w:ascii="Calibri" w:hAnsi="Calibri" w:cs="Calibri"/>
      <w:sz w:val="22"/>
      <w:szCs w:val="22"/>
    </w:rPr>
  </w:style>
  <w:style w:type="paragraph" w:customStyle="1" w:styleId="1">
    <w:name w:val="_1"/>
    <w:basedOn w:val="Normal"/>
    <w:rsid w:val="00B37323"/>
    <w:pPr>
      <w:snapToGrid w:val="0"/>
      <w:ind w:left="720" w:hanging="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287">
      <w:bodyDiv w:val="1"/>
      <w:marLeft w:val="0"/>
      <w:marRight w:val="0"/>
      <w:marTop w:val="0"/>
      <w:marBottom w:val="0"/>
      <w:divBdr>
        <w:top w:val="none" w:sz="0" w:space="0" w:color="auto"/>
        <w:left w:val="none" w:sz="0" w:space="0" w:color="auto"/>
        <w:bottom w:val="none" w:sz="0" w:space="0" w:color="auto"/>
        <w:right w:val="none" w:sz="0" w:space="0" w:color="auto"/>
      </w:divBdr>
    </w:div>
    <w:div w:id="157619249">
      <w:bodyDiv w:val="1"/>
      <w:marLeft w:val="0"/>
      <w:marRight w:val="0"/>
      <w:marTop w:val="0"/>
      <w:marBottom w:val="0"/>
      <w:divBdr>
        <w:top w:val="none" w:sz="0" w:space="0" w:color="auto"/>
        <w:left w:val="none" w:sz="0" w:space="0" w:color="auto"/>
        <w:bottom w:val="none" w:sz="0" w:space="0" w:color="auto"/>
        <w:right w:val="none" w:sz="0" w:space="0" w:color="auto"/>
      </w:divBdr>
    </w:div>
    <w:div w:id="292492104">
      <w:bodyDiv w:val="1"/>
      <w:marLeft w:val="0"/>
      <w:marRight w:val="0"/>
      <w:marTop w:val="0"/>
      <w:marBottom w:val="0"/>
      <w:divBdr>
        <w:top w:val="none" w:sz="0" w:space="0" w:color="auto"/>
        <w:left w:val="none" w:sz="0" w:space="0" w:color="auto"/>
        <w:bottom w:val="none" w:sz="0" w:space="0" w:color="auto"/>
        <w:right w:val="none" w:sz="0" w:space="0" w:color="auto"/>
      </w:divBdr>
    </w:div>
    <w:div w:id="408499501">
      <w:bodyDiv w:val="1"/>
      <w:marLeft w:val="0"/>
      <w:marRight w:val="0"/>
      <w:marTop w:val="0"/>
      <w:marBottom w:val="0"/>
      <w:divBdr>
        <w:top w:val="none" w:sz="0" w:space="0" w:color="auto"/>
        <w:left w:val="none" w:sz="0" w:space="0" w:color="auto"/>
        <w:bottom w:val="none" w:sz="0" w:space="0" w:color="auto"/>
        <w:right w:val="none" w:sz="0" w:space="0" w:color="auto"/>
      </w:divBdr>
    </w:div>
    <w:div w:id="409549775">
      <w:bodyDiv w:val="1"/>
      <w:marLeft w:val="0"/>
      <w:marRight w:val="0"/>
      <w:marTop w:val="0"/>
      <w:marBottom w:val="0"/>
      <w:divBdr>
        <w:top w:val="none" w:sz="0" w:space="0" w:color="auto"/>
        <w:left w:val="none" w:sz="0" w:space="0" w:color="auto"/>
        <w:bottom w:val="none" w:sz="0" w:space="0" w:color="auto"/>
        <w:right w:val="none" w:sz="0" w:space="0" w:color="auto"/>
      </w:divBdr>
    </w:div>
    <w:div w:id="472450375">
      <w:bodyDiv w:val="1"/>
      <w:marLeft w:val="0"/>
      <w:marRight w:val="0"/>
      <w:marTop w:val="0"/>
      <w:marBottom w:val="0"/>
      <w:divBdr>
        <w:top w:val="none" w:sz="0" w:space="0" w:color="auto"/>
        <w:left w:val="none" w:sz="0" w:space="0" w:color="auto"/>
        <w:bottom w:val="none" w:sz="0" w:space="0" w:color="auto"/>
        <w:right w:val="none" w:sz="0" w:space="0" w:color="auto"/>
      </w:divBdr>
    </w:div>
    <w:div w:id="634525666">
      <w:bodyDiv w:val="1"/>
      <w:marLeft w:val="0"/>
      <w:marRight w:val="0"/>
      <w:marTop w:val="0"/>
      <w:marBottom w:val="0"/>
      <w:divBdr>
        <w:top w:val="none" w:sz="0" w:space="0" w:color="auto"/>
        <w:left w:val="none" w:sz="0" w:space="0" w:color="auto"/>
        <w:bottom w:val="none" w:sz="0" w:space="0" w:color="auto"/>
        <w:right w:val="none" w:sz="0" w:space="0" w:color="auto"/>
      </w:divBdr>
    </w:div>
    <w:div w:id="654722176">
      <w:bodyDiv w:val="1"/>
      <w:marLeft w:val="0"/>
      <w:marRight w:val="0"/>
      <w:marTop w:val="0"/>
      <w:marBottom w:val="0"/>
      <w:divBdr>
        <w:top w:val="none" w:sz="0" w:space="0" w:color="auto"/>
        <w:left w:val="none" w:sz="0" w:space="0" w:color="auto"/>
        <w:bottom w:val="none" w:sz="0" w:space="0" w:color="auto"/>
        <w:right w:val="none" w:sz="0" w:space="0" w:color="auto"/>
      </w:divBdr>
    </w:div>
    <w:div w:id="787508629">
      <w:bodyDiv w:val="1"/>
      <w:marLeft w:val="0"/>
      <w:marRight w:val="0"/>
      <w:marTop w:val="0"/>
      <w:marBottom w:val="0"/>
      <w:divBdr>
        <w:top w:val="none" w:sz="0" w:space="0" w:color="auto"/>
        <w:left w:val="none" w:sz="0" w:space="0" w:color="auto"/>
        <w:bottom w:val="none" w:sz="0" w:space="0" w:color="auto"/>
        <w:right w:val="none" w:sz="0" w:space="0" w:color="auto"/>
      </w:divBdr>
    </w:div>
    <w:div w:id="832600800">
      <w:bodyDiv w:val="1"/>
      <w:marLeft w:val="0"/>
      <w:marRight w:val="0"/>
      <w:marTop w:val="0"/>
      <w:marBottom w:val="0"/>
      <w:divBdr>
        <w:top w:val="none" w:sz="0" w:space="0" w:color="auto"/>
        <w:left w:val="none" w:sz="0" w:space="0" w:color="auto"/>
        <w:bottom w:val="none" w:sz="0" w:space="0" w:color="auto"/>
        <w:right w:val="none" w:sz="0" w:space="0" w:color="auto"/>
      </w:divBdr>
    </w:div>
    <w:div w:id="1142961333">
      <w:bodyDiv w:val="1"/>
      <w:marLeft w:val="0"/>
      <w:marRight w:val="0"/>
      <w:marTop w:val="0"/>
      <w:marBottom w:val="0"/>
      <w:divBdr>
        <w:top w:val="none" w:sz="0" w:space="0" w:color="auto"/>
        <w:left w:val="none" w:sz="0" w:space="0" w:color="auto"/>
        <w:bottom w:val="none" w:sz="0" w:space="0" w:color="auto"/>
        <w:right w:val="none" w:sz="0" w:space="0" w:color="auto"/>
      </w:divBdr>
    </w:div>
    <w:div w:id="1187524798">
      <w:bodyDiv w:val="1"/>
      <w:marLeft w:val="0"/>
      <w:marRight w:val="0"/>
      <w:marTop w:val="0"/>
      <w:marBottom w:val="0"/>
      <w:divBdr>
        <w:top w:val="none" w:sz="0" w:space="0" w:color="auto"/>
        <w:left w:val="none" w:sz="0" w:space="0" w:color="auto"/>
        <w:bottom w:val="none" w:sz="0" w:space="0" w:color="auto"/>
        <w:right w:val="none" w:sz="0" w:space="0" w:color="auto"/>
      </w:divBdr>
    </w:div>
    <w:div w:id="1233810057">
      <w:bodyDiv w:val="1"/>
      <w:marLeft w:val="0"/>
      <w:marRight w:val="0"/>
      <w:marTop w:val="0"/>
      <w:marBottom w:val="0"/>
      <w:divBdr>
        <w:top w:val="none" w:sz="0" w:space="0" w:color="auto"/>
        <w:left w:val="none" w:sz="0" w:space="0" w:color="auto"/>
        <w:bottom w:val="none" w:sz="0" w:space="0" w:color="auto"/>
        <w:right w:val="none" w:sz="0" w:space="0" w:color="auto"/>
      </w:divBdr>
    </w:div>
    <w:div w:id="1276137605">
      <w:bodyDiv w:val="1"/>
      <w:marLeft w:val="0"/>
      <w:marRight w:val="0"/>
      <w:marTop w:val="0"/>
      <w:marBottom w:val="0"/>
      <w:divBdr>
        <w:top w:val="none" w:sz="0" w:space="0" w:color="auto"/>
        <w:left w:val="none" w:sz="0" w:space="0" w:color="auto"/>
        <w:bottom w:val="none" w:sz="0" w:space="0" w:color="auto"/>
        <w:right w:val="none" w:sz="0" w:space="0" w:color="auto"/>
      </w:divBdr>
    </w:div>
    <w:div w:id="1323045172">
      <w:bodyDiv w:val="1"/>
      <w:marLeft w:val="0"/>
      <w:marRight w:val="0"/>
      <w:marTop w:val="0"/>
      <w:marBottom w:val="0"/>
      <w:divBdr>
        <w:top w:val="none" w:sz="0" w:space="0" w:color="auto"/>
        <w:left w:val="none" w:sz="0" w:space="0" w:color="auto"/>
        <w:bottom w:val="none" w:sz="0" w:space="0" w:color="auto"/>
        <w:right w:val="none" w:sz="0" w:space="0" w:color="auto"/>
      </w:divBdr>
    </w:div>
    <w:div w:id="1328364303">
      <w:bodyDiv w:val="1"/>
      <w:marLeft w:val="0"/>
      <w:marRight w:val="0"/>
      <w:marTop w:val="0"/>
      <w:marBottom w:val="0"/>
      <w:divBdr>
        <w:top w:val="none" w:sz="0" w:space="0" w:color="auto"/>
        <w:left w:val="none" w:sz="0" w:space="0" w:color="auto"/>
        <w:bottom w:val="none" w:sz="0" w:space="0" w:color="auto"/>
        <w:right w:val="none" w:sz="0" w:space="0" w:color="auto"/>
      </w:divBdr>
    </w:div>
    <w:div w:id="1689984788">
      <w:bodyDiv w:val="1"/>
      <w:marLeft w:val="0"/>
      <w:marRight w:val="0"/>
      <w:marTop w:val="0"/>
      <w:marBottom w:val="0"/>
      <w:divBdr>
        <w:top w:val="none" w:sz="0" w:space="0" w:color="auto"/>
        <w:left w:val="none" w:sz="0" w:space="0" w:color="auto"/>
        <w:bottom w:val="none" w:sz="0" w:space="0" w:color="auto"/>
        <w:right w:val="none" w:sz="0" w:space="0" w:color="auto"/>
      </w:divBdr>
    </w:div>
    <w:div w:id="1691251643">
      <w:bodyDiv w:val="1"/>
      <w:marLeft w:val="0"/>
      <w:marRight w:val="0"/>
      <w:marTop w:val="0"/>
      <w:marBottom w:val="0"/>
      <w:divBdr>
        <w:top w:val="none" w:sz="0" w:space="0" w:color="auto"/>
        <w:left w:val="none" w:sz="0" w:space="0" w:color="auto"/>
        <w:bottom w:val="none" w:sz="0" w:space="0" w:color="auto"/>
        <w:right w:val="none" w:sz="0" w:space="0" w:color="auto"/>
      </w:divBdr>
    </w:div>
    <w:div w:id="1691835476">
      <w:bodyDiv w:val="1"/>
      <w:marLeft w:val="0"/>
      <w:marRight w:val="0"/>
      <w:marTop w:val="0"/>
      <w:marBottom w:val="0"/>
      <w:divBdr>
        <w:top w:val="none" w:sz="0" w:space="0" w:color="auto"/>
        <w:left w:val="none" w:sz="0" w:space="0" w:color="auto"/>
        <w:bottom w:val="none" w:sz="0" w:space="0" w:color="auto"/>
        <w:right w:val="none" w:sz="0" w:space="0" w:color="auto"/>
      </w:divBdr>
    </w:div>
    <w:div w:id="188281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2521</Words>
  <Characters>14667</Characters>
  <Application>Microsoft Office Word</Application>
  <DocSecurity>0</DocSecurity>
  <Lines>122</Lines>
  <Paragraphs>34</Paragraphs>
  <ScaleCrop>false</ScaleCrop>
  <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2014-08-05T00:12:00Z</dcterms:created>
  <dcterms:modified xsi:type="dcterms:W3CDTF">2014-08-05T00:12:00Z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