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C2A" w:rsidRDefault="00AC1C2A" w:rsidP="00AC1C2A">
      <w:pPr>
        <w:spacing w:after="0" w:line="240" w:lineRule="auto"/>
        <w:jc w:val="center"/>
        <w:outlineLvl w:val="0"/>
        <w:rPr>
          <w:rFonts w:ascii="Arial" w:hAnsi="Arial" w:cs="Arial"/>
          <w:b/>
          <w:sz w:val="48"/>
          <w:szCs w:val="48"/>
        </w:rPr>
      </w:pPr>
      <w:bookmarkStart w:id="0" w:name="_GoBack"/>
      <w:bookmarkEnd w:id="0"/>
      <w:r>
        <w:rPr>
          <w:rFonts w:ascii="Arial" w:hAnsi="Arial" w:cs="Arial"/>
          <w:b/>
          <w:noProof/>
          <w:sz w:val="48"/>
          <w:szCs w:val="48"/>
        </w:rPr>
        <w:drawing>
          <wp:anchor distT="0" distB="0" distL="114300" distR="114300" simplePos="0" relativeHeight="251659264" behindDoc="0" locked="0" layoutInCell="1" allowOverlap="1">
            <wp:simplePos x="0" y="0"/>
            <wp:positionH relativeFrom="page">
              <wp:posOffset>2695575</wp:posOffset>
            </wp:positionH>
            <wp:positionV relativeFrom="page">
              <wp:posOffset>1076325</wp:posOffset>
            </wp:positionV>
            <wp:extent cx="2190750" cy="1009650"/>
            <wp:effectExtent l="19050" t="0" r="0" b="0"/>
            <wp:wrapThrough wrapText="bothSides">
              <wp:wrapPolygon edited="0">
                <wp:start x="-188" y="0"/>
                <wp:lineTo x="-188" y="21192"/>
                <wp:lineTo x="21600" y="21192"/>
                <wp:lineTo x="21600" y="0"/>
                <wp:lineTo x="-188" y="0"/>
              </wp:wrapPolygon>
            </wp:wrapThrough>
            <wp:docPr id="2" name="Picture 1" descr="Health - NSW Gov - hi res CMYK col 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 NSW Gov - hi res CMYK col gradient"/>
                    <pic:cNvPicPr>
                      <a:picLocks noChangeAspect="1" noChangeArrowheads="1"/>
                    </pic:cNvPicPr>
                  </pic:nvPicPr>
                  <pic:blipFill>
                    <a:blip r:embed="rId9" cstate="print"/>
                    <a:srcRect/>
                    <a:stretch>
                      <a:fillRect/>
                    </a:stretch>
                  </pic:blipFill>
                  <pic:spPr bwMode="auto">
                    <a:xfrm>
                      <a:off x="0" y="0"/>
                      <a:ext cx="2190750" cy="1009650"/>
                    </a:xfrm>
                    <a:prstGeom prst="rect">
                      <a:avLst/>
                    </a:prstGeom>
                    <a:noFill/>
                  </pic:spPr>
                </pic:pic>
              </a:graphicData>
            </a:graphic>
          </wp:anchor>
        </w:drawing>
      </w: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Pr="002D53CF" w:rsidRDefault="00AC1C2A" w:rsidP="00AC1C2A">
      <w:pPr>
        <w:spacing w:after="0" w:line="240" w:lineRule="auto"/>
        <w:jc w:val="center"/>
        <w:outlineLvl w:val="0"/>
        <w:rPr>
          <w:rFonts w:ascii="Arial" w:hAnsi="Arial" w:cs="Arial"/>
          <w:b/>
          <w:sz w:val="44"/>
          <w:szCs w:val="44"/>
        </w:rPr>
      </w:pPr>
      <w:r w:rsidRPr="002D53CF">
        <w:rPr>
          <w:rFonts w:ascii="Arial" w:hAnsi="Arial" w:cs="Arial"/>
          <w:b/>
          <w:sz w:val="44"/>
          <w:szCs w:val="44"/>
        </w:rPr>
        <w:t xml:space="preserve">NATIONAL PARTNERSHIP AGREEMENT ON HOSPITAL AND HEALTH WORKFORCE REFORM </w:t>
      </w: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Pr="002D53CF" w:rsidRDefault="00AC1C2A" w:rsidP="00AC1C2A">
      <w:pPr>
        <w:spacing w:after="0" w:line="240" w:lineRule="auto"/>
        <w:ind w:left="720"/>
        <w:jc w:val="center"/>
        <w:outlineLvl w:val="0"/>
        <w:rPr>
          <w:rFonts w:ascii="Arial" w:hAnsi="Arial" w:cs="Arial"/>
          <w:b/>
          <w:sz w:val="36"/>
          <w:szCs w:val="36"/>
        </w:rPr>
      </w:pPr>
      <w:r w:rsidRPr="002D53CF">
        <w:rPr>
          <w:rFonts w:ascii="Arial" w:hAnsi="Arial" w:cs="Arial"/>
          <w:b/>
          <w:sz w:val="36"/>
          <w:szCs w:val="36"/>
        </w:rPr>
        <w:t>NSW Subacute Care Implementation Plan</w:t>
      </w:r>
    </w:p>
    <w:p w:rsidR="00AC1C2A" w:rsidRDefault="00AC1C2A" w:rsidP="00AC1C2A">
      <w:pPr>
        <w:spacing w:after="0" w:line="240" w:lineRule="auto"/>
        <w:jc w:val="right"/>
        <w:outlineLvl w:val="0"/>
        <w:rPr>
          <w:rFonts w:ascii="Arial" w:hAnsi="Arial" w:cs="Arial"/>
          <w:b/>
          <w:sz w:val="36"/>
          <w:szCs w:val="36"/>
        </w:rPr>
      </w:pPr>
    </w:p>
    <w:p w:rsidR="00AC1C2A" w:rsidRPr="007978C5" w:rsidRDefault="00246A91" w:rsidP="00AC1C2A">
      <w:pPr>
        <w:spacing w:after="0" w:line="240" w:lineRule="auto"/>
        <w:jc w:val="center"/>
        <w:outlineLvl w:val="0"/>
        <w:rPr>
          <w:rFonts w:ascii="Arial" w:hAnsi="Arial" w:cs="Arial"/>
          <w:b/>
          <w:sz w:val="36"/>
          <w:szCs w:val="36"/>
        </w:rPr>
      </w:pPr>
      <w:r>
        <w:rPr>
          <w:rFonts w:ascii="Arial" w:hAnsi="Arial" w:cs="Arial"/>
          <w:b/>
          <w:sz w:val="36"/>
          <w:szCs w:val="36"/>
        </w:rPr>
        <w:t>Fin</w:t>
      </w:r>
      <w:r w:rsidR="00AC1C2A">
        <w:rPr>
          <w:rFonts w:ascii="Arial" w:hAnsi="Arial" w:cs="Arial"/>
          <w:b/>
          <w:sz w:val="36"/>
          <w:szCs w:val="36"/>
        </w:rPr>
        <w:t>al Annual Report</w:t>
      </w:r>
    </w:p>
    <w:p w:rsidR="00AC1C2A" w:rsidRPr="007978C5" w:rsidRDefault="00AC1C2A" w:rsidP="00AC1C2A">
      <w:pPr>
        <w:spacing w:after="0" w:line="240" w:lineRule="auto"/>
        <w:jc w:val="center"/>
        <w:outlineLvl w:val="0"/>
        <w:rPr>
          <w:rFonts w:ascii="Arial" w:hAnsi="Arial" w:cs="Arial"/>
          <w:b/>
          <w:sz w:val="36"/>
          <w:szCs w:val="36"/>
        </w:rPr>
      </w:pPr>
      <w:r w:rsidRPr="007978C5">
        <w:rPr>
          <w:rFonts w:ascii="Arial" w:hAnsi="Arial" w:cs="Arial"/>
          <w:b/>
          <w:sz w:val="36"/>
          <w:szCs w:val="36"/>
        </w:rPr>
        <w:t xml:space="preserve">July </w:t>
      </w:r>
      <w:r>
        <w:rPr>
          <w:rFonts w:ascii="Arial" w:hAnsi="Arial" w:cs="Arial"/>
          <w:b/>
          <w:sz w:val="36"/>
          <w:szCs w:val="36"/>
        </w:rPr>
        <w:t xml:space="preserve">2011 </w:t>
      </w:r>
      <w:r w:rsidRPr="007978C5">
        <w:rPr>
          <w:rFonts w:ascii="Arial" w:hAnsi="Arial" w:cs="Arial"/>
          <w:b/>
          <w:sz w:val="36"/>
          <w:szCs w:val="36"/>
        </w:rPr>
        <w:t xml:space="preserve">to </w:t>
      </w:r>
      <w:r>
        <w:rPr>
          <w:rFonts w:ascii="Arial" w:hAnsi="Arial" w:cs="Arial"/>
          <w:b/>
          <w:sz w:val="36"/>
          <w:szCs w:val="36"/>
        </w:rPr>
        <w:t>June</w:t>
      </w:r>
      <w:r w:rsidRPr="007978C5">
        <w:rPr>
          <w:rFonts w:ascii="Arial" w:hAnsi="Arial" w:cs="Arial"/>
          <w:b/>
          <w:sz w:val="36"/>
          <w:szCs w:val="36"/>
        </w:rPr>
        <w:t xml:space="preserve"> 20</w:t>
      </w:r>
      <w:r>
        <w:rPr>
          <w:rFonts w:ascii="Arial" w:hAnsi="Arial" w:cs="Arial"/>
          <w:b/>
          <w:sz w:val="36"/>
          <w:szCs w:val="36"/>
        </w:rPr>
        <w:t>12</w:t>
      </w:r>
    </w:p>
    <w:p w:rsidR="00AC1C2A" w:rsidRDefault="00AC1C2A" w:rsidP="00AC1C2A">
      <w:pPr>
        <w:rPr>
          <w:rFonts w:ascii="Arial" w:hAnsi="Arial" w:cs="Arial"/>
          <w:b/>
        </w:rPr>
      </w:pPr>
    </w:p>
    <w:p w:rsidR="00AC1C2A" w:rsidRDefault="00AC1C2A" w:rsidP="00AC1C2A">
      <w:pPr>
        <w:jc w:val="center"/>
        <w:rPr>
          <w:rFonts w:ascii="Arial" w:hAnsi="Arial" w:cs="Arial"/>
          <w:b/>
        </w:rPr>
      </w:pPr>
    </w:p>
    <w:p w:rsidR="00AC1C2A" w:rsidRDefault="00AC1C2A" w:rsidP="00AC1C2A">
      <w:pPr>
        <w:jc w:val="center"/>
        <w:rPr>
          <w:rFonts w:ascii="Arial" w:hAnsi="Arial" w:cs="Arial"/>
          <w:b/>
        </w:rPr>
      </w:pPr>
      <w:r>
        <w:rPr>
          <w:rFonts w:ascii="Arial" w:hAnsi="Arial" w:cs="Arial"/>
          <w:b/>
        </w:rPr>
        <w:t>(</w:t>
      </w:r>
      <w:r w:rsidR="003709B0">
        <w:rPr>
          <w:rFonts w:ascii="Arial" w:hAnsi="Arial" w:cs="Arial"/>
          <w:b/>
        </w:rPr>
        <w:t>revised Dec</w:t>
      </w:r>
      <w:r>
        <w:rPr>
          <w:rFonts w:ascii="Arial" w:hAnsi="Arial" w:cs="Arial"/>
          <w:b/>
        </w:rPr>
        <w:t>ember 2012)</w:t>
      </w:r>
    </w:p>
    <w:p w:rsidR="00AC1C2A" w:rsidRDefault="00AC1C2A" w:rsidP="00AC1C2A">
      <w:pPr>
        <w:jc w:val="center"/>
        <w:rPr>
          <w:rFonts w:ascii="Arial" w:hAnsi="Arial" w:cs="Arial"/>
          <w:b/>
        </w:rPr>
      </w:pPr>
    </w:p>
    <w:p w:rsidR="00AC1C2A" w:rsidRDefault="00AC1C2A" w:rsidP="00AC1C2A">
      <w:pPr>
        <w:jc w:val="center"/>
        <w:rPr>
          <w:rFonts w:ascii="Arial" w:hAnsi="Arial" w:cs="Arial"/>
          <w:b/>
        </w:rPr>
      </w:pPr>
    </w:p>
    <w:p w:rsidR="00AC1C2A" w:rsidRDefault="00AC1C2A" w:rsidP="00AC1C2A">
      <w:pPr>
        <w:jc w:val="center"/>
        <w:rPr>
          <w:rFonts w:ascii="Arial" w:hAnsi="Arial" w:cs="Arial"/>
          <w:b/>
        </w:rPr>
      </w:pPr>
    </w:p>
    <w:p w:rsidR="00AC1C2A" w:rsidRDefault="00AC1C2A" w:rsidP="00AC1C2A">
      <w:pPr>
        <w:jc w:val="center"/>
        <w:rPr>
          <w:rFonts w:ascii="Arial" w:hAnsi="Arial" w:cs="Arial"/>
          <w:b/>
        </w:rPr>
      </w:pPr>
    </w:p>
    <w:p w:rsidR="00AC1C2A" w:rsidRDefault="00AC1C2A" w:rsidP="00AC1C2A">
      <w:pPr>
        <w:jc w:val="center"/>
        <w:rPr>
          <w:rFonts w:ascii="Arial" w:hAnsi="Arial" w:cs="Arial"/>
          <w:b/>
        </w:rPr>
      </w:pPr>
    </w:p>
    <w:p w:rsidR="00AC1C2A" w:rsidRPr="00261CB1" w:rsidRDefault="00AC1C2A" w:rsidP="00AC1C2A">
      <w:pPr>
        <w:jc w:val="center"/>
        <w:rPr>
          <w:rFonts w:ascii="Arial" w:hAnsi="Arial" w:cs="Arial"/>
          <w:b/>
          <w:sz w:val="24"/>
          <w:szCs w:val="24"/>
        </w:rPr>
      </w:pPr>
      <w:r w:rsidRPr="00261CB1">
        <w:rPr>
          <w:rFonts w:ascii="Arial" w:hAnsi="Arial" w:cs="Arial"/>
          <w:b/>
          <w:sz w:val="24"/>
          <w:szCs w:val="24"/>
        </w:rPr>
        <w:lastRenderedPageBreak/>
        <w:t>NSW Subacute Care Implementation Plan</w:t>
      </w:r>
    </w:p>
    <w:p w:rsidR="00AC1C2A" w:rsidRPr="00261CB1" w:rsidRDefault="00AC1C2A" w:rsidP="00AC1C2A">
      <w:pPr>
        <w:spacing w:after="0" w:line="240" w:lineRule="auto"/>
        <w:jc w:val="center"/>
        <w:outlineLvl w:val="0"/>
        <w:rPr>
          <w:rFonts w:ascii="Arial" w:hAnsi="Arial" w:cs="Arial"/>
          <w:b/>
          <w:sz w:val="24"/>
          <w:szCs w:val="24"/>
        </w:rPr>
      </w:pPr>
      <w:r>
        <w:rPr>
          <w:rFonts w:ascii="Arial" w:hAnsi="Arial" w:cs="Arial"/>
          <w:b/>
          <w:sz w:val="24"/>
          <w:szCs w:val="24"/>
        </w:rPr>
        <w:t>Report for the period July 201</w:t>
      </w:r>
      <w:r w:rsidR="00AB366D">
        <w:rPr>
          <w:rFonts w:ascii="Arial" w:hAnsi="Arial" w:cs="Arial"/>
          <w:b/>
          <w:sz w:val="24"/>
          <w:szCs w:val="24"/>
        </w:rPr>
        <w:t>1</w:t>
      </w:r>
      <w:r w:rsidRPr="00F53562">
        <w:rPr>
          <w:rFonts w:ascii="Arial" w:hAnsi="Arial" w:cs="Arial"/>
          <w:b/>
          <w:sz w:val="24"/>
          <w:szCs w:val="24"/>
        </w:rPr>
        <w:t xml:space="preserve"> </w:t>
      </w:r>
      <w:r w:rsidRPr="00261CB1">
        <w:rPr>
          <w:rFonts w:ascii="Arial" w:hAnsi="Arial" w:cs="Arial"/>
          <w:b/>
          <w:sz w:val="24"/>
          <w:szCs w:val="24"/>
        </w:rPr>
        <w:t xml:space="preserve">to </w:t>
      </w:r>
      <w:r w:rsidR="00AB366D">
        <w:rPr>
          <w:rFonts w:ascii="Arial" w:hAnsi="Arial" w:cs="Arial"/>
          <w:b/>
          <w:sz w:val="24"/>
          <w:szCs w:val="24"/>
        </w:rPr>
        <w:t>June 2012</w:t>
      </w:r>
    </w:p>
    <w:p w:rsidR="00AC1C2A" w:rsidRPr="002654E7" w:rsidRDefault="00AC1C2A" w:rsidP="00E87D32">
      <w:pPr>
        <w:spacing w:after="0" w:line="240" w:lineRule="auto"/>
        <w:rPr>
          <w:rFonts w:ascii="Arial" w:hAnsi="Arial" w:cs="Arial"/>
        </w:rPr>
      </w:pPr>
    </w:p>
    <w:p w:rsidR="00AC1C2A" w:rsidRDefault="00AC1C2A" w:rsidP="00E87D32">
      <w:pPr>
        <w:spacing w:after="0" w:line="240" w:lineRule="auto"/>
        <w:outlineLvl w:val="0"/>
        <w:rPr>
          <w:rFonts w:ascii="Arial" w:hAnsi="Arial" w:cs="Arial"/>
          <w:b/>
        </w:rPr>
      </w:pPr>
    </w:p>
    <w:p w:rsidR="00AC1C2A" w:rsidRPr="002F0284" w:rsidRDefault="00AC1C2A" w:rsidP="00E87D32">
      <w:pPr>
        <w:spacing w:after="0" w:line="240" w:lineRule="auto"/>
        <w:outlineLvl w:val="0"/>
        <w:rPr>
          <w:rFonts w:ascii="Arial" w:hAnsi="Arial" w:cs="Arial"/>
          <w:b/>
        </w:rPr>
      </w:pPr>
      <w:r w:rsidRPr="002F0284">
        <w:rPr>
          <w:rFonts w:ascii="Arial" w:hAnsi="Arial" w:cs="Arial"/>
          <w:b/>
        </w:rPr>
        <w:t>Executive Summary</w:t>
      </w:r>
    </w:p>
    <w:p w:rsidR="00AC1C2A" w:rsidRPr="002F0284" w:rsidRDefault="00AC1C2A" w:rsidP="00E87D32">
      <w:pPr>
        <w:spacing w:after="0" w:line="240" w:lineRule="auto"/>
        <w:rPr>
          <w:rFonts w:ascii="Arial" w:hAnsi="Arial" w:cs="Arial"/>
          <w:b/>
        </w:rPr>
      </w:pPr>
    </w:p>
    <w:p w:rsidR="00AC1C2A" w:rsidRDefault="00AC1C2A" w:rsidP="00E87D32">
      <w:pPr>
        <w:spacing w:after="0" w:line="240" w:lineRule="auto"/>
        <w:jc w:val="both"/>
        <w:rPr>
          <w:rFonts w:ascii="Arial" w:hAnsi="Arial" w:cs="Arial"/>
        </w:rPr>
      </w:pPr>
      <w:r w:rsidRPr="002F0284">
        <w:rPr>
          <w:rFonts w:ascii="Arial" w:hAnsi="Arial" w:cs="Arial"/>
        </w:rPr>
        <w:t xml:space="preserve">Under the National Partnership Agreement, NSW received $165.652m to enhance subacute care service delivery over the period 2009-10 to 2012-13. </w:t>
      </w:r>
    </w:p>
    <w:p w:rsidR="00974273" w:rsidRDefault="00974273" w:rsidP="00E87D32">
      <w:pPr>
        <w:spacing w:after="0" w:line="240" w:lineRule="auto"/>
        <w:jc w:val="both"/>
        <w:rPr>
          <w:rFonts w:ascii="Arial" w:hAnsi="Arial" w:cs="Arial"/>
        </w:rPr>
      </w:pPr>
    </w:p>
    <w:p w:rsidR="00974273" w:rsidRDefault="00974273" w:rsidP="00E87D32">
      <w:pPr>
        <w:spacing w:after="0" w:line="240" w:lineRule="auto"/>
        <w:rPr>
          <w:rFonts w:ascii="Arial" w:hAnsi="Arial" w:cs="Arial"/>
          <w:szCs w:val="20"/>
        </w:rPr>
      </w:pPr>
      <w:r w:rsidRPr="00104641">
        <w:rPr>
          <w:rFonts w:ascii="Arial" w:hAnsi="Arial" w:cs="Arial"/>
          <w:szCs w:val="20"/>
        </w:rPr>
        <w:t xml:space="preserve">Each AHS/LHD made its own investment decisions across the subacute care types (rehabilitation, palliative care, geriatric evaluation and management, and psychogeriatric care). </w:t>
      </w:r>
    </w:p>
    <w:p w:rsidR="00AC1C2A" w:rsidRPr="002F0284" w:rsidRDefault="00AC1C2A" w:rsidP="00E87D32">
      <w:pPr>
        <w:spacing w:after="0" w:line="240" w:lineRule="auto"/>
        <w:jc w:val="both"/>
        <w:rPr>
          <w:rFonts w:ascii="Arial" w:hAnsi="Arial" w:cs="Arial"/>
        </w:rPr>
      </w:pPr>
    </w:p>
    <w:p w:rsidR="00104641" w:rsidRDefault="00104641" w:rsidP="00E87D32">
      <w:pPr>
        <w:spacing w:after="0" w:line="240" w:lineRule="auto"/>
        <w:rPr>
          <w:rFonts w:ascii="Arial" w:hAnsi="Arial" w:cs="Arial"/>
          <w:szCs w:val="20"/>
        </w:rPr>
      </w:pPr>
      <w:r w:rsidRPr="00104641">
        <w:rPr>
          <w:rFonts w:ascii="Arial" w:hAnsi="Arial" w:cs="Arial"/>
          <w:szCs w:val="20"/>
        </w:rPr>
        <w:t>The quantum of services (bed days and/or separations and/or NAPOOS) delivered by NSW Health</w:t>
      </w:r>
      <w:r w:rsidR="00BF24A7">
        <w:rPr>
          <w:rStyle w:val="FootnoteReference"/>
          <w:rFonts w:ascii="Arial" w:hAnsi="Arial" w:cs="Arial"/>
        </w:rPr>
        <w:footnoteReference w:id="1"/>
      </w:r>
      <w:r w:rsidRPr="00104641">
        <w:rPr>
          <w:rFonts w:ascii="Arial" w:hAnsi="Arial" w:cs="Arial"/>
          <w:szCs w:val="20"/>
        </w:rPr>
        <w:t xml:space="preserve"> </w:t>
      </w:r>
      <w:r>
        <w:rPr>
          <w:rFonts w:ascii="Arial" w:hAnsi="Arial" w:cs="Arial"/>
          <w:szCs w:val="20"/>
        </w:rPr>
        <w:t>was required to increase</w:t>
      </w:r>
      <w:r w:rsidRPr="00104641">
        <w:rPr>
          <w:rFonts w:ascii="Arial" w:hAnsi="Arial" w:cs="Arial"/>
          <w:szCs w:val="20"/>
        </w:rPr>
        <w:t xml:space="preserve"> by 20% (over baseline) by June 2013, distributed across AHS/LHDs. The target set for NSW was growth of approximately 138,000 bed day equivalents by 2012/13 </w:t>
      </w:r>
    </w:p>
    <w:p w:rsidR="00CB1D66" w:rsidRDefault="00CB1D66" w:rsidP="00CB1D66">
      <w:pPr>
        <w:spacing w:after="0" w:line="240" w:lineRule="auto"/>
        <w:jc w:val="both"/>
        <w:rPr>
          <w:rFonts w:ascii="Arial" w:hAnsi="Arial" w:cs="Arial"/>
        </w:rPr>
      </w:pPr>
    </w:p>
    <w:p w:rsidR="00CB1D66" w:rsidRDefault="00CB1D66" w:rsidP="00CB1D66">
      <w:pPr>
        <w:spacing w:after="0" w:line="240" w:lineRule="auto"/>
        <w:jc w:val="both"/>
        <w:rPr>
          <w:rFonts w:ascii="Arial" w:hAnsi="Arial" w:cs="Arial"/>
        </w:rPr>
      </w:pPr>
      <w:r w:rsidRPr="00AB366D">
        <w:rPr>
          <w:rFonts w:ascii="Arial" w:hAnsi="Arial" w:cs="Arial"/>
        </w:rPr>
        <w:t>The Ministry cashflowed allocations to AHSs/LHDs to enable cumulative growth targets to be met: $18m in 2009/10, $34m in 2010/11, $49m in 2011/12 and $64.5m in 2012/13.</w:t>
      </w:r>
    </w:p>
    <w:p w:rsidR="00CB1D66" w:rsidRPr="00AB366D" w:rsidRDefault="00CB1D66" w:rsidP="00CB1D66">
      <w:pPr>
        <w:spacing w:after="0" w:line="240" w:lineRule="auto"/>
        <w:jc w:val="both"/>
        <w:rPr>
          <w:rFonts w:ascii="Arial" w:hAnsi="Arial" w:cs="Arial"/>
        </w:rPr>
      </w:pPr>
    </w:p>
    <w:p w:rsidR="00902B55" w:rsidRDefault="00902B55" w:rsidP="00E87D32">
      <w:pPr>
        <w:spacing w:after="0" w:line="240" w:lineRule="auto"/>
        <w:rPr>
          <w:rFonts w:ascii="Arial" w:hAnsi="Arial" w:cs="Arial"/>
          <w:szCs w:val="20"/>
        </w:rPr>
      </w:pPr>
      <w:r w:rsidRPr="00104641">
        <w:rPr>
          <w:rFonts w:ascii="Arial" w:hAnsi="Arial" w:cs="Arial"/>
          <w:szCs w:val="20"/>
        </w:rPr>
        <w:t>The Commonwealth funding was insufficient to fund this level of growth. The Ministry therefore took account of underlying growth in service provision (in 2007/08 estimated at about 2% per annum) and revenue generated from private and compensable patients to meet total estimated costs.</w:t>
      </w:r>
      <w:r>
        <w:rPr>
          <w:rFonts w:ascii="Arial" w:hAnsi="Arial" w:cs="Arial"/>
          <w:szCs w:val="20"/>
        </w:rPr>
        <w:t xml:space="preserve"> </w:t>
      </w:r>
    </w:p>
    <w:p w:rsidR="00902B55" w:rsidRPr="00AB366D" w:rsidRDefault="00902B55" w:rsidP="00E87D32">
      <w:pPr>
        <w:spacing w:after="0" w:line="240" w:lineRule="auto"/>
        <w:rPr>
          <w:rFonts w:ascii="Arial" w:hAnsi="Arial" w:cs="Arial"/>
        </w:rPr>
      </w:pPr>
    </w:p>
    <w:p w:rsidR="00BF7E36" w:rsidRDefault="00902B55" w:rsidP="00E87D32">
      <w:pPr>
        <w:spacing w:after="0" w:line="240" w:lineRule="auto"/>
        <w:jc w:val="both"/>
        <w:rPr>
          <w:rFonts w:ascii="Arial" w:hAnsi="Arial" w:cs="Arial"/>
        </w:rPr>
      </w:pPr>
      <w:r w:rsidRPr="00AB366D">
        <w:rPr>
          <w:rFonts w:ascii="Arial" w:hAnsi="Arial" w:cs="Arial"/>
        </w:rPr>
        <w:t xml:space="preserve">The </w:t>
      </w:r>
      <w:r w:rsidR="00D42B3F">
        <w:rPr>
          <w:rFonts w:ascii="Arial" w:hAnsi="Arial" w:cs="Arial"/>
        </w:rPr>
        <w:t xml:space="preserve">actual </w:t>
      </w:r>
      <w:r w:rsidRPr="00AB366D">
        <w:rPr>
          <w:rFonts w:ascii="Arial" w:hAnsi="Arial" w:cs="Arial"/>
        </w:rPr>
        <w:t xml:space="preserve">cost </w:t>
      </w:r>
      <w:r w:rsidR="00B13456">
        <w:rPr>
          <w:rFonts w:ascii="Arial" w:hAnsi="Arial" w:cs="Arial"/>
        </w:rPr>
        <w:t xml:space="preserve">of </w:t>
      </w:r>
      <w:r w:rsidRPr="00AB366D">
        <w:rPr>
          <w:rFonts w:ascii="Arial" w:hAnsi="Arial" w:cs="Arial"/>
        </w:rPr>
        <w:t xml:space="preserve">subacute activity </w:t>
      </w:r>
      <w:r w:rsidR="00B13456">
        <w:rPr>
          <w:rFonts w:ascii="Arial" w:hAnsi="Arial" w:cs="Arial"/>
        </w:rPr>
        <w:t>in</w:t>
      </w:r>
      <w:r w:rsidR="00B13456" w:rsidRPr="00AB366D">
        <w:rPr>
          <w:rFonts w:ascii="Arial" w:hAnsi="Arial" w:cs="Arial"/>
        </w:rPr>
        <w:t xml:space="preserve"> NSW for </w:t>
      </w:r>
      <w:r w:rsidR="00BF7E36">
        <w:rPr>
          <w:rFonts w:ascii="Arial" w:hAnsi="Arial" w:cs="Arial"/>
        </w:rPr>
        <w:t>2011/12 was</w:t>
      </w:r>
      <w:r w:rsidRPr="00AB366D">
        <w:rPr>
          <w:rFonts w:ascii="Arial" w:hAnsi="Arial" w:cs="Arial"/>
        </w:rPr>
        <w:t xml:space="preserve"> </w:t>
      </w:r>
      <w:r w:rsidRPr="00B13456">
        <w:rPr>
          <w:rFonts w:ascii="Arial" w:hAnsi="Arial" w:cs="Arial"/>
        </w:rPr>
        <w:t>$</w:t>
      </w:r>
      <w:r w:rsidR="00B13456">
        <w:rPr>
          <w:rFonts w:ascii="Arial" w:hAnsi="Arial" w:cs="Arial"/>
        </w:rPr>
        <w:t>691</w:t>
      </w:r>
      <w:r w:rsidR="00EC0BC2">
        <w:rPr>
          <w:rFonts w:ascii="Arial" w:hAnsi="Arial" w:cs="Arial"/>
        </w:rPr>
        <w:t>.3</w:t>
      </w:r>
      <w:r w:rsidRPr="00B13456">
        <w:rPr>
          <w:rFonts w:ascii="Arial" w:hAnsi="Arial" w:cs="Arial"/>
        </w:rPr>
        <w:t>m</w:t>
      </w:r>
      <w:r w:rsidR="00CA5B27">
        <w:rPr>
          <w:rStyle w:val="FootnoteReference"/>
          <w:rFonts w:ascii="Arial" w:hAnsi="Arial" w:cs="Arial"/>
        </w:rPr>
        <w:footnoteReference w:id="2"/>
      </w:r>
      <w:r w:rsidR="00DC0348">
        <w:rPr>
          <w:rFonts w:ascii="Arial" w:hAnsi="Arial" w:cs="Arial"/>
        </w:rPr>
        <w:t>.</w:t>
      </w:r>
      <w:r w:rsidRPr="00AB366D">
        <w:rPr>
          <w:rFonts w:ascii="Arial" w:hAnsi="Arial" w:cs="Arial"/>
        </w:rPr>
        <w:t xml:space="preserve"> </w:t>
      </w:r>
      <w:r w:rsidR="00BF7E36">
        <w:rPr>
          <w:rFonts w:ascii="Arial" w:hAnsi="Arial" w:cs="Arial"/>
        </w:rPr>
        <w:t xml:space="preserve"> In 2011/12, the increase in </w:t>
      </w:r>
      <w:r w:rsidR="00EC0BC2">
        <w:rPr>
          <w:rFonts w:ascii="Arial" w:hAnsi="Arial" w:cs="Arial"/>
        </w:rPr>
        <w:t xml:space="preserve">activity </w:t>
      </w:r>
      <w:r w:rsidR="00EC0BC2" w:rsidRPr="0089114A">
        <w:rPr>
          <w:rFonts w:ascii="Arial" w:hAnsi="Arial" w:cs="Arial"/>
        </w:rPr>
        <w:t>(</w:t>
      </w:r>
      <w:r w:rsidR="0089114A" w:rsidRPr="0089114A">
        <w:rPr>
          <w:rFonts w:ascii="Arial" w:hAnsi="Arial" w:cs="Arial"/>
          <w:bCs/>
          <w:color w:val="000000"/>
        </w:rPr>
        <w:t>134,235 Bed Day Equivalents</w:t>
      </w:r>
      <w:r w:rsidR="0089114A">
        <w:rPr>
          <w:rFonts w:ascii="Arial" w:hAnsi="Arial" w:cs="Arial"/>
          <w:bCs/>
          <w:color w:val="000000"/>
        </w:rPr>
        <w:t xml:space="preserve"> (BDEs)</w:t>
      </w:r>
      <w:r w:rsidR="0089114A" w:rsidRPr="0089114A">
        <w:rPr>
          <w:rFonts w:ascii="Arial" w:hAnsi="Arial" w:cs="Arial"/>
          <w:bCs/>
          <w:color w:val="000000"/>
        </w:rPr>
        <w:t xml:space="preserve"> at cost of $850</w:t>
      </w:r>
      <w:r w:rsidR="0089114A">
        <w:rPr>
          <w:rFonts w:ascii="Arial" w:hAnsi="Arial" w:cs="Arial"/>
          <w:bCs/>
          <w:color w:val="000000"/>
        </w:rPr>
        <w:t xml:space="preserve"> per BDE</w:t>
      </w:r>
      <w:r w:rsidR="0089114A" w:rsidRPr="0089114A">
        <w:rPr>
          <w:rFonts w:ascii="Arial" w:hAnsi="Arial" w:cs="Arial"/>
          <w:bCs/>
          <w:color w:val="000000"/>
        </w:rPr>
        <w:t>)</w:t>
      </w:r>
      <w:r w:rsidR="0089114A">
        <w:rPr>
          <w:rFonts w:ascii="Arial" w:hAnsi="Arial" w:cs="Arial"/>
          <w:bCs/>
          <w:color w:val="000000"/>
          <w:sz w:val="20"/>
          <w:szCs w:val="20"/>
        </w:rPr>
        <w:t xml:space="preserve"> </w:t>
      </w:r>
      <w:r w:rsidR="00CF3A6E">
        <w:rPr>
          <w:rFonts w:ascii="Arial" w:hAnsi="Arial" w:cs="Arial"/>
        </w:rPr>
        <w:t xml:space="preserve">since 2007/08 cost NSW </w:t>
      </w:r>
      <w:r w:rsidR="00EC0BC2">
        <w:rPr>
          <w:rFonts w:ascii="Arial" w:hAnsi="Arial" w:cs="Arial"/>
        </w:rPr>
        <w:t xml:space="preserve">approximately </w:t>
      </w:r>
      <w:r w:rsidR="00CF3A6E">
        <w:rPr>
          <w:rFonts w:ascii="Arial" w:hAnsi="Arial" w:cs="Arial"/>
        </w:rPr>
        <w:t>$114m</w:t>
      </w:r>
      <w:r w:rsidR="00A67C3E">
        <w:rPr>
          <w:rFonts w:ascii="Arial" w:hAnsi="Arial" w:cs="Arial"/>
        </w:rPr>
        <w:t xml:space="preserve"> pa</w:t>
      </w:r>
      <w:r w:rsidR="00CF3A6E">
        <w:rPr>
          <w:rFonts w:ascii="Arial" w:hAnsi="Arial" w:cs="Arial"/>
        </w:rPr>
        <w:t xml:space="preserve">.  </w:t>
      </w:r>
      <w:r w:rsidR="00A67C3E">
        <w:rPr>
          <w:rFonts w:ascii="Arial" w:hAnsi="Arial" w:cs="Arial"/>
        </w:rPr>
        <w:t xml:space="preserve">43% </w:t>
      </w:r>
      <w:r w:rsidR="00CF3A6E">
        <w:rPr>
          <w:rFonts w:ascii="Arial" w:hAnsi="Arial" w:cs="Arial"/>
        </w:rPr>
        <w:t xml:space="preserve">of </w:t>
      </w:r>
      <w:r w:rsidR="00A67C3E">
        <w:rPr>
          <w:rFonts w:ascii="Arial" w:hAnsi="Arial" w:cs="Arial"/>
        </w:rPr>
        <w:t>this cost</w:t>
      </w:r>
      <w:r w:rsidR="00BF7E36">
        <w:rPr>
          <w:rFonts w:ascii="Arial" w:hAnsi="Arial" w:cs="Arial"/>
        </w:rPr>
        <w:t xml:space="preserve"> was met by funding </w:t>
      </w:r>
      <w:r w:rsidR="0089114A">
        <w:rPr>
          <w:rFonts w:ascii="Arial" w:hAnsi="Arial" w:cs="Arial"/>
        </w:rPr>
        <w:t xml:space="preserve">of </w:t>
      </w:r>
      <w:r w:rsidR="0089114A" w:rsidRPr="00AB366D">
        <w:rPr>
          <w:rFonts w:ascii="Arial" w:hAnsi="Arial" w:cs="Arial"/>
        </w:rPr>
        <w:t>$49m in 2011/12</w:t>
      </w:r>
      <w:r w:rsidR="0089114A">
        <w:rPr>
          <w:rFonts w:ascii="Arial" w:hAnsi="Arial" w:cs="Arial"/>
        </w:rPr>
        <w:t xml:space="preserve"> </w:t>
      </w:r>
      <w:r w:rsidR="00BF7E36">
        <w:rPr>
          <w:rFonts w:ascii="Arial" w:hAnsi="Arial" w:cs="Arial"/>
        </w:rPr>
        <w:t xml:space="preserve">under </w:t>
      </w:r>
      <w:r w:rsidR="00CF3A6E">
        <w:rPr>
          <w:rFonts w:ascii="Arial" w:hAnsi="Arial" w:cs="Arial"/>
        </w:rPr>
        <w:t xml:space="preserve">the </w:t>
      </w:r>
      <w:r w:rsidR="00BF7E36">
        <w:rPr>
          <w:rFonts w:ascii="Arial" w:hAnsi="Arial" w:cs="Arial"/>
        </w:rPr>
        <w:t>NPA-HHWR.</w:t>
      </w:r>
    </w:p>
    <w:p w:rsidR="00D42B3F" w:rsidRDefault="00D42B3F" w:rsidP="00E87D32">
      <w:pPr>
        <w:spacing w:after="0" w:line="240" w:lineRule="auto"/>
        <w:jc w:val="both"/>
        <w:rPr>
          <w:rFonts w:ascii="Arial" w:hAnsi="Arial" w:cs="Arial"/>
        </w:rPr>
      </w:pPr>
    </w:p>
    <w:p w:rsidR="00D42B3F" w:rsidRDefault="00D42B3F" w:rsidP="00D42B3F">
      <w:pPr>
        <w:spacing w:after="0" w:line="240" w:lineRule="auto"/>
        <w:jc w:val="both"/>
        <w:rPr>
          <w:rFonts w:ascii="Arial" w:hAnsi="Arial" w:cs="Arial"/>
        </w:rPr>
      </w:pPr>
      <w:r w:rsidRPr="00832648">
        <w:rPr>
          <w:rFonts w:ascii="Arial" w:hAnsi="Arial" w:cs="Arial"/>
        </w:rPr>
        <w:t>Among the four care types, rehabilitation services continue to represent the majority of bed days (69%) and separations (62.5%). Rehabilitation, palliative care and GEM accounted for 36%, 27% and 34% respectively of the non-admitted occasions of service.</w:t>
      </w:r>
    </w:p>
    <w:p w:rsidR="00D42B3F" w:rsidRDefault="00D42B3F" w:rsidP="00E87D32">
      <w:pPr>
        <w:spacing w:after="0" w:line="240" w:lineRule="auto"/>
        <w:jc w:val="both"/>
        <w:rPr>
          <w:rFonts w:ascii="Arial" w:hAnsi="Arial" w:cs="Arial"/>
        </w:rPr>
      </w:pPr>
    </w:p>
    <w:p w:rsidR="00902B55" w:rsidRDefault="00AC1C2A" w:rsidP="00E87D32">
      <w:pPr>
        <w:spacing w:after="0" w:line="240" w:lineRule="auto"/>
        <w:jc w:val="both"/>
        <w:rPr>
          <w:rFonts w:ascii="Arial" w:hAnsi="Arial" w:cs="Arial"/>
        </w:rPr>
      </w:pPr>
      <w:r>
        <w:rPr>
          <w:rFonts w:ascii="Arial" w:hAnsi="Arial" w:cs="Arial"/>
        </w:rPr>
        <w:t>NSW Health</w:t>
      </w:r>
      <w:r w:rsidR="00364AE5">
        <w:rPr>
          <w:rFonts w:ascii="Arial" w:hAnsi="Arial" w:cs="Arial"/>
        </w:rPr>
        <w:t xml:space="preserve"> has had some notable successes </w:t>
      </w:r>
      <w:r w:rsidR="00104641">
        <w:rPr>
          <w:rFonts w:ascii="Arial" w:hAnsi="Arial" w:cs="Arial"/>
        </w:rPr>
        <w:t>in 2011 – 12,</w:t>
      </w:r>
      <w:r w:rsidR="00364AE5">
        <w:rPr>
          <w:rFonts w:ascii="Arial" w:hAnsi="Arial" w:cs="Arial"/>
        </w:rPr>
        <w:t xml:space="preserve"> the third year of the four-year implementation plan in subacute care delivery.</w:t>
      </w:r>
      <w:r w:rsidR="00902B55" w:rsidRPr="00902B55">
        <w:rPr>
          <w:rFonts w:ascii="Arial" w:hAnsi="Arial" w:cs="Arial"/>
        </w:rPr>
        <w:t xml:space="preserve"> </w:t>
      </w:r>
      <w:r w:rsidR="00902B55">
        <w:rPr>
          <w:rFonts w:ascii="Arial" w:hAnsi="Arial" w:cs="Arial"/>
        </w:rPr>
        <w:t xml:space="preserve">It must be noted that the implementation of the NPA has continued in a challenging health reform environment which has had an impact on NSW health services, particularly the establishment of the 15 Local Health Districts and 2 separate speciality networks. </w:t>
      </w:r>
    </w:p>
    <w:p w:rsidR="00E87D32" w:rsidRDefault="00E87D32" w:rsidP="00E87D32">
      <w:pPr>
        <w:spacing w:after="0" w:line="240" w:lineRule="auto"/>
        <w:jc w:val="both"/>
        <w:rPr>
          <w:rFonts w:ascii="Arial" w:hAnsi="Arial" w:cs="Arial"/>
        </w:rPr>
      </w:pPr>
    </w:p>
    <w:p w:rsidR="00364AE5" w:rsidRDefault="00364AE5" w:rsidP="00E87D32">
      <w:pPr>
        <w:spacing w:after="0" w:line="240" w:lineRule="auto"/>
        <w:jc w:val="both"/>
        <w:rPr>
          <w:rFonts w:ascii="Arial" w:hAnsi="Arial" w:cs="Arial"/>
        </w:rPr>
      </w:pPr>
      <w:r>
        <w:rPr>
          <w:rFonts w:ascii="Arial" w:hAnsi="Arial" w:cs="Arial"/>
        </w:rPr>
        <w:t>Activities in this report focus on the goals achieved during the third year of implementation:</w:t>
      </w:r>
    </w:p>
    <w:p w:rsidR="008B0A43" w:rsidRPr="00D17AF7" w:rsidRDefault="008B0A43" w:rsidP="00E87D32">
      <w:pPr>
        <w:pStyle w:val="ListParagraph"/>
        <w:numPr>
          <w:ilvl w:val="0"/>
          <w:numId w:val="6"/>
        </w:numPr>
        <w:spacing w:after="0" w:line="240" w:lineRule="auto"/>
        <w:jc w:val="both"/>
        <w:rPr>
          <w:rFonts w:ascii="Arial" w:hAnsi="Arial" w:cs="Arial"/>
        </w:rPr>
      </w:pPr>
      <w:r w:rsidRPr="00D17AF7">
        <w:rPr>
          <w:rFonts w:ascii="Arial" w:hAnsi="Arial" w:cs="Arial"/>
        </w:rPr>
        <w:t>Enhancement of existing subacute care services across NSW</w:t>
      </w:r>
    </w:p>
    <w:p w:rsidR="008B0A43" w:rsidRPr="00D17AF7" w:rsidRDefault="008B0A43" w:rsidP="00E87D32">
      <w:pPr>
        <w:pStyle w:val="ListParagraph"/>
        <w:numPr>
          <w:ilvl w:val="0"/>
          <w:numId w:val="6"/>
        </w:numPr>
        <w:spacing w:after="0" w:line="240" w:lineRule="auto"/>
        <w:jc w:val="both"/>
        <w:rPr>
          <w:rFonts w:ascii="Arial" w:hAnsi="Arial" w:cs="Arial"/>
        </w:rPr>
      </w:pPr>
      <w:r w:rsidRPr="00D17AF7">
        <w:rPr>
          <w:rFonts w:ascii="Arial" w:hAnsi="Arial" w:cs="Arial"/>
        </w:rPr>
        <w:t>Enhancing and refining models of care and clinical pathways</w:t>
      </w:r>
    </w:p>
    <w:p w:rsidR="008B0A43" w:rsidRPr="00D17AF7" w:rsidRDefault="008B0A43" w:rsidP="00E87D32">
      <w:pPr>
        <w:pStyle w:val="ListParagraph"/>
        <w:numPr>
          <w:ilvl w:val="0"/>
          <w:numId w:val="6"/>
        </w:numPr>
        <w:spacing w:after="0" w:line="240" w:lineRule="auto"/>
        <w:jc w:val="both"/>
        <w:rPr>
          <w:rFonts w:ascii="Arial" w:hAnsi="Arial" w:cs="Arial"/>
        </w:rPr>
      </w:pPr>
      <w:r w:rsidRPr="00D17AF7">
        <w:rPr>
          <w:rFonts w:ascii="Arial" w:hAnsi="Arial" w:cs="Arial"/>
        </w:rPr>
        <w:t>Improving the integration of care across services and developing appropriate systems for delivery of continuity of care models</w:t>
      </w:r>
    </w:p>
    <w:p w:rsidR="008B0A43" w:rsidRPr="00D17AF7" w:rsidRDefault="008B0A43" w:rsidP="00E87D32">
      <w:pPr>
        <w:pStyle w:val="ListParagraph"/>
        <w:numPr>
          <w:ilvl w:val="0"/>
          <w:numId w:val="6"/>
        </w:numPr>
        <w:spacing w:after="0" w:line="240" w:lineRule="auto"/>
        <w:jc w:val="both"/>
        <w:rPr>
          <w:rFonts w:ascii="Arial" w:hAnsi="Arial" w:cs="Arial"/>
        </w:rPr>
      </w:pPr>
      <w:r w:rsidRPr="00D17AF7">
        <w:rPr>
          <w:rFonts w:ascii="Arial" w:hAnsi="Arial" w:cs="Arial"/>
        </w:rPr>
        <w:t>Increases in subacute care service delivery and addressing gaps in service provision</w:t>
      </w:r>
    </w:p>
    <w:p w:rsidR="008B0A43" w:rsidRDefault="008B0A43" w:rsidP="00E87D32">
      <w:pPr>
        <w:pStyle w:val="ListParagraph"/>
        <w:numPr>
          <w:ilvl w:val="0"/>
          <w:numId w:val="6"/>
        </w:numPr>
        <w:spacing w:after="0" w:line="240" w:lineRule="auto"/>
        <w:jc w:val="both"/>
        <w:rPr>
          <w:rFonts w:ascii="Arial" w:hAnsi="Arial" w:cs="Arial"/>
        </w:rPr>
      </w:pPr>
      <w:r w:rsidRPr="00D17AF7">
        <w:rPr>
          <w:rFonts w:ascii="Arial" w:hAnsi="Arial" w:cs="Arial"/>
        </w:rPr>
        <w:lastRenderedPageBreak/>
        <w:t>Recruitment to medical, nursing and allied health positions, and other administrative positions including data management</w:t>
      </w:r>
    </w:p>
    <w:p w:rsidR="008B0A43" w:rsidRPr="00D17AF7" w:rsidRDefault="008B0A43" w:rsidP="00E87D32">
      <w:pPr>
        <w:pStyle w:val="ListParagraph"/>
        <w:spacing w:after="0" w:line="240" w:lineRule="auto"/>
        <w:ind w:left="750"/>
        <w:jc w:val="both"/>
        <w:rPr>
          <w:rFonts w:ascii="Arial" w:hAnsi="Arial" w:cs="Arial"/>
        </w:rPr>
      </w:pPr>
    </w:p>
    <w:p w:rsidR="00364AE5" w:rsidRPr="00D86DAE" w:rsidRDefault="00BF3C60" w:rsidP="00E87D32">
      <w:pPr>
        <w:spacing w:after="0" w:line="240" w:lineRule="auto"/>
        <w:jc w:val="both"/>
        <w:rPr>
          <w:rFonts w:ascii="Arial" w:hAnsi="Arial" w:cs="Arial"/>
          <w:sz w:val="28"/>
        </w:rPr>
      </w:pPr>
      <w:r>
        <w:rPr>
          <w:rFonts w:ascii="Arial" w:hAnsi="Arial" w:cs="Arial"/>
        </w:rPr>
        <w:t>NSW Health, in its 2009 Implementation Plan, set itself a 15% growth target over the first three years 2</w:t>
      </w:r>
      <w:r w:rsidR="007B05EA">
        <w:rPr>
          <w:rFonts w:ascii="Arial" w:hAnsi="Arial" w:cs="Arial"/>
        </w:rPr>
        <w:t>009-10 to 2011-12. NSW has exceeded</w:t>
      </w:r>
      <w:r>
        <w:rPr>
          <w:rFonts w:ascii="Arial" w:hAnsi="Arial" w:cs="Arial"/>
        </w:rPr>
        <w:t xml:space="preserve"> this growth target in 2011-12, with a reported growth in activity across admitted and non-admitted</w:t>
      </w:r>
      <w:r w:rsidR="006A1E93">
        <w:rPr>
          <w:rFonts w:ascii="Arial" w:hAnsi="Arial" w:cs="Arial"/>
        </w:rPr>
        <w:t xml:space="preserve"> setting of </w:t>
      </w:r>
      <w:r w:rsidR="0089114A">
        <w:rPr>
          <w:rFonts w:ascii="Arial" w:hAnsi="Arial" w:cs="Arial"/>
        </w:rPr>
        <w:t>19.8</w:t>
      </w:r>
      <w:r w:rsidR="006A1E93" w:rsidRPr="00D86DAE">
        <w:rPr>
          <w:rFonts w:ascii="Arial" w:hAnsi="Arial" w:cs="Arial"/>
        </w:rPr>
        <w:t>%</w:t>
      </w:r>
      <w:r w:rsidR="006A1E93">
        <w:rPr>
          <w:rFonts w:ascii="Arial" w:hAnsi="Arial" w:cs="Arial"/>
        </w:rPr>
        <w:t xml:space="preserve"> over the baseline year of 2007-8. This is the net increase in growth accounting for bed days associated with the subacute beds opened in 2011-12 under the National Partnership Agreement on Improving Public Hospital Services. These results are explained in more detail in Table 2</w:t>
      </w:r>
      <w:r w:rsidR="004A74D1">
        <w:rPr>
          <w:rFonts w:ascii="Arial" w:hAnsi="Arial" w:cs="Arial"/>
        </w:rPr>
        <w:t>A</w:t>
      </w:r>
      <w:r w:rsidR="006A1E93">
        <w:rPr>
          <w:rFonts w:ascii="Arial" w:hAnsi="Arial" w:cs="Arial"/>
        </w:rPr>
        <w:t>.</w:t>
      </w:r>
      <w:r w:rsidR="00D86DAE">
        <w:rPr>
          <w:rFonts w:ascii="Arial" w:hAnsi="Arial" w:cs="Arial"/>
        </w:rPr>
        <w:t xml:space="preserve">  This </w:t>
      </w:r>
      <w:r w:rsidR="00D86DAE" w:rsidRPr="00D86DAE">
        <w:rPr>
          <w:rFonts w:ascii="Arial" w:hAnsi="Arial" w:cs="Arial"/>
        </w:rPr>
        <w:t xml:space="preserve">methodology does not </w:t>
      </w:r>
      <w:r w:rsidR="00D42B3F">
        <w:rPr>
          <w:rFonts w:ascii="Arial" w:hAnsi="Arial" w:cs="Arial"/>
        </w:rPr>
        <w:t>reflect</w:t>
      </w:r>
      <w:r w:rsidR="00D86DAE" w:rsidRPr="00D86DAE">
        <w:rPr>
          <w:rFonts w:ascii="Arial" w:hAnsi="Arial" w:cs="Arial"/>
        </w:rPr>
        <w:t xml:space="preserve"> the decline in Average Length of Stay (ALOS)</w:t>
      </w:r>
      <w:r w:rsidR="00D42B3F">
        <w:rPr>
          <w:rFonts w:ascii="Arial" w:hAnsi="Arial" w:cs="Arial"/>
        </w:rPr>
        <w:t xml:space="preserve"> and the subsequent increase in numbers of patients seen by services – each requiring comprehensive assessment at commencement of their stay</w:t>
      </w:r>
      <w:r w:rsidR="00D86DAE" w:rsidRPr="00D86DAE">
        <w:rPr>
          <w:rFonts w:ascii="Arial" w:hAnsi="Arial" w:cs="Arial"/>
        </w:rPr>
        <w:t>.</w:t>
      </w:r>
    </w:p>
    <w:p w:rsidR="00E87D32" w:rsidRDefault="00E87D32" w:rsidP="00E87D32">
      <w:pPr>
        <w:spacing w:after="0" w:line="240" w:lineRule="auto"/>
        <w:jc w:val="both"/>
        <w:rPr>
          <w:rFonts w:ascii="Arial" w:hAnsi="Arial" w:cs="Arial"/>
        </w:rPr>
      </w:pPr>
    </w:p>
    <w:p w:rsidR="004A74D1" w:rsidRDefault="004A74D1" w:rsidP="004A74D1">
      <w:pPr>
        <w:spacing w:after="0" w:line="240" w:lineRule="auto"/>
        <w:outlineLvl w:val="0"/>
        <w:rPr>
          <w:rFonts w:ascii="Arial" w:hAnsi="Arial" w:cs="Arial"/>
        </w:rPr>
      </w:pPr>
      <w:r>
        <w:rPr>
          <w:rFonts w:ascii="Arial" w:hAnsi="Arial" w:cs="Arial"/>
        </w:rPr>
        <w:t>NSW has also applied its own methodology</w:t>
      </w:r>
      <w:r w:rsidR="00D42B3F">
        <w:rPr>
          <w:rFonts w:ascii="Arial" w:hAnsi="Arial" w:cs="Arial"/>
        </w:rPr>
        <w:t>, outlined in our approved 2009 Implementation Plan,</w:t>
      </w:r>
      <w:r>
        <w:rPr>
          <w:rFonts w:ascii="Arial" w:hAnsi="Arial" w:cs="Arial"/>
        </w:rPr>
        <w:t xml:space="preserve"> to measure growth across multiple years to take account of the declining </w:t>
      </w:r>
      <w:r w:rsidR="00D42B3F">
        <w:rPr>
          <w:rFonts w:ascii="Arial" w:hAnsi="Arial" w:cs="Arial"/>
        </w:rPr>
        <w:t>ALOS</w:t>
      </w:r>
      <w:r>
        <w:rPr>
          <w:rFonts w:ascii="Arial" w:hAnsi="Arial" w:cs="Arial"/>
        </w:rPr>
        <w:t xml:space="preserve"> for subacute care. This method holds the </w:t>
      </w:r>
      <w:r w:rsidR="00D42B3F">
        <w:rPr>
          <w:rFonts w:ascii="Arial" w:hAnsi="Arial" w:cs="Arial"/>
        </w:rPr>
        <w:t>ALOS</w:t>
      </w:r>
      <w:r>
        <w:rPr>
          <w:rFonts w:ascii="Arial" w:hAnsi="Arial" w:cs="Arial"/>
        </w:rPr>
        <w:t xml:space="preserve"> constant across the period of reporting</w:t>
      </w:r>
      <w:r w:rsidR="00D86DAE" w:rsidRPr="00D86DAE">
        <w:rPr>
          <w:rFonts w:ascii="Arial" w:hAnsi="Arial" w:cs="Arial"/>
        </w:rPr>
        <w:t xml:space="preserve"> </w:t>
      </w:r>
      <w:r w:rsidR="00D86DAE">
        <w:rPr>
          <w:rFonts w:ascii="Arial" w:hAnsi="Arial" w:cs="Arial"/>
        </w:rPr>
        <w:t>(Table 2B)</w:t>
      </w:r>
      <w:r>
        <w:rPr>
          <w:rFonts w:ascii="Arial" w:hAnsi="Arial" w:cs="Arial"/>
        </w:rPr>
        <w:t xml:space="preserve">. </w:t>
      </w:r>
    </w:p>
    <w:p w:rsidR="00D86DAE" w:rsidRDefault="00D86DAE" w:rsidP="00D86DAE">
      <w:pPr>
        <w:spacing w:after="0" w:line="240" w:lineRule="auto"/>
        <w:outlineLvl w:val="0"/>
        <w:rPr>
          <w:rFonts w:ascii="Arial" w:hAnsi="Arial" w:cs="Arial"/>
        </w:rPr>
      </w:pPr>
    </w:p>
    <w:p w:rsidR="00D86DAE" w:rsidRPr="00DD78F4" w:rsidRDefault="00832648" w:rsidP="00832648">
      <w:pPr>
        <w:tabs>
          <w:tab w:val="left" w:pos="3555"/>
        </w:tabs>
        <w:spacing w:after="0" w:line="240" w:lineRule="auto"/>
        <w:rPr>
          <w:rFonts w:ascii="Arial" w:hAnsi="Arial" w:cs="Arial"/>
          <w:b/>
        </w:rPr>
      </w:pPr>
      <w:r w:rsidRPr="00832648">
        <w:rPr>
          <w:rFonts w:ascii="Arial" w:eastAsia="Times New Roman" w:hAnsi="Arial" w:cs="Arial"/>
        </w:rPr>
        <w:t>Due to increased efficiency, the ALOS in NSW has declined from 15.01 days to 13.24 days since 2007</w:t>
      </w:r>
      <w:r w:rsidR="00A67C3E">
        <w:rPr>
          <w:rFonts w:ascii="Arial" w:eastAsia="Times New Roman" w:hAnsi="Arial" w:cs="Arial"/>
        </w:rPr>
        <w:t>/08. Adjusting the calculation to account for this efficiency shows that</w:t>
      </w:r>
      <w:r w:rsidRPr="00832648">
        <w:rPr>
          <w:rFonts w:ascii="Arial" w:eastAsia="Times New Roman" w:hAnsi="Arial" w:cs="Arial"/>
        </w:rPr>
        <w:t xml:space="preserve"> subacute care activity </w:t>
      </w:r>
      <w:r w:rsidR="00A67C3E">
        <w:rPr>
          <w:rFonts w:ascii="Arial" w:eastAsia="Times New Roman" w:hAnsi="Arial" w:cs="Arial"/>
        </w:rPr>
        <w:t>has</w:t>
      </w:r>
      <w:r w:rsidRPr="00832648">
        <w:rPr>
          <w:rFonts w:ascii="Arial" w:eastAsia="Times New Roman" w:hAnsi="Arial" w:cs="Arial"/>
        </w:rPr>
        <w:t xml:space="preserve"> increased by 32.6% compared to baseline </w:t>
      </w:r>
      <w:r w:rsidR="003B550D">
        <w:rPr>
          <w:rFonts w:ascii="Arial" w:eastAsia="Times New Roman" w:hAnsi="Arial" w:cs="Arial"/>
        </w:rPr>
        <w:t>rather than 19.8</w:t>
      </w:r>
      <w:r w:rsidRPr="00832648">
        <w:rPr>
          <w:rFonts w:ascii="Arial" w:eastAsia="Times New Roman" w:hAnsi="Arial" w:cs="Arial"/>
        </w:rPr>
        <w:t xml:space="preserve">% - admitted activity as </w:t>
      </w:r>
      <w:r w:rsidR="00A67C3E">
        <w:rPr>
          <w:rFonts w:ascii="Arial" w:eastAsia="Times New Roman" w:hAnsi="Arial" w:cs="Arial"/>
        </w:rPr>
        <w:t xml:space="preserve">adjusted </w:t>
      </w:r>
      <w:r w:rsidRPr="00832648">
        <w:rPr>
          <w:rFonts w:ascii="Arial" w:eastAsia="Times New Roman" w:hAnsi="Arial" w:cs="Arial"/>
        </w:rPr>
        <w:t xml:space="preserve">separations </w:t>
      </w:r>
      <w:r w:rsidR="00A67C3E">
        <w:rPr>
          <w:rFonts w:ascii="Arial" w:eastAsia="Times New Roman" w:hAnsi="Arial" w:cs="Arial"/>
        </w:rPr>
        <w:t>has</w:t>
      </w:r>
      <w:r w:rsidRPr="00832648">
        <w:rPr>
          <w:rFonts w:ascii="Arial" w:eastAsia="Times New Roman" w:hAnsi="Arial" w:cs="Arial"/>
        </w:rPr>
        <w:t xml:space="preserve"> increased by 41.3% against baseline rather than 24.6%</w:t>
      </w:r>
      <w:r>
        <w:rPr>
          <w:rFonts w:ascii="Arial" w:eastAsia="Times New Roman" w:hAnsi="Arial" w:cs="Arial"/>
        </w:rPr>
        <w:t xml:space="preserve">, </w:t>
      </w:r>
      <w:r w:rsidR="00D86DAE">
        <w:rPr>
          <w:rFonts w:ascii="Arial" w:hAnsi="Arial" w:cs="Arial"/>
        </w:rPr>
        <w:t xml:space="preserve">after accounting for activity attributable to the </w:t>
      </w:r>
      <w:r w:rsidR="00D86DAE" w:rsidRPr="002F0284">
        <w:rPr>
          <w:rFonts w:ascii="Arial" w:hAnsi="Arial" w:cs="Arial"/>
        </w:rPr>
        <w:t>National Partnership Agreement</w:t>
      </w:r>
      <w:r w:rsidR="00D86DAE">
        <w:rPr>
          <w:rFonts w:ascii="Arial" w:hAnsi="Arial" w:cs="Arial"/>
        </w:rPr>
        <w:t xml:space="preserve"> on Improving Public Hospital Services.  Non-admitted activity has increased by 30.7% since 2007/08.</w:t>
      </w:r>
    </w:p>
    <w:p w:rsidR="004A74D1" w:rsidRDefault="004A74D1" w:rsidP="00832648">
      <w:pPr>
        <w:spacing w:after="0" w:line="240" w:lineRule="auto"/>
        <w:jc w:val="both"/>
        <w:rPr>
          <w:rFonts w:ascii="Arial" w:hAnsi="Arial" w:cs="Arial"/>
        </w:rPr>
      </w:pPr>
    </w:p>
    <w:p w:rsidR="00902B55" w:rsidRDefault="00902B55" w:rsidP="00E87D32">
      <w:pPr>
        <w:spacing w:after="0" w:line="240" w:lineRule="auto"/>
        <w:rPr>
          <w:rFonts w:ascii="Tahoma" w:hAnsi="Tahoma" w:cs="Tahoma"/>
          <w:sz w:val="20"/>
          <w:szCs w:val="20"/>
        </w:rPr>
      </w:pPr>
    </w:p>
    <w:p w:rsidR="00120FC4" w:rsidRDefault="00120FC4" w:rsidP="00E87D32">
      <w:pPr>
        <w:spacing w:after="0" w:line="240" w:lineRule="auto"/>
        <w:jc w:val="both"/>
        <w:rPr>
          <w:rFonts w:ascii="Arial" w:hAnsi="Arial" w:cs="Arial"/>
        </w:rPr>
      </w:pPr>
      <w:r>
        <w:rPr>
          <w:rFonts w:ascii="Arial" w:hAnsi="Arial" w:cs="Arial"/>
        </w:rPr>
        <w:t>This report is divided into three sections</w:t>
      </w:r>
      <w:r w:rsidR="00D86DAE">
        <w:rPr>
          <w:rFonts w:ascii="Arial" w:hAnsi="Arial" w:cs="Arial"/>
        </w:rPr>
        <w:t>:</w:t>
      </w:r>
    </w:p>
    <w:p w:rsidR="00E87D32" w:rsidRDefault="00E87D32" w:rsidP="00E87D32">
      <w:pPr>
        <w:spacing w:after="0" w:line="240" w:lineRule="auto"/>
        <w:jc w:val="both"/>
        <w:rPr>
          <w:rFonts w:ascii="Arial" w:hAnsi="Arial" w:cs="Arial"/>
        </w:rPr>
      </w:pPr>
    </w:p>
    <w:p w:rsidR="00120FC4" w:rsidRPr="00120FC4" w:rsidRDefault="00120FC4" w:rsidP="00E87D32">
      <w:pPr>
        <w:spacing w:after="0" w:line="240" w:lineRule="auto"/>
        <w:jc w:val="both"/>
        <w:rPr>
          <w:rFonts w:ascii="Arial" w:hAnsi="Arial" w:cs="Arial"/>
          <w:b/>
        </w:rPr>
      </w:pPr>
      <w:r w:rsidRPr="00120FC4">
        <w:rPr>
          <w:rFonts w:ascii="Arial" w:hAnsi="Arial" w:cs="Arial"/>
          <w:b/>
        </w:rPr>
        <w:t>Section 1</w:t>
      </w:r>
    </w:p>
    <w:p w:rsidR="00120FC4" w:rsidRDefault="00120FC4" w:rsidP="00E87D32">
      <w:pPr>
        <w:spacing w:after="0" w:line="240" w:lineRule="auto"/>
        <w:jc w:val="both"/>
        <w:rPr>
          <w:rFonts w:ascii="Arial" w:hAnsi="Arial" w:cs="Arial"/>
        </w:rPr>
      </w:pPr>
      <w:r>
        <w:rPr>
          <w:rFonts w:ascii="Arial" w:hAnsi="Arial" w:cs="Arial"/>
        </w:rPr>
        <w:t>This section includes the report on progress with implementation of the subacute care initiative in NSW in 2011-12. Progress is reported by care type, with commentary on activity undertaken in individual Local Health Districts.</w:t>
      </w:r>
    </w:p>
    <w:p w:rsidR="00E87D32" w:rsidRDefault="00E87D32" w:rsidP="00E87D32">
      <w:pPr>
        <w:spacing w:after="0" w:line="240" w:lineRule="auto"/>
        <w:jc w:val="both"/>
        <w:rPr>
          <w:rFonts w:ascii="Arial" w:hAnsi="Arial" w:cs="Arial"/>
        </w:rPr>
      </w:pPr>
    </w:p>
    <w:p w:rsidR="00120FC4" w:rsidRPr="00120FC4" w:rsidRDefault="00120FC4" w:rsidP="00E87D32">
      <w:pPr>
        <w:spacing w:after="0" w:line="240" w:lineRule="auto"/>
        <w:jc w:val="both"/>
        <w:rPr>
          <w:rFonts w:ascii="Arial" w:hAnsi="Arial" w:cs="Arial"/>
          <w:b/>
        </w:rPr>
      </w:pPr>
      <w:r w:rsidRPr="00120FC4">
        <w:rPr>
          <w:rFonts w:ascii="Arial" w:hAnsi="Arial" w:cs="Arial"/>
          <w:b/>
        </w:rPr>
        <w:t>Section 2</w:t>
      </w:r>
    </w:p>
    <w:p w:rsidR="00120FC4" w:rsidRDefault="00120FC4" w:rsidP="00E87D32">
      <w:pPr>
        <w:spacing w:after="0" w:line="240" w:lineRule="auto"/>
        <w:jc w:val="both"/>
        <w:rPr>
          <w:rFonts w:ascii="Arial" w:hAnsi="Arial" w:cs="Arial"/>
        </w:rPr>
      </w:pPr>
      <w:r>
        <w:rPr>
          <w:rFonts w:ascii="Arial" w:hAnsi="Arial" w:cs="Arial"/>
        </w:rPr>
        <w:t>This section provides the data on the service activity and growth in 2011-12 compared to the baseline 2007-08 and 2010-11.</w:t>
      </w:r>
    </w:p>
    <w:p w:rsidR="00E87D32" w:rsidRDefault="00E87D32" w:rsidP="00E87D32">
      <w:pPr>
        <w:spacing w:after="0" w:line="240" w:lineRule="auto"/>
        <w:jc w:val="both"/>
        <w:rPr>
          <w:rFonts w:ascii="Arial" w:hAnsi="Arial" w:cs="Arial"/>
        </w:rPr>
      </w:pPr>
    </w:p>
    <w:p w:rsidR="00AC1C2A" w:rsidRDefault="00AC1C2A" w:rsidP="00E87D32">
      <w:pPr>
        <w:spacing w:after="0" w:line="240" w:lineRule="auto"/>
        <w:rPr>
          <w:rFonts w:ascii="Arial" w:hAnsi="Arial" w:cs="Arial"/>
        </w:rPr>
      </w:pPr>
    </w:p>
    <w:p w:rsidR="00E87D32" w:rsidRDefault="00E87D32" w:rsidP="00AC1C2A">
      <w:pPr>
        <w:rPr>
          <w:rFonts w:ascii="Arial" w:hAnsi="Arial" w:cs="Arial"/>
        </w:rPr>
      </w:pPr>
    </w:p>
    <w:p w:rsidR="004A74D1" w:rsidRDefault="004A74D1">
      <w:r>
        <w:br w:type="page"/>
      </w:r>
    </w:p>
    <w:tbl>
      <w:tblPr>
        <w:tblStyle w:val="TableGrid"/>
        <w:tblW w:w="0" w:type="auto"/>
        <w:tblLook w:val="04A0" w:firstRow="1" w:lastRow="0" w:firstColumn="1" w:lastColumn="0" w:noHBand="0" w:noVBand="1"/>
      </w:tblPr>
      <w:tblGrid>
        <w:gridCol w:w="2093"/>
        <w:gridCol w:w="7149"/>
      </w:tblGrid>
      <w:tr w:rsidR="00232B3A" w:rsidTr="00B406BB">
        <w:trPr>
          <w:trHeight w:val="352"/>
          <w:tblHeader/>
        </w:trPr>
        <w:tc>
          <w:tcPr>
            <w:tcW w:w="9242" w:type="dxa"/>
            <w:gridSpan w:val="2"/>
            <w:tcBorders>
              <w:top w:val="nil"/>
              <w:left w:val="nil"/>
              <w:right w:val="nil"/>
            </w:tcBorders>
            <w:shd w:val="clear" w:color="auto" w:fill="auto"/>
            <w:vAlign w:val="center"/>
          </w:tcPr>
          <w:p w:rsidR="00232B3A" w:rsidRDefault="00232B3A" w:rsidP="00B406BB">
            <w:pPr>
              <w:rPr>
                <w:rFonts w:ascii="Arial" w:hAnsi="Arial" w:cs="Arial"/>
                <w:b/>
                <w:sz w:val="20"/>
                <w:szCs w:val="20"/>
              </w:rPr>
            </w:pPr>
            <w:r>
              <w:rPr>
                <w:rFonts w:ascii="Arial" w:hAnsi="Arial" w:cs="Arial"/>
              </w:rPr>
              <w:lastRenderedPageBreak/>
              <w:br w:type="page"/>
            </w:r>
            <w:r w:rsidRPr="00120FC4">
              <w:rPr>
                <w:rFonts w:ascii="Arial" w:hAnsi="Arial" w:cs="Arial"/>
                <w:b/>
              </w:rPr>
              <w:t>Section 1: Report on progress with implementation</w:t>
            </w:r>
          </w:p>
        </w:tc>
      </w:tr>
      <w:tr w:rsidR="00232B3A" w:rsidTr="00B406BB">
        <w:trPr>
          <w:trHeight w:val="352"/>
          <w:tblHeader/>
        </w:trPr>
        <w:tc>
          <w:tcPr>
            <w:tcW w:w="2093" w:type="dxa"/>
            <w:shd w:val="clear" w:color="auto" w:fill="A6A6A6" w:themeFill="background1" w:themeFillShade="A6"/>
            <w:vAlign w:val="center"/>
          </w:tcPr>
          <w:p w:rsidR="00232B3A" w:rsidRPr="00F5310E" w:rsidRDefault="00232B3A" w:rsidP="00B406BB">
            <w:pPr>
              <w:rPr>
                <w:rFonts w:ascii="Arial" w:hAnsi="Arial" w:cs="Arial"/>
                <w:b/>
                <w:sz w:val="20"/>
                <w:szCs w:val="20"/>
              </w:rPr>
            </w:pPr>
            <w:r>
              <w:rPr>
                <w:rFonts w:ascii="Arial" w:hAnsi="Arial" w:cs="Arial"/>
                <w:b/>
                <w:sz w:val="20"/>
                <w:szCs w:val="20"/>
              </w:rPr>
              <w:t>Key deliverables</w:t>
            </w:r>
          </w:p>
        </w:tc>
        <w:tc>
          <w:tcPr>
            <w:tcW w:w="7149" w:type="dxa"/>
            <w:shd w:val="clear" w:color="auto" w:fill="A6A6A6" w:themeFill="background1" w:themeFillShade="A6"/>
            <w:vAlign w:val="center"/>
          </w:tcPr>
          <w:p w:rsidR="00232B3A" w:rsidRPr="00F5310E" w:rsidRDefault="00232B3A" w:rsidP="00B406BB">
            <w:pPr>
              <w:rPr>
                <w:rFonts w:ascii="Arial" w:hAnsi="Arial" w:cs="Arial"/>
                <w:b/>
                <w:sz w:val="20"/>
                <w:szCs w:val="20"/>
              </w:rPr>
            </w:pPr>
            <w:r>
              <w:rPr>
                <w:rFonts w:ascii="Arial" w:hAnsi="Arial" w:cs="Arial"/>
                <w:b/>
                <w:sz w:val="20"/>
                <w:szCs w:val="20"/>
              </w:rPr>
              <w:t>Progress and timing – significant achievements</w:t>
            </w:r>
          </w:p>
        </w:tc>
      </w:tr>
      <w:tr w:rsidR="00232B3A" w:rsidTr="00B406BB">
        <w:tc>
          <w:tcPr>
            <w:tcW w:w="2093" w:type="dxa"/>
            <w:vMerge w:val="restart"/>
          </w:tcPr>
          <w:p w:rsidR="00232B3A" w:rsidRDefault="00232B3A" w:rsidP="00B406BB">
            <w:pPr>
              <w:rPr>
                <w:rFonts w:ascii="Arial" w:hAnsi="Arial" w:cs="Arial"/>
                <w:b/>
              </w:rPr>
            </w:pPr>
          </w:p>
          <w:p w:rsidR="00232B3A" w:rsidRDefault="00232B3A" w:rsidP="00B406BB">
            <w:pPr>
              <w:rPr>
                <w:rFonts w:ascii="Arial" w:hAnsi="Arial" w:cs="Arial"/>
                <w:b/>
              </w:rPr>
            </w:pPr>
            <w:r>
              <w:rPr>
                <w:rFonts w:ascii="Arial" w:hAnsi="Arial" w:cs="Arial"/>
                <w:b/>
              </w:rPr>
              <w:t>Rehabilitation</w:t>
            </w: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 xml:space="preserve">SESLHD established a partnership </w:t>
            </w:r>
            <w:r>
              <w:rPr>
                <w:rFonts w:ascii="Arial" w:hAnsi="Arial" w:cs="Arial"/>
                <w:sz w:val="20"/>
                <w:szCs w:val="20"/>
              </w:rPr>
              <w:t>agreement</w:t>
            </w:r>
            <w:r w:rsidRPr="007C3203">
              <w:rPr>
                <w:rFonts w:ascii="Arial" w:hAnsi="Arial" w:cs="Arial"/>
                <w:sz w:val="20"/>
                <w:szCs w:val="20"/>
              </w:rPr>
              <w:t xml:space="preserve"> with St Vincent’s </w:t>
            </w:r>
            <w:r>
              <w:rPr>
                <w:rFonts w:ascii="Arial" w:hAnsi="Arial" w:cs="Arial"/>
                <w:sz w:val="20"/>
                <w:szCs w:val="20"/>
              </w:rPr>
              <w:t xml:space="preserve">Hospital </w:t>
            </w:r>
            <w:r w:rsidRPr="007C3203">
              <w:rPr>
                <w:rFonts w:ascii="Arial" w:hAnsi="Arial" w:cs="Arial"/>
                <w:sz w:val="20"/>
                <w:szCs w:val="20"/>
              </w:rPr>
              <w:t>for rehab in the home in March 2012 and expanded the rehabilitation service at the Sutherland Hospital.</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WSLHD Stroke Outreach Service was established in June 2011 with the development of a multi-disciplinary team throughout the year to establish protocols, procedures and establish therapy services.</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 xml:space="preserve">NBMLHD has established a Virtual Aged Care community based rehabilitation program leading to a reduction in </w:t>
            </w:r>
            <w:r>
              <w:rPr>
                <w:rFonts w:ascii="Arial" w:hAnsi="Arial" w:cs="Arial"/>
                <w:sz w:val="20"/>
                <w:szCs w:val="20"/>
              </w:rPr>
              <w:t xml:space="preserve">residents of aged care facilities </w:t>
            </w:r>
            <w:r w:rsidRPr="007C3203">
              <w:rPr>
                <w:rFonts w:ascii="Arial" w:hAnsi="Arial" w:cs="Arial"/>
                <w:sz w:val="20"/>
                <w:szCs w:val="20"/>
              </w:rPr>
              <w:t>presenting to Emergency Departments.</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NBMLHD has established an Assessment and Rehabilitation Outreach and Outpatient Program (AROOP) focussing on older people with mental illness.</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NSLHD has established a</w:t>
            </w:r>
            <w:r>
              <w:rPr>
                <w:rFonts w:ascii="Arial" w:hAnsi="Arial" w:cs="Arial"/>
                <w:sz w:val="20"/>
                <w:szCs w:val="20"/>
              </w:rPr>
              <w:t>n</w:t>
            </w:r>
            <w:r w:rsidRPr="007C3203">
              <w:rPr>
                <w:rFonts w:ascii="Arial" w:hAnsi="Arial" w:cs="Arial"/>
                <w:sz w:val="20"/>
                <w:szCs w:val="20"/>
              </w:rPr>
              <w:t xml:space="preserve"> Early Support Discharge Stroke program</w:t>
            </w:r>
            <w:r>
              <w:rPr>
                <w:rFonts w:ascii="Arial" w:hAnsi="Arial" w:cs="Arial"/>
                <w:sz w:val="20"/>
                <w:szCs w:val="20"/>
              </w:rPr>
              <w:t>;</w:t>
            </w:r>
            <w:r w:rsidRPr="007C3203">
              <w:rPr>
                <w:rFonts w:ascii="Arial" w:hAnsi="Arial" w:cs="Arial"/>
                <w:sz w:val="20"/>
                <w:szCs w:val="20"/>
              </w:rPr>
              <w:t xml:space="preserve"> a coordinated early supported discharge program for stroke patients in R</w:t>
            </w:r>
            <w:r>
              <w:rPr>
                <w:rFonts w:ascii="Arial" w:hAnsi="Arial" w:cs="Arial"/>
                <w:sz w:val="20"/>
                <w:szCs w:val="20"/>
              </w:rPr>
              <w:t xml:space="preserve">oyal </w:t>
            </w:r>
            <w:r w:rsidRPr="007C3203">
              <w:rPr>
                <w:rFonts w:ascii="Arial" w:hAnsi="Arial" w:cs="Arial"/>
                <w:sz w:val="20"/>
                <w:szCs w:val="20"/>
              </w:rPr>
              <w:t>N</w:t>
            </w:r>
            <w:r>
              <w:rPr>
                <w:rFonts w:ascii="Arial" w:hAnsi="Arial" w:cs="Arial"/>
                <w:sz w:val="20"/>
                <w:szCs w:val="20"/>
              </w:rPr>
              <w:t xml:space="preserve">orth </w:t>
            </w:r>
            <w:r w:rsidRPr="007C3203">
              <w:rPr>
                <w:rFonts w:ascii="Arial" w:hAnsi="Arial" w:cs="Arial"/>
                <w:sz w:val="20"/>
                <w:szCs w:val="20"/>
              </w:rPr>
              <w:t>S</w:t>
            </w:r>
            <w:r>
              <w:rPr>
                <w:rFonts w:ascii="Arial" w:hAnsi="Arial" w:cs="Arial"/>
                <w:sz w:val="20"/>
                <w:szCs w:val="20"/>
              </w:rPr>
              <w:t xml:space="preserve">hore </w:t>
            </w:r>
            <w:r w:rsidRPr="007C3203">
              <w:rPr>
                <w:rFonts w:ascii="Arial" w:hAnsi="Arial" w:cs="Arial"/>
                <w:sz w:val="20"/>
                <w:szCs w:val="20"/>
              </w:rPr>
              <w:t>H</w:t>
            </w:r>
            <w:r>
              <w:rPr>
                <w:rFonts w:ascii="Arial" w:hAnsi="Arial" w:cs="Arial"/>
                <w:sz w:val="20"/>
                <w:szCs w:val="20"/>
              </w:rPr>
              <w:t>ospital</w:t>
            </w:r>
            <w:r w:rsidRPr="007C3203">
              <w:rPr>
                <w:rFonts w:ascii="Arial" w:hAnsi="Arial" w:cs="Arial"/>
                <w:sz w:val="20"/>
                <w:szCs w:val="20"/>
              </w:rPr>
              <w:t xml:space="preserve"> for the NSLHD.</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Pr>
                <w:rFonts w:ascii="Arial" w:hAnsi="Arial" w:cs="Arial"/>
                <w:sz w:val="20"/>
                <w:szCs w:val="20"/>
              </w:rPr>
              <w:t>NSLHD commenced a Renal Rehabilitation Program</w:t>
            </w:r>
            <w:r w:rsidRPr="007C3203">
              <w:rPr>
                <w:rFonts w:ascii="Arial" w:hAnsi="Arial" w:cs="Arial"/>
                <w:sz w:val="20"/>
                <w:szCs w:val="20"/>
              </w:rPr>
              <w:t xml:space="preserve"> to target patients receiving renal dialysis with rehabilitation goals in line with </w:t>
            </w:r>
            <w:r>
              <w:rPr>
                <w:rFonts w:ascii="Arial" w:hAnsi="Arial" w:cs="Arial"/>
                <w:sz w:val="20"/>
                <w:szCs w:val="20"/>
              </w:rPr>
              <w:t xml:space="preserve">the </w:t>
            </w:r>
            <w:r w:rsidRPr="007C3203">
              <w:rPr>
                <w:rFonts w:ascii="Arial" w:hAnsi="Arial" w:cs="Arial"/>
                <w:sz w:val="20"/>
                <w:szCs w:val="20"/>
              </w:rPr>
              <w:t>NSW Rehabilitation Model of Care.</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MLHD is undergoing a review of Rehabilitation and Aged Care services. The purpose is to develop and implement a District Clinical Services Plan to combine and improve Rehabilitation and Aged Care services across the district.</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Pr>
                <w:rFonts w:ascii="Arial" w:hAnsi="Arial" w:cs="Arial"/>
                <w:sz w:val="20"/>
                <w:szCs w:val="20"/>
              </w:rPr>
              <w:t>WNSWLHD have recruited additional Occupational and Physical Therapy positions.</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Pr>
                <w:rFonts w:ascii="Arial" w:hAnsi="Arial" w:cs="Arial"/>
                <w:sz w:val="20"/>
                <w:szCs w:val="20"/>
              </w:rPr>
              <w:t>SVHN commenced Sacred Heart/Prince of Wales Rehabilitation in the Home in mid 2012.</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Default="00232B3A" w:rsidP="00B406BB">
            <w:pPr>
              <w:pStyle w:val="ListParagraph"/>
              <w:numPr>
                <w:ilvl w:val="0"/>
                <w:numId w:val="5"/>
              </w:numPr>
              <w:rPr>
                <w:rFonts w:ascii="Arial" w:hAnsi="Arial" w:cs="Arial"/>
                <w:sz w:val="20"/>
                <w:szCs w:val="20"/>
              </w:rPr>
            </w:pPr>
            <w:r>
              <w:rPr>
                <w:rFonts w:ascii="Arial" w:hAnsi="Arial" w:cs="Arial"/>
                <w:sz w:val="20"/>
                <w:szCs w:val="20"/>
              </w:rPr>
              <w:t>ISLHD has established a Day Rehabilitation program at Port Kembla Hospital and Acute Care Rehabilitation (ART) at Shoalhaven Hospital.</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Default="00232B3A" w:rsidP="00B406BB">
            <w:pPr>
              <w:pStyle w:val="ListParagraph"/>
              <w:numPr>
                <w:ilvl w:val="0"/>
                <w:numId w:val="5"/>
              </w:numPr>
              <w:rPr>
                <w:rFonts w:ascii="Arial" w:hAnsi="Arial" w:cs="Arial"/>
                <w:sz w:val="20"/>
                <w:szCs w:val="20"/>
              </w:rPr>
            </w:pPr>
            <w:r>
              <w:rPr>
                <w:rFonts w:ascii="Arial" w:hAnsi="Arial" w:cs="Arial"/>
                <w:sz w:val="20"/>
                <w:szCs w:val="20"/>
              </w:rPr>
              <w:t>FWLHD has begun construction on a subacute care rehabilitation unit in Broken Hill</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NBMLHD has establish</w:t>
            </w:r>
            <w:r>
              <w:rPr>
                <w:rFonts w:ascii="Arial" w:hAnsi="Arial" w:cs="Arial"/>
                <w:sz w:val="20"/>
                <w:szCs w:val="20"/>
              </w:rPr>
              <w:t>ed</w:t>
            </w:r>
            <w:r w:rsidRPr="007C3203">
              <w:rPr>
                <w:rFonts w:ascii="Arial" w:hAnsi="Arial" w:cs="Arial"/>
                <w:sz w:val="20"/>
                <w:szCs w:val="20"/>
              </w:rPr>
              <w:t xml:space="preserve"> a Mobile Rehabilitation Team (MRT), integrating rehabilitation with acute care, providing both inpatient and outpatient care.</w:t>
            </w:r>
          </w:p>
        </w:tc>
      </w:tr>
      <w:tr w:rsidR="00232B3A" w:rsidTr="00B406BB">
        <w:tc>
          <w:tcPr>
            <w:tcW w:w="2093" w:type="dxa"/>
            <w:vMerge w:val="restart"/>
          </w:tcPr>
          <w:p w:rsidR="00232B3A" w:rsidRDefault="00232B3A" w:rsidP="00B406BB">
            <w:pPr>
              <w:rPr>
                <w:rFonts w:ascii="Arial" w:hAnsi="Arial" w:cs="Arial"/>
                <w:b/>
              </w:rPr>
            </w:pPr>
          </w:p>
          <w:p w:rsidR="00232B3A" w:rsidRPr="00F5310E" w:rsidRDefault="00232B3A" w:rsidP="00B406BB">
            <w:pPr>
              <w:rPr>
                <w:rFonts w:ascii="Arial" w:hAnsi="Arial" w:cs="Arial"/>
                <w:b/>
                <w:sz w:val="20"/>
                <w:szCs w:val="20"/>
              </w:rPr>
            </w:pPr>
            <w:r w:rsidRPr="00F5310E">
              <w:rPr>
                <w:rFonts w:ascii="Arial" w:hAnsi="Arial" w:cs="Arial"/>
                <w:b/>
                <w:sz w:val="20"/>
                <w:szCs w:val="20"/>
              </w:rPr>
              <w:t>Palliative Care</w:t>
            </w:r>
          </w:p>
        </w:tc>
        <w:tc>
          <w:tcPr>
            <w:tcW w:w="7149" w:type="dxa"/>
          </w:tcPr>
          <w:p w:rsidR="00232B3A" w:rsidRPr="007C3203" w:rsidRDefault="00232B3A" w:rsidP="00B406BB">
            <w:pPr>
              <w:pStyle w:val="ListParagraph"/>
              <w:numPr>
                <w:ilvl w:val="0"/>
                <w:numId w:val="5"/>
              </w:numPr>
              <w:rPr>
                <w:rFonts w:ascii="Arial" w:hAnsi="Arial" w:cs="Arial"/>
                <w:sz w:val="20"/>
                <w:szCs w:val="20"/>
              </w:rPr>
            </w:pPr>
            <w:r>
              <w:rPr>
                <w:rFonts w:ascii="Arial" w:hAnsi="Arial" w:cs="Arial"/>
                <w:sz w:val="20"/>
                <w:szCs w:val="20"/>
              </w:rPr>
              <w:t>ISLHD has established community multidisciplinary care teams in both the Illawarra and Shoalhaven regions</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SNSWLHD has demonstrated increases in non-admitted activity in both rehabilitation and palliative care.</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Pr>
                <w:rFonts w:ascii="Arial" w:hAnsi="Arial" w:cs="Arial"/>
                <w:sz w:val="20"/>
                <w:szCs w:val="20"/>
              </w:rPr>
              <w:t>WNSWLHD has increased Occupational Therapy at Lachlan Health Service and Social Work and Central West Cancer Services, Orange.</w:t>
            </w:r>
          </w:p>
        </w:tc>
      </w:tr>
      <w:tr w:rsidR="00232B3A" w:rsidTr="00B406BB">
        <w:tc>
          <w:tcPr>
            <w:tcW w:w="2093" w:type="dxa"/>
            <w:vMerge w:val="restart"/>
          </w:tcPr>
          <w:p w:rsidR="00232B3A" w:rsidRDefault="00232B3A" w:rsidP="00B406BB">
            <w:pPr>
              <w:rPr>
                <w:rFonts w:ascii="Arial" w:hAnsi="Arial" w:cs="Arial"/>
                <w:b/>
              </w:rPr>
            </w:pPr>
          </w:p>
          <w:p w:rsidR="00232B3A" w:rsidRPr="00F5310E" w:rsidRDefault="00232B3A" w:rsidP="00B406BB">
            <w:pPr>
              <w:rPr>
                <w:rFonts w:ascii="Arial" w:hAnsi="Arial" w:cs="Arial"/>
                <w:b/>
                <w:sz w:val="20"/>
                <w:szCs w:val="20"/>
              </w:rPr>
            </w:pPr>
            <w:r w:rsidRPr="00F5310E">
              <w:rPr>
                <w:rFonts w:ascii="Arial" w:hAnsi="Arial" w:cs="Arial"/>
                <w:b/>
                <w:sz w:val="20"/>
                <w:szCs w:val="20"/>
              </w:rPr>
              <w:t>Geriatric Management (GEM)</w:t>
            </w: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WSLHD ha</w:t>
            </w:r>
            <w:r>
              <w:rPr>
                <w:rFonts w:ascii="Arial" w:hAnsi="Arial" w:cs="Arial"/>
                <w:sz w:val="20"/>
                <w:szCs w:val="20"/>
              </w:rPr>
              <w:t>s</w:t>
            </w:r>
            <w:r w:rsidRPr="007C3203">
              <w:rPr>
                <w:rFonts w:ascii="Arial" w:hAnsi="Arial" w:cs="Arial"/>
                <w:sz w:val="20"/>
                <w:szCs w:val="20"/>
              </w:rPr>
              <w:t xml:space="preserve"> established an outreach / care coordination program for residents of Age</w:t>
            </w:r>
            <w:r>
              <w:rPr>
                <w:rFonts w:ascii="Arial" w:hAnsi="Arial" w:cs="Arial"/>
                <w:sz w:val="20"/>
                <w:szCs w:val="20"/>
              </w:rPr>
              <w:t>d</w:t>
            </w:r>
            <w:r w:rsidRPr="007C3203">
              <w:rPr>
                <w:rFonts w:ascii="Arial" w:hAnsi="Arial" w:cs="Arial"/>
                <w:sz w:val="20"/>
                <w:szCs w:val="20"/>
              </w:rPr>
              <w:t xml:space="preserve"> Care Residential Facilities from Blacktown Hospital. Staffing has been in place since late 2011 providing a case management service to residents of aged care facilities in the Blacktown LGA</w:t>
            </w:r>
            <w:r>
              <w:rPr>
                <w:rFonts w:ascii="Arial" w:hAnsi="Arial" w:cs="Arial"/>
                <w:sz w:val="20"/>
                <w:szCs w:val="20"/>
              </w:rPr>
              <w:t>.</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SESLHD has established a geriatric flying squad service at the Sutherland Hospital and St George Hospital.</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NNSWLHD is at project design stage to increase GEM unit beds.</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Pr>
                <w:rFonts w:ascii="Arial" w:hAnsi="Arial" w:cs="Arial"/>
                <w:sz w:val="20"/>
                <w:szCs w:val="20"/>
              </w:rPr>
              <w:t>MNCLHD has capital works underway to develop additional GEM / Psychogeriatric unit beds at Port Macquarie Base Hospital.</w:t>
            </w:r>
          </w:p>
        </w:tc>
      </w:tr>
      <w:tr w:rsidR="00232B3A" w:rsidTr="00B406BB">
        <w:tc>
          <w:tcPr>
            <w:tcW w:w="2093" w:type="dxa"/>
            <w:vMerge w:val="restart"/>
          </w:tcPr>
          <w:p w:rsidR="00232B3A" w:rsidRDefault="00232B3A" w:rsidP="00B406BB">
            <w:pPr>
              <w:rPr>
                <w:rFonts w:ascii="Arial" w:hAnsi="Arial" w:cs="Arial"/>
                <w:b/>
              </w:rPr>
            </w:pPr>
          </w:p>
          <w:p w:rsidR="00232B3A" w:rsidRPr="00F5310E" w:rsidRDefault="00232B3A" w:rsidP="00B406BB">
            <w:pPr>
              <w:rPr>
                <w:rFonts w:ascii="Arial" w:hAnsi="Arial" w:cs="Arial"/>
                <w:b/>
                <w:sz w:val="20"/>
                <w:szCs w:val="20"/>
              </w:rPr>
            </w:pPr>
            <w:r w:rsidRPr="00F5310E">
              <w:rPr>
                <w:rFonts w:ascii="Arial" w:hAnsi="Arial" w:cs="Arial"/>
                <w:b/>
                <w:sz w:val="20"/>
                <w:szCs w:val="20"/>
              </w:rPr>
              <w:t>Psychogeriatric Care</w:t>
            </w:r>
          </w:p>
        </w:tc>
        <w:tc>
          <w:tcPr>
            <w:tcW w:w="7149" w:type="dxa"/>
          </w:tcPr>
          <w:p w:rsidR="00232B3A" w:rsidRPr="007C3203" w:rsidRDefault="00232B3A" w:rsidP="00B406BB">
            <w:pPr>
              <w:pStyle w:val="ListParagraph"/>
              <w:numPr>
                <w:ilvl w:val="0"/>
                <w:numId w:val="5"/>
              </w:numPr>
              <w:rPr>
                <w:rFonts w:ascii="Arial" w:hAnsi="Arial" w:cs="Arial"/>
                <w:sz w:val="20"/>
                <w:szCs w:val="20"/>
              </w:rPr>
            </w:pPr>
            <w:r>
              <w:rPr>
                <w:rFonts w:ascii="Arial" w:hAnsi="Arial" w:cs="Arial"/>
                <w:sz w:val="20"/>
                <w:szCs w:val="20"/>
              </w:rPr>
              <w:t>SVN has opened additional assessment beds.</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Default="00232B3A" w:rsidP="00B406BB">
            <w:pPr>
              <w:pStyle w:val="ListParagraph"/>
              <w:numPr>
                <w:ilvl w:val="0"/>
                <w:numId w:val="5"/>
              </w:numPr>
              <w:rPr>
                <w:rFonts w:ascii="Arial" w:hAnsi="Arial" w:cs="Arial"/>
                <w:sz w:val="20"/>
                <w:szCs w:val="20"/>
              </w:rPr>
            </w:pPr>
            <w:r>
              <w:rPr>
                <w:rFonts w:ascii="Arial" w:hAnsi="Arial" w:cs="Arial"/>
                <w:sz w:val="20"/>
                <w:szCs w:val="20"/>
              </w:rPr>
              <w:t>FWLHD has completed the planning stage of a Mental Health Unit in Broken Hill with clinical staffing profiles created in readiness for recruitment of staff for the unit.</w:t>
            </w:r>
          </w:p>
        </w:tc>
      </w:tr>
      <w:tr w:rsidR="00232B3A" w:rsidTr="00B406BB">
        <w:tc>
          <w:tcPr>
            <w:tcW w:w="2093" w:type="dxa"/>
            <w:vMerge w:val="restart"/>
          </w:tcPr>
          <w:p w:rsidR="00232B3A" w:rsidRDefault="00232B3A" w:rsidP="00B406BB">
            <w:pPr>
              <w:rPr>
                <w:rFonts w:ascii="Arial" w:hAnsi="Arial" w:cs="Arial"/>
                <w:b/>
                <w:sz w:val="20"/>
                <w:szCs w:val="20"/>
              </w:rPr>
            </w:pPr>
          </w:p>
          <w:p w:rsidR="00232B3A" w:rsidRPr="00F5310E" w:rsidRDefault="00232B3A" w:rsidP="00B406BB">
            <w:pPr>
              <w:rPr>
                <w:rFonts w:ascii="Arial" w:hAnsi="Arial" w:cs="Arial"/>
                <w:b/>
                <w:sz w:val="20"/>
                <w:szCs w:val="20"/>
              </w:rPr>
            </w:pPr>
            <w:r>
              <w:rPr>
                <w:rFonts w:ascii="Arial" w:hAnsi="Arial" w:cs="Arial"/>
                <w:b/>
                <w:sz w:val="20"/>
                <w:szCs w:val="20"/>
              </w:rPr>
              <w:t xml:space="preserve">Service Development </w:t>
            </w:r>
            <w:r>
              <w:rPr>
                <w:rFonts w:ascii="Arial" w:hAnsi="Arial" w:cs="Arial"/>
                <w:b/>
                <w:sz w:val="20"/>
                <w:szCs w:val="20"/>
              </w:rPr>
              <w:lastRenderedPageBreak/>
              <w:t>Support</w:t>
            </w:r>
          </w:p>
        </w:tc>
        <w:tc>
          <w:tcPr>
            <w:tcW w:w="7149" w:type="dxa"/>
          </w:tcPr>
          <w:p w:rsidR="00232B3A" w:rsidRPr="007C3203" w:rsidRDefault="00232B3A" w:rsidP="00B406BB">
            <w:pPr>
              <w:pStyle w:val="ListParagraph"/>
              <w:numPr>
                <w:ilvl w:val="0"/>
                <w:numId w:val="5"/>
              </w:numPr>
              <w:rPr>
                <w:rFonts w:ascii="Arial" w:hAnsi="Arial" w:cs="Arial"/>
                <w:sz w:val="20"/>
                <w:szCs w:val="20"/>
              </w:rPr>
            </w:pPr>
            <w:r>
              <w:rPr>
                <w:rFonts w:ascii="Arial" w:hAnsi="Arial" w:cs="Arial"/>
                <w:sz w:val="20"/>
                <w:szCs w:val="20"/>
              </w:rPr>
              <w:lastRenderedPageBreak/>
              <w:t>NBMLHD has recruited to an Area Data Quality and R</w:t>
            </w:r>
            <w:r w:rsidRPr="007C3203">
              <w:rPr>
                <w:rFonts w:ascii="Arial" w:hAnsi="Arial" w:cs="Arial"/>
                <w:sz w:val="20"/>
                <w:szCs w:val="20"/>
              </w:rPr>
              <w:t xml:space="preserve">eporting </w:t>
            </w:r>
            <w:r>
              <w:rPr>
                <w:rFonts w:ascii="Arial" w:hAnsi="Arial" w:cs="Arial"/>
                <w:sz w:val="20"/>
                <w:szCs w:val="20"/>
              </w:rPr>
              <w:t>P</w:t>
            </w:r>
            <w:r w:rsidRPr="007C3203">
              <w:rPr>
                <w:rFonts w:ascii="Arial" w:hAnsi="Arial" w:cs="Arial"/>
                <w:sz w:val="20"/>
                <w:szCs w:val="20"/>
              </w:rPr>
              <w:t>rogram position.</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 xml:space="preserve">SESLHD has </w:t>
            </w:r>
            <w:r>
              <w:rPr>
                <w:rFonts w:ascii="Arial" w:hAnsi="Arial" w:cs="Arial"/>
                <w:sz w:val="20"/>
                <w:szCs w:val="20"/>
              </w:rPr>
              <w:t>recruited a Subacute Health Information Officer</w:t>
            </w:r>
            <w:r w:rsidRPr="007C3203">
              <w:rPr>
                <w:rFonts w:ascii="Arial" w:hAnsi="Arial" w:cs="Arial"/>
                <w:sz w:val="20"/>
                <w:szCs w:val="20"/>
              </w:rPr>
              <w:t>.</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SESLHD has recruited allied health data project and subacute data officers.</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WSLHD has finalised recruitment to a position to support data quality.</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NNSW</w:t>
            </w:r>
            <w:r>
              <w:rPr>
                <w:rFonts w:ascii="Arial" w:hAnsi="Arial" w:cs="Arial"/>
                <w:sz w:val="20"/>
                <w:szCs w:val="20"/>
              </w:rPr>
              <w:t>LHD</w:t>
            </w:r>
            <w:r w:rsidRPr="007C3203">
              <w:rPr>
                <w:rFonts w:ascii="Arial" w:hAnsi="Arial" w:cs="Arial"/>
                <w:sz w:val="20"/>
                <w:szCs w:val="20"/>
              </w:rPr>
              <w:t xml:space="preserve"> has a Subacute Care Data Officer in place and Site Support for Subacute Care</w:t>
            </w:r>
            <w:r>
              <w:rPr>
                <w:rFonts w:ascii="Arial" w:hAnsi="Arial" w:cs="Arial"/>
                <w:sz w:val="20"/>
                <w:szCs w:val="20"/>
              </w:rPr>
              <w:t xml:space="preserve">, </w:t>
            </w:r>
            <w:r w:rsidRPr="007C3203">
              <w:rPr>
                <w:rFonts w:ascii="Arial" w:hAnsi="Arial" w:cs="Arial"/>
                <w:sz w:val="20"/>
                <w:szCs w:val="20"/>
              </w:rPr>
              <w:t>supporting identification / categorising subacute care patients.</w:t>
            </w:r>
          </w:p>
        </w:tc>
      </w:tr>
      <w:tr w:rsidR="00232B3A" w:rsidTr="00B406BB">
        <w:tc>
          <w:tcPr>
            <w:tcW w:w="2093" w:type="dxa"/>
            <w:vMerge/>
          </w:tcPr>
          <w:p w:rsidR="00232B3A" w:rsidRDefault="00232B3A" w:rsidP="00B406BB">
            <w:pPr>
              <w:rPr>
                <w:rFonts w:ascii="Arial" w:hAnsi="Arial" w:cs="Arial"/>
                <w:b/>
              </w:rPr>
            </w:pPr>
          </w:p>
        </w:tc>
        <w:tc>
          <w:tcPr>
            <w:tcW w:w="7149" w:type="dxa"/>
          </w:tcPr>
          <w:p w:rsidR="00232B3A" w:rsidRPr="007C3203" w:rsidRDefault="00232B3A" w:rsidP="00B406BB">
            <w:pPr>
              <w:pStyle w:val="ListParagraph"/>
              <w:numPr>
                <w:ilvl w:val="0"/>
                <w:numId w:val="5"/>
              </w:numPr>
              <w:rPr>
                <w:rFonts w:ascii="Arial" w:hAnsi="Arial" w:cs="Arial"/>
                <w:sz w:val="20"/>
                <w:szCs w:val="20"/>
              </w:rPr>
            </w:pPr>
            <w:r w:rsidRPr="007C3203">
              <w:rPr>
                <w:rFonts w:ascii="Arial" w:hAnsi="Arial" w:cs="Arial"/>
                <w:sz w:val="20"/>
                <w:szCs w:val="20"/>
              </w:rPr>
              <w:t>HNELHD has conducted Subacute Data Quality workshops in Tamworth and Maitland Hospitals and Mehi Cluster (Primary and Community Health) with further planned to improve reporting.</w:t>
            </w:r>
          </w:p>
        </w:tc>
      </w:tr>
    </w:tbl>
    <w:p w:rsidR="00232B3A" w:rsidRDefault="00232B3A" w:rsidP="00232B3A">
      <w:pPr>
        <w:rPr>
          <w:rFonts w:ascii="Arial" w:hAnsi="Arial" w:cs="Arial"/>
          <w:b/>
        </w:rPr>
      </w:pPr>
    </w:p>
    <w:p w:rsidR="00232B3A" w:rsidRDefault="00232B3A" w:rsidP="00232B3A">
      <w:pPr>
        <w:rPr>
          <w:rFonts w:ascii="Arial" w:hAnsi="Arial" w:cs="Arial"/>
          <w:b/>
        </w:rPr>
      </w:pPr>
    </w:p>
    <w:p w:rsidR="00232B3A" w:rsidRPr="00F5310E" w:rsidRDefault="00232B3A" w:rsidP="00232B3A">
      <w:pPr>
        <w:rPr>
          <w:rFonts w:ascii="Arial" w:hAnsi="Arial" w:cs="Arial"/>
          <w:b/>
        </w:rPr>
      </w:pPr>
      <w:r w:rsidRPr="00F5310E">
        <w:rPr>
          <w:rFonts w:ascii="Arial" w:hAnsi="Arial" w:cs="Arial"/>
          <w:b/>
        </w:rPr>
        <w:t>Key:</w:t>
      </w:r>
    </w:p>
    <w:tbl>
      <w:tblPr>
        <w:tblW w:w="92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28"/>
        <w:gridCol w:w="1320"/>
        <w:gridCol w:w="3480"/>
      </w:tblGrid>
      <w:tr w:rsidR="00232B3A" w:rsidRPr="006A6B6A" w:rsidTr="00B406BB">
        <w:trPr>
          <w:trHeight w:val="567"/>
        </w:trPr>
        <w:tc>
          <w:tcPr>
            <w:tcW w:w="1234"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bookmarkStart w:id="1" w:name="OLE_LINK2"/>
            <w:r w:rsidRPr="00FA35BE">
              <w:rPr>
                <w:rFonts w:ascii="Arial" w:hAnsi="Arial" w:cs="Arial"/>
                <w:b/>
                <w:sz w:val="18"/>
                <w:szCs w:val="18"/>
              </w:rPr>
              <w:t>CCLHD</w:t>
            </w:r>
          </w:p>
        </w:tc>
        <w:tc>
          <w:tcPr>
            <w:tcW w:w="3228" w:type="dxa"/>
            <w:vAlign w:val="center"/>
          </w:tcPr>
          <w:p w:rsidR="00232B3A" w:rsidRPr="006A6B6A" w:rsidRDefault="00232B3A" w:rsidP="00B406BB">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 xml:space="preserve">Central Coast Local Health District         </w:t>
            </w:r>
          </w:p>
        </w:tc>
        <w:tc>
          <w:tcPr>
            <w:tcW w:w="1320"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FWLHD</w:t>
            </w:r>
          </w:p>
        </w:tc>
        <w:tc>
          <w:tcPr>
            <w:tcW w:w="3480" w:type="dxa"/>
            <w:vAlign w:val="center"/>
          </w:tcPr>
          <w:p w:rsidR="00232B3A" w:rsidRPr="006A6B6A" w:rsidRDefault="00232B3A" w:rsidP="00B406BB">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Far West Local Health District</w:t>
            </w:r>
          </w:p>
        </w:tc>
      </w:tr>
      <w:tr w:rsidR="00232B3A" w:rsidRPr="006A6B6A" w:rsidTr="00B406BB">
        <w:trPr>
          <w:trHeight w:val="567"/>
        </w:trPr>
        <w:tc>
          <w:tcPr>
            <w:tcW w:w="1234"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HNELHD</w:t>
            </w:r>
          </w:p>
        </w:tc>
        <w:tc>
          <w:tcPr>
            <w:tcW w:w="3228" w:type="dxa"/>
            <w:vAlign w:val="center"/>
          </w:tcPr>
          <w:p w:rsidR="00232B3A" w:rsidRPr="006A6B6A" w:rsidRDefault="00232B3A" w:rsidP="00B406BB">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Hunter New England Local Health District</w:t>
            </w:r>
          </w:p>
        </w:tc>
        <w:tc>
          <w:tcPr>
            <w:tcW w:w="1320"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ISLHD</w:t>
            </w:r>
          </w:p>
        </w:tc>
        <w:tc>
          <w:tcPr>
            <w:tcW w:w="3480" w:type="dxa"/>
            <w:vAlign w:val="center"/>
          </w:tcPr>
          <w:p w:rsidR="00232B3A" w:rsidRPr="006A6B6A" w:rsidRDefault="00232B3A" w:rsidP="00B406BB">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Illawarra Shoalhaven Local Health District</w:t>
            </w:r>
          </w:p>
        </w:tc>
      </w:tr>
      <w:tr w:rsidR="00232B3A" w:rsidRPr="006A6B6A" w:rsidTr="00B406BB">
        <w:trPr>
          <w:trHeight w:val="567"/>
        </w:trPr>
        <w:tc>
          <w:tcPr>
            <w:tcW w:w="1234"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MNCLHD</w:t>
            </w:r>
          </w:p>
        </w:tc>
        <w:tc>
          <w:tcPr>
            <w:tcW w:w="3228" w:type="dxa"/>
            <w:vAlign w:val="center"/>
          </w:tcPr>
          <w:p w:rsidR="00232B3A" w:rsidRPr="006A6B6A" w:rsidRDefault="00232B3A" w:rsidP="00B406BB">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Mid North Coast Local Health District</w:t>
            </w:r>
          </w:p>
        </w:tc>
        <w:tc>
          <w:tcPr>
            <w:tcW w:w="1320"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MLHD</w:t>
            </w:r>
          </w:p>
        </w:tc>
        <w:tc>
          <w:tcPr>
            <w:tcW w:w="3480" w:type="dxa"/>
            <w:vAlign w:val="center"/>
          </w:tcPr>
          <w:p w:rsidR="00232B3A" w:rsidRPr="006A6B6A" w:rsidRDefault="00232B3A" w:rsidP="00B406BB">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Murrumbidgee Local Health District</w:t>
            </w:r>
          </w:p>
        </w:tc>
      </w:tr>
      <w:tr w:rsidR="00232B3A" w:rsidRPr="006A6B6A" w:rsidTr="00B406BB">
        <w:trPr>
          <w:trHeight w:val="567"/>
        </w:trPr>
        <w:tc>
          <w:tcPr>
            <w:tcW w:w="1234"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NBMLHD</w:t>
            </w:r>
          </w:p>
        </w:tc>
        <w:tc>
          <w:tcPr>
            <w:tcW w:w="3228" w:type="dxa"/>
            <w:vAlign w:val="center"/>
          </w:tcPr>
          <w:p w:rsidR="00232B3A" w:rsidRPr="006A6B6A" w:rsidRDefault="00232B3A" w:rsidP="00B406BB">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Nepean Blue Mountains Local Health District</w:t>
            </w:r>
          </w:p>
        </w:tc>
        <w:tc>
          <w:tcPr>
            <w:tcW w:w="1320"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NNLHD</w:t>
            </w:r>
          </w:p>
        </w:tc>
        <w:tc>
          <w:tcPr>
            <w:tcW w:w="3480" w:type="dxa"/>
            <w:vAlign w:val="center"/>
          </w:tcPr>
          <w:p w:rsidR="00232B3A" w:rsidRPr="006A6B6A" w:rsidRDefault="00232B3A" w:rsidP="00B406BB">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Northern NSW Local Health District</w:t>
            </w:r>
          </w:p>
        </w:tc>
      </w:tr>
      <w:tr w:rsidR="00232B3A" w:rsidRPr="006A6B6A" w:rsidTr="00B406BB">
        <w:trPr>
          <w:trHeight w:val="567"/>
        </w:trPr>
        <w:tc>
          <w:tcPr>
            <w:tcW w:w="1234"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NSLHD</w:t>
            </w:r>
          </w:p>
        </w:tc>
        <w:tc>
          <w:tcPr>
            <w:tcW w:w="3228" w:type="dxa"/>
            <w:vAlign w:val="center"/>
          </w:tcPr>
          <w:p w:rsidR="00232B3A" w:rsidRPr="006A6B6A" w:rsidRDefault="00232B3A" w:rsidP="00B406BB">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Northern Sydney Local Health District</w:t>
            </w:r>
          </w:p>
        </w:tc>
        <w:tc>
          <w:tcPr>
            <w:tcW w:w="1320"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SCHN</w:t>
            </w:r>
          </w:p>
        </w:tc>
        <w:tc>
          <w:tcPr>
            <w:tcW w:w="3480" w:type="dxa"/>
            <w:vAlign w:val="center"/>
          </w:tcPr>
          <w:p w:rsidR="00232B3A" w:rsidRPr="006A6B6A" w:rsidRDefault="00232B3A" w:rsidP="00B406BB">
            <w:pPr>
              <w:spacing w:after="120" w:line="240" w:lineRule="auto"/>
              <w:rPr>
                <w:sz w:val="18"/>
                <w:szCs w:val="18"/>
              </w:rPr>
            </w:pPr>
            <w:r>
              <w:rPr>
                <w:rFonts w:ascii="Arial" w:hAnsi="Arial" w:cs="Arial"/>
                <w:sz w:val="18"/>
                <w:szCs w:val="18"/>
              </w:rPr>
              <w:t>Sydney Children’s Hospitals Network</w:t>
            </w:r>
          </w:p>
        </w:tc>
      </w:tr>
      <w:tr w:rsidR="00232B3A" w:rsidRPr="006A6B6A" w:rsidTr="00B406BB">
        <w:trPr>
          <w:trHeight w:val="567"/>
        </w:trPr>
        <w:tc>
          <w:tcPr>
            <w:tcW w:w="1234"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SESLHD</w:t>
            </w:r>
          </w:p>
        </w:tc>
        <w:tc>
          <w:tcPr>
            <w:tcW w:w="3228" w:type="dxa"/>
            <w:vAlign w:val="center"/>
          </w:tcPr>
          <w:p w:rsidR="00232B3A" w:rsidRPr="006A6B6A" w:rsidRDefault="00232B3A" w:rsidP="00B406BB">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South Eastern Sydney Local Health District</w:t>
            </w:r>
          </w:p>
        </w:tc>
        <w:tc>
          <w:tcPr>
            <w:tcW w:w="1320"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SNLHD</w:t>
            </w:r>
          </w:p>
        </w:tc>
        <w:tc>
          <w:tcPr>
            <w:tcW w:w="3480" w:type="dxa"/>
            <w:vAlign w:val="center"/>
          </w:tcPr>
          <w:p w:rsidR="00232B3A" w:rsidRPr="006A6B6A" w:rsidRDefault="00232B3A" w:rsidP="00B406BB">
            <w:pPr>
              <w:spacing w:after="120" w:line="240" w:lineRule="auto"/>
              <w:rPr>
                <w:sz w:val="18"/>
                <w:szCs w:val="18"/>
              </w:rPr>
            </w:pPr>
            <w:r>
              <w:rPr>
                <w:rFonts w:ascii="Arial" w:hAnsi="Arial" w:cs="Arial"/>
                <w:sz w:val="18"/>
                <w:szCs w:val="18"/>
              </w:rPr>
              <w:t>Southern New South Wales Local Health District</w:t>
            </w:r>
          </w:p>
        </w:tc>
      </w:tr>
      <w:tr w:rsidR="00232B3A" w:rsidRPr="006A6B6A" w:rsidTr="00B406BB">
        <w:trPr>
          <w:trHeight w:val="567"/>
        </w:trPr>
        <w:tc>
          <w:tcPr>
            <w:tcW w:w="1234"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SWSLHD</w:t>
            </w:r>
          </w:p>
        </w:tc>
        <w:tc>
          <w:tcPr>
            <w:tcW w:w="3228" w:type="dxa"/>
            <w:vAlign w:val="center"/>
          </w:tcPr>
          <w:p w:rsidR="00232B3A" w:rsidRPr="006A6B6A" w:rsidRDefault="00232B3A" w:rsidP="00B406BB">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South Western Sydney Local Health District</w:t>
            </w:r>
          </w:p>
        </w:tc>
        <w:tc>
          <w:tcPr>
            <w:tcW w:w="1320"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SVHN</w:t>
            </w:r>
          </w:p>
        </w:tc>
        <w:tc>
          <w:tcPr>
            <w:tcW w:w="3480" w:type="dxa"/>
            <w:vAlign w:val="center"/>
          </w:tcPr>
          <w:p w:rsidR="00232B3A" w:rsidRPr="00B53682" w:rsidRDefault="00232B3A" w:rsidP="00B406BB">
            <w:pPr>
              <w:spacing w:after="120" w:line="240" w:lineRule="auto"/>
              <w:rPr>
                <w:rFonts w:ascii="Arial" w:hAnsi="Arial" w:cs="Arial"/>
                <w:sz w:val="18"/>
                <w:szCs w:val="18"/>
              </w:rPr>
            </w:pPr>
            <w:r>
              <w:rPr>
                <w:rFonts w:ascii="Arial" w:hAnsi="Arial" w:cs="Arial"/>
                <w:sz w:val="18"/>
                <w:szCs w:val="18"/>
              </w:rPr>
              <w:t>St Vincent’s Health Network</w:t>
            </w:r>
          </w:p>
        </w:tc>
      </w:tr>
      <w:tr w:rsidR="00232B3A" w:rsidRPr="006A6B6A" w:rsidTr="00B406BB">
        <w:trPr>
          <w:trHeight w:val="567"/>
        </w:trPr>
        <w:tc>
          <w:tcPr>
            <w:tcW w:w="1234"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SLHD</w:t>
            </w:r>
          </w:p>
        </w:tc>
        <w:tc>
          <w:tcPr>
            <w:tcW w:w="3228" w:type="dxa"/>
            <w:vAlign w:val="center"/>
          </w:tcPr>
          <w:p w:rsidR="00232B3A" w:rsidRPr="006A6B6A" w:rsidRDefault="00232B3A" w:rsidP="00B406BB">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Sydney Local Health District</w:t>
            </w:r>
          </w:p>
        </w:tc>
        <w:tc>
          <w:tcPr>
            <w:tcW w:w="1320" w:type="dxa"/>
            <w:tcBorders>
              <w:bottom w:val="single" w:sz="4" w:space="0" w:color="auto"/>
            </w:tcBorders>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WNLHD</w:t>
            </w:r>
          </w:p>
        </w:tc>
        <w:tc>
          <w:tcPr>
            <w:tcW w:w="3480" w:type="dxa"/>
            <w:tcBorders>
              <w:bottom w:val="single" w:sz="4" w:space="0" w:color="auto"/>
            </w:tcBorders>
            <w:vAlign w:val="center"/>
          </w:tcPr>
          <w:p w:rsidR="00232B3A" w:rsidRPr="006A6B6A" w:rsidRDefault="00232B3A" w:rsidP="00B406BB">
            <w:pPr>
              <w:spacing w:after="120" w:line="240" w:lineRule="auto"/>
              <w:rPr>
                <w:rFonts w:ascii="Arial" w:hAnsi="Arial" w:cs="Arial"/>
                <w:sz w:val="18"/>
                <w:szCs w:val="18"/>
              </w:rPr>
            </w:pPr>
            <w:r>
              <w:rPr>
                <w:rFonts w:ascii="Arial" w:hAnsi="Arial" w:cs="Arial"/>
                <w:sz w:val="18"/>
                <w:szCs w:val="18"/>
              </w:rPr>
              <w:t>Western NSW Local Health District</w:t>
            </w:r>
          </w:p>
        </w:tc>
      </w:tr>
      <w:tr w:rsidR="00232B3A" w:rsidRPr="006A6B6A" w:rsidTr="00B406BB">
        <w:trPr>
          <w:trHeight w:val="567"/>
        </w:trPr>
        <w:tc>
          <w:tcPr>
            <w:tcW w:w="1234" w:type="dxa"/>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r w:rsidRPr="00FA35BE">
              <w:rPr>
                <w:rFonts w:ascii="Arial" w:hAnsi="Arial" w:cs="Arial"/>
                <w:b/>
                <w:sz w:val="18"/>
                <w:szCs w:val="18"/>
              </w:rPr>
              <w:t>WSLHD</w:t>
            </w:r>
          </w:p>
        </w:tc>
        <w:tc>
          <w:tcPr>
            <w:tcW w:w="3228" w:type="dxa"/>
            <w:vAlign w:val="center"/>
          </w:tcPr>
          <w:p w:rsidR="00232B3A" w:rsidRPr="006A6B6A" w:rsidRDefault="00232B3A" w:rsidP="00B406BB">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Western Sydney Local Health District</w:t>
            </w:r>
          </w:p>
        </w:tc>
        <w:tc>
          <w:tcPr>
            <w:tcW w:w="1320" w:type="dxa"/>
            <w:tcBorders>
              <w:bottom w:val="nil"/>
              <w:right w:val="nil"/>
            </w:tcBorders>
            <w:vAlign w:val="center"/>
          </w:tcPr>
          <w:p w:rsidR="00232B3A" w:rsidRPr="00FA35BE" w:rsidRDefault="00232B3A" w:rsidP="00B406BB">
            <w:pPr>
              <w:widowControl w:val="0"/>
              <w:autoSpaceDE w:val="0"/>
              <w:autoSpaceDN w:val="0"/>
              <w:adjustRightInd w:val="0"/>
              <w:spacing w:after="120" w:line="240" w:lineRule="auto"/>
              <w:rPr>
                <w:rFonts w:ascii="Arial" w:hAnsi="Arial" w:cs="Arial"/>
                <w:b/>
                <w:sz w:val="18"/>
                <w:szCs w:val="18"/>
              </w:rPr>
            </w:pPr>
          </w:p>
        </w:tc>
        <w:tc>
          <w:tcPr>
            <w:tcW w:w="3480" w:type="dxa"/>
            <w:tcBorders>
              <w:left w:val="nil"/>
              <w:bottom w:val="nil"/>
              <w:right w:val="nil"/>
            </w:tcBorders>
            <w:vAlign w:val="center"/>
          </w:tcPr>
          <w:p w:rsidR="00232B3A" w:rsidRPr="006A6B6A" w:rsidRDefault="00232B3A" w:rsidP="00B406BB">
            <w:pPr>
              <w:spacing w:after="120" w:line="240" w:lineRule="auto"/>
              <w:rPr>
                <w:rFonts w:ascii="Arial" w:hAnsi="Arial" w:cs="Arial"/>
                <w:sz w:val="18"/>
                <w:szCs w:val="18"/>
              </w:rPr>
            </w:pPr>
          </w:p>
        </w:tc>
      </w:tr>
      <w:bookmarkEnd w:id="1"/>
    </w:tbl>
    <w:p w:rsidR="00232B3A" w:rsidRDefault="00232B3A" w:rsidP="00232B3A">
      <w:pPr>
        <w:rPr>
          <w:rFonts w:ascii="Arial" w:hAnsi="Arial" w:cs="Arial"/>
        </w:rPr>
      </w:pPr>
    </w:p>
    <w:p w:rsidR="00AC1C2A" w:rsidRDefault="00AC1C2A" w:rsidP="00AC1C2A">
      <w:pPr>
        <w:rPr>
          <w:rFonts w:ascii="Arial" w:hAnsi="Arial" w:cs="Arial"/>
        </w:rPr>
      </w:pPr>
    </w:p>
    <w:p w:rsidR="00AC1C2A" w:rsidRDefault="00AC1C2A" w:rsidP="00AC1C2A">
      <w:pPr>
        <w:rPr>
          <w:rFonts w:ascii="Arial" w:hAnsi="Arial" w:cs="Arial"/>
        </w:rPr>
      </w:pPr>
    </w:p>
    <w:p w:rsidR="00AC1C2A" w:rsidRDefault="00AC1C2A" w:rsidP="00AC1C2A">
      <w:pPr>
        <w:rPr>
          <w:rFonts w:ascii="Arial" w:hAnsi="Arial" w:cs="Arial"/>
        </w:rPr>
      </w:pPr>
    </w:p>
    <w:p w:rsidR="00AC1C2A" w:rsidRDefault="00AC1C2A" w:rsidP="00AC1C2A">
      <w:pPr>
        <w:rPr>
          <w:rFonts w:ascii="Arial" w:hAnsi="Arial" w:cs="Arial"/>
        </w:rPr>
      </w:pPr>
    </w:p>
    <w:p w:rsidR="00F5310E" w:rsidRPr="0064237C" w:rsidRDefault="00F5310E" w:rsidP="00AC1C2A">
      <w:pPr>
        <w:rPr>
          <w:rFonts w:ascii="Arial" w:hAnsi="Arial" w:cs="Arial"/>
          <w:b/>
        </w:rPr>
      </w:pPr>
      <w:r>
        <w:br w:type="page"/>
      </w:r>
      <w:r w:rsidR="0064237C" w:rsidRPr="0064237C">
        <w:rPr>
          <w:rFonts w:ascii="Arial" w:hAnsi="Arial" w:cs="Arial"/>
          <w:b/>
        </w:rPr>
        <w:lastRenderedPageBreak/>
        <w:t>Section 2: Annual growth in subacute care services across NSW</w:t>
      </w:r>
    </w:p>
    <w:p w:rsidR="0064237C" w:rsidRPr="0064237C" w:rsidRDefault="0064237C" w:rsidP="0064237C">
      <w:pPr>
        <w:jc w:val="center"/>
        <w:rPr>
          <w:rFonts w:ascii="Arial" w:hAnsi="Arial" w:cs="Arial"/>
          <w:b/>
        </w:rPr>
      </w:pPr>
      <w:r w:rsidRPr="0064237C">
        <w:rPr>
          <w:rFonts w:ascii="Arial" w:hAnsi="Arial" w:cs="Arial"/>
          <w:b/>
        </w:rPr>
        <w:t>1 July 2011 to 30 June 2012</w:t>
      </w:r>
    </w:p>
    <w:p w:rsidR="0064237C" w:rsidRPr="00095BBE" w:rsidRDefault="00CD258F" w:rsidP="0064237C">
      <w:pPr>
        <w:jc w:val="center"/>
        <w:rPr>
          <w:rFonts w:ascii="Arial" w:hAnsi="Arial" w:cs="Arial"/>
          <w:b/>
          <w:i/>
        </w:rPr>
      </w:pPr>
      <w:r>
        <w:rPr>
          <w:b/>
          <w:i/>
          <w:noProof/>
        </w:rPr>
        <mc:AlternateContent>
          <mc:Choice Requires="wps">
            <w:drawing>
              <wp:anchor distT="0" distB="0" distL="114300" distR="114300" simplePos="0" relativeHeight="251661312" behindDoc="0" locked="0" layoutInCell="1" allowOverlap="1">
                <wp:simplePos x="0" y="0"/>
                <wp:positionH relativeFrom="column">
                  <wp:posOffset>-390525</wp:posOffset>
                </wp:positionH>
                <wp:positionV relativeFrom="paragraph">
                  <wp:posOffset>224155</wp:posOffset>
                </wp:positionV>
                <wp:extent cx="6477000" cy="79343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93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523" w:type="dxa"/>
                              <w:tblInd w:w="93" w:type="dxa"/>
                              <w:tblLook w:val="04A0" w:firstRow="1" w:lastRow="0" w:firstColumn="1" w:lastColumn="0" w:noHBand="0" w:noVBand="1"/>
                            </w:tblPr>
                            <w:tblGrid>
                              <w:gridCol w:w="2425"/>
                              <w:gridCol w:w="1428"/>
                              <w:gridCol w:w="1417"/>
                              <w:gridCol w:w="1418"/>
                              <w:gridCol w:w="1417"/>
                              <w:gridCol w:w="1418"/>
                            </w:tblGrid>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State/Territory:</w:t>
                                  </w:r>
                                </w:p>
                              </w:tc>
                              <w:tc>
                                <w:tcPr>
                                  <w:tcW w:w="426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b/>
                                      <w:i/>
                                    </w:rPr>
                                  </w:pPr>
                                  <w:r w:rsidRPr="00343EFB">
                                    <w:rPr>
                                      <w:rFonts w:ascii="Arial" w:eastAsia="Times New Roman" w:hAnsi="Arial" w:cs="Arial"/>
                                      <w:b/>
                                      <w:i/>
                                    </w:rPr>
                                    <w:t>New South Wales</w:t>
                                  </w: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r>
                            <w:tr w:rsidR="00A67C3E" w:rsidRPr="00343EFB" w:rsidTr="00450FBB">
                              <w:trPr>
                                <w:trHeight w:val="108"/>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p>
                              </w:tc>
                              <w:tc>
                                <w:tcPr>
                                  <w:tcW w:w="142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Period:</w:t>
                                  </w:r>
                                </w:p>
                              </w:tc>
                              <w:tc>
                                <w:tcPr>
                                  <w:tcW w:w="426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67C3E" w:rsidRPr="00343EFB" w:rsidRDefault="00A67C3E" w:rsidP="0064237C">
                                  <w:pPr>
                                    <w:spacing w:after="0" w:line="240" w:lineRule="auto"/>
                                    <w:jc w:val="center"/>
                                    <w:rPr>
                                      <w:rFonts w:ascii="Arial" w:eastAsia="Times New Roman" w:hAnsi="Arial" w:cs="Arial"/>
                                      <w:sz w:val="20"/>
                                      <w:szCs w:val="20"/>
                                    </w:rPr>
                                  </w:pPr>
                                  <w:r w:rsidRPr="00343EFB">
                                    <w:rPr>
                                      <w:rFonts w:ascii="Arial" w:eastAsia="Times New Roman" w:hAnsi="Arial" w:cs="Arial"/>
                                      <w:sz w:val="20"/>
                                      <w:szCs w:val="20"/>
                                    </w:rPr>
                                    <w:t>2011/12</w:t>
                                  </w: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r>
                            <w:tr w:rsidR="00A67C3E" w:rsidRPr="00343EFB" w:rsidTr="00450FBB">
                              <w:trPr>
                                <w:trHeight w:val="72"/>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p>
                              </w:tc>
                              <w:tc>
                                <w:tcPr>
                                  <w:tcW w:w="142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r>
                            <w:tr w:rsidR="00A67C3E" w:rsidRPr="00343EFB" w:rsidTr="00450FBB">
                              <w:trPr>
                                <w:trHeight w:val="315"/>
                              </w:trPr>
                              <w:tc>
                                <w:tcPr>
                                  <w:tcW w:w="2425" w:type="dxa"/>
                                  <w:tcBorders>
                                    <w:top w:val="nil"/>
                                    <w:left w:val="nil"/>
                                    <w:bottom w:val="nil"/>
                                    <w:right w:val="nil"/>
                                  </w:tcBorders>
                                  <w:shd w:val="clear" w:color="auto" w:fill="auto"/>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c>
                                <w:tcPr>
                                  <w:tcW w:w="56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b/>
                                      <w:bCs/>
                                      <w:color w:val="000000"/>
                                      <w:sz w:val="20"/>
                                      <w:szCs w:val="20"/>
                                    </w:rPr>
                                  </w:pPr>
                                  <w:r w:rsidRPr="00343EFB">
                                    <w:rPr>
                                      <w:rFonts w:ascii="Arial" w:eastAsia="Times New Roman" w:hAnsi="Arial" w:cs="Arial"/>
                                      <w:b/>
                                      <w:bCs/>
                                      <w:color w:val="000000"/>
                                      <w:sz w:val="20"/>
                                      <w:szCs w:val="20"/>
                                    </w:rPr>
                                    <w:t>Table 1: Activity by care type</w:t>
                                  </w: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b/>
                                      <w:bCs/>
                                      <w:color w:val="000000"/>
                                      <w:sz w:val="20"/>
                                      <w:szCs w:val="20"/>
                                    </w:rPr>
                                  </w:pPr>
                                  <w:r w:rsidRPr="00343EFB">
                                    <w:rPr>
                                      <w:rFonts w:ascii="Arial" w:eastAsia="Times New Roman" w:hAnsi="Arial" w:cs="Arial"/>
                                      <w:b/>
                                      <w:bCs/>
                                      <w:color w:val="000000"/>
                                      <w:sz w:val="20"/>
                                      <w:szCs w:val="20"/>
                                    </w:rPr>
                                    <w:t> </w:t>
                                  </w:r>
                                </w:p>
                              </w:tc>
                            </w:tr>
                            <w:tr w:rsidR="00A67C3E" w:rsidRPr="00343EFB" w:rsidTr="00450FBB">
                              <w:trPr>
                                <w:trHeight w:val="600"/>
                              </w:trPr>
                              <w:tc>
                                <w:tcPr>
                                  <w:tcW w:w="2425" w:type="dxa"/>
                                  <w:tcBorders>
                                    <w:top w:val="nil"/>
                                    <w:left w:val="nil"/>
                                    <w:bottom w:val="nil"/>
                                    <w:right w:val="nil"/>
                                  </w:tcBorders>
                                  <w:shd w:val="clear" w:color="auto" w:fill="auto"/>
                                  <w:hideMark/>
                                </w:tcPr>
                                <w:p w:rsidR="00A67C3E" w:rsidRPr="00343EFB" w:rsidRDefault="00A67C3E" w:rsidP="005C1545">
                                  <w:pPr>
                                    <w:spacing w:after="0" w:line="240" w:lineRule="auto"/>
                                    <w:rPr>
                                      <w:rFonts w:ascii="Arial" w:eastAsia="Times New Roman" w:hAnsi="Arial" w:cs="Arial"/>
                                      <w:color w:val="000000"/>
                                      <w:sz w:val="20"/>
                                      <w:szCs w:val="20"/>
                                    </w:rPr>
                                  </w:pPr>
                                </w:p>
                              </w:tc>
                              <w:tc>
                                <w:tcPr>
                                  <w:tcW w:w="1428" w:type="dxa"/>
                                  <w:tcBorders>
                                    <w:top w:val="nil"/>
                                    <w:left w:val="single" w:sz="4" w:space="0" w:color="auto"/>
                                    <w:bottom w:val="single" w:sz="4" w:space="0" w:color="auto"/>
                                    <w:right w:val="single" w:sz="4" w:space="0" w:color="auto"/>
                                  </w:tcBorders>
                                  <w:shd w:val="clear" w:color="auto" w:fill="auto"/>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r w:rsidRPr="00343EFB">
                                    <w:rPr>
                                      <w:rFonts w:ascii="Arial" w:eastAsia="Times New Roman" w:hAnsi="Arial" w:cs="Arial"/>
                                      <w:color w:val="000000"/>
                                      <w:sz w:val="20"/>
                                      <w:szCs w:val="20"/>
                                    </w:rPr>
                                    <w:t>Rehabilitation</w:t>
                                  </w:r>
                                </w:p>
                              </w:tc>
                              <w:tc>
                                <w:tcPr>
                                  <w:tcW w:w="1417" w:type="dxa"/>
                                  <w:tcBorders>
                                    <w:top w:val="nil"/>
                                    <w:left w:val="nil"/>
                                    <w:bottom w:val="single" w:sz="4" w:space="0" w:color="auto"/>
                                    <w:right w:val="single" w:sz="4" w:space="0" w:color="auto"/>
                                  </w:tcBorders>
                                  <w:shd w:val="clear" w:color="auto" w:fill="auto"/>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r w:rsidRPr="00343EFB">
                                    <w:rPr>
                                      <w:rFonts w:ascii="Arial" w:eastAsia="Times New Roman" w:hAnsi="Arial" w:cs="Arial"/>
                                      <w:color w:val="000000"/>
                                      <w:sz w:val="20"/>
                                      <w:szCs w:val="20"/>
                                    </w:rPr>
                                    <w:t>Palliative</w:t>
                                  </w:r>
                                </w:p>
                              </w:tc>
                              <w:tc>
                                <w:tcPr>
                                  <w:tcW w:w="1418" w:type="dxa"/>
                                  <w:tcBorders>
                                    <w:top w:val="nil"/>
                                    <w:left w:val="nil"/>
                                    <w:bottom w:val="single" w:sz="4" w:space="0" w:color="auto"/>
                                    <w:right w:val="single" w:sz="4" w:space="0" w:color="auto"/>
                                  </w:tcBorders>
                                  <w:shd w:val="clear" w:color="auto" w:fill="auto"/>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r w:rsidRPr="00343EFB">
                                    <w:rPr>
                                      <w:rFonts w:ascii="Arial" w:eastAsia="Times New Roman" w:hAnsi="Arial" w:cs="Arial"/>
                                      <w:color w:val="000000"/>
                                      <w:sz w:val="20"/>
                                      <w:szCs w:val="20"/>
                                    </w:rPr>
                                    <w:t>GEM</w:t>
                                  </w:r>
                                  <w:r w:rsidRPr="00343EFB">
                                    <w:rPr>
                                      <w:rFonts w:ascii="Arial" w:eastAsia="Times New Roman" w:hAnsi="Arial" w:cs="Arial"/>
                                      <w:color w:val="000000"/>
                                      <w:sz w:val="20"/>
                                      <w:szCs w:val="20"/>
                                      <w:vertAlign w:val="superscript"/>
                                    </w:rPr>
                                    <w:t>1</w:t>
                                  </w:r>
                                </w:p>
                              </w:tc>
                              <w:tc>
                                <w:tcPr>
                                  <w:tcW w:w="1417" w:type="dxa"/>
                                  <w:tcBorders>
                                    <w:top w:val="nil"/>
                                    <w:left w:val="nil"/>
                                    <w:bottom w:val="single" w:sz="4" w:space="0" w:color="auto"/>
                                    <w:right w:val="single" w:sz="4" w:space="0" w:color="auto"/>
                                  </w:tcBorders>
                                  <w:shd w:val="clear" w:color="auto" w:fill="auto"/>
                                  <w:vAlign w:val="bottom"/>
                                  <w:hideMark/>
                                </w:tcPr>
                                <w:p w:rsidR="00A67C3E" w:rsidRPr="00343EFB" w:rsidRDefault="00A67C3E" w:rsidP="005C1545">
                                  <w:pPr>
                                    <w:spacing w:after="0" w:line="240" w:lineRule="auto"/>
                                    <w:jc w:val="center"/>
                                    <w:rPr>
                                      <w:rFonts w:ascii="Arial" w:eastAsia="Times New Roman" w:hAnsi="Arial" w:cs="Arial"/>
                                      <w:sz w:val="20"/>
                                      <w:szCs w:val="20"/>
                                    </w:rPr>
                                  </w:pPr>
                                  <w:r w:rsidRPr="00343EFB">
                                    <w:rPr>
                                      <w:rFonts w:ascii="Arial" w:eastAsia="Times New Roman" w:hAnsi="Arial" w:cs="Arial"/>
                                      <w:sz w:val="20"/>
                                      <w:szCs w:val="20"/>
                                    </w:rPr>
                                    <w:t>Psycho -</w:t>
                                  </w:r>
                                  <w:r w:rsidRPr="00343EFB">
                                    <w:rPr>
                                      <w:rFonts w:ascii="Arial" w:eastAsia="Times New Roman" w:hAnsi="Arial" w:cs="Arial"/>
                                      <w:sz w:val="20"/>
                                      <w:szCs w:val="20"/>
                                    </w:rPr>
                                    <w:br/>
                                    <w:t>geriatric</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r w:rsidRPr="00343EFB">
                                    <w:rPr>
                                      <w:rFonts w:ascii="Arial" w:eastAsia="Times New Roman" w:hAnsi="Arial" w:cs="Arial"/>
                                      <w:color w:val="000000"/>
                                      <w:sz w:val="20"/>
                                      <w:szCs w:val="20"/>
                                    </w:rPr>
                                    <w:t>Totals</w:t>
                                  </w:r>
                                </w:p>
                              </w:tc>
                            </w:tr>
                            <w:tr w:rsidR="00A67C3E" w:rsidRPr="00343EFB" w:rsidTr="00450FBB">
                              <w:trPr>
                                <w:trHeight w:val="613"/>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b/>
                                      <w:bCs/>
                                      <w:color w:val="000000"/>
                                      <w:sz w:val="20"/>
                                      <w:szCs w:val="20"/>
                                    </w:rPr>
                                  </w:pPr>
                                  <w:r w:rsidRPr="00343EFB">
                                    <w:rPr>
                                      <w:rFonts w:ascii="Arial" w:eastAsia="Times New Roman" w:hAnsi="Arial" w:cs="Arial"/>
                                      <w:b/>
                                      <w:bCs/>
                                      <w:color w:val="000000"/>
                                      <w:sz w:val="20"/>
                                      <w:szCs w:val="20"/>
                                    </w:rPr>
                                    <w:t xml:space="preserve">Patient days </w:t>
                                  </w:r>
                                </w:p>
                                <w:p w:rsidR="00A67C3E" w:rsidRPr="00343EFB" w:rsidRDefault="00A67C3E" w:rsidP="005C1545">
                                  <w:pPr>
                                    <w:spacing w:after="0" w:line="240" w:lineRule="auto"/>
                                    <w:rPr>
                                      <w:rFonts w:ascii="Arial" w:eastAsia="Times New Roman" w:hAnsi="Arial" w:cs="Arial"/>
                                      <w:b/>
                                      <w:bCs/>
                                      <w:color w:val="000000"/>
                                      <w:sz w:val="20"/>
                                      <w:szCs w:val="20"/>
                                    </w:rPr>
                                  </w:pPr>
                                  <w:r w:rsidRPr="00343EFB">
                                    <w:rPr>
                                      <w:rFonts w:ascii="Arial" w:eastAsia="Times New Roman" w:hAnsi="Arial" w:cs="Arial"/>
                                      <w:b/>
                                      <w:bCs/>
                                      <w:color w:val="000000"/>
                                      <w:sz w:val="20"/>
                                      <w:szCs w:val="20"/>
                                    </w:rPr>
                                    <w:t>(volumes)</w:t>
                                  </w:r>
                                </w:p>
                              </w:tc>
                              <w:tc>
                                <w:tcPr>
                                  <w:tcW w:w="7098" w:type="dxa"/>
                                  <w:gridSpan w:val="5"/>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b/>
                                      <w:bCs/>
                                      <w:i/>
                                      <w:iCs/>
                                      <w:color w:val="000000"/>
                                      <w:sz w:val="20"/>
                                      <w:szCs w:val="20"/>
                                    </w:rPr>
                                  </w:pPr>
                                  <w:r w:rsidRPr="00343EFB">
                                    <w:rPr>
                                      <w:rFonts w:ascii="Arial" w:eastAsia="Times New Roman" w:hAnsi="Arial" w:cs="Arial"/>
                                      <w:b/>
                                      <w:bCs/>
                                      <w:i/>
                                      <w:iCs/>
                                      <w:color w:val="000000"/>
                                      <w:sz w:val="20"/>
                                      <w:szCs w:val="20"/>
                                    </w:rPr>
                                    <w:t>Admitted</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Hospital based</w:t>
                                  </w:r>
                                </w:p>
                              </w:tc>
                              <w:tc>
                                <w:tcPr>
                                  <w:tcW w:w="1428"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446</w:t>
                                  </w:r>
                                  <w:r>
                                    <w:rPr>
                                      <w:rFonts w:ascii="Arial" w:eastAsia="Times New Roman" w:hAnsi="Arial" w:cs="Arial"/>
                                      <w:color w:val="000000"/>
                                      <w:sz w:val="20"/>
                                      <w:szCs w:val="20"/>
                                    </w:rPr>
                                    <w:t>,</w:t>
                                  </w:r>
                                  <w:r w:rsidRPr="00343EFB">
                                    <w:rPr>
                                      <w:rFonts w:ascii="Arial" w:eastAsia="Times New Roman" w:hAnsi="Arial" w:cs="Arial"/>
                                      <w:color w:val="000000"/>
                                      <w:sz w:val="20"/>
                                      <w:szCs w:val="20"/>
                                    </w:rPr>
                                    <w:t>978</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129</w:t>
                                  </w:r>
                                  <w:r>
                                    <w:rPr>
                                      <w:rFonts w:ascii="Arial" w:eastAsia="Times New Roman" w:hAnsi="Arial" w:cs="Arial"/>
                                      <w:color w:val="000000"/>
                                      <w:sz w:val="20"/>
                                      <w:szCs w:val="20"/>
                                    </w:rPr>
                                    <w:t>,</w:t>
                                  </w:r>
                                  <w:r w:rsidRPr="00343EFB">
                                    <w:rPr>
                                      <w:rFonts w:ascii="Arial" w:eastAsia="Times New Roman" w:hAnsi="Arial" w:cs="Arial"/>
                                      <w:color w:val="000000"/>
                                      <w:sz w:val="20"/>
                                      <w:szCs w:val="20"/>
                                    </w:rPr>
                                    <w:t>336</w:t>
                                  </w:r>
                                </w:p>
                              </w:tc>
                              <w:tc>
                                <w:tcPr>
                                  <w:tcW w:w="1418"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67</w:t>
                                  </w:r>
                                  <w:r>
                                    <w:rPr>
                                      <w:rFonts w:ascii="Arial" w:eastAsia="Times New Roman" w:hAnsi="Arial" w:cs="Arial"/>
                                      <w:color w:val="000000"/>
                                      <w:sz w:val="20"/>
                                      <w:szCs w:val="20"/>
                                    </w:rPr>
                                    <w:t>,</w:t>
                                  </w:r>
                                  <w:r w:rsidRPr="00343EFB">
                                    <w:rPr>
                                      <w:rFonts w:ascii="Arial" w:eastAsia="Times New Roman" w:hAnsi="Arial" w:cs="Arial"/>
                                      <w:color w:val="000000"/>
                                      <w:sz w:val="20"/>
                                      <w:szCs w:val="20"/>
                                    </w:rPr>
                                    <w:t>240</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5</w:t>
                                  </w:r>
                                  <w:r>
                                    <w:rPr>
                                      <w:rFonts w:ascii="Arial" w:eastAsia="Times New Roman" w:hAnsi="Arial" w:cs="Arial"/>
                                      <w:color w:val="000000"/>
                                      <w:sz w:val="20"/>
                                      <w:szCs w:val="20"/>
                                    </w:rPr>
                                    <w:t>,</w:t>
                                  </w:r>
                                  <w:r w:rsidRPr="00343EFB">
                                    <w:rPr>
                                      <w:rFonts w:ascii="Arial" w:eastAsia="Times New Roman" w:hAnsi="Arial" w:cs="Arial"/>
                                      <w:color w:val="000000"/>
                                      <w:sz w:val="20"/>
                                      <w:szCs w:val="20"/>
                                    </w:rPr>
                                    <w:t>299</w:t>
                                  </w:r>
                                </w:p>
                              </w:tc>
                              <w:tc>
                                <w:tcPr>
                                  <w:tcW w:w="1418" w:type="dxa"/>
                                  <w:tcBorders>
                                    <w:top w:val="single" w:sz="4" w:space="0" w:color="auto"/>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648</w:t>
                                  </w:r>
                                  <w:r>
                                    <w:rPr>
                                      <w:rFonts w:ascii="Arial" w:eastAsia="Times New Roman" w:hAnsi="Arial" w:cs="Arial"/>
                                      <w:color w:val="000000"/>
                                      <w:sz w:val="20"/>
                                      <w:szCs w:val="20"/>
                                    </w:rPr>
                                    <w:t>,</w:t>
                                  </w:r>
                                  <w:r w:rsidRPr="00343EFB">
                                    <w:rPr>
                                      <w:rFonts w:ascii="Arial" w:eastAsia="Times New Roman" w:hAnsi="Arial" w:cs="Arial"/>
                                      <w:color w:val="000000"/>
                                      <w:sz w:val="20"/>
                                      <w:szCs w:val="20"/>
                                    </w:rPr>
                                    <w:t>853</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Hospital in the Home</w:t>
                                  </w:r>
                                </w:p>
                              </w:tc>
                              <w:tc>
                                <w:tcPr>
                                  <w:tcW w:w="1428" w:type="dxa"/>
                                  <w:tcBorders>
                                    <w:top w:val="nil"/>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r>
                            <w:tr w:rsidR="00A67C3E" w:rsidRPr="00343EFB" w:rsidTr="00450FBB">
                              <w:trPr>
                                <w:trHeight w:val="315"/>
                              </w:trPr>
                              <w:tc>
                                <w:tcPr>
                                  <w:tcW w:w="2425" w:type="dxa"/>
                                  <w:tcBorders>
                                    <w:top w:val="nil"/>
                                    <w:left w:val="nil"/>
                                    <w:bottom w:val="nil"/>
                                    <w:right w:val="nil"/>
                                  </w:tcBorders>
                                  <w:shd w:val="clear" w:color="auto" w:fill="auto"/>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Combined Hospital based &amp; HITH</w:t>
                                  </w:r>
                                </w:p>
                              </w:tc>
                              <w:tc>
                                <w:tcPr>
                                  <w:tcW w:w="1428" w:type="dxa"/>
                                  <w:tcBorders>
                                    <w:top w:val="nil"/>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Other (please specify)</w:t>
                                  </w:r>
                                </w:p>
                              </w:tc>
                              <w:tc>
                                <w:tcPr>
                                  <w:tcW w:w="1428" w:type="dxa"/>
                                  <w:tcBorders>
                                    <w:top w:val="nil"/>
                                    <w:left w:val="single" w:sz="4" w:space="0" w:color="auto"/>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i/>
                                      <w:iCs/>
                                      <w:color w:val="000000"/>
                                      <w:sz w:val="20"/>
                                      <w:szCs w:val="20"/>
                                    </w:rPr>
                                  </w:pPr>
                                  <w:r w:rsidRPr="00343EFB">
                                    <w:rPr>
                                      <w:rFonts w:ascii="Arial" w:eastAsia="Times New Roman" w:hAnsi="Arial" w:cs="Arial"/>
                                      <w:i/>
                                      <w:iCs/>
                                      <w:color w:val="000000"/>
                                      <w:sz w:val="20"/>
                                      <w:szCs w:val="20"/>
                                    </w:rPr>
                                    <w:t>Total admitted patient days</w:t>
                                  </w:r>
                                </w:p>
                              </w:tc>
                              <w:tc>
                                <w:tcPr>
                                  <w:tcW w:w="142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446</w:t>
                                  </w:r>
                                  <w:r>
                                    <w:rPr>
                                      <w:rFonts w:ascii="Arial" w:eastAsia="Times New Roman" w:hAnsi="Arial" w:cs="Arial"/>
                                      <w:color w:val="000000"/>
                                      <w:sz w:val="20"/>
                                      <w:szCs w:val="20"/>
                                    </w:rPr>
                                    <w:t>,</w:t>
                                  </w:r>
                                  <w:r w:rsidRPr="00343EFB">
                                    <w:rPr>
                                      <w:rFonts w:ascii="Arial" w:eastAsia="Times New Roman" w:hAnsi="Arial" w:cs="Arial"/>
                                      <w:color w:val="000000"/>
                                      <w:sz w:val="20"/>
                                      <w:szCs w:val="20"/>
                                    </w:rPr>
                                    <w:t>978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129</w:t>
                                  </w:r>
                                  <w:r>
                                    <w:rPr>
                                      <w:rFonts w:ascii="Arial" w:eastAsia="Times New Roman" w:hAnsi="Arial" w:cs="Arial"/>
                                      <w:color w:val="000000"/>
                                      <w:sz w:val="20"/>
                                      <w:szCs w:val="20"/>
                                    </w:rPr>
                                    <w:t>,</w:t>
                                  </w:r>
                                  <w:r w:rsidRPr="00343EFB">
                                    <w:rPr>
                                      <w:rFonts w:ascii="Arial" w:eastAsia="Times New Roman" w:hAnsi="Arial" w:cs="Arial"/>
                                      <w:color w:val="000000"/>
                                      <w:sz w:val="20"/>
                                      <w:szCs w:val="20"/>
                                    </w:rPr>
                                    <w:t>336</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67</w:t>
                                  </w:r>
                                  <w:r>
                                    <w:rPr>
                                      <w:rFonts w:ascii="Arial" w:eastAsia="Times New Roman" w:hAnsi="Arial" w:cs="Arial"/>
                                      <w:color w:val="000000"/>
                                      <w:sz w:val="20"/>
                                      <w:szCs w:val="20"/>
                                    </w:rPr>
                                    <w:t>,</w:t>
                                  </w:r>
                                  <w:r w:rsidRPr="00343EFB">
                                    <w:rPr>
                                      <w:rFonts w:ascii="Arial" w:eastAsia="Times New Roman" w:hAnsi="Arial" w:cs="Arial"/>
                                      <w:color w:val="000000"/>
                                      <w:sz w:val="20"/>
                                      <w:szCs w:val="20"/>
                                    </w:rPr>
                                    <w:t>240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5</w:t>
                                  </w:r>
                                  <w:r>
                                    <w:rPr>
                                      <w:rFonts w:ascii="Arial" w:eastAsia="Times New Roman" w:hAnsi="Arial" w:cs="Arial"/>
                                      <w:color w:val="000000"/>
                                      <w:sz w:val="20"/>
                                      <w:szCs w:val="20"/>
                                    </w:rPr>
                                    <w:t>,</w:t>
                                  </w:r>
                                  <w:r w:rsidRPr="00343EFB">
                                    <w:rPr>
                                      <w:rFonts w:ascii="Arial" w:eastAsia="Times New Roman" w:hAnsi="Arial" w:cs="Arial"/>
                                      <w:color w:val="000000"/>
                                      <w:sz w:val="20"/>
                                      <w:szCs w:val="20"/>
                                    </w:rPr>
                                    <w:t>299</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450FBB">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648</w:t>
                                  </w:r>
                                  <w:r>
                                    <w:rPr>
                                      <w:rFonts w:ascii="Arial" w:eastAsia="Times New Roman" w:hAnsi="Arial" w:cs="Arial"/>
                                      <w:color w:val="000000"/>
                                      <w:sz w:val="20"/>
                                      <w:szCs w:val="20"/>
                                    </w:rPr>
                                    <w:t>,</w:t>
                                  </w:r>
                                  <w:r w:rsidRPr="00343EFB">
                                    <w:rPr>
                                      <w:rFonts w:ascii="Arial" w:eastAsia="Times New Roman" w:hAnsi="Arial" w:cs="Arial"/>
                                      <w:color w:val="000000"/>
                                      <w:sz w:val="20"/>
                                      <w:szCs w:val="20"/>
                                    </w:rPr>
                                    <w:t>853</w:t>
                                  </w:r>
                                </w:p>
                              </w:tc>
                            </w:tr>
                            <w:tr w:rsidR="00A67C3E" w:rsidRPr="00343EFB" w:rsidTr="00450FBB">
                              <w:trPr>
                                <w:trHeight w:val="644"/>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b/>
                                      <w:bCs/>
                                      <w:color w:val="000000"/>
                                      <w:sz w:val="20"/>
                                      <w:szCs w:val="20"/>
                                    </w:rPr>
                                  </w:pPr>
                                  <w:r w:rsidRPr="00343EFB">
                                    <w:rPr>
                                      <w:rFonts w:ascii="Arial" w:eastAsia="Times New Roman" w:hAnsi="Arial" w:cs="Arial"/>
                                      <w:b/>
                                      <w:bCs/>
                                      <w:color w:val="000000"/>
                                      <w:sz w:val="20"/>
                                      <w:szCs w:val="20"/>
                                    </w:rPr>
                                    <w:t xml:space="preserve">Separations </w:t>
                                  </w:r>
                                </w:p>
                                <w:p w:rsidR="00A67C3E" w:rsidRPr="00343EFB" w:rsidRDefault="00A67C3E" w:rsidP="005C1545">
                                  <w:pPr>
                                    <w:spacing w:after="0" w:line="240" w:lineRule="auto"/>
                                    <w:rPr>
                                      <w:rFonts w:ascii="Arial" w:eastAsia="Times New Roman" w:hAnsi="Arial" w:cs="Arial"/>
                                      <w:b/>
                                      <w:bCs/>
                                      <w:color w:val="000000"/>
                                      <w:sz w:val="20"/>
                                      <w:szCs w:val="20"/>
                                    </w:rPr>
                                  </w:pPr>
                                  <w:r w:rsidRPr="00343EFB">
                                    <w:rPr>
                                      <w:rFonts w:ascii="Arial" w:eastAsia="Times New Roman" w:hAnsi="Arial" w:cs="Arial"/>
                                      <w:b/>
                                      <w:bCs/>
                                      <w:color w:val="000000"/>
                                      <w:sz w:val="20"/>
                                      <w:szCs w:val="20"/>
                                    </w:rPr>
                                    <w:t>(patients)</w:t>
                                  </w:r>
                                </w:p>
                              </w:tc>
                              <w:tc>
                                <w:tcPr>
                                  <w:tcW w:w="142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Hospital based</w:t>
                                  </w:r>
                                </w:p>
                              </w:tc>
                              <w:tc>
                                <w:tcPr>
                                  <w:tcW w:w="1428"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30</w:t>
                                  </w:r>
                                  <w:r>
                                    <w:rPr>
                                      <w:rFonts w:ascii="Arial" w:eastAsia="Times New Roman" w:hAnsi="Arial" w:cs="Arial"/>
                                      <w:color w:val="000000"/>
                                      <w:sz w:val="20"/>
                                      <w:szCs w:val="20"/>
                                    </w:rPr>
                                    <w:t>,</w:t>
                                  </w:r>
                                  <w:r w:rsidRPr="00343EFB">
                                    <w:rPr>
                                      <w:rFonts w:ascii="Arial" w:eastAsia="Times New Roman" w:hAnsi="Arial" w:cs="Arial"/>
                                      <w:color w:val="000000"/>
                                      <w:sz w:val="20"/>
                                      <w:szCs w:val="20"/>
                                    </w:rPr>
                                    <w:t>632</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12</w:t>
                                  </w:r>
                                  <w:r>
                                    <w:rPr>
                                      <w:rFonts w:ascii="Arial" w:eastAsia="Times New Roman" w:hAnsi="Arial" w:cs="Arial"/>
                                      <w:color w:val="000000"/>
                                      <w:sz w:val="20"/>
                                      <w:szCs w:val="20"/>
                                    </w:rPr>
                                    <w:t>,</w:t>
                                  </w:r>
                                  <w:r w:rsidRPr="00343EFB">
                                    <w:rPr>
                                      <w:rFonts w:ascii="Arial" w:eastAsia="Times New Roman" w:hAnsi="Arial" w:cs="Arial"/>
                                      <w:color w:val="000000"/>
                                      <w:sz w:val="20"/>
                                      <w:szCs w:val="20"/>
                                    </w:rPr>
                                    <w:t>228</w:t>
                                  </w:r>
                                </w:p>
                              </w:tc>
                              <w:tc>
                                <w:tcPr>
                                  <w:tcW w:w="1418"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5</w:t>
                                  </w:r>
                                  <w:r>
                                    <w:rPr>
                                      <w:rFonts w:ascii="Arial" w:eastAsia="Times New Roman" w:hAnsi="Arial" w:cs="Arial"/>
                                      <w:color w:val="000000"/>
                                      <w:sz w:val="20"/>
                                      <w:szCs w:val="20"/>
                                    </w:rPr>
                                    <w:t>,</w:t>
                                  </w:r>
                                  <w:r w:rsidRPr="00343EFB">
                                    <w:rPr>
                                      <w:rFonts w:ascii="Arial" w:eastAsia="Times New Roman" w:hAnsi="Arial" w:cs="Arial"/>
                                      <w:color w:val="000000"/>
                                      <w:sz w:val="20"/>
                                      <w:szCs w:val="20"/>
                                    </w:rPr>
                                    <w:t>771</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384</w:t>
                                  </w:r>
                                </w:p>
                              </w:tc>
                              <w:tc>
                                <w:tcPr>
                                  <w:tcW w:w="1418" w:type="dxa"/>
                                  <w:tcBorders>
                                    <w:top w:val="single" w:sz="4" w:space="0" w:color="auto"/>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49</w:t>
                                  </w:r>
                                  <w:r>
                                    <w:rPr>
                                      <w:rFonts w:ascii="Arial" w:eastAsia="Times New Roman" w:hAnsi="Arial" w:cs="Arial"/>
                                      <w:color w:val="000000"/>
                                      <w:sz w:val="20"/>
                                      <w:szCs w:val="20"/>
                                    </w:rPr>
                                    <w:t>,</w:t>
                                  </w:r>
                                  <w:r w:rsidRPr="00343EFB">
                                    <w:rPr>
                                      <w:rFonts w:ascii="Arial" w:eastAsia="Times New Roman" w:hAnsi="Arial" w:cs="Arial"/>
                                      <w:color w:val="000000"/>
                                      <w:sz w:val="20"/>
                                      <w:szCs w:val="20"/>
                                    </w:rPr>
                                    <w:t>015</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Hospital-in-the-home</w:t>
                                  </w:r>
                                </w:p>
                              </w:tc>
                              <w:tc>
                                <w:tcPr>
                                  <w:tcW w:w="1428" w:type="dxa"/>
                                  <w:tcBorders>
                                    <w:top w:val="nil"/>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r>
                            <w:tr w:rsidR="00A67C3E" w:rsidRPr="00343EFB" w:rsidTr="00450FBB">
                              <w:trPr>
                                <w:trHeight w:val="315"/>
                              </w:trPr>
                              <w:tc>
                                <w:tcPr>
                                  <w:tcW w:w="2425" w:type="dxa"/>
                                  <w:tcBorders>
                                    <w:top w:val="nil"/>
                                    <w:left w:val="nil"/>
                                    <w:bottom w:val="nil"/>
                                    <w:right w:val="nil"/>
                                  </w:tcBorders>
                                  <w:shd w:val="clear" w:color="auto" w:fill="auto"/>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Combined Hospital based &amp; HITH</w:t>
                                  </w:r>
                                </w:p>
                              </w:tc>
                              <w:tc>
                                <w:tcPr>
                                  <w:tcW w:w="1428" w:type="dxa"/>
                                  <w:tcBorders>
                                    <w:top w:val="nil"/>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Other (please specify)</w:t>
                                  </w:r>
                                </w:p>
                              </w:tc>
                              <w:tc>
                                <w:tcPr>
                                  <w:tcW w:w="1428" w:type="dxa"/>
                                  <w:tcBorders>
                                    <w:top w:val="nil"/>
                                    <w:left w:val="single" w:sz="4" w:space="0" w:color="auto"/>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i/>
                                      <w:iCs/>
                                      <w:color w:val="000000"/>
                                      <w:sz w:val="20"/>
                                      <w:szCs w:val="20"/>
                                    </w:rPr>
                                  </w:pPr>
                                  <w:r w:rsidRPr="00343EFB">
                                    <w:rPr>
                                      <w:rFonts w:ascii="Arial" w:eastAsia="Times New Roman" w:hAnsi="Arial" w:cs="Arial"/>
                                      <w:i/>
                                      <w:iCs/>
                                      <w:color w:val="000000"/>
                                      <w:sz w:val="20"/>
                                      <w:szCs w:val="20"/>
                                    </w:rPr>
                                    <w:t>Total admitted separations</w:t>
                                  </w:r>
                                </w:p>
                              </w:tc>
                              <w:tc>
                                <w:tcPr>
                                  <w:tcW w:w="142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30</w:t>
                                  </w:r>
                                  <w:r>
                                    <w:rPr>
                                      <w:rFonts w:ascii="Arial" w:eastAsia="Times New Roman" w:hAnsi="Arial" w:cs="Arial"/>
                                      <w:color w:val="000000"/>
                                      <w:sz w:val="20"/>
                                      <w:szCs w:val="20"/>
                                    </w:rPr>
                                    <w:t>,</w:t>
                                  </w:r>
                                  <w:r w:rsidRPr="00343EFB">
                                    <w:rPr>
                                      <w:rFonts w:ascii="Arial" w:eastAsia="Times New Roman" w:hAnsi="Arial" w:cs="Arial"/>
                                      <w:color w:val="000000"/>
                                      <w:sz w:val="20"/>
                                      <w:szCs w:val="20"/>
                                    </w:rPr>
                                    <w:t>632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12</w:t>
                                  </w:r>
                                  <w:r>
                                    <w:rPr>
                                      <w:rFonts w:ascii="Arial" w:eastAsia="Times New Roman" w:hAnsi="Arial" w:cs="Arial"/>
                                      <w:color w:val="000000"/>
                                      <w:sz w:val="20"/>
                                      <w:szCs w:val="20"/>
                                    </w:rPr>
                                    <w:t>,</w:t>
                                  </w:r>
                                  <w:r w:rsidRPr="00343EFB">
                                    <w:rPr>
                                      <w:rFonts w:ascii="Arial" w:eastAsia="Times New Roman" w:hAnsi="Arial" w:cs="Arial"/>
                                      <w:color w:val="000000"/>
                                      <w:sz w:val="20"/>
                                      <w:szCs w:val="20"/>
                                    </w:rPr>
                                    <w:t>228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5</w:t>
                                  </w:r>
                                  <w:r>
                                    <w:rPr>
                                      <w:rFonts w:ascii="Arial" w:eastAsia="Times New Roman" w:hAnsi="Arial" w:cs="Arial"/>
                                      <w:color w:val="000000"/>
                                      <w:sz w:val="20"/>
                                      <w:szCs w:val="20"/>
                                    </w:rPr>
                                    <w:t>,</w:t>
                                  </w:r>
                                  <w:r w:rsidRPr="00343EFB">
                                    <w:rPr>
                                      <w:rFonts w:ascii="Arial" w:eastAsia="Times New Roman" w:hAnsi="Arial" w:cs="Arial"/>
                                      <w:color w:val="000000"/>
                                      <w:sz w:val="20"/>
                                      <w:szCs w:val="20"/>
                                    </w:rPr>
                                    <w:t>771</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384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49</w:t>
                                  </w:r>
                                  <w:r>
                                    <w:rPr>
                                      <w:rFonts w:ascii="Arial" w:eastAsia="Times New Roman" w:hAnsi="Arial" w:cs="Arial"/>
                                      <w:color w:val="000000"/>
                                      <w:sz w:val="20"/>
                                      <w:szCs w:val="20"/>
                                    </w:rPr>
                                    <w:t>,</w:t>
                                  </w:r>
                                  <w:r w:rsidRPr="00343EFB">
                                    <w:rPr>
                                      <w:rFonts w:ascii="Arial" w:eastAsia="Times New Roman" w:hAnsi="Arial" w:cs="Arial"/>
                                      <w:color w:val="000000"/>
                                      <w:sz w:val="20"/>
                                      <w:szCs w:val="20"/>
                                    </w:rPr>
                                    <w:t>015</w:t>
                                  </w:r>
                                </w:p>
                              </w:tc>
                            </w:tr>
                            <w:tr w:rsidR="00A67C3E" w:rsidRPr="00343EFB" w:rsidTr="00450FBB">
                              <w:trPr>
                                <w:trHeight w:val="610"/>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b/>
                                      <w:bCs/>
                                      <w:color w:val="000000"/>
                                      <w:sz w:val="20"/>
                                      <w:szCs w:val="20"/>
                                    </w:rPr>
                                  </w:pPr>
                                  <w:r w:rsidRPr="00343EFB">
                                    <w:rPr>
                                      <w:rFonts w:ascii="Arial" w:eastAsia="Times New Roman" w:hAnsi="Arial" w:cs="Arial"/>
                                      <w:b/>
                                      <w:bCs/>
                                      <w:color w:val="000000"/>
                                      <w:sz w:val="20"/>
                                      <w:szCs w:val="20"/>
                                    </w:rPr>
                                    <w:t>Occasions of service (volumes)</w:t>
                                  </w:r>
                                </w:p>
                              </w:tc>
                              <w:tc>
                                <w:tcPr>
                                  <w:tcW w:w="142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c>
                                <w:tcPr>
                                  <w:tcW w:w="4252" w:type="dxa"/>
                                  <w:gridSpan w:val="3"/>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r w:rsidRPr="00343EFB">
                                    <w:rPr>
                                      <w:rFonts w:ascii="Arial" w:eastAsia="Times New Roman" w:hAnsi="Arial" w:cs="Arial"/>
                                      <w:b/>
                                      <w:bCs/>
                                      <w:i/>
                                      <w:iCs/>
                                      <w:color w:val="000000"/>
                                      <w:sz w:val="20"/>
                                      <w:szCs w:val="20"/>
                                    </w:rPr>
                                    <w:t>Non-admitted</w:t>
                                  </w: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Centre based</w:t>
                                  </w:r>
                                </w:p>
                              </w:tc>
                              <w:tc>
                                <w:tcPr>
                                  <w:tcW w:w="1428"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482</w:t>
                                  </w:r>
                                  <w:r>
                                    <w:rPr>
                                      <w:rFonts w:ascii="Arial" w:eastAsia="Times New Roman" w:hAnsi="Arial" w:cs="Arial"/>
                                      <w:color w:val="000000"/>
                                      <w:sz w:val="20"/>
                                      <w:szCs w:val="20"/>
                                    </w:rPr>
                                    <w:t>,</w:t>
                                  </w:r>
                                  <w:r w:rsidRPr="00343EFB">
                                    <w:rPr>
                                      <w:rFonts w:ascii="Arial" w:eastAsia="Times New Roman" w:hAnsi="Arial" w:cs="Arial"/>
                                      <w:color w:val="000000"/>
                                      <w:sz w:val="20"/>
                                      <w:szCs w:val="20"/>
                                    </w:rPr>
                                    <w:t>327</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329</w:t>
                                  </w:r>
                                  <w:r>
                                    <w:rPr>
                                      <w:rFonts w:ascii="Arial" w:eastAsia="Times New Roman" w:hAnsi="Arial" w:cs="Arial"/>
                                      <w:color w:val="000000"/>
                                      <w:sz w:val="20"/>
                                      <w:szCs w:val="20"/>
                                    </w:rPr>
                                    <w:t>,</w:t>
                                  </w:r>
                                  <w:r w:rsidRPr="00343EFB">
                                    <w:rPr>
                                      <w:rFonts w:ascii="Arial" w:eastAsia="Times New Roman" w:hAnsi="Arial" w:cs="Arial"/>
                                      <w:color w:val="000000"/>
                                      <w:sz w:val="20"/>
                                      <w:szCs w:val="20"/>
                                    </w:rPr>
                                    <w:t>179</w:t>
                                  </w:r>
                                </w:p>
                              </w:tc>
                              <w:tc>
                                <w:tcPr>
                                  <w:tcW w:w="1418"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4D231F">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440</w:t>
                                  </w:r>
                                  <w:r>
                                    <w:rPr>
                                      <w:rFonts w:ascii="Arial" w:eastAsia="Times New Roman" w:hAnsi="Arial" w:cs="Arial"/>
                                      <w:color w:val="000000"/>
                                      <w:sz w:val="20"/>
                                      <w:szCs w:val="20"/>
                                    </w:rPr>
                                    <w:t>,</w:t>
                                  </w:r>
                                  <w:r w:rsidRPr="00343EFB">
                                    <w:rPr>
                                      <w:rFonts w:ascii="Arial" w:eastAsia="Times New Roman" w:hAnsi="Arial" w:cs="Arial"/>
                                      <w:color w:val="000000"/>
                                      <w:sz w:val="20"/>
                                      <w:szCs w:val="20"/>
                                    </w:rPr>
                                    <w:t>136</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39</w:t>
                                  </w:r>
                                  <w:r>
                                    <w:rPr>
                                      <w:rFonts w:ascii="Arial" w:eastAsia="Times New Roman" w:hAnsi="Arial" w:cs="Arial"/>
                                      <w:color w:val="000000"/>
                                      <w:sz w:val="20"/>
                                      <w:szCs w:val="20"/>
                                    </w:rPr>
                                    <w:t>,</w:t>
                                  </w:r>
                                  <w:r w:rsidRPr="00343EFB">
                                    <w:rPr>
                                      <w:rFonts w:ascii="Arial" w:eastAsia="Times New Roman" w:hAnsi="Arial" w:cs="Arial"/>
                                      <w:color w:val="000000"/>
                                      <w:sz w:val="20"/>
                                      <w:szCs w:val="20"/>
                                    </w:rPr>
                                    <w:t>323</w:t>
                                  </w:r>
                                </w:p>
                              </w:tc>
                              <w:tc>
                                <w:tcPr>
                                  <w:tcW w:w="1418" w:type="dxa"/>
                                  <w:tcBorders>
                                    <w:top w:val="single" w:sz="4" w:space="0" w:color="auto"/>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w:t>
                                  </w:r>
                                  <w:r>
                                    <w:rPr>
                                      <w:rFonts w:ascii="Arial" w:eastAsia="Times New Roman" w:hAnsi="Arial" w:cs="Arial"/>
                                      <w:color w:val="000000"/>
                                      <w:sz w:val="20"/>
                                      <w:szCs w:val="20"/>
                                    </w:rPr>
                                    <w:t>,</w:t>
                                  </w:r>
                                  <w:r w:rsidRPr="00343EFB">
                                    <w:rPr>
                                      <w:rFonts w:ascii="Arial" w:eastAsia="Times New Roman" w:hAnsi="Arial" w:cs="Arial"/>
                                      <w:color w:val="000000"/>
                                      <w:sz w:val="20"/>
                                      <w:szCs w:val="20"/>
                                    </w:rPr>
                                    <w:t>290</w:t>
                                  </w:r>
                                  <w:r>
                                    <w:rPr>
                                      <w:rFonts w:ascii="Arial" w:eastAsia="Times New Roman" w:hAnsi="Arial" w:cs="Arial"/>
                                      <w:color w:val="000000"/>
                                      <w:sz w:val="20"/>
                                      <w:szCs w:val="20"/>
                                    </w:rPr>
                                    <w:t>,</w:t>
                                  </w:r>
                                  <w:r w:rsidRPr="00343EFB">
                                    <w:rPr>
                                      <w:rFonts w:ascii="Arial" w:eastAsia="Times New Roman" w:hAnsi="Arial" w:cs="Arial"/>
                                      <w:color w:val="000000"/>
                                      <w:sz w:val="20"/>
                                      <w:szCs w:val="20"/>
                                    </w:rPr>
                                    <w:t>965</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Home based</w:t>
                                  </w:r>
                                </w:p>
                              </w:tc>
                              <w:tc>
                                <w:tcPr>
                                  <w:tcW w:w="1428" w:type="dxa"/>
                                  <w:tcBorders>
                                    <w:top w:val="nil"/>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122</w:t>
                                  </w:r>
                                  <w:r>
                                    <w:rPr>
                                      <w:rFonts w:ascii="Arial" w:eastAsia="Times New Roman" w:hAnsi="Arial" w:cs="Arial"/>
                                      <w:color w:val="000000"/>
                                      <w:sz w:val="20"/>
                                      <w:szCs w:val="20"/>
                                    </w:rPr>
                                    <w:t>,</w:t>
                                  </w:r>
                                  <w:r w:rsidRPr="00343EFB">
                                    <w:rPr>
                                      <w:rFonts w:ascii="Arial" w:eastAsia="Times New Roman" w:hAnsi="Arial" w:cs="Arial"/>
                                      <w:color w:val="000000"/>
                                      <w:sz w:val="20"/>
                                      <w:szCs w:val="20"/>
                                    </w:rPr>
                                    <w:t>867</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119</w:t>
                                  </w:r>
                                  <w:r>
                                    <w:rPr>
                                      <w:rFonts w:ascii="Arial" w:eastAsia="Times New Roman" w:hAnsi="Arial" w:cs="Arial"/>
                                      <w:color w:val="000000"/>
                                      <w:sz w:val="20"/>
                                      <w:szCs w:val="20"/>
                                    </w:rPr>
                                    <w:t>,</w:t>
                                  </w:r>
                                  <w:r w:rsidRPr="00343EFB">
                                    <w:rPr>
                                      <w:rFonts w:ascii="Arial" w:eastAsia="Times New Roman" w:hAnsi="Arial" w:cs="Arial"/>
                                      <w:color w:val="000000"/>
                                      <w:sz w:val="20"/>
                                      <w:szCs w:val="20"/>
                                    </w:rPr>
                                    <w:t>457</w:t>
                                  </w:r>
                                </w:p>
                              </w:tc>
                              <w:tc>
                                <w:tcPr>
                                  <w:tcW w:w="1418"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140</w:t>
                                  </w:r>
                                  <w:r>
                                    <w:rPr>
                                      <w:rFonts w:ascii="Arial" w:eastAsia="Times New Roman" w:hAnsi="Arial" w:cs="Arial"/>
                                      <w:color w:val="000000"/>
                                      <w:sz w:val="20"/>
                                      <w:szCs w:val="20"/>
                                    </w:rPr>
                                    <w:t>,</w:t>
                                  </w:r>
                                  <w:r w:rsidRPr="00343EFB">
                                    <w:rPr>
                                      <w:rFonts w:ascii="Arial" w:eastAsia="Times New Roman" w:hAnsi="Arial" w:cs="Arial"/>
                                      <w:color w:val="000000"/>
                                      <w:sz w:val="20"/>
                                      <w:szCs w:val="20"/>
                                    </w:rPr>
                                    <w:t>019</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100</w:t>
                                  </w:r>
                                  <w:r>
                                    <w:rPr>
                                      <w:rFonts w:ascii="Arial" w:eastAsia="Times New Roman" w:hAnsi="Arial" w:cs="Arial"/>
                                      <w:color w:val="000000"/>
                                      <w:sz w:val="20"/>
                                      <w:szCs w:val="20"/>
                                    </w:rPr>
                                    <w:t>,</w:t>
                                  </w:r>
                                  <w:r w:rsidRPr="00343EFB">
                                    <w:rPr>
                                      <w:rFonts w:ascii="Arial" w:eastAsia="Times New Roman" w:hAnsi="Arial" w:cs="Arial"/>
                                      <w:color w:val="000000"/>
                                      <w:sz w:val="20"/>
                                      <w:szCs w:val="20"/>
                                    </w:rPr>
                                    <w:t>70</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392</w:t>
                                  </w:r>
                                  <w:r>
                                    <w:rPr>
                                      <w:rFonts w:ascii="Arial" w:eastAsia="Times New Roman" w:hAnsi="Arial" w:cs="Arial"/>
                                      <w:color w:val="000000"/>
                                      <w:sz w:val="20"/>
                                      <w:szCs w:val="20"/>
                                    </w:rPr>
                                    <w:t>,</w:t>
                                  </w:r>
                                  <w:r w:rsidRPr="00343EFB">
                                    <w:rPr>
                                      <w:rFonts w:ascii="Arial" w:eastAsia="Times New Roman" w:hAnsi="Arial" w:cs="Arial"/>
                                      <w:color w:val="000000"/>
                                      <w:sz w:val="20"/>
                                      <w:szCs w:val="20"/>
                                    </w:rPr>
                                    <w:t>413</w:t>
                                  </w:r>
                                </w:p>
                              </w:tc>
                            </w:tr>
                            <w:tr w:rsidR="00A67C3E" w:rsidRPr="00343EFB" w:rsidTr="00450FBB">
                              <w:trPr>
                                <w:trHeight w:val="315"/>
                              </w:trPr>
                              <w:tc>
                                <w:tcPr>
                                  <w:tcW w:w="2425" w:type="dxa"/>
                                  <w:tcBorders>
                                    <w:top w:val="nil"/>
                                    <w:left w:val="nil"/>
                                    <w:bottom w:val="nil"/>
                                    <w:right w:val="nil"/>
                                  </w:tcBorders>
                                  <w:shd w:val="clear" w:color="auto" w:fill="auto"/>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Combined Centre &amp; Home based</w:t>
                                  </w:r>
                                </w:p>
                              </w:tc>
                              <w:tc>
                                <w:tcPr>
                                  <w:tcW w:w="1428" w:type="dxa"/>
                                  <w:tcBorders>
                                    <w:top w:val="nil"/>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 </w:t>
                                  </w:r>
                                  <w:r w:rsidRPr="00343EFB">
                                    <w:rPr>
                                      <w:rFonts w:ascii="Arial" w:eastAsia="Times New Roman" w:hAnsi="Arial" w:cs="Arial"/>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 </w:t>
                                  </w:r>
                                </w:p>
                              </w:tc>
                              <w:tc>
                                <w:tcPr>
                                  <w:tcW w:w="1418"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 </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Other (please specify)</w:t>
                                  </w:r>
                                </w:p>
                              </w:tc>
                              <w:tc>
                                <w:tcPr>
                                  <w:tcW w:w="1428" w:type="dxa"/>
                                  <w:tcBorders>
                                    <w:top w:val="nil"/>
                                    <w:left w:val="single" w:sz="4" w:space="0" w:color="auto"/>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18</w:t>
                                  </w:r>
                                  <w:r>
                                    <w:rPr>
                                      <w:rFonts w:ascii="Arial" w:eastAsia="Times New Roman" w:hAnsi="Arial" w:cs="Arial"/>
                                      <w:color w:val="000000"/>
                                      <w:sz w:val="20"/>
                                      <w:szCs w:val="20"/>
                                    </w:rPr>
                                    <w:t>,</w:t>
                                  </w:r>
                                  <w:r w:rsidRPr="00343EFB">
                                    <w:rPr>
                                      <w:rFonts w:ascii="Arial" w:eastAsia="Times New Roman" w:hAnsi="Arial" w:cs="Arial"/>
                                      <w:color w:val="000000"/>
                                      <w:sz w:val="20"/>
                                      <w:szCs w:val="20"/>
                                    </w:rPr>
                                    <w:t>978</w:t>
                                  </w:r>
                                </w:p>
                              </w:tc>
                              <w:tc>
                                <w:tcPr>
                                  <w:tcW w:w="1417"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17</w:t>
                                  </w:r>
                                  <w:r>
                                    <w:rPr>
                                      <w:rFonts w:ascii="Arial" w:eastAsia="Times New Roman" w:hAnsi="Arial" w:cs="Arial"/>
                                      <w:color w:val="000000"/>
                                      <w:sz w:val="20"/>
                                      <w:szCs w:val="20"/>
                                    </w:rPr>
                                    <w:t>,</w:t>
                                  </w:r>
                                  <w:r w:rsidRPr="00343EFB">
                                    <w:rPr>
                                      <w:rFonts w:ascii="Arial" w:eastAsia="Times New Roman" w:hAnsi="Arial" w:cs="Arial"/>
                                      <w:color w:val="000000"/>
                                      <w:sz w:val="20"/>
                                      <w:szCs w:val="20"/>
                                    </w:rPr>
                                    <w:t>643</w:t>
                                  </w:r>
                                </w:p>
                              </w:tc>
                              <w:tc>
                                <w:tcPr>
                                  <w:tcW w:w="1418"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18</w:t>
                                  </w:r>
                                  <w:r>
                                    <w:rPr>
                                      <w:rFonts w:ascii="Arial" w:eastAsia="Times New Roman" w:hAnsi="Arial" w:cs="Arial"/>
                                      <w:color w:val="000000"/>
                                      <w:sz w:val="20"/>
                                      <w:szCs w:val="20"/>
                                    </w:rPr>
                                    <w:t>,</w:t>
                                  </w:r>
                                  <w:r w:rsidRPr="00343EFB">
                                    <w:rPr>
                                      <w:rFonts w:ascii="Arial" w:eastAsia="Times New Roman" w:hAnsi="Arial" w:cs="Arial"/>
                                      <w:color w:val="000000"/>
                                      <w:sz w:val="20"/>
                                      <w:szCs w:val="20"/>
                                    </w:rPr>
                                    <w:t>416</w:t>
                                  </w:r>
                                </w:p>
                              </w:tc>
                              <w:tc>
                                <w:tcPr>
                                  <w:tcW w:w="1417"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2</w:t>
                                  </w:r>
                                  <w:r>
                                    <w:rPr>
                                      <w:rFonts w:ascii="Arial" w:eastAsia="Times New Roman" w:hAnsi="Arial" w:cs="Arial"/>
                                      <w:color w:val="000000"/>
                                      <w:sz w:val="20"/>
                                      <w:szCs w:val="20"/>
                                    </w:rPr>
                                    <w:t>,</w:t>
                                  </w:r>
                                  <w:r w:rsidRPr="00343EFB">
                                    <w:rPr>
                                      <w:rFonts w:ascii="Arial" w:eastAsia="Times New Roman" w:hAnsi="Arial" w:cs="Arial"/>
                                      <w:color w:val="000000"/>
                                      <w:sz w:val="20"/>
                                      <w:szCs w:val="20"/>
                                    </w:rPr>
                                    <w:t>410</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57</w:t>
                                  </w:r>
                                  <w:r>
                                    <w:rPr>
                                      <w:rFonts w:ascii="Arial" w:eastAsia="Times New Roman" w:hAnsi="Arial" w:cs="Arial"/>
                                      <w:color w:val="000000"/>
                                      <w:sz w:val="20"/>
                                      <w:szCs w:val="20"/>
                                    </w:rPr>
                                    <w:t>,</w:t>
                                  </w:r>
                                  <w:r w:rsidRPr="00343EFB">
                                    <w:rPr>
                                      <w:rFonts w:ascii="Arial" w:eastAsia="Times New Roman" w:hAnsi="Arial" w:cs="Arial"/>
                                      <w:color w:val="000000"/>
                                      <w:sz w:val="20"/>
                                      <w:szCs w:val="20"/>
                                    </w:rPr>
                                    <w:t>447</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i/>
                                      <w:iCs/>
                                      <w:color w:val="000000"/>
                                      <w:sz w:val="20"/>
                                      <w:szCs w:val="20"/>
                                    </w:rPr>
                                  </w:pPr>
                                  <w:r w:rsidRPr="00343EFB">
                                    <w:rPr>
                                      <w:rFonts w:ascii="Arial" w:eastAsia="Times New Roman" w:hAnsi="Arial" w:cs="Arial"/>
                                      <w:i/>
                                      <w:iCs/>
                                      <w:color w:val="000000"/>
                                      <w:sz w:val="20"/>
                                      <w:szCs w:val="20"/>
                                    </w:rPr>
                                    <w:t>Total occasions of service</w:t>
                                  </w:r>
                                </w:p>
                              </w:tc>
                              <w:tc>
                                <w:tcPr>
                                  <w:tcW w:w="142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624,172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466,279</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598,571</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51,803</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w:t>
                                  </w:r>
                                  <w:r>
                                    <w:rPr>
                                      <w:rFonts w:ascii="Arial" w:eastAsia="Times New Roman" w:hAnsi="Arial" w:cs="Arial"/>
                                      <w:color w:val="000000"/>
                                      <w:sz w:val="20"/>
                                      <w:szCs w:val="20"/>
                                    </w:rPr>
                                    <w:t>,</w:t>
                                  </w:r>
                                  <w:r w:rsidRPr="00343EFB">
                                    <w:rPr>
                                      <w:rFonts w:ascii="Arial" w:eastAsia="Times New Roman" w:hAnsi="Arial" w:cs="Arial"/>
                                      <w:color w:val="000000"/>
                                      <w:sz w:val="20"/>
                                      <w:szCs w:val="20"/>
                                    </w:rPr>
                                    <w:t>740</w:t>
                                  </w:r>
                                  <w:r>
                                    <w:rPr>
                                      <w:rFonts w:ascii="Arial" w:eastAsia="Times New Roman" w:hAnsi="Arial" w:cs="Arial"/>
                                      <w:color w:val="000000"/>
                                      <w:sz w:val="20"/>
                                      <w:szCs w:val="20"/>
                                    </w:rPr>
                                    <w:t>,</w:t>
                                  </w:r>
                                  <w:r w:rsidRPr="00343EFB">
                                    <w:rPr>
                                      <w:rFonts w:ascii="Arial" w:eastAsia="Times New Roman" w:hAnsi="Arial" w:cs="Arial"/>
                                      <w:color w:val="000000"/>
                                      <w:sz w:val="20"/>
                                      <w:szCs w:val="20"/>
                                    </w:rPr>
                                    <w:t>825</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i/>
                                      <w:iCs/>
                                      <w:color w:val="000000"/>
                                      <w:sz w:val="20"/>
                                      <w:szCs w:val="20"/>
                                    </w:rPr>
                                  </w:pPr>
                                  <w:r w:rsidRPr="00343EFB">
                                    <w:rPr>
                                      <w:rFonts w:ascii="Arial" w:eastAsia="Times New Roman" w:hAnsi="Arial" w:cs="Arial"/>
                                      <w:i/>
                                      <w:iCs/>
                                      <w:color w:val="000000"/>
                                      <w:sz w:val="20"/>
                                      <w:szCs w:val="20"/>
                                    </w:rPr>
                                    <w:t>Weighted Bed Day Equivalents</w:t>
                                  </w:r>
                                </w:p>
                              </w:tc>
                              <w:tc>
                                <w:tcPr>
                                  <w:tcW w:w="1428" w:type="dxa"/>
                                  <w:tcBorders>
                                    <w:top w:val="nil"/>
                                    <w:left w:val="single" w:sz="4" w:space="0" w:color="auto"/>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74</w:t>
                                  </w:r>
                                  <w:r>
                                    <w:rPr>
                                      <w:rFonts w:ascii="Arial" w:eastAsia="Times New Roman" w:hAnsi="Arial" w:cs="Arial"/>
                                      <w:sz w:val="20"/>
                                      <w:szCs w:val="20"/>
                                    </w:rPr>
                                    <w:t>,</w:t>
                                  </w:r>
                                  <w:r w:rsidRPr="00343EFB">
                                    <w:rPr>
                                      <w:rFonts w:ascii="Arial" w:eastAsia="Times New Roman" w:hAnsi="Arial" w:cs="Arial"/>
                                      <w:sz w:val="20"/>
                                      <w:szCs w:val="20"/>
                                    </w:rPr>
                                    <w:t>218</w:t>
                                  </w:r>
                                </w:p>
                              </w:tc>
                              <w:tc>
                                <w:tcPr>
                                  <w:tcW w:w="1417" w:type="dxa"/>
                                  <w:tcBorders>
                                    <w:top w:val="nil"/>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55</w:t>
                                  </w:r>
                                  <w:r>
                                    <w:rPr>
                                      <w:rFonts w:ascii="Arial" w:eastAsia="Times New Roman" w:hAnsi="Arial" w:cs="Arial"/>
                                      <w:sz w:val="20"/>
                                      <w:szCs w:val="20"/>
                                    </w:rPr>
                                    <w:t>,</w:t>
                                  </w:r>
                                  <w:r w:rsidRPr="00343EFB">
                                    <w:rPr>
                                      <w:rFonts w:ascii="Arial" w:eastAsia="Times New Roman" w:hAnsi="Arial" w:cs="Arial"/>
                                      <w:sz w:val="20"/>
                                      <w:szCs w:val="20"/>
                                    </w:rPr>
                                    <w:t>443</w:t>
                                  </w:r>
                                </w:p>
                              </w:tc>
                              <w:tc>
                                <w:tcPr>
                                  <w:tcW w:w="1418" w:type="dxa"/>
                                  <w:tcBorders>
                                    <w:top w:val="nil"/>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71</w:t>
                                  </w:r>
                                  <w:r>
                                    <w:rPr>
                                      <w:rFonts w:ascii="Arial" w:eastAsia="Times New Roman" w:hAnsi="Arial" w:cs="Arial"/>
                                      <w:sz w:val="20"/>
                                      <w:szCs w:val="20"/>
                                    </w:rPr>
                                    <w:t>,</w:t>
                                  </w:r>
                                  <w:r w:rsidRPr="00343EFB">
                                    <w:rPr>
                                      <w:rFonts w:ascii="Arial" w:eastAsia="Times New Roman" w:hAnsi="Arial" w:cs="Arial"/>
                                      <w:sz w:val="20"/>
                                      <w:szCs w:val="20"/>
                                    </w:rPr>
                                    <w:t>174</w:t>
                                  </w:r>
                                </w:p>
                              </w:tc>
                              <w:tc>
                                <w:tcPr>
                                  <w:tcW w:w="1417" w:type="dxa"/>
                                  <w:tcBorders>
                                    <w:top w:val="nil"/>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6</w:t>
                                  </w:r>
                                  <w:r>
                                    <w:rPr>
                                      <w:rFonts w:ascii="Arial" w:eastAsia="Times New Roman" w:hAnsi="Arial" w:cs="Arial"/>
                                      <w:sz w:val="20"/>
                                      <w:szCs w:val="20"/>
                                    </w:rPr>
                                    <w:t>,</w:t>
                                  </w:r>
                                  <w:r w:rsidRPr="00343EFB">
                                    <w:rPr>
                                      <w:rFonts w:ascii="Arial" w:eastAsia="Times New Roman" w:hAnsi="Arial" w:cs="Arial"/>
                                      <w:sz w:val="20"/>
                                      <w:szCs w:val="20"/>
                                    </w:rPr>
                                    <w:t>160</w:t>
                                  </w:r>
                                </w:p>
                              </w:tc>
                              <w:tc>
                                <w:tcPr>
                                  <w:tcW w:w="1418" w:type="dxa"/>
                                  <w:tcBorders>
                                    <w:top w:val="nil"/>
                                    <w:left w:val="nil"/>
                                    <w:bottom w:val="single" w:sz="4" w:space="0" w:color="auto"/>
                                    <w:right w:val="single" w:sz="4" w:space="0" w:color="auto"/>
                                  </w:tcBorders>
                                  <w:shd w:val="clear" w:color="000000" w:fill="CCCCFF"/>
                                  <w:noWrap/>
                                  <w:vAlign w:val="bottom"/>
                                  <w:hideMark/>
                                </w:tcPr>
                                <w:p w:rsidR="00A67C3E" w:rsidRPr="00343EFB" w:rsidRDefault="00A67C3E" w:rsidP="00450FBB">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206</w:t>
                                  </w:r>
                                  <w:r>
                                    <w:rPr>
                                      <w:rFonts w:ascii="Arial" w:eastAsia="Times New Roman" w:hAnsi="Arial" w:cs="Arial"/>
                                      <w:color w:val="000000"/>
                                      <w:sz w:val="20"/>
                                      <w:szCs w:val="20"/>
                                    </w:rPr>
                                    <w:t>,</w:t>
                                  </w:r>
                                  <w:r w:rsidRPr="00343EFB">
                                    <w:rPr>
                                      <w:rFonts w:ascii="Arial" w:eastAsia="Times New Roman" w:hAnsi="Arial" w:cs="Arial"/>
                                      <w:color w:val="000000"/>
                                      <w:sz w:val="20"/>
                                      <w:szCs w:val="20"/>
                                    </w:rPr>
                                    <w:t>995</w:t>
                                  </w:r>
                                </w:p>
                              </w:tc>
                            </w:tr>
                            <w:tr w:rsidR="00A67C3E" w:rsidRPr="005C1545" w:rsidTr="00450FBB">
                              <w:trPr>
                                <w:trHeight w:val="375"/>
                              </w:trPr>
                              <w:tc>
                                <w:tcPr>
                                  <w:tcW w:w="2425"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rPr>
                                      <w:rFonts w:ascii="Times New Roman" w:eastAsia="Times New Roman" w:hAnsi="Times New Roman" w:cs="Times New Roman"/>
                                      <w:b/>
                                      <w:bCs/>
                                      <w:color w:val="000000"/>
                                      <w:sz w:val="20"/>
                                      <w:szCs w:val="20"/>
                                    </w:rPr>
                                  </w:pPr>
                                </w:p>
                              </w:tc>
                              <w:tc>
                                <w:tcPr>
                                  <w:tcW w:w="142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center"/>
                                    <w:rPr>
                                      <w:rFonts w:ascii="Times New Roman" w:eastAsia="Times New Roman" w:hAnsi="Times New Roman" w:cs="Times New Roman"/>
                                      <w:color w:val="000000"/>
                                      <w:sz w:val="20"/>
                                      <w:szCs w:val="20"/>
                                    </w:rPr>
                                  </w:pPr>
                                </w:p>
                              </w:tc>
                            </w:tr>
                            <w:tr w:rsidR="00A67C3E" w:rsidRPr="005C1545" w:rsidTr="00450FBB">
                              <w:trPr>
                                <w:trHeight w:val="229"/>
                              </w:trPr>
                              <w:tc>
                                <w:tcPr>
                                  <w:tcW w:w="2425"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rPr>
                                      <w:rFonts w:ascii="Arial" w:eastAsia="Times New Roman" w:hAnsi="Arial" w:cs="Arial"/>
                                      <w:sz w:val="20"/>
                                      <w:szCs w:val="20"/>
                                    </w:rPr>
                                  </w:pPr>
                                </w:p>
                              </w:tc>
                              <w:tc>
                                <w:tcPr>
                                  <w:tcW w:w="142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r>
                            <w:tr w:rsidR="00A67C3E" w:rsidRPr="005C1545" w:rsidTr="00450FBB">
                              <w:trPr>
                                <w:trHeight w:val="300"/>
                              </w:trPr>
                              <w:tc>
                                <w:tcPr>
                                  <w:tcW w:w="3853" w:type="dxa"/>
                                  <w:gridSpan w:val="2"/>
                                  <w:tcBorders>
                                    <w:top w:val="nil"/>
                                    <w:left w:val="nil"/>
                                    <w:bottom w:val="nil"/>
                                    <w:right w:val="nil"/>
                                  </w:tcBorders>
                                  <w:shd w:val="clear" w:color="auto" w:fill="auto"/>
                                  <w:noWrap/>
                                  <w:vAlign w:val="bottom"/>
                                  <w:hideMark/>
                                </w:tcPr>
                                <w:p w:rsidR="00A67C3E" w:rsidRPr="004A74D1" w:rsidRDefault="00A67C3E" w:rsidP="005C1545">
                                  <w:pPr>
                                    <w:spacing w:after="0" w:line="240" w:lineRule="auto"/>
                                    <w:rPr>
                                      <w:rFonts w:ascii="Arial" w:eastAsia="Times New Roman" w:hAnsi="Arial" w:cs="Arial"/>
                                      <w:sz w:val="18"/>
                                      <w:szCs w:val="20"/>
                                    </w:rPr>
                                  </w:pPr>
                                  <w:r w:rsidRPr="004A74D1">
                                    <w:rPr>
                                      <w:rFonts w:ascii="Arial" w:eastAsia="Times New Roman" w:hAnsi="Arial" w:cs="Arial"/>
                                      <w:sz w:val="18"/>
                                      <w:szCs w:val="20"/>
                                      <w:vertAlign w:val="superscript"/>
                                    </w:rPr>
                                    <w:t xml:space="preserve">1  </w:t>
                                  </w:r>
                                  <w:r w:rsidRPr="004A74D1">
                                    <w:rPr>
                                      <w:rFonts w:ascii="Arial" w:eastAsia="Times New Roman" w:hAnsi="Arial" w:cs="Arial"/>
                                      <w:sz w:val="18"/>
                                      <w:szCs w:val="20"/>
                                    </w:rPr>
                                    <w:t>Geriatric Evaluation and Management</w:t>
                                  </w:r>
                                </w:p>
                              </w:tc>
                              <w:tc>
                                <w:tcPr>
                                  <w:tcW w:w="1417"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r>
                            <w:tr w:rsidR="00A67C3E" w:rsidRPr="005C1545" w:rsidTr="00450FBB">
                              <w:trPr>
                                <w:trHeight w:val="285"/>
                              </w:trPr>
                              <w:tc>
                                <w:tcPr>
                                  <w:tcW w:w="8105" w:type="dxa"/>
                                  <w:gridSpan w:val="5"/>
                                  <w:tcBorders>
                                    <w:top w:val="nil"/>
                                    <w:left w:val="nil"/>
                                    <w:bottom w:val="nil"/>
                                    <w:right w:val="nil"/>
                                  </w:tcBorders>
                                  <w:shd w:val="clear" w:color="auto" w:fill="auto"/>
                                  <w:noWrap/>
                                  <w:vAlign w:val="bottom"/>
                                  <w:hideMark/>
                                </w:tcPr>
                                <w:p w:rsidR="00A67C3E" w:rsidRPr="004A74D1" w:rsidRDefault="00A67C3E" w:rsidP="005C1545">
                                  <w:pPr>
                                    <w:spacing w:after="0" w:line="240" w:lineRule="auto"/>
                                    <w:rPr>
                                      <w:rFonts w:ascii="Arial" w:eastAsia="Times New Roman" w:hAnsi="Arial" w:cs="Arial"/>
                                      <w:sz w:val="18"/>
                                      <w:szCs w:val="20"/>
                                    </w:rPr>
                                  </w:pPr>
                                  <w:r w:rsidRPr="004A74D1">
                                    <w:rPr>
                                      <w:rFonts w:ascii="Arial" w:eastAsia="Times New Roman" w:hAnsi="Arial" w:cs="Arial"/>
                                      <w:sz w:val="18"/>
                                      <w:szCs w:val="20"/>
                                      <w:vertAlign w:val="superscript"/>
                                    </w:rPr>
                                    <w:t xml:space="preserve">2  </w:t>
                                  </w:r>
                                  <w:r w:rsidRPr="004A74D1">
                                    <w:rPr>
                                      <w:rFonts w:ascii="Arial" w:eastAsia="Times New Roman" w:hAnsi="Arial" w:cs="Arial"/>
                                      <w:sz w:val="18"/>
                                      <w:szCs w:val="20"/>
                                    </w:rPr>
                                    <w:t>Episode data is for information only, and not a factor for calculating growth in service delivery.</w:t>
                                  </w:r>
                                </w:p>
                              </w:tc>
                              <w:tc>
                                <w:tcPr>
                                  <w:tcW w:w="141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rPr>
                                      <w:rFonts w:ascii="Arial" w:eastAsia="Times New Roman" w:hAnsi="Arial" w:cs="Arial"/>
                                      <w:sz w:val="20"/>
                                      <w:szCs w:val="20"/>
                                    </w:rPr>
                                  </w:pPr>
                                </w:p>
                              </w:tc>
                            </w:tr>
                          </w:tbl>
                          <w:p w:rsidR="00A67C3E" w:rsidRDefault="00A67C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75pt;margin-top:17.65pt;width:510pt;height:6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" filled="f" stroked="f">
                <v:textbox>
                  <w:txbxContent>
                    <w:tbl>
                      <w:tblPr>
                        <w:tblW w:w="9523" w:type="dxa"/>
                        <w:tblInd w:w="93" w:type="dxa"/>
                        <w:tblLook w:val="04A0" w:firstRow="1" w:lastRow="0" w:firstColumn="1" w:lastColumn="0" w:noHBand="0" w:noVBand="1"/>
                      </w:tblPr>
                      <w:tblGrid>
                        <w:gridCol w:w="2425"/>
                        <w:gridCol w:w="1428"/>
                        <w:gridCol w:w="1417"/>
                        <w:gridCol w:w="1418"/>
                        <w:gridCol w:w="1417"/>
                        <w:gridCol w:w="1418"/>
                      </w:tblGrid>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State/Territory:</w:t>
                            </w:r>
                          </w:p>
                        </w:tc>
                        <w:tc>
                          <w:tcPr>
                            <w:tcW w:w="426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b/>
                                <w:i/>
                              </w:rPr>
                            </w:pPr>
                            <w:r w:rsidRPr="00343EFB">
                              <w:rPr>
                                <w:rFonts w:ascii="Arial" w:eastAsia="Times New Roman" w:hAnsi="Arial" w:cs="Arial"/>
                                <w:b/>
                                <w:i/>
                              </w:rPr>
                              <w:t>New South Wales</w:t>
                            </w: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r>
                      <w:tr w:rsidR="00A67C3E" w:rsidRPr="00343EFB" w:rsidTr="00450FBB">
                        <w:trPr>
                          <w:trHeight w:val="108"/>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p>
                        </w:tc>
                        <w:tc>
                          <w:tcPr>
                            <w:tcW w:w="142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Period:</w:t>
                            </w:r>
                          </w:p>
                        </w:tc>
                        <w:tc>
                          <w:tcPr>
                            <w:tcW w:w="426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67C3E" w:rsidRPr="00343EFB" w:rsidRDefault="00A67C3E" w:rsidP="0064237C">
                            <w:pPr>
                              <w:spacing w:after="0" w:line="240" w:lineRule="auto"/>
                              <w:jc w:val="center"/>
                              <w:rPr>
                                <w:rFonts w:ascii="Arial" w:eastAsia="Times New Roman" w:hAnsi="Arial" w:cs="Arial"/>
                                <w:sz w:val="20"/>
                                <w:szCs w:val="20"/>
                              </w:rPr>
                            </w:pPr>
                            <w:r w:rsidRPr="00343EFB">
                              <w:rPr>
                                <w:rFonts w:ascii="Arial" w:eastAsia="Times New Roman" w:hAnsi="Arial" w:cs="Arial"/>
                                <w:sz w:val="20"/>
                                <w:szCs w:val="20"/>
                              </w:rPr>
                              <w:t>2011/12</w:t>
                            </w: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r>
                      <w:tr w:rsidR="00A67C3E" w:rsidRPr="00343EFB" w:rsidTr="00450FBB">
                        <w:trPr>
                          <w:trHeight w:val="72"/>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p>
                        </w:tc>
                        <w:tc>
                          <w:tcPr>
                            <w:tcW w:w="142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sz w:val="20"/>
                                <w:szCs w:val="20"/>
                              </w:rPr>
                            </w:pPr>
                          </w:p>
                        </w:tc>
                      </w:tr>
                      <w:tr w:rsidR="00A67C3E" w:rsidRPr="00343EFB" w:rsidTr="00450FBB">
                        <w:trPr>
                          <w:trHeight w:val="315"/>
                        </w:trPr>
                        <w:tc>
                          <w:tcPr>
                            <w:tcW w:w="2425" w:type="dxa"/>
                            <w:tcBorders>
                              <w:top w:val="nil"/>
                              <w:left w:val="nil"/>
                              <w:bottom w:val="nil"/>
                              <w:right w:val="nil"/>
                            </w:tcBorders>
                            <w:shd w:val="clear" w:color="auto" w:fill="auto"/>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c>
                          <w:tcPr>
                            <w:tcW w:w="56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b/>
                                <w:bCs/>
                                <w:color w:val="000000"/>
                                <w:sz w:val="20"/>
                                <w:szCs w:val="20"/>
                              </w:rPr>
                            </w:pPr>
                            <w:r w:rsidRPr="00343EFB">
                              <w:rPr>
                                <w:rFonts w:ascii="Arial" w:eastAsia="Times New Roman" w:hAnsi="Arial" w:cs="Arial"/>
                                <w:b/>
                                <w:bCs/>
                                <w:color w:val="000000"/>
                                <w:sz w:val="20"/>
                                <w:szCs w:val="20"/>
                              </w:rPr>
                              <w:t>Table 1: Activity by care type</w:t>
                            </w: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b/>
                                <w:bCs/>
                                <w:color w:val="000000"/>
                                <w:sz w:val="20"/>
                                <w:szCs w:val="20"/>
                              </w:rPr>
                            </w:pPr>
                            <w:r w:rsidRPr="00343EFB">
                              <w:rPr>
                                <w:rFonts w:ascii="Arial" w:eastAsia="Times New Roman" w:hAnsi="Arial" w:cs="Arial"/>
                                <w:b/>
                                <w:bCs/>
                                <w:color w:val="000000"/>
                                <w:sz w:val="20"/>
                                <w:szCs w:val="20"/>
                              </w:rPr>
                              <w:t> </w:t>
                            </w:r>
                          </w:p>
                        </w:tc>
                      </w:tr>
                      <w:tr w:rsidR="00A67C3E" w:rsidRPr="00343EFB" w:rsidTr="00450FBB">
                        <w:trPr>
                          <w:trHeight w:val="600"/>
                        </w:trPr>
                        <w:tc>
                          <w:tcPr>
                            <w:tcW w:w="2425" w:type="dxa"/>
                            <w:tcBorders>
                              <w:top w:val="nil"/>
                              <w:left w:val="nil"/>
                              <w:bottom w:val="nil"/>
                              <w:right w:val="nil"/>
                            </w:tcBorders>
                            <w:shd w:val="clear" w:color="auto" w:fill="auto"/>
                            <w:hideMark/>
                          </w:tcPr>
                          <w:p w:rsidR="00A67C3E" w:rsidRPr="00343EFB" w:rsidRDefault="00A67C3E" w:rsidP="005C1545">
                            <w:pPr>
                              <w:spacing w:after="0" w:line="240" w:lineRule="auto"/>
                              <w:rPr>
                                <w:rFonts w:ascii="Arial" w:eastAsia="Times New Roman" w:hAnsi="Arial" w:cs="Arial"/>
                                <w:color w:val="000000"/>
                                <w:sz w:val="20"/>
                                <w:szCs w:val="20"/>
                              </w:rPr>
                            </w:pPr>
                          </w:p>
                        </w:tc>
                        <w:tc>
                          <w:tcPr>
                            <w:tcW w:w="1428" w:type="dxa"/>
                            <w:tcBorders>
                              <w:top w:val="nil"/>
                              <w:left w:val="single" w:sz="4" w:space="0" w:color="auto"/>
                              <w:bottom w:val="single" w:sz="4" w:space="0" w:color="auto"/>
                              <w:right w:val="single" w:sz="4" w:space="0" w:color="auto"/>
                            </w:tcBorders>
                            <w:shd w:val="clear" w:color="auto" w:fill="auto"/>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r w:rsidRPr="00343EFB">
                              <w:rPr>
                                <w:rFonts w:ascii="Arial" w:eastAsia="Times New Roman" w:hAnsi="Arial" w:cs="Arial"/>
                                <w:color w:val="000000"/>
                                <w:sz w:val="20"/>
                                <w:szCs w:val="20"/>
                              </w:rPr>
                              <w:t>Rehabilitation</w:t>
                            </w:r>
                          </w:p>
                        </w:tc>
                        <w:tc>
                          <w:tcPr>
                            <w:tcW w:w="1417" w:type="dxa"/>
                            <w:tcBorders>
                              <w:top w:val="nil"/>
                              <w:left w:val="nil"/>
                              <w:bottom w:val="single" w:sz="4" w:space="0" w:color="auto"/>
                              <w:right w:val="single" w:sz="4" w:space="0" w:color="auto"/>
                            </w:tcBorders>
                            <w:shd w:val="clear" w:color="auto" w:fill="auto"/>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r w:rsidRPr="00343EFB">
                              <w:rPr>
                                <w:rFonts w:ascii="Arial" w:eastAsia="Times New Roman" w:hAnsi="Arial" w:cs="Arial"/>
                                <w:color w:val="000000"/>
                                <w:sz w:val="20"/>
                                <w:szCs w:val="20"/>
                              </w:rPr>
                              <w:t>Palliative</w:t>
                            </w:r>
                          </w:p>
                        </w:tc>
                        <w:tc>
                          <w:tcPr>
                            <w:tcW w:w="1418" w:type="dxa"/>
                            <w:tcBorders>
                              <w:top w:val="nil"/>
                              <w:left w:val="nil"/>
                              <w:bottom w:val="single" w:sz="4" w:space="0" w:color="auto"/>
                              <w:right w:val="single" w:sz="4" w:space="0" w:color="auto"/>
                            </w:tcBorders>
                            <w:shd w:val="clear" w:color="auto" w:fill="auto"/>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r w:rsidRPr="00343EFB">
                              <w:rPr>
                                <w:rFonts w:ascii="Arial" w:eastAsia="Times New Roman" w:hAnsi="Arial" w:cs="Arial"/>
                                <w:color w:val="000000"/>
                                <w:sz w:val="20"/>
                                <w:szCs w:val="20"/>
                              </w:rPr>
                              <w:t>GEM</w:t>
                            </w:r>
                            <w:r w:rsidRPr="00343EFB">
                              <w:rPr>
                                <w:rFonts w:ascii="Arial" w:eastAsia="Times New Roman" w:hAnsi="Arial" w:cs="Arial"/>
                                <w:color w:val="000000"/>
                                <w:sz w:val="20"/>
                                <w:szCs w:val="20"/>
                                <w:vertAlign w:val="superscript"/>
                              </w:rPr>
                              <w:t>1</w:t>
                            </w:r>
                          </w:p>
                        </w:tc>
                        <w:tc>
                          <w:tcPr>
                            <w:tcW w:w="1417" w:type="dxa"/>
                            <w:tcBorders>
                              <w:top w:val="nil"/>
                              <w:left w:val="nil"/>
                              <w:bottom w:val="single" w:sz="4" w:space="0" w:color="auto"/>
                              <w:right w:val="single" w:sz="4" w:space="0" w:color="auto"/>
                            </w:tcBorders>
                            <w:shd w:val="clear" w:color="auto" w:fill="auto"/>
                            <w:vAlign w:val="bottom"/>
                            <w:hideMark/>
                          </w:tcPr>
                          <w:p w:rsidR="00A67C3E" w:rsidRPr="00343EFB" w:rsidRDefault="00A67C3E" w:rsidP="005C1545">
                            <w:pPr>
                              <w:spacing w:after="0" w:line="240" w:lineRule="auto"/>
                              <w:jc w:val="center"/>
                              <w:rPr>
                                <w:rFonts w:ascii="Arial" w:eastAsia="Times New Roman" w:hAnsi="Arial" w:cs="Arial"/>
                                <w:sz w:val="20"/>
                                <w:szCs w:val="20"/>
                              </w:rPr>
                            </w:pPr>
                            <w:r w:rsidRPr="00343EFB">
                              <w:rPr>
                                <w:rFonts w:ascii="Arial" w:eastAsia="Times New Roman" w:hAnsi="Arial" w:cs="Arial"/>
                                <w:sz w:val="20"/>
                                <w:szCs w:val="20"/>
                              </w:rPr>
                              <w:t>Psycho -</w:t>
                            </w:r>
                            <w:r w:rsidRPr="00343EFB">
                              <w:rPr>
                                <w:rFonts w:ascii="Arial" w:eastAsia="Times New Roman" w:hAnsi="Arial" w:cs="Arial"/>
                                <w:sz w:val="20"/>
                                <w:szCs w:val="20"/>
                              </w:rPr>
                              <w:br/>
                              <w:t>geriatric</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r w:rsidRPr="00343EFB">
                              <w:rPr>
                                <w:rFonts w:ascii="Arial" w:eastAsia="Times New Roman" w:hAnsi="Arial" w:cs="Arial"/>
                                <w:color w:val="000000"/>
                                <w:sz w:val="20"/>
                                <w:szCs w:val="20"/>
                              </w:rPr>
                              <w:t>Totals</w:t>
                            </w:r>
                          </w:p>
                        </w:tc>
                      </w:tr>
                      <w:tr w:rsidR="00A67C3E" w:rsidRPr="00343EFB" w:rsidTr="00450FBB">
                        <w:trPr>
                          <w:trHeight w:val="613"/>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b/>
                                <w:bCs/>
                                <w:color w:val="000000"/>
                                <w:sz w:val="20"/>
                                <w:szCs w:val="20"/>
                              </w:rPr>
                            </w:pPr>
                            <w:r w:rsidRPr="00343EFB">
                              <w:rPr>
                                <w:rFonts w:ascii="Arial" w:eastAsia="Times New Roman" w:hAnsi="Arial" w:cs="Arial"/>
                                <w:b/>
                                <w:bCs/>
                                <w:color w:val="000000"/>
                                <w:sz w:val="20"/>
                                <w:szCs w:val="20"/>
                              </w:rPr>
                              <w:t xml:space="preserve">Patient days </w:t>
                            </w:r>
                          </w:p>
                          <w:p w:rsidR="00A67C3E" w:rsidRPr="00343EFB" w:rsidRDefault="00A67C3E" w:rsidP="005C1545">
                            <w:pPr>
                              <w:spacing w:after="0" w:line="240" w:lineRule="auto"/>
                              <w:rPr>
                                <w:rFonts w:ascii="Arial" w:eastAsia="Times New Roman" w:hAnsi="Arial" w:cs="Arial"/>
                                <w:b/>
                                <w:bCs/>
                                <w:color w:val="000000"/>
                                <w:sz w:val="20"/>
                                <w:szCs w:val="20"/>
                              </w:rPr>
                            </w:pPr>
                            <w:r w:rsidRPr="00343EFB">
                              <w:rPr>
                                <w:rFonts w:ascii="Arial" w:eastAsia="Times New Roman" w:hAnsi="Arial" w:cs="Arial"/>
                                <w:b/>
                                <w:bCs/>
                                <w:color w:val="000000"/>
                                <w:sz w:val="20"/>
                                <w:szCs w:val="20"/>
                              </w:rPr>
                              <w:t>(volumes)</w:t>
                            </w:r>
                          </w:p>
                        </w:tc>
                        <w:tc>
                          <w:tcPr>
                            <w:tcW w:w="7098" w:type="dxa"/>
                            <w:gridSpan w:val="5"/>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b/>
                                <w:bCs/>
                                <w:i/>
                                <w:iCs/>
                                <w:color w:val="000000"/>
                                <w:sz w:val="20"/>
                                <w:szCs w:val="20"/>
                              </w:rPr>
                            </w:pPr>
                            <w:r w:rsidRPr="00343EFB">
                              <w:rPr>
                                <w:rFonts w:ascii="Arial" w:eastAsia="Times New Roman" w:hAnsi="Arial" w:cs="Arial"/>
                                <w:b/>
                                <w:bCs/>
                                <w:i/>
                                <w:iCs/>
                                <w:color w:val="000000"/>
                                <w:sz w:val="20"/>
                                <w:szCs w:val="20"/>
                              </w:rPr>
                              <w:t>Admitted</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Hospital based</w:t>
                            </w:r>
                          </w:p>
                        </w:tc>
                        <w:tc>
                          <w:tcPr>
                            <w:tcW w:w="1428"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446</w:t>
                            </w:r>
                            <w:r>
                              <w:rPr>
                                <w:rFonts w:ascii="Arial" w:eastAsia="Times New Roman" w:hAnsi="Arial" w:cs="Arial"/>
                                <w:color w:val="000000"/>
                                <w:sz w:val="20"/>
                                <w:szCs w:val="20"/>
                              </w:rPr>
                              <w:t>,</w:t>
                            </w:r>
                            <w:r w:rsidRPr="00343EFB">
                              <w:rPr>
                                <w:rFonts w:ascii="Arial" w:eastAsia="Times New Roman" w:hAnsi="Arial" w:cs="Arial"/>
                                <w:color w:val="000000"/>
                                <w:sz w:val="20"/>
                                <w:szCs w:val="20"/>
                              </w:rPr>
                              <w:t>978</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129</w:t>
                            </w:r>
                            <w:r>
                              <w:rPr>
                                <w:rFonts w:ascii="Arial" w:eastAsia="Times New Roman" w:hAnsi="Arial" w:cs="Arial"/>
                                <w:color w:val="000000"/>
                                <w:sz w:val="20"/>
                                <w:szCs w:val="20"/>
                              </w:rPr>
                              <w:t>,</w:t>
                            </w:r>
                            <w:r w:rsidRPr="00343EFB">
                              <w:rPr>
                                <w:rFonts w:ascii="Arial" w:eastAsia="Times New Roman" w:hAnsi="Arial" w:cs="Arial"/>
                                <w:color w:val="000000"/>
                                <w:sz w:val="20"/>
                                <w:szCs w:val="20"/>
                              </w:rPr>
                              <w:t>336</w:t>
                            </w:r>
                          </w:p>
                        </w:tc>
                        <w:tc>
                          <w:tcPr>
                            <w:tcW w:w="1418"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67</w:t>
                            </w:r>
                            <w:r>
                              <w:rPr>
                                <w:rFonts w:ascii="Arial" w:eastAsia="Times New Roman" w:hAnsi="Arial" w:cs="Arial"/>
                                <w:color w:val="000000"/>
                                <w:sz w:val="20"/>
                                <w:szCs w:val="20"/>
                              </w:rPr>
                              <w:t>,</w:t>
                            </w:r>
                            <w:r w:rsidRPr="00343EFB">
                              <w:rPr>
                                <w:rFonts w:ascii="Arial" w:eastAsia="Times New Roman" w:hAnsi="Arial" w:cs="Arial"/>
                                <w:color w:val="000000"/>
                                <w:sz w:val="20"/>
                                <w:szCs w:val="20"/>
                              </w:rPr>
                              <w:t>240</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5</w:t>
                            </w:r>
                            <w:r>
                              <w:rPr>
                                <w:rFonts w:ascii="Arial" w:eastAsia="Times New Roman" w:hAnsi="Arial" w:cs="Arial"/>
                                <w:color w:val="000000"/>
                                <w:sz w:val="20"/>
                                <w:szCs w:val="20"/>
                              </w:rPr>
                              <w:t>,</w:t>
                            </w:r>
                            <w:r w:rsidRPr="00343EFB">
                              <w:rPr>
                                <w:rFonts w:ascii="Arial" w:eastAsia="Times New Roman" w:hAnsi="Arial" w:cs="Arial"/>
                                <w:color w:val="000000"/>
                                <w:sz w:val="20"/>
                                <w:szCs w:val="20"/>
                              </w:rPr>
                              <w:t>299</w:t>
                            </w:r>
                          </w:p>
                        </w:tc>
                        <w:tc>
                          <w:tcPr>
                            <w:tcW w:w="1418" w:type="dxa"/>
                            <w:tcBorders>
                              <w:top w:val="single" w:sz="4" w:space="0" w:color="auto"/>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648</w:t>
                            </w:r>
                            <w:r>
                              <w:rPr>
                                <w:rFonts w:ascii="Arial" w:eastAsia="Times New Roman" w:hAnsi="Arial" w:cs="Arial"/>
                                <w:color w:val="000000"/>
                                <w:sz w:val="20"/>
                                <w:szCs w:val="20"/>
                              </w:rPr>
                              <w:t>,</w:t>
                            </w:r>
                            <w:r w:rsidRPr="00343EFB">
                              <w:rPr>
                                <w:rFonts w:ascii="Arial" w:eastAsia="Times New Roman" w:hAnsi="Arial" w:cs="Arial"/>
                                <w:color w:val="000000"/>
                                <w:sz w:val="20"/>
                                <w:szCs w:val="20"/>
                              </w:rPr>
                              <w:t>853</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Hospital in the Home</w:t>
                            </w:r>
                          </w:p>
                        </w:tc>
                        <w:tc>
                          <w:tcPr>
                            <w:tcW w:w="1428" w:type="dxa"/>
                            <w:tcBorders>
                              <w:top w:val="nil"/>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r>
                      <w:tr w:rsidR="00A67C3E" w:rsidRPr="00343EFB" w:rsidTr="00450FBB">
                        <w:trPr>
                          <w:trHeight w:val="315"/>
                        </w:trPr>
                        <w:tc>
                          <w:tcPr>
                            <w:tcW w:w="2425" w:type="dxa"/>
                            <w:tcBorders>
                              <w:top w:val="nil"/>
                              <w:left w:val="nil"/>
                              <w:bottom w:val="nil"/>
                              <w:right w:val="nil"/>
                            </w:tcBorders>
                            <w:shd w:val="clear" w:color="auto" w:fill="auto"/>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Combined Hospital based &amp; HITH</w:t>
                            </w:r>
                          </w:p>
                        </w:tc>
                        <w:tc>
                          <w:tcPr>
                            <w:tcW w:w="1428" w:type="dxa"/>
                            <w:tcBorders>
                              <w:top w:val="nil"/>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Other (please specify)</w:t>
                            </w:r>
                          </w:p>
                        </w:tc>
                        <w:tc>
                          <w:tcPr>
                            <w:tcW w:w="1428" w:type="dxa"/>
                            <w:tcBorders>
                              <w:top w:val="nil"/>
                              <w:left w:val="single" w:sz="4" w:space="0" w:color="auto"/>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i/>
                                <w:iCs/>
                                <w:color w:val="000000"/>
                                <w:sz w:val="20"/>
                                <w:szCs w:val="20"/>
                              </w:rPr>
                            </w:pPr>
                            <w:r w:rsidRPr="00343EFB">
                              <w:rPr>
                                <w:rFonts w:ascii="Arial" w:eastAsia="Times New Roman" w:hAnsi="Arial" w:cs="Arial"/>
                                <w:i/>
                                <w:iCs/>
                                <w:color w:val="000000"/>
                                <w:sz w:val="20"/>
                                <w:szCs w:val="20"/>
                              </w:rPr>
                              <w:t>Total admitted patient days</w:t>
                            </w:r>
                          </w:p>
                        </w:tc>
                        <w:tc>
                          <w:tcPr>
                            <w:tcW w:w="142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446</w:t>
                            </w:r>
                            <w:r>
                              <w:rPr>
                                <w:rFonts w:ascii="Arial" w:eastAsia="Times New Roman" w:hAnsi="Arial" w:cs="Arial"/>
                                <w:color w:val="000000"/>
                                <w:sz w:val="20"/>
                                <w:szCs w:val="20"/>
                              </w:rPr>
                              <w:t>,</w:t>
                            </w:r>
                            <w:r w:rsidRPr="00343EFB">
                              <w:rPr>
                                <w:rFonts w:ascii="Arial" w:eastAsia="Times New Roman" w:hAnsi="Arial" w:cs="Arial"/>
                                <w:color w:val="000000"/>
                                <w:sz w:val="20"/>
                                <w:szCs w:val="20"/>
                              </w:rPr>
                              <w:t>978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129</w:t>
                            </w:r>
                            <w:r>
                              <w:rPr>
                                <w:rFonts w:ascii="Arial" w:eastAsia="Times New Roman" w:hAnsi="Arial" w:cs="Arial"/>
                                <w:color w:val="000000"/>
                                <w:sz w:val="20"/>
                                <w:szCs w:val="20"/>
                              </w:rPr>
                              <w:t>,</w:t>
                            </w:r>
                            <w:r w:rsidRPr="00343EFB">
                              <w:rPr>
                                <w:rFonts w:ascii="Arial" w:eastAsia="Times New Roman" w:hAnsi="Arial" w:cs="Arial"/>
                                <w:color w:val="000000"/>
                                <w:sz w:val="20"/>
                                <w:szCs w:val="20"/>
                              </w:rPr>
                              <w:t>336</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67</w:t>
                            </w:r>
                            <w:r>
                              <w:rPr>
                                <w:rFonts w:ascii="Arial" w:eastAsia="Times New Roman" w:hAnsi="Arial" w:cs="Arial"/>
                                <w:color w:val="000000"/>
                                <w:sz w:val="20"/>
                                <w:szCs w:val="20"/>
                              </w:rPr>
                              <w:t>,</w:t>
                            </w:r>
                            <w:r w:rsidRPr="00343EFB">
                              <w:rPr>
                                <w:rFonts w:ascii="Arial" w:eastAsia="Times New Roman" w:hAnsi="Arial" w:cs="Arial"/>
                                <w:color w:val="000000"/>
                                <w:sz w:val="20"/>
                                <w:szCs w:val="20"/>
                              </w:rPr>
                              <w:t>240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5</w:t>
                            </w:r>
                            <w:r>
                              <w:rPr>
                                <w:rFonts w:ascii="Arial" w:eastAsia="Times New Roman" w:hAnsi="Arial" w:cs="Arial"/>
                                <w:color w:val="000000"/>
                                <w:sz w:val="20"/>
                                <w:szCs w:val="20"/>
                              </w:rPr>
                              <w:t>,</w:t>
                            </w:r>
                            <w:r w:rsidRPr="00343EFB">
                              <w:rPr>
                                <w:rFonts w:ascii="Arial" w:eastAsia="Times New Roman" w:hAnsi="Arial" w:cs="Arial"/>
                                <w:color w:val="000000"/>
                                <w:sz w:val="20"/>
                                <w:szCs w:val="20"/>
                              </w:rPr>
                              <w:t>299</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450FBB">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648</w:t>
                            </w:r>
                            <w:r>
                              <w:rPr>
                                <w:rFonts w:ascii="Arial" w:eastAsia="Times New Roman" w:hAnsi="Arial" w:cs="Arial"/>
                                <w:color w:val="000000"/>
                                <w:sz w:val="20"/>
                                <w:szCs w:val="20"/>
                              </w:rPr>
                              <w:t>,</w:t>
                            </w:r>
                            <w:r w:rsidRPr="00343EFB">
                              <w:rPr>
                                <w:rFonts w:ascii="Arial" w:eastAsia="Times New Roman" w:hAnsi="Arial" w:cs="Arial"/>
                                <w:color w:val="000000"/>
                                <w:sz w:val="20"/>
                                <w:szCs w:val="20"/>
                              </w:rPr>
                              <w:t>853</w:t>
                            </w:r>
                          </w:p>
                        </w:tc>
                      </w:tr>
                      <w:tr w:rsidR="00A67C3E" w:rsidRPr="00343EFB" w:rsidTr="00450FBB">
                        <w:trPr>
                          <w:trHeight w:val="644"/>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b/>
                                <w:bCs/>
                                <w:color w:val="000000"/>
                                <w:sz w:val="20"/>
                                <w:szCs w:val="20"/>
                              </w:rPr>
                            </w:pPr>
                            <w:r w:rsidRPr="00343EFB">
                              <w:rPr>
                                <w:rFonts w:ascii="Arial" w:eastAsia="Times New Roman" w:hAnsi="Arial" w:cs="Arial"/>
                                <w:b/>
                                <w:bCs/>
                                <w:color w:val="000000"/>
                                <w:sz w:val="20"/>
                                <w:szCs w:val="20"/>
                              </w:rPr>
                              <w:t xml:space="preserve">Separations </w:t>
                            </w:r>
                          </w:p>
                          <w:p w:rsidR="00A67C3E" w:rsidRPr="00343EFB" w:rsidRDefault="00A67C3E" w:rsidP="005C1545">
                            <w:pPr>
                              <w:spacing w:after="0" w:line="240" w:lineRule="auto"/>
                              <w:rPr>
                                <w:rFonts w:ascii="Arial" w:eastAsia="Times New Roman" w:hAnsi="Arial" w:cs="Arial"/>
                                <w:b/>
                                <w:bCs/>
                                <w:color w:val="000000"/>
                                <w:sz w:val="20"/>
                                <w:szCs w:val="20"/>
                              </w:rPr>
                            </w:pPr>
                            <w:r w:rsidRPr="00343EFB">
                              <w:rPr>
                                <w:rFonts w:ascii="Arial" w:eastAsia="Times New Roman" w:hAnsi="Arial" w:cs="Arial"/>
                                <w:b/>
                                <w:bCs/>
                                <w:color w:val="000000"/>
                                <w:sz w:val="20"/>
                                <w:szCs w:val="20"/>
                              </w:rPr>
                              <w:t>(patients)</w:t>
                            </w:r>
                          </w:p>
                        </w:tc>
                        <w:tc>
                          <w:tcPr>
                            <w:tcW w:w="142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Hospital based</w:t>
                            </w:r>
                          </w:p>
                        </w:tc>
                        <w:tc>
                          <w:tcPr>
                            <w:tcW w:w="1428"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30</w:t>
                            </w:r>
                            <w:r>
                              <w:rPr>
                                <w:rFonts w:ascii="Arial" w:eastAsia="Times New Roman" w:hAnsi="Arial" w:cs="Arial"/>
                                <w:color w:val="000000"/>
                                <w:sz w:val="20"/>
                                <w:szCs w:val="20"/>
                              </w:rPr>
                              <w:t>,</w:t>
                            </w:r>
                            <w:r w:rsidRPr="00343EFB">
                              <w:rPr>
                                <w:rFonts w:ascii="Arial" w:eastAsia="Times New Roman" w:hAnsi="Arial" w:cs="Arial"/>
                                <w:color w:val="000000"/>
                                <w:sz w:val="20"/>
                                <w:szCs w:val="20"/>
                              </w:rPr>
                              <w:t>632</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12</w:t>
                            </w:r>
                            <w:r>
                              <w:rPr>
                                <w:rFonts w:ascii="Arial" w:eastAsia="Times New Roman" w:hAnsi="Arial" w:cs="Arial"/>
                                <w:color w:val="000000"/>
                                <w:sz w:val="20"/>
                                <w:szCs w:val="20"/>
                              </w:rPr>
                              <w:t>,</w:t>
                            </w:r>
                            <w:r w:rsidRPr="00343EFB">
                              <w:rPr>
                                <w:rFonts w:ascii="Arial" w:eastAsia="Times New Roman" w:hAnsi="Arial" w:cs="Arial"/>
                                <w:color w:val="000000"/>
                                <w:sz w:val="20"/>
                                <w:szCs w:val="20"/>
                              </w:rPr>
                              <w:t>228</w:t>
                            </w:r>
                          </w:p>
                        </w:tc>
                        <w:tc>
                          <w:tcPr>
                            <w:tcW w:w="1418"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5</w:t>
                            </w:r>
                            <w:r>
                              <w:rPr>
                                <w:rFonts w:ascii="Arial" w:eastAsia="Times New Roman" w:hAnsi="Arial" w:cs="Arial"/>
                                <w:color w:val="000000"/>
                                <w:sz w:val="20"/>
                                <w:szCs w:val="20"/>
                              </w:rPr>
                              <w:t>,</w:t>
                            </w:r>
                            <w:r w:rsidRPr="00343EFB">
                              <w:rPr>
                                <w:rFonts w:ascii="Arial" w:eastAsia="Times New Roman" w:hAnsi="Arial" w:cs="Arial"/>
                                <w:color w:val="000000"/>
                                <w:sz w:val="20"/>
                                <w:szCs w:val="20"/>
                              </w:rPr>
                              <w:t>771</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384</w:t>
                            </w:r>
                          </w:p>
                        </w:tc>
                        <w:tc>
                          <w:tcPr>
                            <w:tcW w:w="1418" w:type="dxa"/>
                            <w:tcBorders>
                              <w:top w:val="single" w:sz="4" w:space="0" w:color="auto"/>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49</w:t>
                            </w:r>
                            <w:r>
                              <w:rPr>
                                <w:rFonts w:ascii="Arial" w:eastAsia="Times New Roman" w:hAnsi="Arial" w:cs="Arial"/>
                                <w:color w:val="000000"/>
                                <w:sz w:val="20"/>
                                <w:szCs w:val="20"/>
                              </w:rPr>
                              <w:t>,</w:t>
                            </w:r>
                            <w:r w:rsidRPr="00343EFB">
                              <w:rPr>
                                <w:rFonts w:ascii="Arial" w:eastAsia="Times New Roman" w:hAnsi="Arial" w:cs="Arial"/>
                                <w:color w:val="000000"/>
                                <w:sz w:val="20"/>
                                <w:szCs w:val="20"/>
                              </w:rPr>
                              <w:t>015</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Hospital-in-the-home</w:t>
                            </w:r>
                          </w:p>
                        </w:tc>
                        <w:tc>
                          <w:tcPr>
                            <w:tcW w:w="1428" w:type="dxa"/>
                            <w:tcBorders>
                              <w:top w:val="nil"/>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r>
                      <w:tr w:rsidR="00A67C3E" w:rsidRPr="00343EFB" w:rsidTr="00450FBB">
                        <w:trPr>
                          <w:trHeight w:val="315"/>
                        </w:trPr>
                        <w:tc>
                          <w:tcPr>
                            <w:tcW w:w="2425" w:type="dxa"/>
                            <w:tcBorders>
                              <w:top w:val="nil"/>
                              <w:left w:val="nil"/>
                              <w:bottom w:val="nil"/>
                              <w:right w:val="nil"/>
                            </w:tcBorders>
                            <w:shd w:val="clear" w:color="auto" w:fill="auto"/>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Combined Hospital based &amp; HITH</w:t>
                            </w:r>
                          </w:p>
                        </w:tc>
                        <w:tc>
                          <w:tcPr>
                            <w:tcW w:w="1428" w:type="dxa"/>
                            <w:tcBorders>
                              <w:top w:val="nil"/>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Other (please specify)</w:t>
                            </w:r>
                          </w:p>
                        </w:tc>
                        <w:tc>
                          <w:tcPr>
                            <w:tcW w:w="1428" w:type="dxa"/>
                            <w:tcBorders>
                              <w:top w:val="nil"/>
                              <w:left w:val="single" w:sz="4" w:space="0" w:color="auto"/>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7"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i/>
                                <w:iCs/>
                                <w:color w:val="000000"/>
                                <w:sz w:val="20"/>
                                <w:szCs w:val="20"/>
                              </w:rPr>
                            </w:pPr>
                            <w:r w:rsidRPr="00343EFB">
                              <w:rPr>
                                <w:rFonts w:ascii="Arial" w:eastAsia="Times New Roman" w:hAnsi="Arial" w:cs="Arial"/>
                                <w:i/>
                                <w:iCs/>
                                <w:color w:val="000000"/>
                                <w:sz w:val="20"/>
                                <w:szCs w:val="20"/>
                              </w:rPr>
                              <w:t>Total admitted separations</w:t>
                            </w:r>
                          </w:p>
                        </w:tc>
                        <w:tc>
                          <w:tcPr>
                            <w:tcW w:w="142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30</w:t>
                            </w:r>
                            <w:r>
                              <w:rPr>
                                <w:rFonts w:ascii="Arial" w:eastAsia="Times New Roman" w:hAnsi="Arial" w:cs="Arial"/>
                                <w:color w:val="000000"/>
                                <w:sz w:val="20"/>
                                <w:szCs w:val="20"/>
                              </w:rPr>
                              <w:t>,</w:t>
                            </w:r>
                            <w:r w:rsidRPr="00343EFB">
                              <w:rPr>
                                <w:rFonts w:ascii="Arial" w:eastAsia="Times New Roman" w:hAnsi="Arial" w:cs="Arial"/>
                                <w:color w:val="000000"/>
                                <w:sz w:val="20"/>
                                <w:szCs w:val="20"/>
                              </w:rPr>
                              <w:t>632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12</w:t>
                            </w:r>
                            <w:r>
                              <w:rPr>
                                <w:rFonts w:ascii="Arial" w:eastAsia="Times New Roman" w:hAnsi="Arial" w:cs="Arial"/>
                                <w:color w:val="000000"/>
                                <w:sz w:val="20"/>
                                <w:szCs w:val="20"/>
                              </w:rPr>
                              <w:t>,</w:t>
                            </w:r>
                            <w:r w:rsidRPr="00343EFB">
                              <w:rPr>
                                <w:rFonts w:ascii="Arial" w:eastAsia="Times New Roman" w:hAnsi="Arial" w:cs="Arial"/>
                                <w:color w:val="000000"/>
                                <w:sz w:val="20"/>
                                <w:szCs w:val="20"/>
                              </w:rPr>
                              <w:t>228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5</w:t>
                            </w:r>
                            <w:r>
                              <w:rPr>
                                <w:rFonts w:ascii="Arial" w:eastAsia="Times New Roman" w:hAnsi="Arial" w:cs="Arial"/>
                                <w:color w:val="000000"/>
                                <w:sz w:val="20"/>
                                <w:szCs w:val="20"/>
                              </w:rPr>
                              <w:t>,</w:t>
                            </w:r>
                            <w:r w:rsidRPr="00343EFB">
                              <w:rPr>
                                <w:rFonts w:ascii="Arial" w:eastAsia="Times New Roman" w:hAnsi="Arial" w:cs="Arial"/>
                                <w:color w:val="000000"/>
                                <w:sz w:val="20"/>
                                <w:szCs w:val="20"/>
                              </w:rPr>
                              <w:t>771</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384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49</w:t>
                            </w:r>
                            <w:r>
                              <w:rPr>
                                <w:rFonts w:ascii="Arial" w:eastAsia="Times New Roman" w:hAnsi="Arial" w:cs="Arial"/>
                                <w:color w:val="000000"/>
                                <w:sz w:val="20"/>
                                <w:szCs w:val="20"/>
                              </w:rPr>
                              <w:t>,</w:t>
                            </w:r>
                            <w:r w:rsidRPr="00343EFB">
                              <w:rPr>
                                <w:rFonts w:ascii="Arial" w:eastAsia="Times New Roman" w:hAnsi="Arial" w:cs="Arial"/>
                                <w:color w:val="000000"/>
                                <w:sz w:val="20"/>
                                <w:szCs w:val="20"/>
                              </w:rPr>
                              <w:t>015</w:t>
                            </w:r>
                          </w:p>
                        </w:tc>
                      </w:tr>
                      <w:tr w:rsidR="00A67C3E" w:rsidRPr="00343EFB" w:rsidTr="00450FBB">
                        <w:trPr>
                          <w:trHeight w:val="610"/>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rPr>
                                <w:rFonts w:ascii="Arial" w:eastAsia="Times New Roman" w:hAnsi="Arial" w:cs="Arial"/>
                                <w:b/>
                                <w:bCs/>
                                <w:color w:val="000000"/>
                                <w:sz w:val="20"/>
                                <w:szCs w:val="20"/>
                              </w:rPr>
                            </w:pPr>
                            <w:r w:rsidRPr="00343EFB">
                              <w:rPr>
                                <w:rFonts w:ascii="Arial" w:eastAsia="Times New Roman" w:hAnsi="Arial" w:cs="Arial"/>
                                <w:b/>
                                <w:bCs/>
                                <w:color w:val="000000"/>
                                <w:sz w:val="20"/>
                                <w:szCs w:val="20"/>
                              </w:rPr>
                              <w:t>Occasions of service (volumes)</w:t>
                            </w:r>
                          </w:p>
                        </w:tc>
                        <w:tc>
                          <w:tcPr>
                            <w:tcW w:w="142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c>
                          <w:tcPr>
                            <w:tcW w:w="4252" w:type="dxa"/>
                            <w:gridSpan w:val="3"/>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r w:rsidRPr="00343EFB">
                              <w:rPr>
                                <w:rFonts w:ascii="Arial" w:eastAsia="Times New Roman" w:hAnsi="Arial" w:cs="Arial"/>
                                <w:b/>
                                <w:bCs/>
                                <w:i/>
                                <w:iCs/>
                                <w:color w:val="000000"/>
                                <w:sz w:val="20"/>
                                <w:szCs w:val="20"/>
                              </w:rPr>
                              <w:t>Non-admitted</w:t>
                            </w:r>
                          </w:p>
                        </w:tc>
                        <w:tc>
                          <w:tcPr>
                            <w:tcW w:w="1418"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center"/>
                              <w:rPr>
                                <w:rFonts w:ascii="Arial" w:eastAsia="Times New Roman" w:hAnsi="Arial" w:cs="Arial"/>
                                <w:color w:val="000000"/>
                                <w:sz w:val="20"/>
                                <w:szCs w:val="20"/>
                              </w:rPr>
                            </w:pP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Centre based</w:t>
                            </w:r>
                          </w:p>
                        </w:tc>
                        <w:tc>
                          <w:tcPr>
                            <w:tcW w:w="1428"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482</w:t>
                            </w:r>
                            <w:r>
                              <w:rPr>
                                <w:rFonts w:ascii="Arial" w:eastAsia="Times New Roman" w:hAnsi="Arial" w:cs="Arial"/>
                                <w:color w:val="000000"/>
                                <w:sz w:val="20"/>
                                <w:szCs w:val="20"/>
                              </w:rPr>
                              <w:t>,</w:t>
                            </w:r>
                            <w:r w:rsidRPr="00343EFB">
                              <w:rPr>
                                <w:rFonts w:ascii="Arial" w:eastAsia="Times New Roman" w:hAnsi="Arial" w:cs="Arial"/>
                                <w:color w:val="000000"/>
                                <w:sz w:val="20"/>
                                <w:szCs w:val="20"/>
                              </w:rPr>
                              <w:t>327</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329</w:t>
                            </w:r>
                            <w:r>
                              <w:rPr>
                                <w:rFonts w:ascii="Arial" w:eastAsia="Times New Roman" w:hAnsi="Arial" w:cs="Arial"/>
                                <w:color w:val="000000"/>
                                <w:sz w:val="20"/>
                                <w:szCs w:val="20"/>
                              </w:rPr>
                              <w:t>,</w:t>
                            </w:r>
                            <w:r w:rsidRPr="00343EFB">
                              <w:rPr>
                                <w:rFonts w:ascii="Arial" w:eastAsia="Times New Roman" w:hAnsi="Arial" w:cs="Arial"/>
                                <w:color w:val="000000"/>
                                <w:sz w:val="20"/>
                                <w:szCs w:val="20"/>
                              </w:rPr>
                              <w:t>179</w:t>
                            </w:r>
                          </w:p>
                        </w:tc>
                        <w:tc>
                          <w:tcPr>
                            <w:tcW w:w="1418"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4D231F">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440</w:t>
                            </w:r>
                            <w:r>
                              <w:rPr>
                                <w:rFonts w:ascii="Arial" w:eastAsia="Times New Roman" w:hAnsi="Arial" w:cs="Arial"/>
                                <w:color w:val="000000"/>
                                <w:sz w:val="20"/>
                                <w:szCs w:val="20"/>
                              </w:rPr>
                              <w:t>,</w:t>
                            </w:r>
                            <w:r w:rsidRPr="00343EFB">
                              <w:rPr>
                                <w:rFonts w:ascii="Arial" w:eastAsia="Times New Roman" w:hAnsi="Arial" w:cs="Arial"/>
                                <w:color w:val="000000"/>
                                <w:sz w:val="20"/>
                                <w:szCs w:val="20"/>
                              </w:rPr>
                              <w:t>136</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39</w:t>
                            </w:r>
                            <w:r>
                              <w:rPr>
                                <w:rFonts w:ascii="Arial" w:eastAsia="Times New Roman" w:hAnsi="Arial" w:cs="Arial"/>
                                <w:color w:val="000000"/>
                                <w:sz w:val="20"/>
                                <w:szCs w:val="20"/>
                              </w:rPr>
                              <w:t>,</w:t>
                            </w:r>
                            <w:r w:rsidRPr="00343EFB">
                              <w:rPr>
                                <w:rFonts w:ascii="Arial" w:eastAsia="Times New Roman" w:hAnsi="Arial" w:cs="Arial"/>
                                <w:color w:val="000000"/>
                                <w:sz w:val="20"/>
                                <w:szCs w:val="20"/>
                              </w:rPr>
                              <w:t>323</w:t>
                            </w:r>
                          </w:p>
                        </w:tc>
                        <w:tc>
                          <w:tcPr>
                            <w:tcW w:w="1418" w:type="dxa"/>
                            <w:tcBorders>
                              <w:top w:val="single" w:sz="4" w:space="0" w:color="auto"/>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w:t>
                            </w:r>
                            <w:r>
                              <w:rPr>
                                <w:rFonts w:ascii="Arial" w:eastAsia="Times New Roman" w:hAnsi="Arial" w:cs="Arial"/>
                                <w:color w:val="000000"/>
                                <w:sz w:val="20"/>
                                <w:szCs w:val="20"/>
                              </w:rPr>
                              <w:t>,</w:t>
                            </w:r>
                            <w:r w:rsidRPr="00343EFB">
                              <w:rPr>
                                <w:rFonts w:ascii="Arial" w:eastAsia="Times New Roman" w:hAnsi="Arial" w:cs="Arial"/>
                                <w:color w:val="000000"/>
                                <w:sz w:val="20"/>
                                <w:szCs w:val="20"/>
                              </w:rPr>
                              <w:t>290</w:t>
                            </w:r>
                            <w:r>
                              <w:rPr>
                                <w:rFonts w:ascii="Arial" w:eastAsia="Times New Roman" w:hAnsi="Arial" w:cs="Arial"/>
                                <w:color w:val="000000"/>
                                <w:sz w:val="20"/>
                                <w:szCs w:val="20"/>
                              </w:rPr>
                              <w:t>,</w:t>
                            </w:r>
                            <w:r w:rsidRPr="00343EFB">
                              <w:rPr>
                                <w:rFonts w:ascii="Arial" w:eastAsia="Times New Roman" w:hAnsi="Arial" w:cs="Arial"/>
                                <w:color w:val="000000"/>
                                <w:sz w:val="20"/>
                                <w:szCs w:val="20"/>
                              </w:rPr>
                              <w:t>965</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Home based</w:t>
                            </w:r>
                          </w:p>
                        </w:tc>
                        <w:tc>
                          <w:tcPr>
                            <w:tcW w:w="1428" w:type="dxa"/>
                            <w:tcBorders>
                              <w:top w:val="nil"/>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122</w:t>
                            </w:r>
                            <w:r>
                              <w:rPr>
                                <w:rFonts w:ascii="Arial" w:eastAsia="Times New Roman" w:hAnsi="Arial" w:cs="Arial"/>
                                <w:color w:val="000000"/>
                                <w:sz w:val="20"/>
                                <w:szCs w:val="20"/>
                              </w:rPr>
                              <w:t>,</w:t>
                            </w:r>
                            <w:r w:rsidRPr="00343EFB">
                              <w:rPr>
                                <w:rFonts w:ascii="Arial" w:eastAsia="Times New Roman" w:hAnsi="Arial" w:cs="Arial"/>
                                <w:color w:val="000000"/>
                                <w:sz w:val="20"/>
                                <w:szCs w:val="20"/>
                              </w:rPr>
                              <w:t>867</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119</w:t>
                            </w:r>
                            <w:r>
                              <w:rPr>
                                <w:rFonts w:ascii="Arial" w:eastAsia="Times New Roman" w:hAnsi="Arial" w:cs="Arial"/>
                                <w:color w:val="000000"/>
                                <w:sz w:val="20"/>
                                <w:szCs w:val="20"/>
                              </w:rPr>
                              <w:t>,</w:t>
                            </w:r>
                            <w:r w:rsidRPr="00343EFB">
                              <w:rPr>
                                <w:rFonts w:ascii="Arial" w:eastAsia="Times New Roman" w:hAnsi="Arial" w:cs="Arial"/>
                                <w:color w:val="000000"/>
                                <w:sz w:val="20"/>
                                <w:szCs w:val="20"/>
                              </w:rPr>
                              <w:t>457</w:t>
                            </w:r>
                          </w:p>
                        </w:tc>
                        <w:tc>
                          <w:tcPr>
                            <w:tcW w:w="1418"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140</w:t>
                            </w:r>
                            <w:r>
                              <w:rPr>
                                <w:rFonts w:ascii="Arial" w:eastAsia="Times New Roman" w:hAnsi="Arial" w:cs="Arial"/>
                                <w:color w:val="000000"/>
                                <w:sz w:val="20"/>
                                <w:szCs w:val="20"/>
                              </w:rPr>
                              <w:t>,</w:t>
                            </w:r>
                            <w:r w:rsidRPr="00343EFB">
                              <w:rPr>
                                <w:rFonts w:ascii="Arial" w:eastAsia="Times New Roman" w:hAnsi="Arial" w:cs="Arial"/>
                                <w:color w:val="000000"/>
                                <w:sz w:val="20"/>
                                <w:szCs w:val="20"/>
                              </w:rPr>
                              <w:t>019</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100</w:t>
                            </w:r>
                            <w:r>
                              <w:rPr>
                                <w:rFonts w:ascii="Arial" w:eastAsia="Times New Roman" w:hAnsi="Arial" w:cs="Arial"/>
                                <w:color w:val="000000"/>
                                <w:sz w:val="20"/>
                                <w:szCs w:val="20"/>
                              </w:rPr>
                              <w:t>,</w:t>
                            </w:r>
                            <w:r w:rsidRPr="00343EFB">
                              <w:rPr>
                                <w:rFonts w:ascii="Arial" w:eastAsia="Times New Roman" w:hAnsi="Arial" w:cs="Arial"/>
                                <w:color w:val="000000"/>
                                <w:sz w:val="20"/>
                                <w:szCs w:val="20"/>
                              </w:rPr>
                              <w:t>70</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392</w:t>
                            </w:r>
                            <w:r>
                              <w:rPr>
                                <w:rFonts w:ascii="Arial" w:eastAsia="Times New Roman" w:hAnsi="Arial" w:cs="Arial"/>
                                <w:color w:val="000000"/>
                                <w:sz w:val="20"/>
                                <w:szCs w:val="20"/>
                              </w:rPr>
                              <w:t>,</w:t>
                            </w:r>
                            <w:r w:rsidRPr="00343EFB">
                              <w:rPr>
                                <w:rFonts w:ascii="Arial" w:eastAsia="Times New Roman" w:hAnsi="Arial" w:cs="Arial"/>
                                <w:color w:val="000000"/>
                                <w:sz w:val="20"/>
                                <w:szCs w:val="20"/>
                              </w:rPr>
                              <w:t>413</w:t>
                            </w:r>
                          </w:p>
                        </w:tc>
                      </w:tr>
                      <w:tr w:rsidR="00A67C3E" w:rsidRPr="00343EFB" w:rsidTr="00450FBB">
                        <w:trPr>
                          <w:trHeight w:val="315"/>
                        </w:trPr>
                        <w:tc>
                          <w:tcPr>
                            <w:tcW w:w="2425" w:type="dxa"/>
                            <w:tcBorders>
                              <w:top w:val="nil"/>
                              <w:left w:val="nil"/>
                              <w:bottom w:val="nil"/>
                              <w:right w:val="nil"/>
                            </w:tcBorders>
                            <w:shd w:val="clear" w:color="auto" w:fill="auto"/>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Combined Centre &amp; Home based</w:t>
                            </w:r>
                          </w:p>
                        </w:tc>
                        <w:tc>
                          <w:tcPr>
                            <w:tcW w:w="1428" w:type="dxa"/>
                            <w:tcBorders>
                              <w:top w:val="nil"/>
                              <w:left w:val="single" w:sz="4" w:space="0" w:color="auto"/>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 </w:t>
                            </w:r>
                            <w:r w:rsidRPr="00343EFB">
                              <w:rPr>
                                <w:rFonts w:ascii="Arial" w:eastAsia="Times New Roman" w:hAnsi="Arial" w:cs="Arial"/>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 </w:t>
                            </w:r>
                          </w:p>
                        </w:tc>
                        <w:tc>
                          <w:tcPr>
                            <w:tcW w:w="1418"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 </w:t>
                            </w:r>
                          </w:p>
                        </w:tc>
                        <w:tc>
                          <w:tcPr>
                            <w:tcW w:w="1417" w:type="dxa"/>
                            <w:tcBorders>
                              <w:top w:val="nil"/>
                              <w:left w:val="nil"/>
                              <w:bottom w:val="dotted" w:sz="4" w:space="0" w:color="auto"/>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 </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 </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Other (please specify)</w:t>
                            </w:r>
                          </w:p>
                        </w:tc>
                        <w:tc>
                          <w:tcPr>
                            <w:tcW w:w="1428" w:type="dxa"/>
                            <w:tcBorders>
                              <w:top w:val="nil"/>
                              <w:left w:val="single" w:sz="4" w:space="0" w:color="auto"/>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18</w:t>
                            </w:r>
                            <w:r>
                              <w:rPr>
                                <w:rFonts w:ascii="Arial" w:eastAsia="Times New Roman" w:hAnsi="Arial" w:cs="Arial"/>
                                <w:color w:val="000000"/>
                                <w:sz w:val="20"/>
                                <w:szCs w:val="20"/>
                              </w:rPr>
                              <w:t>,</w:t>
                            </w:r>
                            <w:r w:rsidRPr="00343EFB">
                              <w:rPr>
                                <w:rFonts w:ascii="Arial" w:eastAsia="Times New Roman" w:hAnsi="Arial" w:cs="Arial"/>
                                <w:color w:val="000000"/>
                                <w:sz w:val="20"/>
                                <w:szCs w:val="20"/>
                              </w:rPr>
                              <w:t>978</w:t>
                            </w:r>
                          </w:p>
                        </w:tc>
                        <w:tc>
                          <w:tcPr>
                            <w:tcW w:w="1417"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17</w:t>
                            </w:r>
                            <w:r>
                              <w:rPr>
                                <w:rFonts w:ascii="Arial" w:eastAsia="Times New Roman" w:hAnsi="Arial" w:cs="Arial"/>
                                <w:color w:val="000000"/>
                                <w:sz w:val="20"/>
                                <w:szCs w:val="20"/>
                              </w:rPr>
                              <w:t>,</w:t>
                            </w:r>
                            <w:r w:rsidRPr="00343EFB">
                              <w:rPr>
                                <w:rFonts w:ascii="Arial" w:eastAsia="Times New Roman" w:hAnsi="Arial" w:cs="Arial"/>
                                <w:color w:val="000000"/>
                                <w:sz w:val="20"/>
                                <w:szCs w:val="20"/>
                              </w:rPr>
                              <w:t>643</w:t>
                            </w:r>
                          </w:p>
                        </w:tc>
                        <w:tc>
                          <w:tcPr>
                            <w:tcW w:w="1418"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18</w:t>
                            </w:r>
                            <w:r>
                              <w:rPr>
                                <w:rFonts w:ascii="Arial" w:eastAsia="Times New Roman" w:hAnsi="Arial" w:cs="Arial"/>
                                <w:color w:val="000000"/>
                                <w:sz w:val="20"/>
                                <w:szCs w:val="20"/>
                              </w:rPr>
                              <w:t>,</w:t>
                            </w:r>
                            <w:r w:rsidRPr="00343EFB">
                              <w:rPr>
                                <w:rFonts w:ascii="Arial" w:eastAsia="Times New Roman" w:hAnsi="Arial" w:cs="Arial"/>
                                <w:color w:val="000000"/>
                                <w:sz w:val="20"/>
                                <w:szCs w:val="20"/>
                              </w:rPr>
                              <w:t>416</w:t>
                            </w:r>
                          </w:p>
                        </w:tc>
                        <w:tc>
                          <w:tcPr>
                            <w:tcW w:w="1417" w:type="dxa"/>
                            <w:tcBorders>
                              <w:top w:val="nil"/>
                              <w:left w:val="nil"/>
                              <w:bottom w:val="nil"/>
                              <w:right w:val="single" w:sz="4" w:space="0" w:color="auto"/>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2</w:t>
                            </w:r>
                            <w:r>
                              <w:rPr>
                                <w:rFonts w:ascii="Arial" w:eastAsia="Times New Roman" w:hAnsi="Arial" w:cs="Arial"/>
                                <w:color w:val="000000"/>
                                <w:sz w:val="20"/>
                                <w:szCs w:val="20"/>
                              </w:rPr>
                              <w:t>,</w:t>
                            </w:r>
                            <w:r w:rsidRPr="00343EFB">
                              <w:rPr>
                                <w:rFonts w:ascii="Arial" w:eastAsia="Times New Roman" w:hAnsi="Arial" w:cs="Arial"/>
                                <w:color w:val="000000"/>
                                <w:sz w:val="20"/>
                                <w:szCs w:val="20"/>
                              </w:rPr>
                              <w:t>410</w:t>
                            </w:r>
                          </w:p>
                        </w:tc>
                        <w:tc>
                          <w:tcPr>
                            <w:tcW w:w="1418" w:type="dxa"/>
                            <w:tcBorders>
                              <w:top w:val="nil"/>
                              <w:left w:val="nil"/>
                              <w:bottom w:val="dotted"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57</w:t>
                            </w:r>
                            <w:r>
                              <w:rPr>
                                <w:rFonts w:ascii="Arial" w:eastAsia="Times New Roman" w:hAnsi="Arial" w:cs="Arial"/>
                                <w:color w:val="000000"/>
                                <w:sz w:val="20"/>
                                <w:szCs w:val="20"/>
                              </w:rPr>
                              <w:t>,</w:t>
                            </w:r>
                            <w:r w:rsidRPr="00343EFB">
                              <w:rPr>
                                <w:rFonts w:ascii="Arial" w:eastAsia="Times New Roman" w:hAnsi="Arial" w:cs="Arial"/>
                                <w:color w:val="000000"/>
                                <w:sz w:val="20"/>
                                <w:szCs w:val="20"/>
                              </w:rPr>
                              <w:t>447</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i/>
                                <w:iCs/>
                                <w:color w:val="000000"/>
                                <w:sz w:val="20"/>
                                <w:szCs w:val="20"/>
                              </w:rPr>
                            </w:pPr>
                            <w:r w:rsidRPr="00343EFB">
                              <w:rPr>
                                <w:rFonts w:ascii="Arial" w:eastAsia="Times New Roman" w:hAnsi="Arial" w:cs="Arial"/>
                                <w:i/>
                                <w:iCs/>
                                <w:color w:val="000000"/>
                                <w:sz w:val="20"/>
                                <w:szCs w:val="20"/>
                              </w:rPr>
                              <w:t>Total occasions of service</w:t>
                            </w:r>
                          </w:p>
                        </w:tc>
                        <w:tc>
                          <w:tcPr>
                            <w:tcW w:w="142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624,172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466,279</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598,571</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51,803</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1</w:t>
                            </w:r>
                            <w:r>
                              <w:rPr>
                                <w:rFonts w:ascii="Arial" w:eastAsia="Times New Roman" w:hAnsi="Arial" w:cs="Arial"/>
                                <w:color w:val="000000"/>
                                <w:sz w:val="20"/>
                                <w:szCs w:val="20"/>
                              </w:rPr>
                              <w:t>,</w:t>
                            </w:r>
                            <w:r w:rsidRPr="00343EFB">
                              <w:rPr>
                                <w:rFonts w:ascii="Arial" w:eastAsia="Times New Roman" w:hAnsi="Arial" w:cs="Arial"/>
                                <w:color w:val="000000"/>
                                <w:sz w:val="20"/>
                                <w:szCs w:val="20"/>
                              </w:rPr>
                              <w:t>740</w:t>
                            </w:r>
                            <w:r>
                              <w:rPr>
                                <w:rFonts w:ascii="Arial" w:eastAsia="Times New Roman" w:hAnsi="Arial" w:cs="Arial"/>
                                <w:color w:val="000000"/>
                                <w:sz w:val="20"/>
                                <w:szCs w:val="20"/>
                              </w:rPr>
                              <w:t>,</w:t>
                            </w:r>
                            <w:r w:rsidRPr="00343EFB">
                              <w:rPr>
                                <w:rFonts w:ascii="Arial" w:eastAsia="Times New Roman" w:hAnsi="Arial" w:cs="Arial"/>
                                <w:color w:val="000000"/>
                                <w:sz w:val="20"/>
                                <w:szCs w:val="20"/>
                              </w:rPr>
                              <w:t>825</w:t>
                            </w:r>
                          </w:p>
                        </w:tc>
                      </w:tr>
                      <w:tr w:rsidR="00A67C3E" w:rsidRPr="00343EFB" w:rsidTr="00450FBB">
                        <w:trPr>
                          <w:trHeight w:val="315"/>
                        </w:trPr>
                        <w:tc>
                          <w:tcPr>
                            <w:tcW w:w="2425" w:type="dxa"/>
                            <w:tcBorders>
                              <w:top w:val="nil"/>
                              <w:left w:val="nil"/>
                              <w:bottom w:val="nil"/>
                              <w:right w:val="nil"/>
                            </w:tcBorders>
                            <w:shd w:val="clear" w:color="auto" w:fill="auto"/>
                            <w:noWrap/>
                            <w:vAlign w:val="bottom"/>
                            <w:hideMark/>
                          </w:tcPr>
                          <w:p w:rsidR="00A67C3E" w:rsidRPr="00343EFB" w:rsidRDefault="00A67C3E" w:rsidP="005C1545">
                            <w:pPr>
                              <w:spacing w:after="0" w:line="240" w:lineRule="auto"/>
                              <w:jc w:val="right"/>
                              <w:rPr>
                                <w:rFonts w:ascii="Arial" w:eastAsia="Times New Roman" w:hAnsi="Arial" w:cs="Arial"/>
                                <w:i/>
                                <w:iCs/>
                                <w:color w:val="000000"/>
                                <w:sz w:val="20"/>
                                <w:szCs w:val="20"/>
                              </w:rPr>
                            </w:pPr>
                            <w:r w:rsidRPr="00343EFB">
                              <w:rPr>
                                <w:rFonts w:ascii="Arial" w:eastAsia="Times New Roman" w:hAnsi="Arial" w:cs="Arial"/>
                                <w:i/>
                                <w:iCs/>
                                <w:color w:val="000000"/>
                                <w:sz w:val="20"/>
                                <w:szCs w:val="20"/>
                              </w:rPr>
                              <w:t>Weighted Bed Day Equivalents</w:t>
                            </w:r>
                          </w:p>
                        </w:tc>
                        <w:tc>
                          <w:tcPr>
                            <w:tcW w:w="1428" w:type="dxa"/>
                            <w:tcBorders>
                              <w:top w:val="nil"/>
                              <w:left w:val="single" w:sz="4" w:space="0" w:color="auto"/>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74</w:t>
                            </w:r>
                            <w:r>
                              <w:rPr>
                                <w:rFonts w:ascii="Arial" w:eastAsia="Times New Roman" w:hAnsi="Arial" w:cs="Arial"/>
                                <w:sz w:val="20"/>
                                <w:szCs w:val="20"/>
                              </w:rPr>
                              <w:t>,</w:t>
                            </w:r>
                            <w:r w:rsidRPr="00343EFB">
                              <w:rPr>
                                <w:rFonts w:ascii="Arial" w:eastAsia="Times New Roman" w:hAnsi="Arial" w:cs="Arial"/>
                                <w:sz w:val="20"/>
                                <w:szCs w:val="20"/>
                              </w:rPr>
                              <w:t>218</w:t>
                            </w:r>
                          </w:p>
                        </w:tc>
                        <w:tc>
                          <w:tcPr>
                            <w:tcW w:w="1417" w:type="dxa"/>
                            <w:tcBorders>
                              <w:top w:val="nil"/>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55</w:t>
                            </w:r>
                            <w:r>
                              <w:rPr>
                                <w:rFonts w:ascii="Arial" w:eastAsia="Times New Roman" w:hAnsi="Arial" w:cs="Arial"/>
                                <w:sz w:val="20"/>
                                <w:szCs w:val="20"/>
                              </w:rPr>
                              <w:t>,</w:t>
                            </w:r>
                            <w:r w:rsidRPr="00343EFB">
                              <w:rPr>
                                <w:rFonts w:ascii="Arial" w:eastAsia="Times New Roman" w:hAnsi="Arial" w:cs="Arial"/>
                                <w:sz w:val="20"/>
                                <w:szCs w:val="20"/>
                              </w:rPr>
                              <w:t>443</w:t>
                            </w:r>
                          </w:p>
                        </w:tc>
                        <w:tc>
                          <w:tcPr>
                            <w:tcW w:w="1418" w:type="dxa"/>
                            <w:tcBorders>
                              <w:top w:val="nil"/>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71</w:t>
                            </w:r>
                            <w:r>
                              <w:rPr>
                                <w:rFonts w:ascii="Arial" w:eastAsia="Times New Roman" w:hAnsi="Arial" w:cs="Arial"/>
                                <w:sz w:val="20"/>
                                <w:szCs w:val="20"/>
                              </w:rPr>
                              <w:t>,</w:t>
                            </w:r>
                            <w:r w:rsidRPr="00343EFB">
                              <w:rPr>
                                <w:rFonts w:ascii="Arial" w:eastAsia="Times New Roman" w:hAnsi="Arial" w:cs="Arial"/>
                                <w:sz w:val="20"/>
                                <w:szCs w:val="20"/>
                              </w:rPr>
                              <w:t>174</w:t>
                            </w:r>
                          </w:p>
                        </w:tc>
                        <w:tc>
                          <w:tcPr>
                            <w:tcW w:w="1417" w:type="dxa"/>
                            <w:tcBorders>
                              <w:top w:val="nil"/>
                              <w:left w:val="nil"/>
                              <w:bottom w:val="single" w:sz="4" w:space="0" w:color="auto"/>
                              <w:right w:val="single" w:sz="4" w:space="0" w:color="auto"/>
                            </w:tcBorders>
                            <w:shd w:val="clear" w:color="000000" w:fill="CCCCFF"/>
                            <w:noWrap/>
                            <w:vAlign w:val="bottom"/>
                            <w:hideMark/>
                          </w:tcPr>
                          <w:p w:rsidR="00A67C3E" w:rsidRPr="00343EFB" w:rsidRDefault="00A67C3E" w:rsidP="005C1545">
                            <w:pPr>
                              <w:spacing w:after="0" w:line="240" w:lineRule="auto"/>
                              <w:jc w:val="right"/>
                              <w:rPr>
                                <w:rFonts w:ascii="Arial" w:eastAsia="Times New Roman" w:hAnsi="Arial" w:cs="Arial"/>
                                <w:sz w:val="20"/>
                                <w:szCs w:val="20"/>
                              </w:rPr>
                            </w:pPr>
                            <w:r w:rsidRPr="00343EFB">
                              <w:rPr>
                                <w:rFonts w:ascii="Arial" w:eastAsia="Times New Roman" w:hAnsi="Arial" w:cs="Arial"/>
                                <w:sz w:val="20"/>
                                <w:szCs w:val="20"/>
                              </w:rPr>
                              <w:t>6</w:t>
                            </w:r>
                            <w:r>
                              <w:rPr>
                                <w:rFonts w:ascii="Arial" w:eastAsia="Times New Roman" w:hAnsi="Arial" w:cs="Arial"/>
                                <w:sz w:val="20"/>
                                <w:szCs w:val="20"/>
                              </w:rPr>
                              <w:t>,</w:t>
                            </w:r>
                            <w:r w:rsidRPr="00343EFB">
                              <w:rPr>
                                <w:rFonts w:ascii="Arial" w:eastAsia="Times New Roman" w:hAnsi="Arial" w:cs="Arial"/>
                                <w:sz w:val="20"/>
                                <w:szCs w:val="20"/>
                              </w:rPr>
                              <w:t>160</w:t>
                            </w:r>
                          </w:p>
                        </w:tc>
                        <w:tc>
                          <w:tcPr>
                            <w:tcW w:w="1418" w:type="dxa"/>
                            <w:tcBorders>
                              <w:top w:val="nil"/>
                              <w:left w:val="nil"/>
                              <w:bottom w:val="single" w:sz="4" w:space="0" w:color="auto"/>
                              <w:right w:val="single" w:sz="4" w:space="0" w:color="auto"/>
                            </w:tcBorders>
                            <w:shd w:val="clear" w:color="000000" w:fill="CCCCFF"/>
                            <w:noWrap/>
                            <w:vAlign w:val="bottom"/>
                            <w:hideMark/>
                          </w:tcPr>
                          <w:p w:rsidR="00A67C3E" w:rsidRPr="00343EFB" w:rsidRDefault="00A67C3E" w:rsidP="00450FBB">
                            <w:pPr>
                              <w:spacing w:after="0" w:line="240" w:lineRule="auto"/>
                              <w:jc w:val="right"/>
                              <w:rPr>
                                <w:rFonts w:ascii="Arial" w:eastAsia="Times New Roman" w:hAnsi="Arial" w:cs="Arial"/>
                                <w:color w:val="000000"/>
                                <w:sz w:val="20"/>
                                <w:szCs w:val="20"/>
                              </w:rPr>
                            </w:pPr>
                            <w:r w:rsidRPr="00343EFB">
                              <w:rPr>
                                <w:rFonts w:ascii="Arial" w:eastAsia="Times New Roman" w:hAnsi="Arial" w:cs="Arial"/>
                                <w:color w:val="000000"/>
                                <w:sz w:val="20"/>
                                <w:szCs w:val="20"/>
                              </w:rPr>
                              <w:t>206</w:t>
                            </w:r>
                            <w:r>
                              <w:rPr>
                                <w:rFonts w:ascii="Arial" w:eastAsia="Times New Roman" w:hAnsi="Arial" w:cs="Arial"/>
                                <w:color w:val="000000"/>
                                <w:sz w:val="20"/>
                                <w:szCs w:val="20"/>
                              </w:rPr>
                              <w:t>,</w:t>
                            </w:r>
                            <w:r w:rsidRPr="00343EFB">
                              <w:rPr>
                                <w:rFonts w:ascii="Arial" w:eastAsia="Times New Roman" w:hAnsi="Arial" w:cs="Arial"/>
                                <w:color w:val="000000"/>
                                <w:sz w:val="20"/>
                                <w:szCs w:val="20"/>
                              </w:rPr>
                              <w:t>995</w:t>
                            </w:r>
                          </w:p>
                        </w:tc>
                      </w:tr>
                      <w:tr w:rsidR="00A67C3E" w:rsidRPr="005C1545" w:rsidTr="00450FBB">
                        <w:trPr>
                          <w:trHeight w:val="375"/>
                        </w:trPr>
                        <w:tc>
                          <w:tcPr>
                            <w:tcW w:w="2425"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rPr>
                                <w:rFonts w:ascii="Times New Roman" w:eastAsia="Times New Roman" w:hAnsi="Times New Roman" w:cs="Times New Roman"/>
                                <w:b/>
                                <w:bCs/>
                                <w:color w:val="000000"/>
                                <w:sz w:val="20"/>
                                <w:szCs w:val="20"/>
                              </w:rPr>
                            </w:pPr>
                          </w:p>
                        </w:tc>
                        <w:tc>
                          <w:tcPr>
                            <w:tcW w:w="142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center"/>
                              <w:rPr>
                                <w:rFonts w:ascii="Times New Roman" w:eastAsia="Times New Roman" w:hAnsi="Times New Roman" w:cs="Times New Roman"/>
                                <w:color w:val="000000"/>
                                <w:sz w:val="20"/>
                                <w:szCs w:val="20"/>
                              </w:rPr>
                            </w:pPr>
                          </w:p>
                        </w:tc>
                      </w:tr>
                      <w:tr w:rsidR="00A67C3E" w:rsidRPr="005C1545" w:rsidTr="00450FBB">
                        <w:trPr>
                          <w:trHeight w:val="229"/>
                        </w:trPr>
                        <w:tc>
                          <w:tcPr>
                            <w:tcW w:w="2425"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rPr>
                                <w:rFonts w:ascii="Arial" w:eastAsia="Times New Roman" w:hAnsi="Arial" w:cs="Arial"/>
                                <w:sz w:val="20"/>
                                <w:szCs w:val="20"/>
                              </w:rPr>
                            </w:pPr>
                          </w:p>
                        </w:tc>
                        <w:tc>
                          <w:tcPr>
                            <w:tcW w:w="142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r>
                      <w:tr w:rsidR="00A67C3E" w:rsidRPr="005C1545" w:rsidTr="00450FBB">
                        <w:trPr>
                          <w:trHeight w:val="300"/>
                        </w:trPr>
                        <w:tc>
                          <w:tcPr>
                            <w:tcW w:w="3853" w:type="dxa"/>
                            <w:gridSpan w:val="2"/>
                            <w:tcBorders>
                              <w:top w:val="nil"/>
                              <w:left w:val="nil"/>
                              <w:bottom w:val="nil"/>
                              <w:right w:val="nil"/>
                            </w:tcBorders>
                            <w:shd w:val="clear" w:color="auto" w:fill="auto"/>
                            <w:noWrap/>
                            <w:vAlign w:val="bottom"/>
                            <w:hideMark/>
                          </w:tcPr>
                          <w:p w:rsidR="00A67C3E" w:rsidRPr="004A74D1" w:rsidRDefault="00A67C3E" w:rsidP="005C1545">
                            <w:pPr>
                              <w:spacing w:after="0" w:line="240" w:lineRule="auto"/>
                              <w:rPr>
                                <w:rFonts w:ascii="Arial" w:eastAsia="Times New Roman" w:hAnsi="Arial" w:cs="Arial"/>
                                <w:sz w:val="18"/>
                                <w:szCs w:val="20"/>
                              </w:rPr>
                            </w:pPr>
                            <w:r w:rsidRPr="004A74D1">
                              <w:rPr>
                                <w:rFonts w:ascii="Arial" w:eastAsia="Times New Roman" w:hAnsi="Arial" w:cs="Arial"/>
                                <w:sz w:val="18"/>
                                <w:szCs w:val="20"/>
                                <w:vertAlign w:val="superscript"/>
                              </w:rPr>
                              <w:t xml:space="preserve">1  </w:t>
                            </w:r>
                            <w:r w:rsidRPr="004A74D1">
                              <w:rPr>
                                <w:rFonts w:ascii="Arial" w:eastAsia="Times New Roman" w:hAnsi="Arial" w:cs="Arial"/>
                                <w:sz w:val="18"/>
                                <w:szCs w:val="20"/>
                              </w:rPr>
                              <w:t>Geriatric Evaluation and Management</w:t>
                            </w:r>
                          </w:p>
                        </w:tc>
                        <w:tc>
                          <w:tcPr>
                            <w:tcW w:w="1417"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jc w:val="right"/>
                              <w:rPr>
                                <w:rFonts w:ascii="Times New Roman" w:eastAsia="Times New Roman" w:hAnsi="Times New Roman" w:cs="Times New Roman"/>
                                <w:sz w:val="24"/>
                                <w:szCs w:val="24"/>
                              </w:rPr>
                            </w:pPr>
                          </w:p>
                        </w:tc>
                      </w:tr>
                      <w:tr w:rsidR="00A67C3E" w:rsidRPr="005C1545" w:rsidTr="00450FBB">
                        <w:trPr>
                          <w:trHeight w:val="285"/>
                        </w:trPr>
                        <w:tc>
                          <w:tcPr>
                            <w:tcW w:w="8105" w:type="dxa"/>
                            <w:gridSpan w:val="5"/>
                            <w:tcBorders>
                              <w:top w:val="nil"/>
                              <w:left w:val="nil"/>
                              <w:bottom w:val="nil"/>
                              <w:right w:val="nil"/>
                            </w:tcBorders>
                            <w:shd w:val="clear" w:color="auto" w:fill="auto"/>
                            <w:noWrap/>
                            <w:vAlign w:val="bottom"/>
                            <w:hideMark/>
                          </w:tcPr>
                          <w:p w:rsidR="00A67C3E" w:rsidRPr="004A74D1" w:rsidRDefault="00A67C3E" w:rsidP="005C1545">
                            <w:pPr>
                              <w:spacing w:after="0" w:line="240" w:lineRule="auto"/>
                              <w:rPr>
                                <w:rFonts w:ascii="Arial" w:eastAsia="Times New Roman" w:hAnsi="Arial" w:cs="Arial"/>
                                <w:sz w:val="18"/>
                                <w:szCs w:val="20"/>
                              </w:rPr>
                            </w:pPr>
                            <w:r w:rsidRPr="004A74D1">
                              <w:rPr>
                                <w:rFonts w:ascii="Arial" w:eastAsia="Times New Roman" w:hAnsi="Arial" w:cs="Arial"/>
                                <w:sz w:val="18"/>
                                <w:szCs w:val="20"/>
                                <w:vertAlign w:val="superscript"/>
                              </w:rPr>
                              <w:t xml:space="preserve">2  </w:t>
                            </w:r>
                            <w:r w:rsidRPr="004A74D1">
                              <w:rPr>
                                <w:rFonts w:ascii="Arial" w:eastAsia="Times New Roman" w:hAnsi="Arial" w:cs="Arial"/>
                                <w:sz w:val="18"/>
                                <w:szCs w:val="20"/>
                              </w:rPr>
                              <w:t>Episode data is for information only, and not a factor for calculating growth in service delivery.</w:t>
                            </w:r>
                          </w:p>
                        </w:tc>
                        <w:tc>
                          <w:tcPr>
                            <w:tcW w:w="1418" w:type="dxa"/>
                            <w:tcBorders>
                              <w:top w:val="nil"/>
                              <w:left w:val="nil"/>
                              <w:bottom w:val="nil"/>
                              <w:right w:val="nil"/>
                            </w:tcBorders>
                            <w:shd w:val="clear" w:color="auto" w:fill="auto"/>
                            <w:noWrap/>
                            <w:vAlign w:val="bottom"/>
                            <w:hideMark/>
                          </w:tcPr>
                          <w:p w:rsidR="00A67C3E" w:rsidRPr="005C1545" w:rsidRDefault="00A67C3E" w:rsidP="005C1545">
                            <w:pPr>
                              <w:spacing w:after="0" w:line="240" w:lineRule="auto"/>
                              <w:rPr>
                                <w:rFonts w:ascii="Arial" w:eastAsia="Times New Roman" w:hAnsi="Arial" w:cs="Arial"/>
                                <w:sz w:val="20"/>
                                <w:szCs w:val="20"/>
                              </w:rPr>
                            </w:pPr>
                          </w:p>
                        </w:tc>
                      </w:tr>
                    </w:tbl>
                    <w:p w:rsidR="00A67C3E" w:rsidRDefault="00A67C3E"/>
                  </w:txbxContent>
                </v:textbox>
              </v:shape>
            </w:pict>
          </mc:Fallback>
        </mc:AlternateContent>
      </w:r>
      <w:r w:rsidR="0064237C" w:rsidRPr="00095BBE">
        <w:rPr>
          <w:rFonts w:ascii="Arial" w:hAnsi="Arial" w:cs="Arial"/>
          <w:b/>
          <w:i/>
        </w:rPr>
        <w:t>Subacute care annual service activity and growth report</w:t>
      </w: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64237C" w:rsidRDefault="0064237C" w:rsidP="0064237C">
      <w:pPr>
        <w:jc w:val="center"/>
        <w:rPr>
          <w:rFonts w:ascii="Arial" w:hAnsi="Arial" w:cs="Arial"/>
          <w:b/>
        </w:rPr>
      </w:pPr>
    </w:p>
    <w:p w:rsidR="007F4687" w:rsidRDefault="00145716" w:rsidP="007F4687">
      <w:pPr>
        <w:spacing w:after="0"/>
        <w:rPr>
          <w:rFonts w:ascii="Arial" w:hAnsi="Arial" w:cs="Arial"/>
          <w:b/>
          <w:u w:val="single"/>
        </w:rPr>
      </w:pPr>
      <w:r>
        <w:rPr>
          <w:rFonts w:ascii="Arial" w:hAnsi="Arial" w:cs="Arial"/>
          <w:b/>
          <w:u w:val="single"/>
        </w:rPr>
        <w:br w:type="page"/>
      </w:r>
      <w:r w:rsidR="007F4687" w:rsidRPr="00AB366D">
        <w:rPr>
          <w:rFonts w:ascii="Arial" w:hAnsi="Arial" w:cs="Arial"/>
          <w:b/>
          <w:u w:val="single"/>
        </w:rPr>
        <w:lastRenderedPageBreak/>
        <w:t>Table 2</w:t>
      </w:r>
      <w:r w:rsidR="004A74D1">
        <w:rPr>
          <w:rFonts w:ascii="Arial" w:hAnsi="Arial" w:cs="Arial"/>
          <w:b/>
          <w:u w:val="single"/>
        </w:rPr>
        <w:t>A</w:t>
      </w:r>
      <w:r w:rsidR="007F4687" w:rsidRPr="00AB366D">
        <w:rPr>
          <w:rFonts w:ascii="Arial" w:hAnsi="Arial" w:cs="Arial"/>
          <w:b/>
          <w:u w:val="single"/>
        </w:rPr>
        <w:t xml:space="preserve">: Growth percentages (2011-12) </w:t>
      </w:r>
      <w:r w:rsidR="00E87D32">
        <w:rPr>
          <w:rFonts w:ascii="Arial" w:hAnsi="Arial" w:cs="Arial"/>
          <w:b/>
          <w:u w:val="single"/>
        </w:rPr>
        <w:t>reflecting</w:t>
      </w:r>
      <w:r w:rsidR="007F4687" w:rsidRPr="00AB366D">
        <w:rPr>
          <w:rFonts w:ascii="Arial" w:hAnsi="Arial" w:cs="Arial"/>
          <w:b/>
          <w:u w:val="single"/>
        </w:rPr>
        <w:t xml:space="preserve"> </w:t>
      </w:r>
      <w:r w:rsidR="00E87D32">
        <w:rPr>
          <w:rFonts w:ascii="Arial" w:hAnsi="Arial" w:cs="Arial"/>
          <w:b/>
          <w:u w:val="single"/>
        </w:rPr>
        <w:t>actual</w:t>
      </w:r>
      <w:r w:rsidR="007F4687" w:rsidRPr="00AB366D">
        <w:rPr>
          <w:rFonts w:ascii="Arial" w:hAnsi="Arial" w:cs="Arial"/>
          <w:b/>
          <w:u w:val="single"/>
        </w:rPr>
        <w:t xml:space="preserve"> ALOS</w:t>
      </w:r>
    </w:p>
    <w:tbl>
      <w:tblPr>
        <w:tblW w:w="9087" w:type="dxa"/>
        <w:tblInd w:w="93" w:type="dxa"/>
        <w:tblLook w:val="04A0" w:firstRow="1" w:lastRow="0" w:firstColumn="1" w:lastColumn="0" w:noHBand="0" w:noVBand="1"/>
      </w:tblPr>
      <w:tblGrid>
        <w:gridCol w:w="4126"/>
        <w:gridCol w:w="992"/>
        <w:gridCol w:w="142"/>
        <w:gridCol w:w="1134"/>
        <w:gridCol w:w="142"/>
        <w:gridCol w:w="1276"/>
        <w:gridCol w:w="1275"/>
      </w:tblGrid>
      <w:tr w:rsidR="00E87D32" w:rsidRPr="00AB366D" w:rsidTr="00E87D32">
        <w:trPr>
          <w:trHeight w:val="705"/>
        </w:trPr>
        <w:tc>
          <w:tcPr>
            <w:tcW w:w="4126" w:type="dxa"/>
            <w:tcBorders>
              <w:top w:val="nil"/>
              <w:left w:val="nil"/>
              <w:bottom w:val="nil"/>
              <w:right w:val="nil"/>
            </w:tcBorders>
            <w:shd w:val="clear" w:color="auto" w:fill="auto"/>
            <w:noWrap/>
            <w:vAlign w:val="bottom"/>
            <w:hideMark/>
          </w:tcPr>
          <w:p w:rsidR="00E87D32" w:rsidRPr="00AB366D" w:rsidRDefault="00E87D32" w:rsidP="00E87D32">
            <w:pPr>
              <w:spacing w:after="0" w:line="240" w:lineRule="auto"/>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Growth percentages (2011-12)</w:t>
            </w:r>
          </w:p>
        </w:tc>
        <w:tc>
          <w:tcPr>
            <w:tcW w:w="992" w:type="dxa"/>
            <w:tcBorders>
              <w:top w:val="nil"/>
              <w:left w:val="nil"/>
              <w:bottom w:val="nil"/>
              <w:right w:val="nil"/>
            </w:tcBorders>
            <w:shd w:val="clear" w:color="auto" w:fill="auto"/>
            <w:vAlign w:val="bottom"/>
            <w:hideMark/>
          </w:tcPr>
          <w:p w:rsidR="00E87D32" w:rsidRPr="00AB366D" w:rsidRDefault="00E87D32" w:rsidP="00E87D32">
            <w:pPr>
              <w:spacing w:after="0" w:line="240" w:lineRule="auto"/>
              <w:jc w:val="center"/>
              <w:rPr>
                <w:rFonts w:ascii="Arial" w:eastAsia="Times New Roman" w:hAnsi="Arial" w:cs="Arial"/>
                <w:color w:val="000000"/>
                <w:sz w:val="16"/>
                <w:szCs w:val="16"/>
              </w:rPr>
            </w:pPr>
            <w:r w:rsidRPr="00AB366D">
              <w:rPr>
                <w:rFonts w:ascii="Arial" w:eastAsia="Times New Roman" w:hAnsi="Arial" w:cs="Arial"/>
                <w:color w:val="000000"/>
                <w:sz w:val="16"/>
                <w:szCs w:val="16"/>
              </w:rPr>
              <w:t>Patient days</w:t>
            </w:r>
          </w:p>
        </w:tc>
        <w:tc>
          <w:tcPr>
            <w:tcW w:w="1276" w:type="dxa"/>
            <w:gridSpan w:val="2"/>
            <w:tcBorders>
              <w:top w:val="nil"/>
              <w:left w:val="nil"/>
              <w:bottom w:val="nil"/>
              <w:right w:val="nil"/>
            </w:tcBorders>
            <w:shd w:val="clear" w:color="auto" w:fill="auto"/>
            <w:vAlign w:val="bottom"/>
            <w:hideMark/>
          </w:tcPr>
          <w:p w:rsidR="00E87D32" w:rsidRPr="00AB366D" w:rsidRDefault="00E87D32" w:rsidP="00E87D32">
            <w:pPr>
              <w:spacing w:after="0" w:line="240" w:lineRule="auto"/>
              <w:jc w:val="center"/>
              <w:rPr>
                <w:rFonts w:ascii="Arial" w:eastAsia="Times New Roman" w:hAnsi="Arial" w:cs="Arial"/>
                <w:color w:val="000000"/>
                <w:sz w:val="16"/>
                <w:szCs w:val="16"/>
              </w:rPr>
            </w:pPr>
            <w:r w:rsidRPr="00AB366D">
              <w:rPr>
                <w:rFonts w:ascii="Arial" w:eastAsia="Times New Roman" w:hAnsi="Arial" w:cs="Arial"/>
                <w:color w:val="000000"/>
                <w:sz w:val="16"/>
                <w:szCs w:val="16"/>
              </w:rPr>
              <w:t>Separations (as BDEs)</w:t>
            </w:r>
          </w:p>
        </w:tc>
        <w:tc>
          <w:tcPr>
            <w:tcW w:w="1418" w:type="dxa"/>
            <w:gridSpan w:val="2"/>
            <w:tcBorders>
              <w:top w:val="nil"/>
              <w:left w:val="nil"/>
              <w:bottom w:val="nil"/>
              <w:right w:val="nil"/>
            </w:tcBorders>
            <w:shd w:val="clear" w:color="auto" w:fill="auto"/>
            <w:vAlign w:val="bottom"/>
            <w:hideMark/>
          </w:tcPr>
          <w:p w:rsidR="00E87D32" w:rsidRPr="00AB366D" w:rsidRDefault="00E87D32" w:rsidP="00E87D32">
            <w:pPr>
              <w:spacing w:after="0" w:line="240" w:lineRule="auto"/>
              <w:jc w:val="center"/>
              <w:rPr>
                <w:rFonts w:ascii="Arial" w:eastAsia="Times New Roman" w:hAnsi="Arial" w:cs="Arial"/>
                <w:color w:val="000000"/>
                <w:sz w:val="16"/>
                <w:szCs w:val="16"/>
              </w:rPr>
            </w:pPr>
            <w:r w:rsidRPr="00AB366D">
              <w:rPr>
                <w:rFonts w:ascii="Arial" w:eastAsia="Times New Roman" w:hAnsi="Arial" w:cs="Arial"/>
                <w:color w:val="000000"/>
                <w:sz w:val="16"/>
                <w:szCs w:val="16"/>
              </w:rPr>
              <w:t>Occasions of service (WBDEs)</w:t>
            </w:r>
          </w:p>
        </w:tc>
        <w:tc>
          <w:tcPr>
            <w:tcW w:w="1275" w:type="dxa"/>
            <w:tcBorders>
              <w:top w:val="nil"/>
              <w:left w:val="nil"/>
              <w:bottom w:val="nil"/>
              <w:right w:val="nil"/>
            </w:tcBorders>
            <w:shd w:val="clear" w:color="auto" w:fill="auto"/>
            <w:vAlign w:val="bottom"/>
            <w:hideMark/>
          </w:tcPr>
          <w:p w:rsidR="00E87D32" w:rsidRPr="00AB366D" w:rsidRDefault="00E87D32" w:rsidP="00E87D32">
            <w:pPr>
              <w:spacing w:after="0" w:line="240" w:lineRule="auto"/>
              <w:jc w:val="center"/>
              <w:rPr>
                <w:rFonts w:ascii="Arial" w:eastAsia="Times New Roman" w:hAnsi="Arial" w:cs="Arial"/>
                <w:color w:val="000000"/>
                <w:sz w:val="16"/>
                <w:szCs w:val="16"/>
              </w:rPr>
            </w:pPr>
            <w:r w:rsidRPr="00AB366D">
              <w:rPr>
                <w:rFonts w:ascii="Arial" w:eastAsia="Times New Roman" w:hAnsi="Arial" w:cs="Arial"/>
                <w:color w:val="000000"/>
                <w:sz w:val="16"/>
                <w:szCs w:val="16"/>
              </w:rPr>
              <w:t>Total BDEs</w:t>
            </w:r>
          </w:p>
        </w:tc>
      </w:tr>
      <w:tr w:rsidR="00E87D32" w:rsidRPr="00AB366D" w:rsidTr="00E87D32">
        <w:trPr>
          <w:trHeight w:val="315"/>
        </w:trPr>
        <w:tc>
          <w:tcPr>
            <w:tcW w:w="4126" w:type="dxa"/>
            <w:tcBorders>
              <w:top w:val="nil"/>
              <w:left w:val="nil"/>
              <w:bottom w:val="single" w:sz="8" w:space="0" w:color="auto"/>
              <w:right w:val="nil"/>
            </w:tcBorders>
            <w:shd w:val="clear" w:color="auto" w:fill="auto"/>
            <w:noWrap/>
            <w:vAlign w:val="bottom"/>
            <w:hideMark/>
          </w:tcPr>
          <w:p w:rsidR="00E87D32" w:rsidRPr="00AB366D" w:rsidRDefault="00E87D32" w:rsidP="00E87D32">
            <w:pPr>
              <w:spacing w:after="0" w:line="240" w:lineRule="auto"/>
              <w:rPr>
                <w:rFonts w:ascii="Arial" w:eastAsia="Times New Roman" w:hAnsi="Arial" w:cs="Arial"/>
                <w:color w:val="000000"/>
              </w:rPr>
            </w:pPr>
            <w:r w:rsidRPr="00AB366D">
              <w:rPr>
                <w:rFonts w:ascii="Arial" w:eastAsia="Times New Roman" w:hAnsi="Arial" w:cs="Arial"/>
                <w:color w:val="000000"/>
              </w:rPr>
              <w:t> </w:t>
            </w:r>
          </w:p>
        </w:tc>
        <w:tc>
          <w:tcPr>
            <w:tcW w:w="992" w:type="dxa"/>
            <w:tcBorders>
              <w:top w:val="nil"/>
              <w:left w:val="nil"/>
              <w:bottom w:val="nil"/>
              <w:right w:val="nil"/>
            </w:tcBorders>
            <w:shd w:val="clear" w:color="auto" w:fill="auto"/>
            <w:vAlign w:val="bottom"/>
            <w:hideMark/>
          </w:tcPr>
          <w:p w:rsidR="00E87D32" w:rsidRPr="00AB366D" w:rsidRDefault="00E87D32" w:rsidP="00E87D32">
            <w:pPr>
              <w:spacing w:after="0" w:line="240" w:lineRule="auto"/>
              <w:jc w:val="center"/>
              <w:rPr>
                <w:rFonts w:ascii="Arial" w:eastAsia="Times New Roman" w:hAnsi="Arial" w:cs="Arial"/>
                <w:color w:val="000000"/>
              </w:rPr>
            </w:pPr>
            <w:r w:rsidRPr="00AB366D">
              <w:rPr>
                <w:rFonts w:ascii="Arial" w:eastAsia="Times New Roman" w:hAnsi="Arial" w:cs="Arial"/>
                <w:color w:val="000000"/>
              </w:rPr>
              <w:t>A</w:t>
            </w:r>
          </w:p>
        </w:tc>
        <w:tc>
          <w:tcPr>
            <w:tcW w:w="1276" w:type="dxa"/>
            <w:gridSpan w:val="2"/>
            <w:tcBorders>
              <w:top w:val="nil"/>
              <w:left w:val="nil"/>
              <w:bottom w:val="nil"/>
              <w:right w:val="nil"/>
            </w:tcBorders>
            <w:shd w:val="clear" w:color="auto" w:fill="auto"/>
            <w:vAlign w:val="bottom"/>
            <w:hideMark/>
          </w:tcPr>
          <w:p w:rsidR="00E87D32" w:rsidRPr="00AB366D" w:rsidRDefault="00E87D32" w:rsidP="00E87D32">
            <w:pPr>
              <w:spacing w:after="0" w:line="240" w:lineRule="auto"/>
              <w:jc w:val="center"/>
              <w:rPr>
                <w:rFonts w:ascii="Arial" w:eastAsia="Times New Roman" w:hAnsi="Arial" w:cs="Arial"/>
                <w:color w:val="000000"/>
              </w:rPr>
            </w:pPr>
            <w:r w:rsidRPr="00AB366D">
              <w:rPr>
                <w:rFonts w:ascii="Arial" w:eastAsia="Times New Roman" w:hAnsi="Arial" w:cs="Arial"/>
                <w:color w:val="000000"/>
              </w:rPr>
              <w:t>B</w:t>
            </w:r>
          </w:p>
        </w:tc>
        <w:tc>
          <w:tcPr>
            <w:tcW w:w="1418" w:type="dxa"/>
            <w:gridSpan w:val="2"/>
            <w:tcBorders>
              <w:top w:val="nil"/>
              <w:left w:val="nil"/>
              <w:bottom w:val="nil"/>
              <w:right w:val="nil"/>
            </w:tcBorders>
            <w:shd w:val="clear" w:color="auto" w:fill="auto"/>
            <w:vAlign w:val="bottom"/>
            <w:hideMark/>
          </w:tcPr>
          <w:p w:rsidR="00E87D32" w:rsidRPr="00AB366D" w:rsidRDefault="00E87D32" w:rsidP="00E87D32">
            <w:pPr>
              <w:spacing w:after="0" w:line="240" w:lineRule="auto"/>
              <w:jc w:val="center"/>
              <w:rPr>
                <w:rFonts w:ascii="Arial" w:eastAsia="Times New Roman" w:hAnsi="Arial" w:cs="Arial"/>
                <w:color w:val="000000"/>
              </w:rPr>
            </w:pPr>
            <w:r w:rsidRPr="00AB366D">
              <w:rPr>
                <w:rFonts w:ascii="Arial" w:eastAsia="Times New Roman" w:hAnsi="Arial" w:cs="Arial"/>
                <w:color w:val="000000"/>
              </w:rPr>
              <w:t>C</w:t>
            </w:r>
          </w:p>
        </w:tc>
        <w:tc>
          <w:tcPr>
            <w:tcW w:w="1275" w:type="dxa"/>
            <w:tcBorders>
              <w:top w:val="nil"/>
              <w:left w:val="nil"/>
              <w:bottom w:val="nil"/>
              <w:right w:val="nil"/>
            </w:tcBorders>
            <w:shd w:val="clear" w:color="auto" w:fill="auto"/>
            <w:vAlign w:val="bottom"/>
            <w:hideMark/>
          </w:tcPr>
          <w:p w:rsidR="00E87D32" w:rsidRPr="00AB366D" w:rsidRDefault="00E87D32" w:rsidP="00E87D32">
            <w:pPr>
              <w:spacing w:after="0" w:line="240" w:lineRule="auto"/>
              <w:jc w:val="center"/>
              <w:rPr>
                <w:rFonts w:ascii="Arial" w:eastAsia="Times New Roman" w:hAnsi="Arial" w:cs="Arial"/>
                <w:color w:val="000000"/>
              </w:rPr>
            </w:pPr>
            <w:r w:rsidRPr="00AB366D">
              <w:rPr>
                <w:rFonts w:ascii="Arial" w:eastAsia="Times New Roman" w:hAnsi="Arial" w:cs="Arial"/>
                <w:color w:val="000000"/>
              </w:rPr>
              <w:t>D</w:t>
            </w:r>
          </w:p>
        </w:tc>
      </w:tr>
      <w:tr w:rsidR="00E87D32" w:rsidRPr="00AB366D" w:rsidTr="00E87D32">
        <w:trPr>
          <w:trHeight w:val="315"/>
        </w:trPr>
        <w:tc>
          <w:tcPr>
            <w:tcW w:w="4126" w:type="dxa"/>
            <w:tcBorders>
              <w:top w:val="nil"/>
              <w:left w:val="single" w:sz="8" w:space="0" w:color="auto"/>
              <w:bottom w:val="single" w:sz="8" w:space="0" w:color="auto"/>
              <w:right w:val="single" w:sz="8" w:space="0" w:color="auto"/>
            </w:tcBorders>
            <w:shd w:val="clear" w:color="auto" w:fill="auto"/>
            <w:noWrap/>
            <w:vAlign w:val="bottom"/>
            <w:hideMark/>
          </w:tcPr>
          <w:p w:rsidR="00E87D32" w:rsidRPr="00AB366D" w:rsidRDefault="00E87D32" w:rsidP="00E87D32">
            <w:pPr>
              <w:spacing w:after="0" w:line="240" w:lineRule="auto"/>
              <w:jc w:val="right"/>
              <w:rPr>
                <w:rFonts w:ascii="Arial" w:eastAsia="Times New Roman" w:hAnsi="Arial" w:cs="Arial"/>
                <w:b/>
                <w:bCs/>
                <w:color w:val="000000"/>
                <w:sz w:val="16"/>
                <w:szCs w:val="16"/>
              </w:rPr>
            </w:pPr>
            <w:r w:rsidRPr="00AB366D">
              <w:rPr>
                <w:rFonts w:ascii="Arial" w:eastAsia="Times New Roman" w:hAnsi="Arial" w:cs="Arial"/>
                <w:b/>
                <w:bCs/>
                <w:color w:val="000000"/>
                <w:sz w:val="16"/>
                <w:szCs w:val="16"/>
              </w:rPr>
              <w:t xml:space="preserve">Services in baseline year 2007-08 </w:t>
            </w:r>
          </w:p>
        </w:tc>
        <w:tc>
          <w:tcPr>
            <w:tcW w:w="1134" w:type="dxa"/>
            <w:gridSpan w:val="2"/>
            <w:tcBorders>
              <w:top w:val="single" w:sz="8" w:space="0" w:color="auto"/>
              <w:left w:val="nil"/>
              <w:bottom w:val="single" w:sz="8" w:space="0" w:color="auto"/>
              <w:right w:val="single" w:sz="8" w:space="0" w:color="auto"/>
            </w:tcBorders>
            <w:shd w:val="clear" w:color="000000" w:fill="CCCCFF"/>
            <w:noWrap/>
            <w:vAlign w:val="bottom"/>
            <w:hideMark/>
          </w:tcPr>
          <w:p w:rsidR="00E87D32" w:rsidRPr="00AB366D" w:rsidRDefault="00E87D32" w:rsidP="00E87D32">
            <w:pPr>
              <w:spacing w:after="0" w:line="240" w:lineRule="auto"/>
              <w:jc w:val="right"/>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520,625</w:t>
            </w:r>
          </w:p>
        </w:tc>
        <w:tc>
          <w:tcPr>
            <w:tcW w:w="1276" w:type="dxa"/>
            <w:gridSpan w:val="2"/>
            <w:tcBorders>
              <w:top w:val="single" w:sz="8" w:space="0" w:color="auto"/>
              <w:left w:val="nil"/>
              <w:bottom w:val="single" w:sz="8" w:space="0" w:color="auto"/>
              <w:right w:val="single" w:sz="8" w:space="0" w:color="auto"/>
            </w:tcBorders>
            <w:shd w:val="clear" w:color="000000" w:fill="CCCCFF"/>
            <w:noWrap/>
            <w:vAlign w:val="bottom"/>
            <w:hideMark/>
          </w:tcPr>
          <w:p w:rsidR="00E87D32" w:rsidRPr="00AB366D" w:rsidRDefault="00E87D32" w:rsidP="00E87D32">
            <w:pPr>
              <w:spacing w:after="0" w:line="240" w:lineRule="auto"/>
              <w:jc w:val="right"/>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520,625</w:t>
            </w:r>
          </w:p>
        </w:tc>
        <w:tc>
          <w:tcPr>
            <w:tcW w:w="1276" w:type="dxa"/>
            <w:tcBorders>
              <w:top w:val="single" w:sz="8" w:space="0" w:color="auto"/>
              <w:left w:val="nil"/>
              <w:bottom w:val="single" w:sz="8" w:space="0" w:color="auto"/>
              <w:right w:val="single" w:sz="8" w:space="0" w:color="auto"/>
            </w:tcBorders>
            <w:shd w:val="clear" w:color="000000" w:fill="CCCCFF"/>
            <w:noWrap/>
            <w:vAlign w:val="bottom"/>
            <w:hideMark/>
          </w:tcPr>
          <w:p w:rsidR="00E87D32" w:rsidRPr="00AB366D" w:rsidRDefault="00E87D32" w:rsidP="00E87D32">
            <w:pPr>
              <w:spacing w:after="0" w:line="240" w:lineRule="auto"/>
              <w:jc w:val="right"/>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158,423</w:t>
            </w:r>
          </w:p>
        </w:tc>
        <w:tc>
          <w:tcPr>
            <w:tcW w:w="1275" w:type="dxa"/>
            <w:tcBorders>
              <w:top w:val="single" w:sz="8" w:space="0" w:color="auto"/>
              <w:left w:val="nil"/>
              <w:bottom w:val="single" w:sz="8" w:space="0" w:color="auto"/>
              <w:right w:val="single" w:sz="8" w:space="0" w:color="auto"/>
            </w:tcBorders>
            <w:shd w:val="clear" w:color="000000" w:fill="CCCCFF"/>
            <w:noWrap/>
            <w:vAlign w:val="bottom"/>
            <w:hideMark/>
          </w:tcPr>
          <w:p w:rsidR="00E87D32" w:rsidRPr="00AB366D" w:rsidRDefault="00E87D32" w:rsidP="00E87D32">
            <w:pPr>
              <w:spacing w:after="0" w:line="240" w:lineRule="auto"/>
              <w:jc w:val="right"/>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679,048</w:t>
            </w:r>
          </w:p>
        </w:tc>
      </w:tr>
      <w:tr w:rsidR="00E87D32" w:rsidRPr="00AB366D" w:rsidTr="00E87D32">
        <w:trPr>
          <w:trHeight w:val="300"/>
        </w:trPr>
        <w:tc>
          <w:tcPr>
            <w:tcW w:w="4126" w:type="dxa"/>
            <w:tcBorders>
              <w:top w:val="nil"/>
              <w:left w:val="single" w:sz="8" w:space="0" w:color="auto"/>
              <w:bottom w:val="dotted" w:sz="4" w:space="0" w:color="auto"/>
              <w:right w:val="nil"/>
            </w:tcBorders>
            <w:shd w:val="clear" w:color="auto" w:fill="auto"/>
            <w:noWrap/>
            <w:vAlign w:val="bottom"/>
            <w:hideMark/>
          </w:tcPr>
          <w:p w:rsidR="00E87D32" w:rsidRPr="00AB366D" w:rsidRDefault="00E87D32" w:rsidP="00E87D32">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Services in 2010-11</w:t>
            </w:r>
          </w:p>
        </w:tc>
        <w:tc>
          <w:tcPr>
            <w:tcW w:w="1134" w:type="dxa"/>
            <w:gridSpan w:val="2"/>
            <w:tcBorders>
              <w:top w:val="nil"/>
              <w:left w:val="single" w:sz="8" w:space="0" w:color="auto"/>
              <w:bottom w:val="dotted" w:sz="4" w:space="0" w:color="auto"/>
              <w:right w:val="single" w:sz="8" w:space="0" w:color="auto"/>
            </w:tcBorders>
            <w:shd w:val="clear" w:color="000000" w:fill="CCCCFF"/>
            <w:noWrap/>
            <w:vAlign w:val="bottom"/>
            <w:hideMark/>
          </w:tcPr>
          <w:p w:rsidR="00E87D32" w:rsidRPr="00AB366D" w:rsidRDefault="00E87D32" w:rsidP="00E87D32">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672,432</w:t>
            </w:r>
          </w:p>
        </w:tc>
        <w:tc>
          <w:tcPr>
            <w:tcW w:w="1276" w:type="dxa"/>
            <w:gridSpan w:val="2"/>
            <w:tcBorders>
              <w:top w:val="nil"/>
              <w:left w:val="nil"/>
              <w:bottom w:val="dotted" w:sz="4" w:space="0" w:color="auto"/>
              <w:right w:val="single" w:sz="8" w:space="0" w:color="auto"/>
            </w:tcBorders>
            <w:shd w:val="clear" w:color="000000" w:fill="CCCCFF"/>
            <w:noWrap/>
            <w:vAlign w:val="bottom"/>
            <w:hideMark/>
          </w:tcPr>
          <w:p w:rsidR="00E87D32" w:rsidRDefault="00E87D32" w:rsidP="00E87D32">
            <w:pPr>
              <w:spacing w:after="0" w:line="240" w:lineRule="auto"/>
              <w:jc w:val="right"/>
              <w:rPr>
                <w:rFonts w:ascii="Arial" w:hAnsi="Arial" w:cs="Arial"/>
                <w:color w:val="000000"/>
                <w:sz w:val="20"/>
                <w:szCs w:val="20"/>
              </w:rPr>
            </w:pPr>
            <w:r>
              <w:rPr>
                <w:rFonts w:ascii="Arial" w:hAnsi="Arial" w:cs="Arial"/>
                <w:color w:val="000000"/>
                <w:sz w:val="20"/>
                <w:szCs w:val="20"/>
              </w:rPr>
              <w:t>672,432</w:t>
            </w:r>
          </w:p>
        </w:tc>
        <w:tc>
          <w:tcPr>
            <w:tcW w:w="1276" w:type="dxa"/>
            <w:tcBorders>
              <w:top w:val="nil"/>
              <w:left w:val="nil"/>
              <w:bottom w:val="dotted" w:sz="4" w:space="0" w:color="auto"/>
              <w:right w:val="single" w:sz="8" w:space="0" w:color="auto"/>
            </w:tcBorders>
            <w:shd w:val="clear" w:color="000000" w:fill="CCCCFF"/>
            <w:noWrap/>
            <w:vAlign w:val="bottom"/>
            <w:hideMark/>
          </w:tcPr>
          <w:p w:rsidR="00E87D32" w:rsidRDefault="00E87D32" w:rsidP="00E87D32">
            <w:pPr>
              <w:spacing w:after="0" w:line="240" w:lineRule="auto"/>
              <w:jc w:val="right"/>
              <w:rPr>
                <w:rFonts w:ascii="Arial" w:hAnsi="Arial" w:cs="Arial"/>
                <w:color w:val="000000"/>
                <w:sz w:val="20"/>
                <w:szCs w:val="20"/>
              </w:rPr>
            </w:pPr>
            <w:r>
              <w:rPr>
                <w:rFonts w:ascii="Arial" w:hAnsi="Arial" w:cs="Arial"/>
                <w:color w:val="000000"/>
                <w:sz w:val="20"/>
                <w:szCs w:val="20"/>
              </w:rPr>
              <w:t>175,570</w:t>
            </w:r>
          </w:p>
        </w:tc>
        <w:tc>
          <w:tcPr>
            <w:tcW w:w="1275" w:type="dxa"/>
            <w:tcBorders>
              <w:top w:val="nil"/>
              <w:left w:val="nil"/>
              <w:bottom w:val="dotted" w:sz="4" w:space="0" w:color="auto"/>
              <w:right w:val="single" w:sz="8" w:space="0" w:color="auto"/>
            </w:tcBorders>
            <w:shd w:val="clear" w:color="000000" w:fill="CCCCFF"/>
            <w:noWrap/>
            <w:vAlign w:val="bottom"/>
            <w:hideMark/>
          </w:tcPr>
          <w:p w:rsidR="00E87D32" w:rsidRDefault="00E87D32" w:rsidP="00E87D32">
            <w:pPr>
              <w:spacing w:after="0" w:line="240" w:lineRule="auto"/>
              <w:jc w:val="right"/>
              <w:rPr>
                <w:rFonts w:ascii="Arial" w:hAnsi="Arial" w:cs="Arial"/>
                <w:color w:val="000000"/>
                <w:sz w:val="20"/>
                <w:szCs w:val="20"/>
              </w:rPr>
            </w:pPr>
            <w:r>
              <w:rPr>
                <w:rFonts w:ascii="Arial" w:hAnsi="Arial" w:cs="Arial"/>
                <w:color w:val="000000"/>
                <w:sz w:val="20"/>
                <w:szCs w:val="20"/>
              </w:rPr>
              <w:t>848,002</w:t>
            </w:r>
          </w:p>
        </w:tc>
      </w:tr>
      <w:tr w:rsidR="00E87D32" w:rsidRPr="00AB366D" w:rsidTr="00E87D32">
        <w:trPr>
          <w:trHeight w:val="315"/>
        </w:trPr>
        <w:tc>
          <w:tcPr>
            <w:tcW w:w="4126" w:type="dxa"/>
            <w:tcBorders>
              <w:top w:val="nil"/>
              <w:left w:val="single" w:sz="8" w:space="0" w:color="auto"/>
              <w:bottom w:val="dotted" w:sz="4" w:space="0" w:color="auto"/>
              <w:right w:val="nil"/>
            </w:tcBorders>
            <w:shd w:val="clear" w:color="auto" w:fill="auto"/>
            <w:noWrap/>
            <w:vAlign w:val="bottom"/>
            <w:hideMark/>
          </w:tcPr>
          <w:p w:rsidR="00E87D32" w:rsidRPr="00AB366D" w:rsidRDefault="00E87D32" w:rsidP="00E87D32">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Activity attributed to NPA-IPHS in 2010-11</w:t>
            </w:r>
          </w:p>
        </w:tc>
        <w:tc>
          <w:tcPr>
            <w:tcW w:w="1134" w:type="dxa"/>
            <w:gridSpan w:val="2"/>
            <w:tcBorders>
              <w:top w:val="nil"/>
              <w:left w:val="single" w:sz="8" w:space="0" w:color="auto"/>
              <w:bottom w:val="dotted" w:sz="4" w:space="0" w:color="auto"/>
              <w:right w:val="single" w:sz="8" w:space="0" w:color="auto"/>
            </w:tcBorders>
            <w:shd w:val="clear" w:color="000000" w:fill="CCCCFF"/>
            <w:noWrap/>
            <w:vAlign w:val="bottom"/>
            <w:hideMark/>
          </w:tcPr>
          <w:p w:rsidR="00E87D32" w:rsidRPr="00AB366D" w:rsidRDefault="00E87D32" w:rsidP="00E87D32">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15,324</w:t>
            </w:r>
          </w:p>
        </w:tc>
        <w:tc>
          <w:tcPr>
            <w:tcW w:w="1276" w:type="dxa"/>
            <w:gridSpan w:val="2"/>
            <w:tcBorders>
              <w:top w:val="nil"/>
              <w:left w:val="nil"/>
              <w:bottom w:val="dotted" w:sz="4" w:space="0" w:color="auto"/>
              <w:right w:val="single" w:sz="8" w:space="0" w:color="auto"/>
            </w:tcBorders>
            <w:shd w:val="clear" w:color="000000" w:fill="CCCCFF"/>
            <w:noWrap/>
            <w:vAlign w:val="bottom"/>
            <w:hideMark/>
          </w:tcPr>
          <w:p w:rsidR="00E87D32" w:rsidRDefault="00E87D32" w:rsidP="00E87D32">
            <w:pPr>
              <w:spacing w:after="0" w:line="240" w:lineRule="auto"/>
              <w:rPr>
                <w:rFonts w:ascii="Arial" w:hAnsi="Arial" w:cs="Arial"/>
                <w:color w:val="000000"/>
              </w:rPr>
            </w:pPr>
          </w:p>
        </w:tc>
        <w:tc>
          <w:tcPr>
            <w:tcW w:w="1276" w:type="dxa"/>
            <w:tcBorders>
              <w:top w:val="nil"/>
              <w:left w:val="nil"/>
              <w:bottom w:val="dotted" w:sz="4" w:space="0" w:color="auto"/>
              <w:right w:val="single" w:sz="8" w:space="0" w:color="auto"/>
            </w:tcBorders>
            <w:shd w:val="clear" w:color="000000" w:fill="CCCCFF"/>
            <w:noWrap/>
            <w:vAlign w:val="bottom"/>
            <w:hideMark/>
          </w:tcPr>
          <w:p w:rsidR="00E87D32" w:rsidRDefault="00E87D32" w:rsidP="00E87D32">
            <w:pPr>
              <w:spacing w:after="0" w:line="240" w:lineRule="auto"/>
              <w:rPr>
                <w:rFonts w:ascii="Arial" w:hAnsi="Arial" w:cs="Arial"/>
                <w:color w:val="000000"/>
              </w:rPr>
            </w:pPr>
          </w:p>
        </w:tc>
        <w:tc>
          <w:tcPr>
            <w:tcW w:w="1275" w:type="dxa"/>
            <w:tcBorders>
              <w:top w:val="nil"/>
              <w:left w:val="nil"/>
              <w:bottom w:val="dotted" w:sz="4" w:space="0" w:color="auto"/>
              <w:right w:val="single" w:sz="8" w:space="0" w:color="auto"/>
            </w:tcBorders>
            <w:shd w:val="clear" w:color="000000" w:fill="CCCCFF"/>
            <w:noWrap/>
            <w:vAlign w:val="bottom"/>
            <w:hideMark/>
          </w:tcPr>
          <w:p w:rsidR="00E87D32" w:rsidRDefault="00E87D32" w:rsidP="00E87D32">
            <w:pPr>
              <w:spacing w:after="0" w:line="240" w:lineRule="auto"/>
              <w:jc w:val="right"/>
              <w:rPr>
                <w:rFonts w:ascii="Arial" w:hAnsi="Arial" w:cs="Arial"/>
                <w:color w:val="000000"/>
                <w:sz w:val="20"/>
                <w:szCs w:val="20"/>
              </w:rPr>
            </w:pPr>
            <w:r>
              <w:rPr>
                <w:rFonts w:ascii="Arial" w:hAnsi="Arial" w:cs="Arial"/>
                <w:color w:val="000000"/>
                <w:sz w:val="20"/>
                <w:szCs w:val="20"/>
              </w:rPr>
              <w:t>15,324</w:t>
            </w:r>
          </w:p>
        </w:tc>
      </w:tr>
      <w:tr w:rsidR="00E87D32" w:rsidRPr="00AB366D" w:rsidTr="00E87D32">
        <w:trPr>
          <w:trHeight w:val="315"/>
        </w:trPr>
        <w:tc>
          <w:tcPr>
            <w:tcW w:w="4126" w:type="dxa"/>
            <w:tcBorders>
              <w:top w:val="nil"/>
              <w:left w:val="single" w:sz="8" w:space="0" w:color="auto"/>
              <w:bottom w:val="single" w:sz="8" w:space="0" w:color="auto"/>
              <w:right w:val="nil"/>
            </w:tcBorders>
            <w:shd w:val="clear" w:color="auto" w:fill="auto"/>
            <w:noWrap/>
            <w:vAlign w:val="bottom"/>
            <w:hideMark/>
          </w:tcPr>
          <w:p w:rsidR="00E87D32" w:rsidRPr="00AB366D" w:rsidRDefault="00E87D32" w:rsidP="00E87D32">
            <w:pPr>
              <w:spacing w:after="0" w:line="240" w:lineRule="auto"/>
              <w:jc w:val="right"/>
              <w:rPr>
                <w:rFonts w:ascii="Arial" w:eastAsia="Times New Roman" w:hAnsi="Arial" w:cs="Arial"/>
                <w:b/>
                <w:bCs/>
                <w:color w:val="000000"/>
                <w:sz w:val="16"/>
                <w:szCs w:val="16"/>
              </w:rPr>
            </w:pPr>
            <w:r w:rsidRPr="00AB366D">
              <w:rPr>
                <w:rFonts w:ascii="Arial" w:eastAsia="Times New Roman" w:hAnsi="Arial" w:cs="Arial"/>
                <w:b/>
                <w:bCs/>
                <w:color w:val="000000"/>
                <w:sz w:val="16"/>
                <w:szCs w:val="16"/>
              </w:rPr>
              <w:t>Services attributed to NPA HHWR in 2010-11</w:t>
            </w:r>
          </w:p>
        </w:tc>
        <w:tc>
          <w:tcPr>
            <w:tcW w:w="1134" w:type="dxa"/>
            <w:gridSpan w:val="2"/>
            <w:tcBorders>
              <w:top w:val="nil"/>
              <w:left w:val="single" w:sz="8" w:space="0" w:color="auto"/>
              <w:bottom w:val="single" w:sz="8" w:space="0" w:color="auto"/>
              <w:right w:val="single" w:sz="8" w:space="0" w:color="auto"/>
            </w:tcBorders>
            <w:shd w:val="clear" w:color="000000" w:fill="CCCCFF"/>
            <w:noWrap/>
            <w:vAlign w:val="bottom"/>
            <w:hideMark/>
          </w:tcPr>
          <w:p w:rsidR="00E87D32" w:rsidRPr="00AB366D" w:rsidRDefault="00E87D32" w:rsidP="00E87D32">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657,108</w:t>
            </w:r>
          </w:p>
        </w:tc>
        <w:tc>
          <w:tcPr>
            <w:tcW w:w="1276" w:type="dxa"/>
            <w:gridSpan w:val="2"/>
            <w:tcBorders>
              <w:top w:val="nil"/>
              <w:left w:val="nil"/>
              <w:bottom w:val="single" w:sz="8" w:space="0" w:color="auto"/>
              <w:right w:val="single" w:sz="8" w:space="0" w:color="auto"/>
            </w:tcBorders>
            <w:shd w:val="clear" w:color="000000" w:fill="CCCCFF"/>
            <w:noWrap/>
            <w:vAlign w:val="bottom"/>
            <w:hideMark/>
          </w:tcPr>
          <w:p w:rsidR="00E87D32" w:rsidRDefault="00E87D32" w:rsidP="00E87D32">
            <w:pPr>
              <w:spacing w:after="0" w:line="240" w:lineRule="auto"/>
              <w:rPr>
                <w:rFonts w:ascii="Arial" w:hAnsi="Arial" w:cs="Arial"/>
                <w:color w:val="000000"/>
              </w:rPr>
            </w:pPr>
          </w:p>
        </w:tc>
        <w:tc>
          <w:tcPr>
            <w:tcW w:w="1276" w:type="dxa"/>
            <w:tcBorders>
              <w:top w:val="nil"/>
              <w:left w:val="nil"/>
              <w:bottom w:val="single" w:sz="8" w:space="0" w:color="auto"/>
              <w:right w:val="single" w:sz="8" w:space="0" w:color="auto"/>
            </w:tcBorders>
            <w:shd w:val="clear" w:color="000000" w:fill="CCCCFF"/>
            <w:noWrap/>
            <w:vAlign w:val="bottom"/>
            <w:hideMark/>
          </w:tcPr>
          <w:p w:rsidR="00E87D32" w:rsidRDefault="00E87D32" w:rsidP="00E87D32">
            <w:pPr>
              <w:spacing w:after="0" w:line="240" w:lineRule="auto"/>
              <w:rPr>
                <w:rFonts w:ascii="Arial" w:hAnsi="Arial" w:cs="Arial"/>
                <w:color w:val="000000"/>
              </w:rPr>
            </w:pPr>
          </w:p>
        </w:tc>
        <w:tc>
          <w:tcPr>
            <w:tcW w:w="1275" w:type="dxa"/>
            <w:tcBorders>
              <w:top w:val="nil"/>
              <w:left w:val="nil"/>
              <w:bottom w:val="single" w:sz="8" w:space="0" w:color="auto"/>
              <w:right w:val="single" w:sz="8" w:space="0" w:color="auto"/>
            </w:tcBorders>
            <w:shd w:val="clear" w:color="000000" w:fill="CCCCFF"/>
            <w:noWrap/>
            <w:vAlign w:val="bottom"/>
            <w:hideMark/>
          </w:tcPr>
          <w:p w:rsidR="00E87D32" w:rsidRDefault="00E87D32" w:rsidP="00E87D32">
            <w:pPr>
              <w:spacing w:after="0" w:line="240" w:lineRule="auto"/>
              <w:jc w:val="right"/>
              <w:rPr>
                <w:rFonts w:ascii="Arial" w:hAnsi="Arial" w:cs="Arial"/>
                <w:b/>
                <w:bCs/>
                <w:color w:val="000000"/>
                <w:sz w:val="20"/>
                <w:szCs w:val="20"/>
              </w:rPr>
            </w:pPr>
            <w:r>
              <w:rPr>
                <w:rFonts w:ascii="Arial" w:hAnsi="Arial" w:cs="Arial"/>
                <w:b/>
                <w:bCs/>
                <w:color w:val="000000"/>
                <w:sz w:val="20"/>
                <w:szCs w:val="20"/>
              </w:rPr>
              <w:t>832,678</w:t>
            </w:r>
          </w:p>
        </w:tc>
      </w:tr>
      <w:tr w:rsidR="00EC0BC2" w:rsidRPr="00AB366D" w:rsidTr="00EC0BC2">
        <w:trPr>
          <w:trHeight w:val="300"/>
        </w:trPr>
        <w:tc>
          <w:tcPr>
            <w:tcW w:w="4126" w:type="dxa"/>
            <w:tcBorders>
              <w:top w:val="nil"/>
              <w:left w:val="single" w:sz="8" w:space="0" w:color="auto"/>
              <w:bottom w:val="dotted" w:sz="4" w:space="0" w:color="auto"/>
              <w:right w:val="nil"/>
            </w:tcBorders>
            <w:shd w:val="clear" w:color="auto" w:fill="auto"/>
            <w:noWrap/>
            <w:vAlign w:val="bottom"/>
            <w:hideMark/>
          </w:tcPr>
          <w:p w:rsidR="00EC0BC2" w:rsidRPr="00AB366D" w:rsidRDefault="00EC0BC2" w:rsidP="00E87D32">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Services in 2011-12</w:t>
            </w:r>
          </w:p>
        </w:tc>
        <w:tc>
          <w:tcPr>
            <w:tcW w:w="1134" w:type="dxa"/>
            <w:gridSpan w:val="2"/>
            <w:tcBorders>
              <w:top w:val="nil"/>
              <w:left w:val="single" w:sz="8" w:space="0" w:color="auto"/>
              <w:bottom w:val="dotted" w:sz="4" w:space="0" w:color="auto"/>
              <w:right w:val="single" w:sz="8" w:space="0" w:color="auto"/>
            </w:tcBorders>
            <w:shd w:val="clear" w:color="000000" w:fill="CCCCFF"/>
            <w:noWrap/>
            <w:vAlign w:val="bottom"/>
            <w:hideMark/>
          </w:tcPr>
          <w:p w:rsidR="00EC0BC2" w:rsidRPr="00AB366D" w:rsidRDefault="00EC0BC2" w:rsidP="00E87D32">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648,853</w:t>
            </w:r>
          </w:p>
        </w:tc>
        <w:tc>
          <w:tcPr>
            <w:tcW w:w="1276" w:type="dxa"/>
            <w:gridSpan w:val="2"/>
            <w:tcBorders>
              <w:top w:val="nil"/>
              <w:left w:val="nil"/>
              <w:bottom w:val="dotted" w:sz="4" w:space="0" w:color="auto"/>
              <w:right w:val="single" w:sz="8" w:space="0" w:color="auto"/>
            </w:tcBorders>
            <w:shd w:val="clear" w:color="000000" w:fill="CCCCFF"/>
            <w:noWrap/>
            <w:vAlign w:val="bottom"/>
            <w:hideMark/>
          </w:tcPr>
          <w:p w:rsidR="00EC0BC2" w:rsidRDefault="00EC0BC2" w:rsidP="00E87D32">
            <w:pPr>
              <w:spacing w:after="0" w:line="240" w:lineRule="auto"/>
              <w:jc w:val="right"/>
              <w:rPr>
                <w:rFonts w:ascii="Arial" w:hAnsi="Arial" w:cs="Arial"/>
                <w:color w:val="000000"/>
                <w:sz w:val="20"/>
                <w:szCs w:val="20"/>
              </w:rPr>
            </w:pPr>
            <w:r>
              <w:rPr>
                <w:rFonts w:ascii="Arial" w:hAnsi="Arial" w:cs="Arial"/>
                <w:color w:val="000000"/>
                <w:sz w:val="20"/>
                <w:szCs w:val="20"/>
              </w:rPr>
              <w:t>648,853</w:t>
            </w:r>
          </w:p>
        </w:tc>
        <w:tc>
          <w:tcPr>
            <w:tcW w:w="1276" w:type="dxa"/>
            <w:tcBorders>
              <w:top w:val="nil"/>
              <w:left w:val="nil"/>
              <w:bottom w:val="dotted" w:sz="4" w:space="0" w:color="auto"/>
              <w:right w:val="single" w:sz="8" w:space="0" w:color="auto"/>
            </w:tcBorders>
            <w:shd w:val="clear" w:color="000000" w:fill="CCCCFF"/>
            <w:noWrap/>
            <w:vAlign w:val="bottom"/>
            <w:hideMark/>
          </w:tcPr>
          <w:p w:rsidR="00EC0BC2" w:rsidRDefault="00EC0BC2" w:rsidP="00E87D32">
            <w:pPr>
              <w:spacing w:after="0" w:line="240" w:lineRule="auto"/>
              <w:jc w:val="right"/>
              <w:rPr>
                <w:rFonts w:ascii="Arial" w:hAnsi="Arial" w:cs="Arial"/>
                <w:color w:val="000000"/>
                <w:sz w:val="20"/>
                <w:szCs w:val="20"/>
              </w:rPr>
            </w:pPr>
            <w:r>
              <w:rPr>
                <w:rFonts w:ascii="Arial" w:hAnsi="Arial" w:cs="Arial"/>
                <w:color w:val="000000"/>
                <w:sz w:val="20"/>
                <w:szCs w:val="20"/>
              </w:rPr>
              <w:t>206,995</w:t>
            </w:r>
          </w:p>
        </w:tc>
        <w:tc>
          <w:tcPr>
            <w:tcW w:w="1275" w:type="dxa"/>
            <w:tcBorders>
              <w:top w:val="nil"/>
              <w:left w:val="nil"/>
              <w:bottom w:val="dotted" w:sz="4" w:space="0" w:color="auto"/>
              <w:right w:val="single" w:sz="8" w:space="0" w:color="auto"/>
            </w:tcBorders>
            <w:shd w:val="clear" w:color="000000" w:fill="CCCCFF"/>
            <w:noWrap/>
            <w:vAlign w:val="bottom"/>
            <w:hideMark/>
          </w:tcPr>
          <w:p w:rsidR="00EC0BC2" w:rsidRDefault="00EC0BC2" w:rsidP="00EC0BC2">
            <w:pPr>
              <w:spacing w:after="0" w:line="240" w:lineRule="auto"/>
              <w:jc w:val="right"/>
              <w:rPr>
                <w:rFonts w:ascii="Arial" w:hAnsi="Arial" w:cs="Arial"/>
                <w:color w:val="000000"/>
                <w:sz w:val="20"/>
                <w:szCs w:val="20"/>
              </w:rPr>
            </w:pPr>
            <w:r>
              <w:rPr>
                <w:rFonts w:ascii="Arial" w:hAnsi="Arial" w:cs="Arial"/>
                <w:color w:val="000000"/>
                <w:sz w:val="20"/>
                <w:szCs w:val="20"/>
              </w:rPr>
              <w:t>855,848</w:t>
            </w:r>
          </w:p>
        </w:tc>
      </w:tr>
      <w:tr w:rsidR="00EC0BC2" w:rsidRPr="00AB366D" w:rsidTr="00EC0BC2">
        <w:trPr>
          <w:trHeight w:val="300"/>
        </w:trPr>
        <w:tc>
          <w:tcPr>
            <w:tcW w:w="4126" w:type="dxa"/>
            <w:tcBorders>
              <w:top w:val="nil"/>
              <w:left w:val="single" w:sz="8" w:space="0" w:color="auto"/>
              <w:bottom w:val="dotted" w:sz="4" w:space="0" w:color="auto"/>
              <w:right w:val="nil"/>
            </w:tcBorders>
            <w:shd w:val="clear" w:color="auto" w:fill="auto"/>
            <w:noWrap/>
            <w:vAlign w:val="bottom"/>
            <w:hideMark/>
          </w:tcPr>
          <w:p w:rsidR="00EC0BC2" w:rsidRPr="00AB366D" w:rsidRDefault="00EC0BC2" w:rsidP="00E87D32">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Activity attributed to NPA-IPHS in 2011-12</w:t>
            </w:r>
          </w:p>
        </w:tc>
        <w:tc>
          <w:tcPr>
            <w:tcW w:w="1134" w:type="dxa"/>
            <w:gridSpan w:val="2"/>
            <w:tcBorders>
              <w:top w:val="nil"/>
              <w:left w:val="single" w:sz="8" w:space="0" w:color="auto"/>
              <w:bottom w:val="dotted" w:sz="4" w:space="0" w:color="auto"/>
              <w:right w:val="single" w:sz="8" w:space="0" w:color="auto"/>
            </w:tcBorders>
            <w:shd w:val="clear" w:color="000000" w:fill="CCCCFF"/>
            <w:noWrap/>
            <w:vAlign w:val="bottom"/>
            <w:hideMark/>
          </w:tcPr>
          <w:p w:rsidR="00EC0BC2" w:rsidRPr="00AB366D" w:rsidRDefault="00EC0BC2" w:rsidP="00E87D32">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42,565</w:t>
            </w:r>
          </w:p>
        </w:tc>
        <w:tc>
          <w:tcPr>
            <w:tcW w:w="1276" w:type="dxa"/>
            <w:gridSpan w:val="2"/>
            <w:tcBorders>
              <w:top w:val="nil"/>
              <w:left w:val="nil"/>
              <w:bottom w:val="dotted" w:sz="4" w:space="0" w:color="auto"/>
              <w:right w:val="single" w:sz="8" w:space="0" w:color="auto"/>
            </w:tcBorders>
            <w:shd w:val="clear" w:color="000000" w:fill="CCCCFF"/>
            <w:noWrap/>
            <w:vAlign w:val="bottom"/>
            <w:hideMark/>
          </w:tcPr>
          <w:p w:rsidR="00EC0BC2" w:rsidRDefault="00EC0BC2" w:rsidP="00E87D32">
            <w:pPr>
              <w:spacing w:after="0" w:line="240" w:lineRule="auto"/>
              <w:rPr>
                <w:rFonts w:ascii="Arial" w:hAnsi="Arial" w:cs="Arial"/>
                <w:color w:val="000000"/>
              </w:rPr>
            </w:pPr>
          </w:p>
        </w:tc>
        <w:tc>
          <w:tcPr>
            <w:tcW w:w="1276" w:type="dxa"/>
            <w:tcBorders>
              <w:top w:val="nil"/>
              <w:left w:val="nil"/>
              <w:bottom w:val="dotted" w:sz="4" w:space="0" w:color="auto"/>
              <w:right w:val="single" w:sz="8" w:space="0" w:color="auto"/>
            </w:tcBorders>
            <w:shd w:val="clear" w:color="000000" w:fill="CCCCFF"/>
            <w:noWrap/>
            <w:vAlign w:val="bottom"/>
            <w:hideMark/>
          </w:tcPr>
          <w:p w:rsidR="00EC0BC2" w:rsidRDefault="00EC0BC2" w:rsidP="00E87D32">
            <w:pPr>
              <w:spacing w:after="0" w:line="240" w:lineRule="auto"/>
              <w:rPr>
                <w:rFonts w:ascii="Arial" w:hAnsi="Arial" w:cs="Arial"/>
                <w:color w:val="000000"/>
              </w:rPr>
            </w:pPr>
          </w:p>
        </w:tc>
        <w:tc>
          <w:tcPr>
            <w:tcW w:w="1275" w:type="dxa"/>
            <w:tcBorders>
              <w:top w:val="nil"/>
              <w:left w:val="nil"/>
              <w:bottom w:val="dotted" w:sz="4" w:space="0" w:color="auto"/>
              <w:right w:val="single" w:sz="8" w:space="0" w:color="auto"/>
            </w:tcBorders>
            <w:shd w:val="clear" w:color="000000" w:fill="CCCCFF"/>
            <w:noWrap/>
            <w:vAlign w:val="bottom"/>
            <w:hideMark/>
          </w:tcPr>
          <w:p w:rsidR="00EC0BC2" w:rsidRDefault="00EC0BC2" w:rsidP="00EC0BC2">
            <w:pPr>
              <w:spacing w:after="0" w:line="240" w:lineRule="auto"/>
              <w:jc w:val="right"/>
              <w:rPr>
                <w:rFonts w:ascii="Arial" w:hAnsi="Arial" w:cs="Arial"/>
                <w:color w:val="000000"/>
                <w:sz w:val="20"/>
                <w:szCs w:val="20"/>
              </w:rPr>
            </w:pPr>
            <w:r>
              <w:rPr>
                <w:rFonts w:ascii="Arial" w:hAnsi="Arial" w:cs="Arial"/>
                <w:color w:val="000000"/>
                <w:sz w:val="20"/>
                <w:szCs w:val="20"/>
              </w:rPr>
              <w:t>42,565</w:t>
            </w:r>
          </w:p>
        </w:tc>
      </w:tr>
      <w:tr w:rsidR="00EC0BC2" w:rsidRPr="00AB366D" w:rsidTr="00EC0BC2">
        <w:trPr>
          <w:trHeight w:val="315"/>
        </w:trPr>
        <w:tc>
          <w:tcPr>
            <w:tcW w:w="4126" w:type="dxa"/>
            <w:tcBorders>
              <w:top w:val="nil"/>
              <w:left w:val="single" w:sz="8" w:space="0" w:color="auto"/>
              <w:bottom w:val="single" w:sz="8" w:space="0" w:color="auto"/>
              <w:right w:val="nil"/>
            </w:tcBorders>
            <w:shd w:val="clear" w:color="auto" w:fill="auto"/>
            <w:noWrap/>
            <w:vAlign w:val="bottom"/>
            <w:hideMark/>
          </w:tcPr>
          <w:p w:rsidR="00EC0BC2" w:rsidRPr="00AB366D" w:rsidRDefault="00EC0BC2" w:rsidP="00E87D32">
            <w:pPr>
              <w:spacing w:after="0" w:line="240" w:lineRule="auto"/>
              <w:jc w:val="right"/>
              <w:rPr>
                <w:rFonts w:ascii="Arial" w:eastAsia="Times New Roman" w:hAnsi="Arial" w:cs="Arial"/>
                <w:b/>
                <w:bCs/>
                <w:color w:val="000000"/>
                <w:sz w:val="16"/>
                <w:szCs w:val="16"/>
              </w:rPr>
            </w:pPr>
            <w:r w:rsidRPr="00AB366D">
              <w:rPr>
                <w:rFonts w:ascii="Arial" w:eastAsia="Times New Roman" w:hAnsi="Arial" w:cs="Arial"/>
                <w:b/>
                <w:bCs/>
                <w:color w:val="000000"/>
                <w:sz w:val="16"/>
                <w:szCs w:val="16"/>
              </w:rPr>
              <w:t>Services attributed to NPA HHWR in 2011-12</w:t>
            </w:r>
          </w:p>
        </w:tc>
        <w:tc>
          <w:tcPr>
            <w:tcW w:w="1134" w:type="dxa"/>
            <w:gridSpan w:val="2"/>
            <w:tcBorders>
              <w:top w:val="nil"/>
              <w:left w:val="single" w:sz="8" w:space="0" w:color="auto"/>
              <w:bottom w:val="single" w:sz="8" w:space="0" w:color="auto"/>
              <w:right w:val="single" w:sz="8" w:space="0" w:color="auto"/>
            </w:tcBorders>
            <w:shd w:val="clear" w:color="000000" w:fill="CCCCFF"/>
            <w:noWrap/>
            <w:vAlign w:val="bottom"/>
            <w:hideMark/>
          </w:tcPr>
          <w:p w:rsidR="00EC0BC2" w:rsidRPr="00AB366D" w:rsidRDefault="00EC0BC2" w:rsidP="00E87D32">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606,288</w:t>
            </w:r>
          </w:p>
        </w:tc>
        <w:tc>
          <w:tcPr>
            <w:tcW w:w="1276" w:type="dxa"/>
            <w:gridSpan w:val="2"/>
            <w:tcBorders>
              <w:top w:val="nil"/>
              <w:left w:val="nil"/>
              <w:bottom w:val="single" w:sz="8" w:space="0" w:color="auto"/>
              <w:right w:val="single" w:sz="8" w:space="0" w:color="auto"/>
            </w:tcBorders>
            <w:shd w:val="clear" w:color="000000" w:fill="CCCCFF"/>
            <w:noWrap/>
            <w:vAlign w:val="bottom"/>
            <w:hideMark/>
          </w:tcPr>
          <w:p w:rsidR="00EC0BC2" w:rsidRDefault="00EC0BC2" w:rsidP="00E87D32">
            <w:pPr>
              <w:spacing w:after="0" w:line="240" w:lineRule="auto"/>
              <w:rPr>
                <w:rFonts w:ascii="Arial" w:hAnsi="Arial" w:cs="Arial"/>
                <w:color w:val="000000"/>
              </w:rPr>
            </w:pPr>
          </w:p>
        </w:tc>
        <w:tc>
          <w:tcPr>
            <w:tcW w:w="1276" w:type="dxa"/>
            <w:tcBorders>
              <w:top w:val="nil"/>
              <w:left w:val="nil"/>
              <w:bottom w:val="single" w:sz="8" w:space="0" w:color="auto"/>
              <w:right w:val="single" w:sz="8" w:space="0" w:color="auto"/>
            </w:tcBorders>
            <w:shd w:val="clear" w:color="000000" w:fill="CCCCFF"/>
            <w:noWrap/>
            <w:vAlign w:val="bottom"/>
            <w:hideMark/>
          </w:tcPr>
          <w:p w:rsidR="00EC0BC2" w:rsidRDefault="00EC0BC2" w:rsidP="00E87D32">
            <w:pPr>
              <w:spacing w:after="0" w:line="240" w:lineRule="auto"/>
              <w:rPr>
                <w:rFonts w:ascii="Arial" w:hAnsi="Arial" w:cs="Arial"/>
                <w:color w:val="000000"/>
              </w:rPr>
            </w:pPr>
          </w:p>
        </w:tc>
        <w:tc>
          <w:tcPr>
            <w:tcW w:w="1275" w:type="dxa"/>
            <w:tcBorders>
              <w:top w:val="nil"/>
              <w:left w:val="nil"/>
              <w:bottom w:val="single" w:sz="8" w:space="0" w:color="auto"/>
              <w:right w:val="single" w:sz="8" w:space="0" w:color="auto"/>
            </w:tcBorders>
            <w:shd w:val="clear" w:color="000000" w:fill="CCCCFF"/>
            <w:noWrap/>
            <w:vAlign w:val="bottom"/>
            <w:hideMark/>
          </w:tcPr>
          <w:p w:rsidR="00EC0BC2" w:rsidRDefault="00EC0BC2" w:rsidP="00EC0BC2">
            <w:pPr>
              <w:spacing w:after="0" w:line="240" w:lineRule="auto"/>
              <w:jc w:val="right"/>
              <w:rPr>
                <w:rFonts w:ascii="Arial" w:hAnsi="Arial" w:cs="Arial"/>
                <w:b/>
                <w:bCs/>
                <w:color w:val="000000"/>
                <w:sz w:val="20"/>
                <w:szCs w:val="20"/>
              </w:rPr>
            </w:pPr>
            <w:r>
              <w:rPr>
                <w:rFonts w:ascii="Arial" w:hAnsi="Arial" w:cs="Arial"/>
                <w:b/>
                <w:bCs/>
                <w:color w:val="000000"/>
                <w:sz w:val="20"/>
                <w:szCs w:val="20"/>
              </w:rPr>
              <w:t>813,283</w:t>
            </w:r>
          </w:p>
        </w:tc>
      </w:tr>
      <w:tr w:rsidR="00EC0BC2" w:rsidRPr="00AB366D" w:rsidTr="00EC0BC2">
        <w:trPr>
          <w:trHeight w:val="300"/>
        </w:trPr>
        <w:tc>
          <w:tcPr>
            <w:tcW w:w="4126" w:type="dxa"/>
            <w:tcBorders>
              <w:top w:val="nil"/>
              <w:left w:val="single" w:sz="8" w:space="0" w:color="auto"/>
              <w:bottom w:val="dotted" w:sz="4" w:space="0" w:color="auto"/>
              <w:right w:val="nil"/>
            </w:tcBorders>
            <w:shd w:val="clear" w:color="auto" w:fill="auto"/>
            <w:noWrap/>
            <w:vAlign w:val="bottom"/>
            <w:hideMark/>
          </w:tcPr>
          <w:p w:rsidR="00EC0BC2" w:rsidRPr="00AB366D" w:rsidRDefault="00EC0BC2" w:rsidP="00E87D32">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Service increase in 2011-12 compared to baseline</w:t>
            </w:r>
          </w:p>
        </w:tc>
        <w:tc>
          <w:tcPr>
            <w:tcW w:w="1134" w:type="dxa"/>
            <w:gridSpan w:val="2"/>
            <w:tcBorders>
              <w:top w:val="nil"/>
              <w:left w:val="single" w:sz="8" w:space="0" w:color="auto"/>
              <w:bottom w:val="dotted" w:sz="4" w:space="0" w:color="auto"/>
              <w:right w:val="single" w:sz="8" w:space="0" w:color="auto"/>
            </w:tcBorders>
            <w:shd w:val="clear" w:color="000000" w:fill="F399D9"/>
            <w:noWrap/>
            <w:vAlign w:val="bottom"/>
            <w:hideMark/>
          </w:tcPr>
          <w:p w:rsidR="00EC0BC2" w:rsidRPr="00AB366D" w:rsidRDefault="00EC0BC2" w:rsidP="00E87D32">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85,663</w:t>
            </w:r>
          </w:p>
        </w:tc>
        <w:tc>
          <w:tcPr>
            <w:tcW w:w="1276" w:type="dxa"/>
            <w:gridSpan w:val="2"/>
            <w:tcBorders>
              <w:top w:val="nil"/>
              <w:left w:val="nil"/>
              <w:bottom w:val="dotted" w:sz="4" w:space="0" w:color="auto"/>
              <w:right w:val="single" w:sz="8" w:space="0" w:color="auto"/>
            </w:tcBorders>
            <w:shd w:val="clear" w:color="000000" w:fill="F399D9"/>
            <w:noWrap/>
            <w:vAlign w:val="bottom"/>
            <w:hideMark/>
          </w:tcPr>
          <w:p w:rsidR="00EC0BC2" w:rsidRDefault="00EC0BC2" w:rsidP="00E87D32">
            <w:pPr>
              <w:spacing w:after="0" w:line="240" w:lineRule="auto"/>
              <w:jc w:val="right"/>
              <w:rPr>
                <w:rFonts w:ascii="Arial" w:hAnsi="Arial" w:cs="Arial"/>
                <w:color w:val="000000"/>
                <w:sz w:val="20"/>
                <w:szCs w:val="20"/>
              </w:rPr>
            </w:pPr>
            <w:r>
              <w:rPr>
                <w:rFonts w:ascii="Arial" w:hAnsi="Arial" w:cs="Arial"/>
                <w:color w:val="000000"/>
                <w:sz w:val="20"/>
                <w:szCs w:val="20"/>
              </w:rPr>
              <w:t>127,807</w:t>
            </w:r>
          </w:p>
        </w:tc>
        <w:tc>
          <w:tcPr>
            <w:tcW w:w="1276" w:type="dxa"/>
            <w:tcBorders>
              <w:top w:val="nil"/>
              <w:left w:val="nil"/>
              <w:bottom w:val="dotted" w:sz="4" w:space="0" w:color="auto"/>
              <w:right w:val="single" w:sz="8" w:space="0" w:color="auto"/>
            </w:tcBorders>
            <w:shd w:val="clear" w:color="000000" w:fill="F399D9"/>
            <w:noWrap/>
            <w:vAlign w:val="bottom"/>
            <w:hideMark/>
          </w:tcPr>
          <w:p w:rsidR="00EC0BC2" w:rsidRDefault="00EC0BC2" w:rsidP="00E87D32">
            <w:pPr>
              <w:spacing w:after="0" w:line="240" w:lineRule="auto"/>
              <w:jc w:val="right"/>
              <w:rPr>
                <w:rFonts w:ascii="Arial" w:hAnsi="Arial" w:cs="Arial"/>
                <w:color w:val="000000"/>
                <w:sz w:val="20"/>
                <w:szCs w:val="20"/>
              </w:rPr>
            </w:pPr>
            <w:r>
              <w:rPr>
                <w:rFonts w:ascii="Arial" w:hAnsi="Arial" w:cs="Arial"/>
                <w:color w:val="000000"/>
                <w:sz w:val="20"/>
                <w:szCs w:val="20"/>
              </w:rPr>
              <w:t>48,572</w:t>
            </w:r>
          </w:p>
        </w:tc>
        <w:tc>
          <w:tcPr>
            <w:tcW w:w="1275" w:type="dxa"/>
            <w:tcBorders>
              <w:top w:val="nil"/>
              <w:left w:val="nil"/>
              <w:bottom w:val="dotted" w:sz="4" w:space="0" w:color="auto"/>
              <w:right w:val="single" w:sz="8" w:space="0" w:color="auto"/>
            </w:tcBorders>
            <w:shd w:val="clear" w:color="000000" w:fill="F399D9"/>
            <w:noWrap/>
            <w:vAlign w:val="bottom"/>
            <w:hideMark/>
          </w:tcPr>
          <w:p w:rsidR="00EC0BC2" w:rsidRDefault="00EC0BC2" w:rsidP="00EC0BC2">
            <w:pPr>
              <w:spacing w:after="0" w:line="240" w:lineRule="auto"/>
              <w:jc w:val="right"/>
              <w:rPr>
                <w:rFonts w:ascii="Arial" w:hAnsi="Arial" w:cs="Arial"/>
                <w:b/>
                <w:bCs/>
                <w:color w:val="000000"/>
                <w:sz w:val="20"/>
                <w:szCs w:val="20"/>
              </w:rPr>
            </w:pPr>
            <w:r>
              <w:rPr>
                <w:rFonts w:ascii="Arial" w:hAnsi="Arial" w:cs="Arial"/>
                <w:b/>
                <w:bCs/>
                <w:color w:val="000000"/>
                <w:sz w:val="20"/>
                <w:szCs w:val="20"/>
              </w:rPr>
              <w:t>134,235</w:t>
            </w:r>
          </w:p>
        </w:tc>
      </w:tr>
      <w:tr w:rsidR="00EC0BC2" w:rsidRPr="00AB366D" w:rsidTr="00EC0BC2">
        <w:trPr>
          <w:trHeight w:val="315"/>
        </w:trPr>
        <w:tc>
          <w:tcPr>
            <w:tcW w:w="4126" w:type="dxa"/>
            <w:tcBorders>
              <w:top w:val="nil"/>
              <w:left w:val="single" w:sz="8" w:space="0" w:color="auto"/>
              <w:bottom w:val="single" w:sz="8" w:space="0" w:color="auto"/>
              <w:right w:val="nil"/>
            </w:tcBorders>
            <w:shd w:val="clear" w:color="auto" w:fill="auto"/>
            <w:noWrap/>
            <w:vAlign w:val="bottom"/>
            <w:hideMark/>
          </w:tcPr>
          <w:p w:rsidR="00EC0BC2" w:rsidRPr="00AB366D" w:rsidRDefault="00EC0BC2" w:rsidP="00E87D32">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 increase in 2011-12 compared to baseline</w:t>
            </w:r>
          </w:p>
        </w:tc>
        <w:tc>
          <w:tcPr>
            <w:tcW w:w="1134" w:type="dxa"/>
            <w:gridSpan w:val="2"/>
            <w:tcBorders>
              <w:top w:val="nil"/>
              <w:left w:val="single" w:sz="8" w:space="0" w:color="auto"/>
              <w:bottom w:val="single" w:sz="8" w:space="0" w:color="auto"/>
              <w:right w:val="single" w:sz="8" w:space="0" w:color="auto"/>
            </w:tcBorders>
            <w:shd w:val="clear" w:color="000000" w:fill="F399D9"/>
            <w:noWrap/>
            <w:vAlign w:val="bottom"/>
            <w:hideMark/>
          </w:tcPr>
          <w:p w:rsidR="00EC0BC2" w:rsidRPr="00AB366D" w:rsidRDefault="00EC0BC2" w:rsidP="00E87D32">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16.45%</w:t>
            </w:r>
          </w:p>
        </w:tc>
        <w:tc>
          <w:tcPr>
            <w:tcW w:w="1276" w:type="dxa"/>
            <w:gridSpan w:val="2"/>
            <w:tcBorders>
              <w:top w:val="nil"/>
              <w:left w:val="nil"/>
              <w:bottom w:val="single" w:sz="8" w:space="0" w:color="auto"/>
              <w:right w:val="single" w:sz="8" w:space="0" w:color="auto"/>
            </w:tcBorders>
            <w:shd w:val="clear" w:color="000000" w:fill="F399D9"/>
            <w:noWrap/>
            <w:vAlign w:val="bottom"/>
            <w:hideMark/>
          </w:tcPr>
          <w:p w:rsidR="00EC0BC2" w:rsidRDefault="00EC0BC2" w:rsidP="00E87D32">
            <w:pPr>
              <w:spacing w:after="0" w:line="240" w:lineRule="auto"/>
              <w:jc w:val="right"/>
              <w:rPr>
                <w:rFonts w:ascii="Arial" w:hAnsi="Arial" w:cs="Arial"/>
                <w:color w:val="000000"/>
                <w:sz w:val="20"/>
                <w:szCs w:val="20"/>
              </w:rPr>
            </w:pPr>
            <w:r>
              <w:rPr>
                <w:rFonts w:ascii="Arial" w:hAnsi="Arial" w:cs="Arial"/>
                <w:color w:val="000000"/>
                <w:sz w:val="20"/>
                <w:szCs w:val="20"/>
              </w:rPr>
              <w:t>24.55%</w:t>
            </w:r>
          </w:p>
        </w:tc>
        <w:tc>
          <w:tcPr>
            <w:tcW w:w="1276" w:type="dxa"/>
            <w:tcBorders>
              <w:top w:val="nil"/>
              <w:left w:val="nil"/>
              <w:bottom w:val="single" w:sz="8" w:space="0" w:color="auto"/>
              <w:right w:val="single" w:sz="8" w:space="0" w:color="auto"/>
            </w:tcBorders>
            <w:shd w:val="clear" w:color="000000" w:fill="F399D9"/>
            <w:noWrap/>
            <w:vAlign w:val="bottom"/>
            <w:hideMark/>
          </w:tcPr>
          <w:p w:rsidR="00EC0BC2" w:rsidRDefault="00EC0BC2" w:rsidP="00E87D32">
            <w:pPr>
              <w:spacing w:after="0" w:line="240" w:lineRule="auto"/>
              <w:jc w:val="right"/>
              <w:rPr>
                <w:rFonts w:ascii="Arial" w:hAnsi="Arial" w:cs="Arial"/>
                <w:color w:val="000000"/>
                <w:sz w:val="20"/>
                <w:szCs w:val="20"/>
              </w:rPr>
            </w:pPr>
            <w:r>
              <w:rPr>
                <w:rFonts w:ascii="Arial" w:hAnsi="Arial" w:cs="Arial"/>
                <w:color w:val="000000"/>
                <w:sz w:val="20"/>
                <w:szCs w:val="20"/>
              </w:rPr>
              <w:t>30.66%</w:t>
            </w:r>
          </w:p>
        </w:tc>
        <w:tc>
          <w:tcPr>
            <w:tcW w:w="1275" w:type="dxa"/>
            <w:tcBorders>
              <w:top w:val="nil"/>
              <w:left w:val="nil"/>
              <w:bottom w:val="single" w:sz="8" w:space="0" w:color="auto"/>
              <w:right w:val="single" w:sz="8" w:space="0" w:color="auto"/>
            </w:tcBorders>
            <w:shd w:val="clear" w:color="000000" w:fill="F399D9"/>
            <w:noWrap/>
            <w:vAlign w:val="bottom"/>
            <w:hideMark/>
          </w:tcPr>
          <w:p w:rsidR="00EC0BC2" w:rsidRDefault="00EC0BC2" w:rsidP="00EC0BC2">
            <w:pPr>
              <w:spacing w:after="0" w:line="240" w:lineRule="auto"/>
              <w:jc w:val="right"/>
              <w:rPr>
                <w:rFonts w:ascii="Arial" w:hAnsi="Arial" w:cs="Arial"/>
                <w:b/>
                <w:bCs/>
                <w:color w:val="000000"/>
                <w:sz w:val="20"/>
                <w:szCs w:val="20"/>
              </w:rPr>
            </w:pPr>
            <w:r>
              <w:rPr>
                <w:rFonts w:ascii="Arial" w:hAnsi="Arial" w:cs="Arial"/>
                <w:b/>
                <w:bCs/>
                <w:color w:val="000000"/>
                <w:sz w:val="20"/>
                <w:szCs w:val="20"/>
              </w:rPr>
              <w:t>19.77%</w:t>
            </w:r>
          </w:p>
        </w:tc>
      </w:tr>
      <w:tr w:rsidR="00EC0BC2" w:rsidRPr="00AB366D" w:rsidTr="00EC0BC2">
        <w:trPr>
          <w:trHeight w:val="300"/>
        </w:trPr>
        <w:tc>
          <w:tcPr>
            <w:tcW w:w="4126" w:type="dxa"/>
            <w:tcBorders>
              <w:top w:val="nil"/>
              <w:left w:val="single" w:sz="8" w:space="0" w:color="auto"/>
              <w:bottom w:val="dotted" w:sz="4" w:space="0" w:color="auto"/>
              <w:right w:val="nil"/>
            </w:tcBorders>
            <w:shd w:val="clear" w:color="auto" w:fill="auto"/>
            <w:noWrap/>
            <w:vAlign w:val="bottom"/>
            <w:hideMark/>
          </w:tcPr>
          <w:p w:rsidR="00EC0BC2" w:rsidRPr="00AB366D" w:rsidRDefault="00EC0BC2" w:rsidP="00E87D32">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Service increase in 2011-12 compared to 2010-11</w:t>
            </w:r>
          </w:p>
        </w:tc>
        <w:tc>
          <w:tcPr>
            <w:tcW w:w="1134" w:type="dxa"/>
            <w:gridSpan w:val="2"/>
            <w:tcBorders>
              <w:top w:val="nil"/>
              <w:left w:val="single" w:sz="8" w:space="0" w:color="auto"/>
              <w:bottom w:val="dotted" w:sz="4" w:space="0" w:color="auto"/>
              <w:right w:val="single" w:sz="8" w:space="0" w:color="auto"/>
            </w:tcBorders>
            <w:shd w:val="clear" w:color="000000" w:fill="5FCBFB"/>
            <w:noWrap/>
            <w:vAlign w:val="bottom"/>
            <w:hideMark/>
          </w:tcPr>
          <w:p w:rsidR="00EC0BC2" w:rsidRPr="00AB366D" w:rsidRDefault="00EC0BC2" w:rsidP="00E87D32">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-50,820</w:t>
            </w:r>
          </w:p>
        </w:tc>
        <w:tc>
          <w:tcPr>
            <w:tcW w:w="1276" w:type="dxa"/>
            <w:gridSpan w:val="2"/>
            <w:tcBorders>
              <w:top w:val="nil"/>
              <w:left w:val="nil"/>
              <w:bottom w:val="dotted" w:sz="4" w:space="0" w:color="auto"/>
              <w:right w:val="single" w:sz="8" w:space="0" w:color="auto"/>
            </w:tcBorders>
            <w:shd w:val="clear" w:color="000000" w:fill="5FCBFB"/>
            <w:noWrap/>
            <w:vAlign w:val="bottom"/>
            <w:hideMark/>
          </w:tcPr>
          <w:p w:rsidR="00EC0BC2" w:rsidRDefault="00EC0BC2" w:rsidP="00E87D32">
            <w:pPr>
              <w:spacing w:after="0" w:line="240" w:lineRule="auto"/>
              <w:jc w:val="right"/>
              <w:rPr>
                <w:rFonts w:ascii="Arial" w:hAnsi="Arial" w:cs="Arial"/>
                <w:color w:val="000000"/>
                <w:sz w:val="20"/>
                <w:szCs w:val="20"/>
              </w:rPr>
            </w:pPr>
            <w:r>
              <w:rPr>
                <w:rFonts w:ascii="Arial" w:hAnsi="Arial" w:cs="Arial"/>
                <w:color w:val="000000"/>
                <w:sz w:val="20"/>
                <w:szCs w:val="20"/>
              </w:rPr>
              <w:t>-24,000</w:t>
            </w:r>
          </w:p>
        </w:tc>
        <w:tc>
          <w:tcPr>
            <w:tcW w:w="1276" w:type="dxa"/>
            <w:tcBorders>
              <w:top w:val="nil"/>
              <w:left w:val="nil"/>
              <w:bottom w:val="dotted" w:sz="4" w:space="0" w:color="auto"/>
              <w:right w:val="single" w:sz="8" w:space="0" w:color="auto"/>
            </w:tcBorders>
            <w:shd w:val="clear" w:color="000000" w:fill="5FCBFB"/>
            <w:noWrap/>
            <w:vAlign w:val="bottom"/>
            <w:hideMark/>
          </w:tcPr>
          <w:p w:rsidR="00EC0BC2" w:rsidRDefault="00EC0BC2" w:rsidP="00E87D32">
            <w:pPr>
              <w:spacing w:after="0" w:line="240" w:lineRule="auto"/>
              <w:jc w:val="right"/>
              <w:rPr>
                <w:rFonts w:ascii="Arial" w:hAnsi="Arial" w:cs="Arial"/>
                <w:color w:val="000000"/>
                <w:sz w:val="20"/>
                <w:szCs w:val="20"/>
              </w:rPr>
            </w:pPr>
            <w:r>
              <w:rPr>
                <w:rFonts w:ascii="Arial" w:hAnsi="Arial" w:cs="Arial"/>
                <w:color w:val="000000"/>
                <w:sz w:val="20"/>
                <w:szCs w:val="20"/>
              </w:rPr>
              <w:t>31,425</w:t>
            </w:r>
          </w:p>
        </w:tc>
        <w:tc>
          <w:tcPr>
            <w:tcW w:w="1275" w:type="dxa"/>
            <w:tcBorders>
              <w:top w:val="nil"/>
              <w:left w:val="nil"/>
              <w:bottom w:val="dotted" w:sz="4" w:space="0" w:color="auto"/>
              <w:right w:val="single" w:sz="8" w:space="0" w:color="auto"/>
            </w:tcBorders>
            <w:shd w:val="clear" w:color="000000" w:fill="5FCBFB"/>
            <w:noWrap/>
            <w:vAlign w:val="bottom"/>
            <w:hideMark/>
          </w:tcPr>
          <w:p w:rsidR="00EC0BC2" w:rsidRDefault="00EC0BC2" w:rsidP="00EC0BC2">
            <w:pPr>
              <w:spacing w:after="0" w:line="240" w:lineRule="auto"/>
              <w:jc w:val="right"/>
              <w:rPr>
                <w:rFonts w:ascii="Arial" w:hAnsi="Arial" w:cs="Arial"/>
                <w:b/>
                <w:bCs/>
                <w:color w:val="000000"/>
                <w:sz w:val="20"/>
                <w:szCs w:val="20"/>
              </w:rPr>
            </w:pPr>
            <w:r>
              <w:rPr>
                <w:rFonts w:ascii="Arial" w:hAnsi="Arial" w:cs="Arial"/>
                <w:b/>
                <w:bCs/>
                <w:color w:val="000000"/>
                <w:sz w:val="20"/>
                <w:szCs w:val="20"/>
              </w:rPr>
              <w:t>-19,395</w:t>
            </w:r>
          </w:p>
        </w:tc>
      </w:tr>
      <w:tr w:rsidR="00EC0BC2" w:rsidRPr="00AB366D" w:rsidTr="00EC0BC2">
        <w:trPr>
          <w:trHeight w:val="315"/>
        </w:trPr>
        <w:tc>
          <w:tcPr>
            <w:tcW w:w="4126" w:type="dxa"/>
            <w:tcBorders>
              <w:top w:val="nil"/>
              <w:left w:val="single" w:sz="8" w:space="0" w:color="auto"/>
              <w:bottom w:val="single" w:sz="8" w:space="0" w:color="auto"/>
              <w:right w:val="nil"/>
            </w:tcBorders>
            <w:shd w:val="clear" w:color="auto" w:fill="auto"/>
            <w:noWrap/>
            <w:vAlign w:val="bottom"/>
            <w:hideMark/>
          </w:tcPr>
          <w:p w:rsidR="00EC0BC2" w:rsidRPr="00AB366D" w:rsidRDefault="00EC0BC2" w:rsidP="00E87D32">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 increase in 2011-12 compared to 2010-11</w:t>
            </w:r>
          </w:p>
        </w:tc>
        <w:tc>
          <w:tcPr>
            <w:tcW w:w="1134" w:type="dxa"/>
            <w:gridSpan w:val="2"/>
            <w:tcBorders>
              <w:top w:val="dotted" w:sz="4" w:space="0" w:color="auto"/>
              <w:left w:val="single" w:sz="8" w:space="0" w:color="auto"/>
              <w:bottom w:val="single" w:sz="8" w:space="0" w:color="000000"/>
              <w:right w:val="single" w:sz="8" w:space="0" w:color="auto"/>
            </w:tcBorders>
            <w:shd w:val="clear" w:color="auto" w:fill="5FCBFB"/>
            <w:vAlign w:val="center"/>
            <w:hideMark/>
          </w:tcPr>
          <w:p w:rsidR="00EC0BC2" w:rsidRPr="00AB366D" w:rsidRDefault="00EC0BC2" w:rsidP="003600B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-7.73%</w:t>
            </w:r>
          </w:p>
        </w:tc>
        <w:tc>
          <w:tcPr>
            <w:tcW w:w="1276" w:type="dxa"/>
            <w:gridSpan w:val="2"/>
            <w:tcBorders>
              <w:top w:val="dotted" w:sz="4" w:space="0" w:color="auto"/>
              <w:left w:val="single" w:sz="8" w:space="0" w:color="auto"/>
              <w:bottom w:val="single" w:sz="8" w:space="0" w:color="000000"/>
              <w:right w:val="single" w:sz="8" w:space="0" w:color="auto"/>
            </w:tcBorders>
            <w:shd w:val="clear" w:color="auto" w:fill="5FCBFB"/>
            <w:vAlign w:val="bottom"/>
            <w:hideMark/>
          </w:tcPr>
          <w:p w:rsidR="00EC0BC2" w:rsidRDefault="00EC0BC2" w:rsidP="00E87D32">
            <w:pPr>
              <w:spacing w:after="0" w:line="240" w:lineRule="auto"/>
              <w:ind w:firstLineChars="100" w:firstLine="200"/>
              <w:jc w:val="right"/>
              <w:rPr>
                <w:rFonts w:ascii="Arial" w:hAnsi="Arial" w:cs="Arial"/>
                <w:color w:val="000000"/>
                <w:sz w:val="20"/>
                <w:szCs w:val="20"/>
              </w:rPr>
            </w:pPr>
            <w:r>
              <w:rPr>
                <w:rFonts w:ascii="Arial" w:hAnsi="Arial" w:cs="Arial"/>
                <w:color w:val="000000"/>
                <w:sz w:val="20"/>
                <w:szCs w:val="20"/>
              </w:rPr>
              <w:t>-3.57%</w:t>
            </w:r>
          </w:p>
        </w:tc>
        <w:tc>
          <w:tcPr>
            <w:tcW w:w="1276" w:type="dxa"/>
            <w:tcBorders>
              <w:top w:val="dotted" w:sz="4" w:space="0" w:color="auto"/>
              <w:left w:val="single" w:sz="8" w:space="0" w:color="auto"/>
              <w:bottom w:val="single" w:sz="8" w:space="0" w:color="000000"/>
              <w:right w:val="single" w:sz="8" w:space="0" w:color="auto"/>
            </w:tcBorders>
            <w:shd w:val="clear" w:color="auto" w:fill="5FCBFB"/>
            <w:vAlign w:val="bottom"/>
            <w:hideMark/>
          </w:tcPr>
          <w:p w:rsidR="00EC0BC2" w:rsidRDefault="00EC0BC2" w:rsidP="00E87D32">
            <w:pPr>
              <w:spacing w:after="0" w:line="240" w:lineRule="auto"/>
              <w:ind w:firstLineChars="100" w:firstLine="200"/>
              <w:jc w:val="right"/>
              <w:rPr>
                <w:rFonts w:ascii="Arial" w:hAnsi="Arial" w:cs="Arial"/>
                <w:color w:val="000000"/>
                <w:sz w:val="20"/>
                <w:szCs w:val="20"/>
              </w:rPr>
            </w:pPr>
            <w:r>
              <w:rPr>
                <w:rFonts w:ascii="Arial" w:hAnsi="Arial" w:cs="Arial"/>
                <w:color w:val="000000"/>
                <w:sz w:val="20"/>
                <w:szCs w:val="20"/>
              </w:rPr>
              <w:t>17.90%</w:t>
            </w:r>
          </w:p>
        </w:tc>
        <w:tc>
          <w:tcPr>
            <w:tcW w:w="1275" w:type="dxa"/>
            <w:tcBorders>
              <w:top w:val="dotted" w:sz="4" w:space="0" w:color="auto"/>
              <w:left w:val="single" w:sz="8" w:space="0" w:color="auto"/>
              <w:bottom w:val="single" w:sz="8" w:space="0" w:color="000000"/>
              <w:right w:val="single" w:sz="8" w:space="0" w:color="auto"/>
            </w:tcBorders>
            <w:shd w:val="clear" w:color="auto" w:fill="5FCBFB"/>
            <w:vAlign w:val="bottom"/>
            <w:hideMark/>
          </w:tcPr>
          <w:p w:rsidR="00EC0BC2" w:rsidRDefault="00EC0BC2" w:rsidP="00EC0BC2">
            <w:pPr>
              <w:spacing w:after="0" w:line="240" w:lineRule="auto"/>
              <w:ind w:firstLineChars="100" w:firstLine="201"/>
              <w:jc w:val="right"/>
              <w:rPr>
                <w:rFonts w:ascii="Arial" w:hAnsi="Arial" w:cs="Arial"/>
                <w:b/>
                <w:bCs/>
                <w:color w:val="000000"/>
                <w:sz w:val="20"/>
                <w:szCs w:val="20"/>
              </w:rPr>
            </w:pPr>
            <w:r>
              <w:rPr>
                <w:rFonts w:ascii="Arial" w:hAnsi="Arial" w:cs="Arial"/>
                <w:b/>
                <w:bCs/>
                <w:color w:val="000000"/>
                <w:sz w:val="20"/>
                <w:szCs w:val="20"/>
              </w:rPr>
              <w:t>-2.33%</w:t>
            </w:r>
          </w:p>
        </w:tc>
      </w:tr>
    </w:tbl>
    <w:p w:rsidR="007F4687" w:rsidRDefault="007F4687" w:rsidP="007F4687">
      <w:pPr>
        <w:spacing w:after="0"/>
        <w:rPr>
          <w:rFonts w:ascii="Arial" w:hAnsi="Arial" w:cs="Arial"/>
          <w:b/>
          <w:u w:val="single"/>
        </w:rPr>
      </w:pPr>
    </w:p>
    <w:p w:rsidR="007F4687" w:rsidRPr="007F4687" w:rsidRDefault="007F4687" w:rsidP="007F4687">
      <w:pPr>
        <w:spacing w:after="0"/>
        <w:rPr>
          <w:rFonts w:ascii="Arial" w:hAnsi="Arial" w:cs="Arial"/>
          <w:b/>
        </w:rPr>
      </w:pPr>
      <w:r w:rsidRPr="007F4687">
        <w:rPr>
          <w:rFonts w:ascii="Arial" w:hAnsi="Arial" w:cs="Arial"/>
          <w:b/>
        </w:rPr>
        <w:t>Notes</w:t>
      </w:r>
    </w:p>
    <w:p w:rsidR="007F4687" w:rsidRPr="007F4687" w:rsidRDefault="007F4687" w:rsidP="00E87D32">
      <w:pPr>
        <w:pStyle w:val="ListParagraph"/>
        <w:numPr>
          <w:ilvl w:val="0"/>
          <w:numId w:val="13"/>
        </w:numPr>
        <w:spacing w:after="0"/>
        <w:rPr>
          <w:rFonts w:ascii="Arial" w:hAnsi="Arial" w:cs="Arial"/>
          <w:sz w:val="18"/>
        </w:rPr>
      </w:pPr>
      <w:r w:rsidRPr="007F4687">
        <w:rPr>
          <w:rFonts w:ascii="Arial" w:hAnsi="Arial" w:cs="Arial"/>
          <w:sz w:val="18"/>
        </w:rPr>
        <w:t xml:space="preserve">NSW is using </w:t>
      </w:r>
      <w:r w:rsidR="00E87D32">
        <w:rPr>
          <w:rFonts w:ascii="Arial" w:hAnsi="Arial" w:cs="Arial"/>
          <w:sz w:val="18"/>
        </w:rPr>
        <w:t>actual bed days</w:t>
      </w:r>
      <w:r w:rsidRPr="007F4687">
        <w:rPr>
          <w:rFonts w:ascii="Arial" w:hAnsi="Arial" w:cs="Arial"/>
          <w:sz w:val="18"/>
        </w:rPr>
        <w:t xml:space="preserve"> and occasions of service converted to WBDEs to calculate the total BDE and growth (B+C=D).</w:t>
      </w:r>
    </w:p>
    <w:p w:rsidR="007F4687" w:rsidRPr="007F4687" w:rsidRDefault="007F4687" w:rsidP="00E87D32">
      <w:pPr>
        <w:pStyle w:val="ListParagraph"/>
        <w:numPr>
          <w:ilvl w:val="0"/>
          <w:numId w:val="13"/>
        </w:numPr>
        <w:spacing w:after="0"/>
        <w:rPr>
          <w:rFonts w:ascii="Arial" w:hAnsi="Arial" w:cs="Arial"/>
          <w:sz w:val="18"/>
        </w:rPr>
      </w:pPr>
      <w:r w:rsidRPr="007F4687">
        <w:rPr>
          <w:rFonts w:ascii="Arial" w:hAnsi="Arial" w:cs="Arial"/>
          <w:sz w:val="18"/>
        </w:rPr>
        <w:t>Occasions of service are converted at 8.41:1</w:t>
      </w:r>
    </w:p>
    <w:p w:rsidR="007F4687" w:rsidRPr="007F4687" w:rsidRDefault="007F4687" w:rsidP="00E87D32">
      <w:pPr>
        <w:pStyle w:val="ListParagraph"/>
        <w:numPr>
          <w:ilvl w:val="0"/>
          <w:numId w:val="13"/>
        </w:numPr>
        <w:spacing w:after="0"/>
        <w:rPr>
          <w:rFonts w:ascii="Arial" w:hAnsi="Arial" w:cs="Arial"/>
          <w:sz w:val="18"/>
        </w:rPr>
      </w:pPr>
      <w:r w:rsidRPr="007F4687">
        <w:rPr>
          <w:rFonts w:ascii="Arial" w:hAnsi="Arial" w:cs="Arial"/>
          <w:sz w:val="18"/>
        </w:rPr>
        <w:t xml:space="preserve">In 2010-11 and 2011-12 a number of beds were opened under NPA IPHS. The bed days associated with these beds are included in the table. After accounting for this activity, NSW achieved a </w:t>
      </w:r>
      <w:r w:rsidRPr="00832648">
        <w:rPr>
          <w:rFonts w:ascii="Arial" w:hAnsi="Arial" w:cs="Arial"/>
          <w:sz w:val="18"/>
        </w:rPr>
        <w:t xml:space="preserve">growth of </w:t>
      </w:r>
      <w:r w:rsidR="003B550D">
        <w:rPr>
          <w:rFonts w:ascii="Arial" w:hAnsi="Arial" w:cs="Arial"/>
          <w:sz w:val="18"/>
        </w:rPr>
        <w:t>19.8</w:t>
      </w:r>
      <w:r w:rsidRPr="00832648">
        <w:rPr>
          <w:rFonts w:ascii="Arial" w:hAnsi="Arial" w:cs="Arial"/>
          <w:sz w:val="18"/>
        </w:rPr>
        <w:t>% in</w:t>
      </w:r>
      <w:r w:rsidRPr="007F4687">
        <w:rPr>
          <w:rFonts w:ascii="Arial" w:hAnsi="Arial" w:cs="Arial"/>
          <w:sz w:val="18"/>
        </w:rPr>
        <w:t xml:space="preserve"> subacute activity over the baseline year</w:t>
      </w:r>
      <w:r w:rsidR="00B72EF9">
        <w:rPr>
          <w:rFonts w:ascii="Arial" w:hAnsi="Arial" w:cs="Arial"/>
          <w:sz w:val="18"/>
        </w:rPr>
        <w:t>.  This methodology does not account for the decline in Average Length of Stay (ALOS) from 15.01 days in 2007/08 to 13.24 in 2011/12</w:t>
      </w:r>
      <w:r w:rsidRPr="007F4687">
        <w:rPr>
          <w:rFonts w:ascii="Arial" w:hAnsi="Arial" w:cs="Arial"/>
          <w:sz w:val="18"/>
        </w:rPr>
        <w:t>. The table indicates that this growth is attributable to NPA-HHWR, however, this does not take account of funding contributed to subacute care services by NSW Health to achieve growth.</w:t>
      </w:r>
    </w:p>
    <w:p w:rsidR="00770812" w:rsidRDefault="00770812" w:rsidP="00770812">
      <w:pPr>
        <w:spacing w:after="0"/>
        <w:rPr>
          <w:rFonts w:ascii="Arial" w:hAnsi="Arial" w:cs="Arial"/>
          <w:sz w:val="18"/>
        </w:rPr>
      </w:pPr>
    </w:p>
    <w:p w:rsidR="00770812" w:rsidRPr="00E87D32" w:rsidRDefault="00770812" w:rsidP="00770812">
      <w:pPr>
        <w:spacing w:after="0"/>
        <w:rPr>
          <w:rFonts w:ascii="Arial" w:hAnsi="Arial" w:cs="Arial"/>
          <w:b/>
          <w:sz w:val="18"/>
          <w:u w:val="single"/>
        </w:rPr>
      </w:pPr>
      <w:r w:rsidRPr="00E87D32">
        <w:rPr>
          <w:rFonts w:ascii="Arial" w:hAnsi="Arial" w:cs="Arial"/>
          <w:b/>
          <w:sz w:val="18"/>
          <w:u w:val="single"/>
        </w:rPr>
        <w:t>Definitions</w:t>
      </w:r>
    </w:p>
    <w:p w:rsidR="00770812" w:rsidRPr="00E87D32" w:rsidRDefault="00770812" w:rsidP="00770812">
      <w:pPr>
        <w:spacing w:after="0"/>
        <w:rPr>
          <w:rFonts w:ascii="Arial" w:hAnsi="Arial" w:cs="Arial"/>
          <w:b/>
          <w:sz w:val="18"/>
        </w:rPr>
      </w:pPr>
      <w:r w:rsidRPr="00E87D32">
        <w:rPr>
          <w:rFonts w:ascii="Arial" w:hAnsi="Arial" w:cs="Arial"/>
          <w:b/>
          <w:sz w:val="18"/>
        </w:rPr>
        <w:t>Subacute care</w:t>
      </w:r>
    </w:p>
    <w:p w:rsidR="00770812" w:rsidRPr="00E87D32" w:rsidRDefault="00770812" w:rsidP="00770812">
      <w:pPr>
        <w:spacing w:after="0"/>
        <w:jc w:val="both"/>
        <w:rPr>
          <w:rFonts w:ascii="Arial" w:hAnsi="Arial" w:cs="Arial"/>
          <w:sz w:val="18"/>
        </w:rPr>
      </w:pPr>
      <w:r w:rsidRPr="00E87D32">
        <w:rPr>
          <w:rFonts w:ascii="Arial" w:hAnsi="Arial" w:cs="Arial"/>
          <w:sz w:val="18"/>
        </w:rPr>
        <w:t>Rehabilitation, palliative care, geriatric evaluation and management and psychogeriatric care, as defined in the most recent version of the National Health Data Dictionary.</w:t>
      </w:r>
    </w:p>
    <w:p w:rsidR="00770812" w:rsidRPr="00E87D32" w:rsidRDefault="00770812" w:rsidP="00770812">
      <w:pPr>
        <w:spacing w:after="0"/>
        <w:jc w:val="both"/>
        <w:rPr>
          <w:rFonts w:ascii="Arial" w:hAnsi="Arial" w:cs="Arial"/>
          <w:sz w:val="18"/>
        </w:rPr>
      </w:pPr>
      <w:r w:rsidRPr="00E87D32">
        <w:rPr>
          <w:rFonts w:ascii="Arial" w:hAnsi="Arial" w:cs="Arial"/>
          <w:sz w:val="18"/>
        </w:rPr>
        <w:t>Patient days – the total number of days for all patients who were admitted for an episode of care and who separated during a specified reference period (METeOR 270045).</w:t>
      </w:r>
    </w:p>
    <w:p w:rsidR="00770812" w:rsidRPr="00E87D32" w:rsidRDefault="00770812" w:rsidP="00770812">
      <w:pPr>
        <w:spacing w:after="0"/>
        <w:jc w:val="both"/>
        <w:rPr>
          <w:rFonts w:ascii="Arial" w:hAnsi="Arial" w:cs="Arial"/>
          <w:sz w:val="18"/>
        </w:rPr>
      </w:pPr>
      <w:r w:rsidRPr="00E87D32">
        <w:rPr>
          <w:rFonts w:ascii="Arial" w:hAnsi="Arial" w:cs="Arial"/>
          <w:sz w:val="18"/>
        </w:rPr>
        <w:t>Separation – the process by which an episode of care for an admitted patient ceases. A separation may be formal or statistical (METeOR 327268).</w:t>
      </w:r>
    </w:p>
    <w:p w:rsidR="00770812" w:rsidRPr="00E87D32" w:rsidRDefault="00770812" w:rsidP="00770812">
      <w:pPr>
        <w:spacing w:after="0"/>
        <w:jc w:val="both"/>
        <w:rPr>
          <w:rFonts w:ascii="Arial" w:hAnsi="Arial" w:cs="Arial"/>
          <w:sz w:val="18"/>
        </w:rPr>
      </w:pPr>
      <w:r w:rsidRPr="00E87D32">
        <w:rPr>
          <w:rFonts w:ascii="Arial" w:hAnsi="Arial" w:cs="Arial"/>
          <w:sz w:val="18"/>
        </w:rPr>
        <w:t>Hospital-in-the-home (HITH) – provision of care to hospital admitted patients in their place of residence as a substitute for hospital accommodation. Place of residence may be permanent or temporary (METeOR 327308).</w:t>
      </w:r>
    </w:p>
    <w:p w:rsidR="00770812" w:rsidRDefault="00770812" w:rsidP="00770812">
      <w:pPr>
        <w:spacing w:after="0"/>
        <w:jc w:val="both"/>
        <w:rPr>
          <w:rFonts w:ascii="Arial" w:hAnsi="Arial" w:cs="Arial"/>
          <w:sz w:val="18"/>
        </w:rPr>
      </w:pPr>
      <w:r w:rsidRPr="00E87D32">
        <w:rPr>
          <w:rFonts w:ascii="Arial" w:hAnsi="Arial" w:cs="Arial"/>
          <w:sz w:val="18"/>
        </w:rPr>
        <w:t xml:space="preserve">Hospital based – admitted subacute care services provided in acute, non-acute and subacute hospitals or same-day establishments or through Hospital-in-the-home (HITH) care.   </w:t>
      </w:r>
    </w:p>
    <w:p w:rsidR="00770812" w:rsidRPr="00E87D32" w:rsidRDefault="00770812" w:rsidP="00770812">
      <w:pPr>
        <w:spacing w:after="0"/>
        <w:jc w:val="both"/>
        <w:rPr>
          <w:rFonts w:ascii="Arial" w:hAnsi="Arial" w:cs="Arial"/>
          <w:sz w:val="18"/>
        </w:rPr>
      </w:pPr>
    </w:p>
    <w:p w:rsidR="00770812" w:rsidRPr="00E87D32" w:rsidRDefault="00770812" w:rsidP="00770812">
      <w:pPr>
        <w:spacing w:after="0"/>
        <w:rPr>
          <w:rFonts w:ascii="Arial" w:hAnsi="Arial" w:cs="Arial"/>
          <w:b/>
          <w:sz w:val="18"/>
        </w:rPr>
      </w:pPr>
      <w:r w:rsidRPr="00E87D32">
        <w:rPr>
          <w:rFonts w:ascii="Arial" w:hAnsi="Arial" w:cs="Arial"/>
          <w:b/>
          <w:sz w:val="18"/>
        </w:rPr>
        <w:t>Non-admitted Care</w:t>
      </w:r>
    </w:p>
    <w:p w:rsidR="00770812" w:rsidRPr="00E87D32" w:rsidRDefault="00770812" w:rsidP="00770812">
      <w:pPr>
        <w:spacing w:after="0"/>
        <w:rPr>
          <w:rFonts w:ascii="Arial" w:hAnsi="Arial" w:cs="Arial"/>
          <w:sz w:val="18"/>
        </w:rPr>
      </w:pPr>
      <w:r w:rsidRPr="00E87D32">
        <w:rPr>
          <w:rFonts w:ascii="Arial" w:hAnsi="Arial" w:cs="Arial"/>
          <w:sz w:val="18"/>
        </w:rPr>
        <w:t>Occasions of service (OOS) – the number of occasions of examination, consultation, treatment or other service provided to a patient (METeOR 291061).</w:t>
      </w:r>
    </w:p>
    <w:p w:rsidR="00770812" w:rsidRPr="00E87D32" w:rsidRDefault="00770812" w:rsidP="00770812">
      <w:pPr>
        <w:spacing w:after="0"/>
        <w:rPr>
          <w:rFonts w:ascii="Arial" w:hAnsi="Arial" w:cs="Arial"/>
          <w:sz w:val="18"/>
        </w:rPr>
      </w:pPr>
      <w:r w:rsidRPr="00E87D32">
        <w:rPr>
          <w:rFonts w:ascii="Arial" w:hAnsi="Arial" w:cs="Arial"/>
          <w:sz w:val="18"/>
        </w:rPr>
        <w:t>Group sessions – care or assistance simultaneously being provided to more than one person METeOR 294406), either as an occasion of service or episode.</w:t>
      </w:r>
    </w:p>
    <w:p w:rsidR="00770812" w:rsidRPr="00E87D32" w:rsidRDefault="00770812" w:rsidP="00770812">
      <w:pPr>
        <w:spacing w:after="0"/>
        <w:rPr>
          <w:rFonts w:ascii="Arial" w:hAnsi="Arial" w:cs="Arial"/>
          <w:sz w:val="18"/>
        </w:rPr>
      </w:pPr>
      <w:r w:rsidRPr="00E87D32">
        <w:rPr>
          <w:rFonts w:ascii="Arial" w:hAnsi="Arial" w:cs="Arial"/>
          <w:sz w:val="18"/>
        </w:rPr>
        <w:t>Centre based – subacute care services provided in non-admitted settings including hospital outpatient clinics and hospital outreach and hospital-auspiced community health facilities.</w:t>
      </w:r>
    </w:p>
    <w:p w:rsidR="00770812" w:rsidRPr="00E87D32" w:rsidRDefault="00770812" w:rsidP="00770812">
      <w:pPr>
        <w:spacing w:after="0"/>
        <w:rPr>
          <w:rFonts w:ascii="Arial" w:hAnsi="Arial" w:cs="Arial"/>
          <w:sz w:val="18"/>
        </w:rPr>
      </w:pPr>
      <w:r w:rsidRPr="00E87D32">
        <w:rPr>
          <w:rFonts w:ascii="Arial" w:hAnsi="Arial" w:cs="Arial"/>
          <w:sz w:val="18"/>
        </w:rPr>
        <w:t>Home based – subacute care services provided to non-admitted patients in their place of residence through a hospital outpatient, hospital outreach or hospital-auspiced community health program.</w:t>
      </w:r>
    </w:p>
    <w:p w:rsidR="00770812" w:rsidRDefault="00770812" w:rsidP="00770812">
      <w:pPr>
        <w:spacing w:after="0"/>
        <w:rPr>
          <w:rFonts w:ascii="Arial" w:hAnsi="Arial" w:cs="Arial"/>
          <w:sz w:val="18"/>
        </w:rPr>
      </w:pPr>
      <w:r w:rsidRPr="00E87D32">
        <w:rPr>
          <w:rFonts w:ascii="Arial" w:hAnsi="Arial" w:cs="Arial"/>
          <w:sz w:val="18"/>
        </w:rPr>
        <w:t>Episode of care - A period of health care with a defined start and end date (METeOR 268978).</w:t>
      </w:r>
    </w:p>
    <w:p w:rsidR="00770812" w:rsidRDefault="00770812" w:rsidP="00770812">
      <w:pPr>
        <w:spacing w:after="0"/>
        <w:rPr>
          <w:rFonts w:ascii="Arial" w:hAnsi="Arial" w:cs="Arial"/>
          <w:sz w:val="18"/>
        </w:rPr>
      </w:pPr>
    </w:p>
    <w:p w:rsidR="002535BF" w:rsidRPr="00E87D32" w:rsidRDefault="002535BF" w:rsidP="00770812">
      <w:pPr>
        <w:spacing w:after="0"/>
        <w:rPr>
          <w:rFonts w:ascii="Arial" w:hAnsi="Arial" w:cs="Arial"/>
          <w:sz w:val="18"/>
        </w:rPr>
      </w:pPr>
    </w:p>
    <w:p w:rsidR="00770812" w:rsidRPr="00E87D32" w:rsidRDefault="00770812" w:rsidP="00770812">
      <w:pPr>
        <w:spacing w:after="0"/>
        <w:rPr>
          <w:rFonts w:ascii="Arial" w:hAnsi="Arial" w:cs="Arial"/>
          <w:b/>
          <w:sz w:val="18"/>
        </w:rPr>
      </w:pPr>
      <w:r w:rsidRPr="00E87D32">
        <w:rPr>
          <w:rFonts w:ascii="Arial" w:hAnsi="Arial" w:cs="Arial"/>
          <w:b/>
          <w:sz w:val="18"/>
        </w:rPr>
        <w:lastRenderedPageBreak/>
        <w:t>Weighted Bed Day Equivalents (WBE)</w:t>
      </w:r>
    </w:p>
    <w:p w:rsidR="00770812" w:rsidRPr="00E87D32" w:rsidRDefault="00770812" w:rsidP="00770812">
      <w:pPr>
        <w:spacing w:after="0"/>
        <w:rPr>
          <w:rFonts w:ascii="Arial" w:hAnsi="Arial" w:cs="Arial"/>
          <w:sz w:val="18"/>
        </w:rPr>
      </w:pPr>
      <w:r w:rsidRPr="00E87D32">
        <w:rPr>
          <w:rFonts w:ascii="Arial" w:hAnsi="Arial" w:cs="Arial"/>
          <w:sz w:val="18"/>
        </w:rPr>
        <w:t>The WBE is the ratio of the admitted bed day cost to the non-admitted count cost.</w:t>
      </w:r>
    </w:p>
    <w:p w:rsidR="00770812" w:rsidRPr="00E87D32" w:rsidRDefault="00770812" w:rsidP="00770812">
      <w:pPr>
        <w:spacing w:after="0"/>
        <w:rPr>
          <w:rFonts w:ascii="Arial" w:hAnsi="Arial" w:cs="Arial"/>
          <w:sz w:val="18"/>
        </w:rPr>
      </w:pPr>
      <w:r w:rsidRPr="00E87D32">
        <w:rPr>
          <w:rFonts w:ascii="Arial" w:hAnsi="Arial" w:cs="Arial"/>
          <w:sz w:val="18"/>
        </w:rPr>
        <w:t>Example:</w:t>
      </w:r>
      <w:r>
        <w:rPr>
          <w:rFonts w:ascii="Arial" w:hAnsi="Arial" w:cs="Arial"/>
          <w:sz w:val="18"/>
        </w:rPr>
        <w:t xml:space="preserve"> </w:t>
      </w:r>
      <w:r w:rsidRPr="00E87D32">
        <w:rPr>
          <w:rFonts w:ascii="Arial" w:hAnsi="Arial" w:cs="Arial"/>
          <w:sz w:val="18"/>
        </w:rPr>
        <w:t>If the admitted bed day cost is $1000 and non-admitted count cost is $250, then WBE = 1:4 ($1000/$250 = 4)</w:t>
      </w:r>
    </w:p>
    <w:p w:rsidR="00770812" w:rsidRPr="00770812" w:rsidRDefault="00770812" w:rsidP="00770812">
      <w:pPr>
        <w:spacing w:after="0"/>
        <w:rPr>
          <w:rFonts w:ascii="Arial" w:hAnsi="Arial" w:cs="Arial"/>
          <w:sz w:val="18"/>
        </w:rPr>
      </w:pPr>
    </w:p>
    <w:p w:rsidR="004A74D1" w:rsidRDefault="007F4687" w:rsidP="004A74D1">
      <w:pPr>
        <w:spacing w:after="0"/>
        <w:rPr>
          <w:rFonts w:ascii="Arial" w:hAnsi="Arial" w:cs="Arial"/>
          <w:b/>
          <w:u w:val="single"/>
        </w:rPr>
      </w:pPr>
      <w:r>
        <w:rPr>
          <w:rFonts w:ascii="Arial" w:hAnsi="Arial" w:cs="Arial"/>
          <w:b/>
          <w:u w:val="single"/>
        </w:rPr>
        <w:br w:type="page"/>
      </w:r>
      <w:r w:rsidR="004A74D1" w:rsidRPr="00AB366D">
        <w:rPr>
          <w:rFonts w:ascii="Arial" w:hAnsi="Arial" w:cs="Arial"/>
          <w:b/>
          <w:u w:val="single"/>
        </w:rPr>
        <w:lastRenderedPageBreak/>
        <w:t>Table 2</w:t>
      </w:r>
      <w:r w:rsidR="004A74D1">
        <w:rPr>
          <w:rFonts w:ascii="Arial" w:hAnsi="Arial" w:cs="Arial"/>
          <w:b/>
          <w:u w:val="single"/>
        </w:rPr>
        <w:t>B</w:t>
      </w:r>
      <w:r w:rsidR="004A74D1" w:rsidRPr="00AB366D">
        <w:rPr>
          <w:rFonts w:ascii="Arial" w:hAnsi="Arial" w:cs="Arial"/>
          <w:b/>
          <w:u w:val="single"/>
        </w:rPr>
        <w:t>: Growth percentages (2011-12) using 2007/08 ALOS</w:t>
      </w:r>
    </w:p>
    <w:tbl>
      <w:tblPr>
        <w:tblW w:w="9087" w:type="dxa"/>
        <w:tblInd w:w="93" w:type="dxa"/>
        <w:tblLook w:val="04A0" w:firstRow="1" w:lastRow="0" w:firstColumn="1" w:lastColumn="0" w:noHBand="0" w:noVBand="1"/>
      </w:tblPr>
      <w:tblGrid>
        <w:gridCol w:w="4126"/>
        <w:gridCol w:w="992"/>
        <w:gridCol w:w="142"/>
        <w:gridCol w:w="1134"/>
        <w:gridCol w:w="142"/>
        <w:gridCol w:w="1276"/>
        <w:gridCol w:w="1275"/>
      </w:tblGrid>
      <w:tr w:rsidR="004A74D1" w:rsidRPr="00AB366D" w:rsidTr="004A74D1">
        <w:trPr>
          <w:trHeight w:val="705"/>
        </w:trPr>
        <w:tc>
          <w:tcPr>
            <w:tcW w:w="4126" w:type="dxa"/>
            <w:tcBorders>
              <w:top w:val="nil"/>
              <w:left w:val="nil"/>
              <w:bottom w:val="nil"/>
              <w:right w:val="nil"/>
            </w:tcBorders>
            <w:shd w:val="clear" w:color="auto" w:fill="auto"/>
            <w:noWrap/>
            <w:vAlign w:val="bottom"/>
            <w:hideMark/>
          </w:tcPr>
          <w:p w:rsidR="004A74D1" w:rsidRPr="00AB366D" w:rsidRDefault="004A74D1" w:rsidP="004A74D1">
            <w:pPr>
              <w:spacing w:after="0" w:line="240" w:lineRule="auto"/>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Growth percentages (2011-12)</w:t>
            </w:r>
          </w:p>
        </w:tc>
        <w:tc>
          <w:tcPr>
            <w:tcW w:w="992" w:type="dxa"/>
            <w:tcBorders>
              <w:top w:val="nil"/>
              <w:left w:val="nil"/>
              <w:bottom w:val="nil"/>
              <w:right w:val="nil"/>
            </w:tcBorders>
            <w:shd w:val="clear" w:color="auto" w:fill="auto"/>
            <w:vAlign w:val="bottom"/>
            <w:hideMark/>
          </w:tcPr>
          <w:p w:rsidR="004A74D1" w:rsidRPr="00AB366D" w:rsidRDefault="004A74D1" w:rsidP="004A74D1">
            <w:pPr>
              <w:spacing w:after="0" w:line="240" w:lineRule="auto"/>
              <w:jc w:val="center"/>
              <w:rPr>
                <w:rFonts w:ascii="Arial" w:eastAsia="Times New Roman" w:hAnsi="Arial" w:cs="Arial"/>
                <w:color w:val="000000"/>
                <w:sz w:val="16"/>
                <w:szCs w:val="16"/>
              </w:rPr>
            </w:pPr>
            <w:r w:rsidRPr="00AB366D">
              <w:rPr>
                <w:rFonts w:ascii="Arial" w:eastAsia="Times New Roman" w:hAnsi="Arial" w:cs="Arial"/>
                <w:color w:val="000000"/>
                <w:sz w:val="16"/>
                <w:szCs w:val="16"/>
              </w:rPr>
              <w:t>Patient days</w:t>
            </w:r>
          </w:p>
        </w:tc>
        <w:tc>
          <w:tcPr>
            <w:tcW w:w="1276" w:type="dxa"/>
            <w:gridSpan w:val="2"/>
            <w:tcBorders>
              <w:top w:val="nil"/>
              <w:left w:val="nil"/>
              <w:bottom w:val="nil"/>
              <w:right w:val="nil"/>
            </w:tcBorders>
            <w:shd w:val="clear" w:color="auto" w:fill="auto"/>
            <w:vAlign w:val="bottom"/>
            <w:hideMark/>
          </w:tcPr>
          <w:p w:rsidR="004A74D1" w:rsidRPr="00AB366D" w:rsidRDefault="004A74D1" w:rsidP="004A74D1">
            <w:pPr>
              <w:spacing w:after="0" w:line="240" w:lineRule="auto"/>
              <w:jc w:val="center"/>
              <w:rPr>
                <w:rFonts w:ascii="Arial" w:eastAsia="Times New Roman" w:hAnsi="Arial" w:cs="Arial"/>
                <w:color w:val="000000"/>
                <w:sz w:val="16"/>
                <w:szCs w:val="16"/>
              </w:rPr>
            </w:pPr>
            <w:r w:rsidRPr="00AB366D">
              <w:rPr>
                <w:rFonts w:ascii="Arial" w:eastAsia="Times New Roman" w:hAnsi="Arial" w:cs="Arial"/>
                <w:color w:val="000000"/>
                <w:sz w:val="16"/>
                <w:szCs w:val="16"/>
              </w:rPr>
              <w:t>Separations (as BDEs)</w:t>
            </w:r>
          </w:p>
        </w:tc>
        <w:tc>
          <w:tcPr>
            <w:tcW w:w="1418" w:type="dxa"/>
            <w:gridSpan w:val="2"/>
            <w:tcBorders>
              <w:top w:val="nil"/>
              <w:left w:val="nil"/>
              <w:bottom w:val="nil"/>
              <w:right w:val="nil"/>
            </w:tcBorders>
            <w:shd w:val="clear" w:color="auto" w:fill="auto"/>
            <w:vAlign w:val="bottom"/>
            <w:hideMark/>
          </w:tcPr>
          <w:p w:rsidR="004A74D1" w:rsidRPr="00AB366D" w:rsidRDefault="004A74D1" w:rsidP="004A74D1">
            <w:pPr>
              <w:spacing w:after="0" w:line="240" w:lineRule="auto"/>
              <w:jc w:val="center"/>
              <w:rPr>
                <w:rFonts w:ascii="Arial" w:eastAsia="Times New Roman" w:hAnsi="Arial" w:cs="Arial"/>
                <w:color w:val="000000"/>
                <w:sz w:val="16"/>
                <w:szCs w:val="16"/>
              </w:rPr>
            </w:pPr>
            <w:r w:rsidRPr="00AB366D">
              <w:rPr>
                <w:rFonts w:ascii="Arial" w:eastAsia="Times New Roman" w:hAnsi="Arial" w:cs="Arial"/>
                <w:color w:val="000000"/>
                <w:sz w:val="16"/>
                <w:szCs w:val="16"/>
              </w:rPr>
              <w:t>Occasions of service (WBDEs)</w:t>
            </w:r>
          </w:p>
        </w:tc>
        <w:tc>
          <w:tcPr>
            <w:tcW w:w="1275" w:type="dxa"/>
            <w:tcBorders>
              <w:top w:val="nil"/>
              <w:left w:val="nil"/>
              <w:bottom w:val="nil"/>
              <w:right w:val="nil"/>
            </w:tcBorders>
            <w:shd w:val="clear" w:color="auto" w:fill="auto"/>
            <w:vAlign w:val="bottom"/>
            <w:hideMark/>
          </w:tcPr>
          <w:p w:rsidR="004A74D1" w:rsidRPr="00AB366D" w:rsidRDefault="004A74D1" w:rsidP="004A74D1">
            <w:pPr>
              <w:spacing w:after="0" w:line="240" w:lineRule="auto"/>
              <w:jc w:val="center"/>
              <w:rPr>
                <w:rFonts w:ascii="Arial" w:eastAsia="Times New Roman" w:hAnsi="Arial" w:cs="Arial"/>
                <w:color w:val="000000"/>
                <w:sz w:val="16"/>
                <w:szCs w:val="16"/>
              </w:rPr>
            </w:pPr>
            <w:r w:rsidRPr="00AB366D">
              <w:rPr>
                <w:rFonts w:ascii="Arial" w:eastAsia="Times New Roman" w:hAnsi="Arial" w:cs="Arial"/>
                <w:color w:val="000000"/>
                <w:sz w:val="16"/>
                <w:szCs w:val="16"/>
              </w:rPr>
              <w:t>Total BDEs</w:t>
            </w:r>
          </w:p>
        </w:tc>
      </w:tr>
      <w:tr w:rsidR="004A74D1" w:rsidRPr="00AB366D" w:rsidTr="004A74D1">
        <w:trPr>
          <w:trHeight w:val="315"/>
        </w:trPr>
        <w:tc>
          <w:tcPr>
            <w:tcW w:w="4126" w:type="dxa"/>
            <w:tcBorders>
              <w:top w:val="nil"/>
              <w:left w:val="nil"/>
              <w:bottom w:val="single" w:sz="8" w:space="0" w:color="auto"/>
              <w:right w:val="nil"/>
            </w:tcBorders>
            <w:shd w:val="clear" w:color="auto" w:fill="auto"/>
            <w:noWrap/>
            <w:vAlign w:val="bottom"/>
            <w:hideMark/>
          </w:tcPr>
          <w:p w:rsidR="004A74D1" w:rsidRPr="00AB366D" w:rsidRDefault="004A74D1" w:rsidP="004A74D1">
            <w:pPr>
              <w:spacing w:after="0" w:line="240" w:lineRule="auto"/>
              <w:rPr>
                <w:rFonts w:ascii="Arial" w:eastAsia="Times New Roman" w:hAnsi="Arial" w:cs="Arial"/>
                <w:color w:val="000000"/>
              </w:rPr>
            </w:pPr>
            <w:r w:rsidRPr="00AB366D">
              <w:rPr>
                <w:rFonts w:ascii="Arial" w:eastAsia="Times New Roman" w:hAnsi="Arial" w:cs="Arial"/>
                <w:color w:val="000000"/>
              </w:rPr>
              <w:t> </w:t>
            </w:r>
          </w:p>
        </w:tc>
        <w:tc>
          <w:tcPr>
            <w:tcW w:w="992" w:type="dxa"/>
            <w:tcBorders>
              <w:top w:val="nil"/>
              <w:left w:val="nil"/>
              <w:bottom w:val="nil"/>
              <w:right w:val="nil"/>
            </w:tcBorders>
            <w:shd w:val="clear" w:color="auto" w:fill="auto"/>
            <w:vAlign w:val="bottom"/>
            <w:hideMark/>
          </w:tcPr>
          <w:p w:rsidR="004A74D1" w:rsidRPr="00AB366D" w:rsidRDefault="004A74D1" w:rsidP="004A74D1">
            <w:pPr>
              <w:spacing w:after="0" w:line="240" w:lineRule="auto"/>
              <w:jc w:val="center"/>
              <w:rPr>
                <w:rFonts w:ascii="Arial" w:eastAsia="Times New Roman" w:hAnsi="Arial" w:cs="Arial"/>
                <w:color w:val="000000"/>
              </w:rPr>
            </w:pPr>
            <w:r w:rsidRPr="00AB366D">
              <w:rPr>
                <w:rFonts w:ascii="Arial" w:eastAsia="Times New Roman" w:hAnsi="Arial" w:cs="Arial"/>
                <w:color w:val="000000"/>
              </w:rPr>
              <w:t>A</w:t>
            </w:r>
          </w:p>
        </w:tc>
        <w:tc>
          <w:tcPr>
            <w:tcW w:w="1276" w:type="dxa"/>
            <w:gridSpan w:val="2"/>
            <w:tcBorders>
              <w:top w:val="nil"/>
              <w:left w:val="nil"/>
              <w:bottom w:val="nil"/>
              <w:right w:val="nil"/>
            </w:tcBorders>
            <w:shd w:val="clear" w:color="auto" w:fill="auto"/>
            <w:vAlign w:val="bottom"/>
            <w:hideMark/>
          </w:tcPr>
          <w:p w:rsidR="004A74D1" w:rsidRPr="00AB366D" w:rsidRDefault="004A74D1" w:rsidP="004A74D1">
            <w:pPr>
              <w:spacing w:after="0" w:line="240" w:lineRule="auto"/>
              <w:jc w:val="center"/>
              <w:rPr>
                <w:rFonts w:ascii="Arial" w:eastAsia="Times New Roman" w:hAnsi="Arial" w:cs="Arial"/>
                <w:color w:val="000000"/>
              </w:rPr>
            </w:pPr>
            <w:r w:rsidRPr="00AB366D">
              <w:rPr>
                <w:rFonts w:ascii="Arial" w:eastAsia="Times New Roman" w:hAnsi="Arial" w:cs="Arial"/>
                <w:color w:val="000000"/>
              </w:rPr>
              <w:t>B</w:t>
            </w:r>
          </w:p>
        </w:tc>
        <w:tc>
          <w:tcPr>
            <w:tcW w:w="1418" w:type="dxa"/>
            <w:gridSpan w:val="2"/>
            <w:tcBorders>
              <w:top w:val="nil"/>
              <w:left w:val="nil"/>
              <w:bottom w:val="nil"/>
              <w:right w:val="nil"/>
            </w:tcBorders>
            <w:shd w:val="clear" w:color="auto" w:fill="auto"/>
            <w:vAlign w:val="bottom"/>
            <w:hideMark/>
          </w:tcPr>
          <w:p w:rsidR="004A74D1" w:rsidRPr="00AB366D" w:rsidRDefault="004A74D1" w:rsidP="004A74D1">
            <w:pPr>
              <w:spacing w:after="0" w:line="240" w:lineRule="auto"/>
              <w:jc w:val="center"/>
              <w:rPr>
                <w:rFonts w:ascii="Arial" w:eastAsia="Times New Roman" w:hAnsi="Arial" w:cs="Arial"/>
                <w:color w:val="000000"/>
              </w:rPr>
            </w:pPr>
            <w:r w:rsidRPr="00AB366D">
              <w:rPr>
                <w:rFonts w:ascii="Arial" w:eastAsia="Times New Roman" w:hAnsi="Arial" w:cs="Arial"/>
                <w:color w:val="000000"/>
              </w:rPr>
              <w:t>C</w:t>
            </w:r>
          </w:p>
        </w:tc>
        <w:tc>
          <w:tcPr>
            <w:tcW w:w="1275" w:type="dxa"/>
            <w:tcBorders>
              <w:top w:val="nil"/>
              <w:left w:val="nil"/>
              <w:bottom w:val="nil"/>
              <w:right w:val="nil"/>
            </w:tcBorders>
            <w:shd w:val="clear" w:color="auto" w:fill="auto"/>
            <w:vAlign w:val="bottom"/>
            <w:hideMark/>
          </w:tcPr>
          <w:p w:rsidR="004A74D1" w:rsidRPr="00AB366D" w:rsidRDefault="004A74D1" w:rsidP="004A74D1">
            <w:pPr>
              <w:spacing w:after="0" w:line="240" w:lineRule="auto"/>
              <w:jc w:val="center"/>
              <w:rPr>
                <w:rFonts w:ascii="Arial" w:eastAsia="Times New Roman" w:hAnsi="Arial" w:cs="Arial"/>
                <w:color w:val="000000"/>
              </w:rPr>
            </w:pPr>
            <w:r w:rsidRPr="00AB366D">
              <w:rPr>
                <w:rFonts w:ascii="Arial" w:eastAsia="Times New Roman" w:hAnsi="Arial" w:cs="Arial"/>
                <w:color w:val="000000"/>
              </w:rPr>
              <w:t>D</w:t>
            </w:r>
          </w:p>
        </w:tc>
      </w:tr>
      <w:tr w:rsidR="004A74D1" w:rsidRPr="00AB366D" w:rsidTr="004A74D1">
        <w:trPr>
          <w:trHeight w:val="315"/>
        </w:trPr>
        <w:tc>
          <w:tcPr>
            <w:tcW w:w="4126" w:type="dxa"/>
            <w:tcBorders>
              <w:top w:val="nil"/>
              <w:left w:val="single" w:sz="8" w:space="0" w:color="auto"/>
              <w:bottom w:val="single" w:sz="8" w:space="0" w:color="auto"/>
              <w:right w:val="single" w:sz="8" w:space="0" w:color="auto"/>
            </w:tcBorders>
            <w:shd w:val="clear" w:color="auto" w:fill="auto"/>
            <w:noWrap/>
            <w:vAlign w:val="bottom"/>
            <w:hideMark/>
          </w:tcPr>
          <w:p w:rsidR="004A74D1" w:rsidRPr="00AB366D" w:rsidRDefault="004A74D1" w:rsidP="004A74D1">
            <w:pPr>
              <w:spacing w:after="0" w:line="240" w:lineRule="auto"/>
              <w:jc w:val="right"/>
              <w:rPr>
                <w:rFonts w:ascii="Arial" w:eastAsia="Times New Roman" w:hAnsi="Arial" w:cs="Arial"/>
                <w:b/>
                <w:bCs/>
                <w:color w:val="000000"/>
                <w:sz w:val="16"/>
                <w:szCs w:val="16"/>
              </w:rPr>
            </w:pPr>
            <w:r w:rsidRPr="00AB366D">
              <w:rPr>
                <w:rFonts w:ascii="Arial" w:eastAsia="Times New Roman" w:hAnsi="Arial" w:cs="Arial"/>
                <w:b/>
                <w:bCs/>
                <w:color w:val="000000"/>
                <w:sz w:val="16"/>
                <w:szCs w:val="16"/>
              </w:rPr>
              <w:t xml:space="preserve">Services in baseline year 2007-08 </w:t>
            </w:r>
          </w:p>
        </w:tc>
        <w:tc>
          <w:tcPr>
            <w:tcW w:w="1134" w:type="dxa"/>
            <w:gridSpan w:val="2"/>
            <w:tcBorders>
              <w:top w:val="single" w:sz="8" w:space="0" w:color="auto"/>
              <w:left w:val="nil"/>
              <w:bottom w:val="single" w:sz="8"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520,625</w:t>
            </w:r>
          </w:p>
        </w:tc>
        <w:tc>
          <w:tcPr>
            <w:tcW w:w="1276" w:type="dxa"/>
            <w:gridSpan w:val="2"/>
            <w:tcBorders>
              <w:top w:val="single" w:sz="8" w:space="0" w:color="auto"/>
              <w:left w:val="nil"/>
              <w:bottom w:val="single" w:sz="8"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520,625</w:t>
            </w:r>
          </w:p>
        </w:tc>
        <w:tc>
          <w:tcPr>
            <w:tcW w:w="1276" w:type="dxa"/>
            <w:tcBorders>
              <w:top w:val="single" w:sz="8" w:space="0" w:color="auto"/>
              <w:left w:val="nil"/>
              <w:bottom w:val="single" w:sz="8"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158,423</w:t>
            </w:r>
          </w:p>
        </w:tc>
        <w:tc>
          <w:tcPr>
            <w:tcW w:w="1275" w:type="dxa"/>
            <w:tcBorders>
              <w:top w:val="single" w:sz="8" w:space="0" w:color="auto"/>
              <w:left w:val="nil"/>
              <w:bottom w:val="single" w:sz="8"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679,048</w:t>
            </w:r>
          </w:p>
        </w:tc>
      </w:tr>
      <w:tr w:rsidR="004A74D1" w:rsidRPr="00AB366D" w:rsidTr="004A74D1">
        <w:trPr>
          <w:trHeight w:val="300"/>
        </w:trPr>
        <w:tc>
          <w:tcPr>
            <w:tcW w:w="4126" w:type="dxa"/>
            <w:tcBorders>
              <w:top w:val="nil"/>
              <w:left w:val="single" w:sz="8" w:space="0" w:color="auto"/>
              <w:bottom w:val="dotted" w:sz="4" w:space="0" w:color="auto"/>
              <w:right w:val="nil"/>
            </w:tcBorders>
            <w:shd w:val="clear" w:color="auto" w:fill="auto"/>
            <w:noWrap/>
            <w:vAlign w:val="bottom"/>
            <w:hideMark/>
          </w:tcPr>
          <w:p w:rsidR="004A74D1" w:rsidRPr="00AB366D" w:rsidRDefault="004A74D1" w:rsidP="004A74D1">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Services in 2010-11</w:t>
            </w:r>
          </w:p>
        </w:tc>
        <w:tc>
          <w:tcPr>
            <w:tcW w:w="1134" w:type="dxa"/>
            <w:gridSpan w:val="2"/>
            <w:tcBorders>
              <w:top w:val="nil"/>
              <w:left w:val="single" w:sz="8" w:space="0" w:color="auto"/>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672,432</w:t>
            </w:r>
          </w:p>
        </w:tc>
        <w:tc>
          <w:tcPr>
            <w:tcW w:w="1276" w:type="dxa"/>
            <w:gridSpan w:val="2"/>
            <w:tcBorders>
              <w:top w:val="nil"/>
              <w:left w:val="nil"/>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707,872</w:t>
            </w:r>
          </w:p>
        </w:tc>
        <w:tc>
          <w:tcPr>
            <w:tcW w:w="1276" w:type="dxa"/>
            <w:tcBorders>
              <w:top w:val="nil"/>
              <w:left w:val="nil"/>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175,570</w:t>
            </w:r>
          </w:p>
        </w:tc>
        <w:tc>
          <w:tcPr>
            <w:tcW w:w="1275" w:type="dxa"/>
            <w:tcBorders>
              <w:top w:val="nil"/>
              <w:left w:val="nil"/>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883,442</w:t>
            </w:r>
          </w:p>
        </w:tc>
      </w:tr>
      <w:tr w:rsidR="004A74D1" w:rsidRPr="00AB366D" w:rsidTr="004A74D1">
        <w:trPr>
          <w:trHeight w:val="315"/>
        </w:trPr>
        <w:tc>
          <w:tcPr>
            <w:tcW w:w="4126" w:type="dxa"/>
            <w:tcBorders>
              <w:top w:val="nil"/>
              <w:left w:val="single" w:sz="8" w:space="0" w:color="auto"/>
              <w:bottom w:val="dotted" w:sz="4" w:space="0" w:color="auto"/>
              <w:right w:val="nil"/>
            </w:tcBorders>
            <w:shd w:val="clear" w:color="auto" w:fill="auto"/>
            <w:noWrap/>
            <w:vAlign w:val="bottom"/>
            <w:hideMark/>
          </w:tcPr>
          <w:p w:rsidR="004A74D1" w:rsidRPr="00AB366D" w:rsidRDefault="004A74D1" w:rsidP="004A74D1">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Activity attributed to NPA-IPHS in 2010-11</w:t>
            </w:r>
          </w:p>
        </w:tc>
        <w:tc>
          <w:tcPr>
            <w:tcW w:w="1134" w:type="dxa"/>
            <w:gridSpan w:val="2"/>
            <w:tcBorders>
              <w:top w:val="nil"/>
              <w:left w:val="single" w:sz="8" w:space="0" w:color="auto"/>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15,324</w:t>
            </w:r>
          </w:p>
        </w:tc>
        <w:tc>
          <w:tcPr>
            <w:tcW w:w="1276" w:type="dxa"/>
            <w:gridSpan w:val="2"/>
            <w:tcBorders>
              <w:top w:val="nil"/>
              <w:left w:val="nil"/>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rPr>
                <w:rFonts w:ascii="Arial" w:eastAsia="Times New Roman" w:hAnsi="Arial" w:cs="Arial"/>
                <w:color w:val="000000"/>
              </w:rPr>
            </w:pPr>
          </w:p>
        </w:tc>
        <w:tc>
          <w:tcPr>
            <w:tcW w:w="1276" w:type="dxa"/>
            <w:tcBorders>
              <w:top w:val="nil"/>
              <w:left w:val="nil"/>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rPr>
                <w:rFonts w:ascii="Arial" w:eastAsia="Times New Roman" w:hAnsi="Arial" w:cs="Arial"/>
                <w:color w:val="000000"/>
              </w:rPr>
            </w:pPr>
          </w:p>
        </w:tc>
        <w:tc>
          <w:tcPr>
            <w:tcW w:w="1275" w:type="dxa"/>
            <w:tcBorders>
              <w:top w:val="nil"/>
              <w:left w:val="nil"/>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15,324</w:t>
            </w:r>
          </w:p>
        </w:tc>
      </w:tr>
      <w:tr w:rsidR="004A74D1" w:rsidRPr="00AB366D" w:rsidTr="004A74D1">
        <w:trPr>
          <w:trHeight w:val="315"/>
        </w:trPr>
        <w:tc>
          <w:tcPr>
            <w:tcW w:w="4126" w:type="dxa"/>
            <w:tcBorders>
              <w:top w:val="nil"/>
              <w:left w:val="single" w:sz="8" w:space="0" w:color="auto"/>
              <w:bottom w:val="single" w:sz="8" w:space="0" w:color="auto"/>
              <w:right w:val="nil"/>
            </w:tcBorders>
            <w:shd w:val="clear" w:color="auto" w:fill="auto"/>
            <w:noWrap/>
            <w:vAlign w:val="bottom"/>
            <w:hideMark/>
          </w:tcPr>
          <w:p w:rsidR="004A74D1" w:rsidRPr="00AB366D" w:rsidRDefault="004A74D1" w:rsidP="004A74D1">
            <w:pPr>
              <w:spacing w:after="0" w:line="240" w:lineRule="auto"/>
              <w:jc w:val="right"/>
              <w:rPr>
                <w:rFonts w:ascii="Arial" w:eastAsia="Times New Roman" w:hAnsi="Arial" w:cs="Arial"/>
                <w:b/>
                <w:bCs/>
                <w:color w:val="000000"/>
                <w:sz w:val="16"/>
                <w:szCs w:val="16"/>
              </w:rPr>
            </w:pPr>
            <w:r w:rsidRPr="00AB366D">
              <w:rPr>
                <w:rFonts w:ascii="Arial" w:eastAsia="Times New Roman" w:hAnsi="Arial" w:cs="Arial"/>
                <w:b/>
                <w:bCs/>
                <w:color w:val="000000"/>
                <w:sz w:val="16"/>
                <w:szCs w:val="16"/>
              </w:rPr>
              <w:t>Services attributed to NPA HHWR in 2010-11</w:t>
            </w:r>
          </w:p>
        </w:tc>
        <w:tc>
          <w:tcPr>
            <w:tcW w:w="1134" w:type="dxa"/>
            <w:gridSpan w:val="2"/>
            <w:tcBorders>
              <w:top w:val="nil"/>
              <w:left w:val="single" w:sz="8" w:space="0" w:color="auto"/>
              <w:bottom w:val="single" w:sz="8"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657,108</w:t>
            </w:r>
          </w:p>
        </w:tc>
        <w:tc>
          <w:tcPr>
            <w:tcW w:w="1276" w:type="dxa"/>
            <w:gridSpan w:val="2"/>
            <w:tcBorders>
              <w:top w:val="nil"/>
              <w:left w:val="nil"/>
              <w:bottom w:val="single" w:sz="8" w:space="0" w:color="auto"/>
              <w:right w:val="single" w:sz="8" w:space="0" w:color="auto"/>
            </w:tcBorders>
            <w:shd w:val="clear" w:color="000000" w:fill="CCCCFF"/>
            <w:noWrap/>
            <w:vAlign w:val="bottom"/>
            <w:hideMark/>
          </w:tcPr>
          <w:p w:rsidR="004A74D1" w:rsidRPr="00AB366D" w:rsidRDefault="004A74D1" w:rsidP="004A74D1">
            <w:pPr>
              <w:spacing w:after="0" w:line="240" w:lineRule="auto"/>
              <w:rPr>
                <w:rFonts w:ascii="Arial" w:eastAsia="Times New Roman" w:hAnsi="Arial" w:cs="Arial"/>
                <w:color w:val="000000"/>
              </w:rPr>
            </w:pPr>
          </w:p>
        </w:tc>
        <w:tc>
          <w:tcPr>
            <w:tcW w:w="1276" w:type="dxa"/>
            <w:tcBorders>
              <w:top w:val="nil"/>
              <w:left w:val="nil"/>
              <w:bottom w:val="single" w:sz="8" w:space="0" w:color="auto"/>
              <w:right w:val="single" w:sz="8" w:space="0" w:color="auto"/>
            </w:tcBorders>
            <w:shd w:val="clear" w:color="000000" w:fill="CCCCFF"/>
            <w:noWrap/>
            <w:vAlign w:val="bottom"/>
            <w:hideMark/>
          </w:tcPr>
          <w:p w:rsidR="004A74D1" w:rsidRPr="00AB366D" w:rsidRDefault="004A74D1" w:rsidP="004A74D1">
            <w:pPr>
              <w:spacing w:after="0" w:line="240" w:lineRule="auto"/>
              <w:rPr>
                <w:rFonts w:ascii="Arial" w:eastAsia="Times New Roman" w:hAnsi="Arial" w:cs="Arial"/>
                <w:color w:val="000000"/>
              </w:rPr>
            </w:pPr>
          </w:p>
        </w:tc>
        <w:tc>
          <w:tcPr>
            <w:tcW w:w="1275" w:type="dxa"/>
            <w:tcBorders>
              <w:top w:val="nil"/>
              <w:left w:val="nil"/>
              <w:bottom w:val="single" w:sz="8"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868,118</w:t>
            </w:r>
          </w:p>
        </w:tc>
      </w:tr>
      <w:tr w:rsidR="004A74D1" w:rsidRPr="00AB366D" w:rsidTr="004A74D1">
        <w:trPr>
          <w:trHeight w:val="300"/>
        </w:trPr>
        <w:tc>
          <w:tcPr>
            <w:tcW w:w="4126" w:type="dxa"/>
            <w:tcBorders>
              <w:top w:val="nil"/>
              <w:left w:val="single" w:sz="8" w:space="0" w:color="auto"/>
              <w:bottom w:val="dotted" w:sz="4" w:space="0" w:color="auto"/>
              <w:right w:val="nil"/>
            </w:tcBorders>
            <w:shd w:val="clear" w:color="auto" w:fill="auto"/>
            <w:noWrap/>
            <w:vAlign w:val="bottom"/>
            <w:hideMark/>
          </w:tcPr>
          <w:p w:rsidR="004A74D1" w:rsidRPr="00AB366D" w:rsidRDefault="004A74D1" w:rsidP="004A74D1">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Services in 2011-12</w:t>
            </w:r>
          </w:p>
        </w:tc>
        <w:tc>
          <w:tcPr>
            <w:tcW w:w="1134" w:type="dxa"/>
            <w:gridSpan w:val="2"/>
            <w:tcBorders>
              <w:top w:val="nil"/>
              <w:left w:val="single" w:sz="8" w:space="0" w:color="auto"/>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648,853</w:t>
            </w:r>
          </w:p>
        </w:tc>
        <w:tc>
          <w:tcPr>
            <w:tcW w:w="1276" w:type="dxa"/>
            <w:gridSpan w:val="2"/>
            <w:tcBorders>
              <w:top w:val="nil"/>
              <w:left w:val="nil"/>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735,715</w:t>
            </w:r>
          </w:p>
        </w:tc>
        <w:tc>
          <w:tcPr>
            <w:tcW w:w="1276" w:type="dxa"/>
            <w:tcBorders>
              <w:top w:val="nil"/>
              <w:left w:val="nil"/>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206,995</w:t>
            </w:r>
          </w:p>
        </w:tc>
        <w:tc>
          <w:tcPr>
            <w:tcW w:w="1275" w:type="dxa"/>
            <w:tcBorders>
              <w:top w:val="nil"/>
              <w:left w:val="nil"/>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942,710</w:t>
            </w:r>
          </w:p>
        </w:tc>
      </w:tr>
      <w:tr w:rsidR="004A74D1" w:rsidRPr="00AB366D" w:rsidTr="004A74D1">
        <w:trPr>
          <w:trHeight w:val="300"/>
        </w:trPr>
        <w:tc>
          <w:tcPr>
            <w:tcW w:w="4126" w:type="dxa"/>
            <w:tcBorders>
              <w:top w:val="nil"/>
              <w:left w:val="single" w:sz="8" w:space="0" w:color="auto"/>
              <w:bottom w:val="dotted" w:sz="4" w:space="0" w:color="auto"/>
              <w:right w:val="nil"/>
            </w:tcBorders>
            <w:shd w:val="clear" w:color="auto" w:fill="auto"/>
            <w:noWrap/>
            <w:vAlign w:val="bottom"/>
            <w:hideMark/>
          </w:tcPr>
          <w:p w:rsidR="004A74D1" w:rsidRPr="00AB366D" w:rsidRDefault="004A74D1" w:rsidP="004A74D1">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Activity attributed to NPA-IPHS in 2011-12</w:t>
            </w:r>
          </w:p>
        </w:tc>
        <w:tc>
          <w:tcPr>
            <w:tcW w:w="1134" w:type="dxa"/>
            <w:gridSpan w:val="2"/>
            <w:tcBorders>
              <w:top w:val="nil"/>
              <w:left w:val="single" w:sz="8" w:space="0" w:color="auto"/>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42,565</w:t>
            </w:r>
          </w:p>
        </w:tc>
        <w:tc>
          <w:tcPr>
            <w:tcW w:w="1276" w:type="dxa"/>
            <w:gridSpan w:val="2"/>
            <w:tcBorders>
              <w:top w:val="nil"/>
              <w:left w:val="nil"/>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rPr>
                <w:rFonts w:ascii="Arial" w:eastAsia="Times New Roman" w:hAnsi="Arial" w:cs="Arial"/>
                <w:color w:val="000000"/>
              </w:rPr>
            </w:pPr>
          </w:p>
        </w:tc>
        <w:tc>
          <w:tcPr>
            <w:tcW w:w="1276" w:type="dxa"/>
            <w:tcBorders>
              <w:top w:val="nil"/>
              <w:left w:val="nil"/>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rPr>
                <w:rFonts w:ascii="Arial" w:eastAsia="Times New Roman" w:hAnsi="Arial" w:cs="Arial"/>
                <w:color w:val="000000"/>
              </w:rPr>
            </w:pPr>
          </w:p>
        </w:tc>
        <w:tc>
          <w:tcPr>
            <w:tcW w:w="1275" w:type="dxa"/>
            <w:tcBorders>
              <w:top w:val="nil"/>
              <w:left w:val="nil"/>
              <w:bottom w:val="dotted" w:sz="4"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42,565</w:t>
            </w:r>
          </w:p>
        </w:tc>
      </w:tr>
      <w:tr w:rsidR="004A74D1" w:rsidRPr="00AB366D" w:rsidTr="004A74D1">
        <w:trPr>
          <w:trHeight w:val="315"/>
        </w:trPr>
        <w:tc>
          <w:tcPr>
            <w:tcW w:w="4126" w:type="dxa"/>
            <w:tcBorders>
              <w:top w:val="nil"/>
              <w:left w:val="single" w:sz="8" w:space="0" w:color="auto"/>
              <w:bottom w:val="single" w:sz="8" w:space="0" w:color="auto"/>
              <w:right w:val="nil"/>
            </w:tcBorders>
            <w:shd w:val="clear" w:color="auto" w:fill="auto"/>
            <w:noWrap/>
            <w:vAlign w:val="bottom"/>
            <w:hideMark/>
          </w:tcPr>
          <w:p w:rsidR="004A74D1" w:rsidRPr="00AB366D" w:rsidRDefault="004A74D1" w:rsidP="004A74D1">
            <w:pPr>
              <w:spacing w:after="0" w:line="240" w:lineRule="auto"/>
              <w:jc w:val="right"/>
              <w:rPr>
                <w:rFonts w:ascii="Arial" w:eastAsia="Times New Roman" w:hAnsi="Arial" w:cs="Arial"/>
                <w:b/>
                <w:bCs/>
                <w:color w:val="000000"/>
                <w:sz w:val="16"/>
                <w:szCs w:val="16"/>
              </w:rPr>
            </w:pPr>
            <w:r w:rsidRPr="00AB366D">
              <w:rPr>
                <w:rFonts w:ascii="Arial" w:eastAsia="Times New Roman" w:hAnsi="Arial" w:cs="Arial"/>
                <w:b/>
                <w:bCs/>
                <w:color w:val="000000"/>
                <w:sz w:val="16"/>
                <w:szCs w:val="16"/>
              </w:rPr>
              <w:t>Services attributed to NPA HHWR in 2011-12</w:t>
            </w:r>
          </w:p>
        </w:tc>
        <w:tc>
          <w:tcPr>
            <w:tcW w:w="1134" w:type="dxa"/>
            <w:gridSpan w:val="2"/>
            <w:tcBorders>
              <w:top w:val="nil"/>
              <w:left w:val="single" w:sz="8" w:space="0" w:color="auto"/>
              <w:bottom w:val="single" w:sz="8"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606,288</w:t>
            </w:r>
          </w:p>
        </w:tc>
        <w:tc>
          <w:tcPr>
            <w:tcW w:w="1276" w:type="dxa"/>
            <w:gridSpan w:val="2"/>
            <w:tcBorders>
              <w:top w:val="nil"/>
              <w:left w:val="nil"/>
              <w:bottom w:val="single" w:sz="8" w:space="0" w:color="auto"/>
              <w:right w:val="single" w:sz="8" w:space="0" w:color="auto"/>
            </w:tcBorders>
            <w:shd w:val="clear" w:color="000000" w:fill="CCCCFF"/>
            <w:noWrap/>
            <w:vAlign w:val="bottom"/>
            <w:hideMark/>
          </w:tcPr>
          <w:p w:rsidR="004A74D1" w:rsidRPr="00AB366D" w:rsidRDefault="004A74D1" w:rsidP="004A74D1">
            <w:pPr>
              <w:spacing w:after="0" w:line="240" w:lineRule="auto"/>
              <w:rPr>
                <w:rFonts w:ascii="Arial" w:eastAsia="Times New Roman" w:hAnsi="Arial" w:cs="Arial"/>
                <w:color w:val="000000"/>
              </w:rPr>
            </w:pPr>
          </w:p>
        </w:tc>
        <w:tc>
          <w:tcPr>
            <w:tcW w:w="1276" w:type="dxa"/>
            <w:tcBorders>
              <w:top w:val="nil"/>
              <w:left w:val="nil"/>
              <w:bottom w:val="single" w:sz="8" w:space="0" w:color="auto"/>
              <w:right w:val="single" w:sz="8" w:space="0" w:color="auto"/>
            </w:tcBorders>
            <w:shd w:val="clear" w:color="000000" w:fill="CCCCFF"/>
            <w:noWrap/>
            <w:vAlign w:val="bottom"/>
            <w:hideMark/>
          </w:tcPr>
          <w:p w:rsidR="004A74D1" w:rsidRPr="00AB366D" w:rsidRDefault="004A74D1" w:rsidP="004A74D1">
            <w:pPr>
              <w:spacing w:after="0" w:line="240" w:lineRule="auto"/>
              <w:rPr>
                <w:rFonts w:ascii="Arial" w:eastAsia="Times New Roman" w:hAnsi="Arial" w:cs="Arial"/>
                <w:color w:val="000000"/>
              </w:rPr>
            </w:pPr>
          </w:p>
        </w:tc>
        <w:tc>
          <w:tcPr>
            <w:tcW w:w="1275" w:type="dxa"/>
            <w:tcBorders>
              <w:top w:val="nil"/>
              <w:left w:val="nil"/>
              <w:bottom w:val="single" w:sz="8" w:space="0" w:color="auto"/>
              <w:right w:val="single" w:sz="8" w:space="0" w:color="auto"/>
            </w:tcBorders>
            <w:shd w:val="clear" w:color="000000" w:fill="CCCCFF"/>
            <w:noWrap/>
            <w:vAlign w:val="bottom"/>
            <w:hideMark/>
          </w:tcPr>
          <w:p w:rsidR="004A74D1" w:rsidRPr="00AB366D" w:rsidRDefault="004A74D1" w:rsidP="004A74D1">
            <w:pPr>
              <w:spacing w:after="0" w:line="240" w:lineRule="auto"/>
              <w:jc w:val="right"/>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900,145</w:t>
            </w:r>
          </w:p>
        </w:tc>
      </w:tr>
      <w:tr w:rsidR="004A74D1" w:rsidRPr="00AB366D" w:rsidTr="004A74D1">
        <w:trPr>
          <w:trHeight w:val="300"/>
        </w:trPr>
        <w:tc>
          <w:tcPr>
            <w:tcW w:w="4126" w:type="dxa"/>
            <w:tcBorders>
              <w:top w:val="nil"/>
              <w:left w:val="single" w:sz="8" w:space="0" w:color="auto"/>
              <w:bottom w:val="dotted" w:sz="4" w:space="0" w:color="auto"/>
              <w:right w:val="nil"/>
            </w:tcBorders>
            <w:shd w:val="clear" w:color="auto" w:fill="auto"/>
            <w:noWrap/>
            <w:vAlign w:val="bottom"/>
            <w:hideMark/>
          </w:tcPr>
          <w:p w:rsidR="004A74D1" w:rsidRPr="00AB366D" w:rsidRDefault="004A74D1" w:rsidP="004A74D1">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Service increase in 2011-12 compared to baseline</w:t>
            </w:r>
          </w:p>
        </w:tc>
        <w:tc>
          <w:tcPr>
            <w:tcW w:w="1134" w:type="dxa"/>
            <w:gridSpan w:val="2"/>
            <w:tcBorders>
              <w:top w:val="nil"/>
              <w:left w:val="single" w:sz="8" w:space="0" w:color="auto"/>
              <w:bottom w:val="dotted" w:sz="4" w:space="0" w:color="auto"/>
              <w:right w:val="single" w:sz="8" w:space="0" w:color="auto"/>
            </w:tcBorders>
            <w:shd w:val="clear" w:color="000000" w:fill="F399D9"/>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85,663</w:t>
            </w:r>
          </w:p>
        </w:tc>
        <w:tc>
          <w:tcPr>
            <w:tcW w:w="1276" w:type="dxa"/>
            <w:gridSpan w:val="2"/>
            <w:tcBorders>
              <w:top w:val="nil"/>
              <w:left w:val="nil"/>
              <w:bottom w:val="dotted" w:sz="4" w:space="0" w:color="auto"/>
              <w:right w:val="single" w:sz="8" w:space="0" w:color="auto"/>
            </w:tcBorders>
            <w:shd w:val="clear" w:color="000000" w:fill="F399D9"/>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215,090</w:t>
            </w:r>
          </w:p>
        </w:tc>
        <w:tc>
          <w:tcPr>
            <w:tcW w:w="1276" w:type="dxa"/>
            <w:tcBorders>
              <w:top w:val="nil"/>
              <w:left w:val="nil"/>
              <w:bottom w:val="dotted" w:sz="4" w:space="0" w:color="auto"/>
              <w:right w:val="single" w:sz="8" w:space="0" w:color="auto"/>
            </w:tcBorders>
            <w:shd w:val="clear" w:color="000000" w:fill="F399D9"/>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48,572</w:t>
            </w:r>
          </w:p>
        </w:tc>
        <w:tc>
          <w:tcPr>
            <w:tcW w:w="1275" w:type="dxa"/>
            <w:tcBorders>
              <w:top w:val="nil"/>
              <w:left w:val="nil"/>
              <w:bottom w:val="dotted" w:sz="4" w:space="0" w:color="auto"/>
              <w:right w:val="single" w:sz="8" w:space="0" w:color="auto"/>
            </w:tcBorders>
            <w:shd w:val="clear" w:color="000000" w:fill="F399D9"/>
            <w:noWrap/>
            <w:vAlign w:val="bottom"/>
            <w:hideMark/>
          </w:tcPr>
          <w:p w:rsidR="004A74D1" w:rsidRPr="00AB366D" w:rsidRDefault="004A74D1" w:rsidP="004A74D1">
            <w:pPr>
              <w:spacing w:after="0" w:line="240" w:lineRule="auto"/>
              <w:jc w:val="right"/>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221,097</w:t>
            </w:r>
          </w:p>
        </w:tc>
      </w:tr>
      <w:tr w:rsidR="004A74D1" w:rsidRPr="00AB366D" w:rsidTr="004A74D1">
        <w:trPr>
          <w:trHeight w:val="315"/>
        </w:trPr>
        <w:tc>
          <w:tcPr>
            <w:tcW w:w="4126" w:type="dxa"/>
            <w:tcBorders>
              <w:top w:val="nil"/>
              <w:left w:val="single" w:sz="8" w:space="0" w:color="auto"/>
              <w:bottom w:val="single" w:sz="8" w:space="0" w:color="auto"/>
              <w:right w:val="nil"/>
            </w:tcBorders>
            <w:shd w:val="clear" w:color="auto" w:fill="auto"/>
            <w:noWrap/>
            <w:vAlign w:val="bottom"/>
            <w:hideMark/>
          </w:tcPr>
          <w:p w:rsidR="004A74D1" w:rsidRPr="00AB366D" w:rsidRDefault="004A74D1" w:rsidP="004A74D1">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 increase in 2011-12 compared to baseline</w:t>
            </w:r>
          </w:p>
        </w:tc>
        <w:tc>
          <w:tcPr>
            <w:tcW w:w="1134" w:type="dxa"/>
            <w:gridSpan w:val="2"/>
            <w:tcBorders>
              <w:top w:val="nil"/>
              <w:left w:val="single" w:sz="8" w:space="0" w:color="auto"/>
              <w:bottom w:val="single" w:sz="8" w:space="0" w:color="auto"/>
              <w:right w:val="single" w:sz="8" w:space="0" w:color="auto"/>
            </w:tcBorders>
            <w:shd w:val="clear" w:color="000000" w:fill="F399D9"/>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16.45%</w:t>
            </w:r>
          </w:p>
        </w:tc>
        <w:tc>
          <w:tcPr>
            <w:tcW w:w="1276" w:type="dxa"/>
            <w:gridSpan w:val="2"/>
            <w:tcBorders>
              <w:top w:val="nil"/>
              <w:left w:val="nil"/>
              <w:bottom w:val="single" w:sz="8" w:space="0" w:color="auto"/>
              <w:right w:val="single" w:sz="8" w:space="0" w:color="auto"/>
            </w:tcBorders>
            <w:shd w:val="clear" w:color="000000" w:fill="F399D9"/>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41.31%</w:t>
            </w:r>
          </w:p>
        </w:tc>
        <w:tc>
          <w:tcPr>
            <w:tcW w:w="1276" w:type="dxa"/>
            <w:tcBorders>
              <w:top w:val="nil"/>
              <w:left w:val="nil"/>
              <w:bottom w:val="single" w:sz="8" w:space="0" w:color="auto"/>
              <w:right w:val="single" w:sz="8" w:space="0" w:color="auto"/>
            </w:tcBorders>
            <w:shd w:val="clear" w:color="000000" w:fill="F399D9"/>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30.66%</w:t>
            </w:r>
          </w:p>
        </w:tc>
        <w:tc>
          <w:tcPr>
            <w:tcW w:w="1275" w:type="dxa"/>
            <w:tcBorders>
              <w:top w:val="nil"/>
              <w:left w:val="nil"/>
              <w:bottom w:val="single" w:sz="8" w:space="0" w:color="auto"/>
              <w:right w:val="single" w:sz="8" w:space="0" w:color="auto"/>
            </w:tcBorders>
            <w:shd w:val="clear" w:color="000000" w:fill="F399D9"/>
            <w:noWrap/>
            <w:vAlign w:val="bottom"/>
            <w:hideMark/>
          </w:tcPr>
          <w:p w:rsidR="004A74D1" w:rsidRPr="00AB366D" w:rsidRDefault="004A74D1" w:rsidP="004A74D1">
            <w:pPr>
              <w:spacing w:after="0" w:line="240" w:lineRule="auto"/>
              <w:jc w:val="right"/>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32.56%</w:t>
            </w:r>
          </w:p>
        </w:tc>
      </w:tr>
      <w:tr w:rsidR="004A74D1" w:rsidRPr="00AB366D" w:rsidTr="004A74D1">
        <w:trPr>
          <w:trHeight w:val="300"/>
        </w:trPr>
        <w:tc>
          <w:tcPr>
            <w:tcW w:w="4126" w:type="dxa"/>
            <w:tcBorders>
              <w:top w:val="nil"/>
              <w:left w:val="single" w:sz="8" w:space="0" w:color="auto"/>
              <w:bottom w:val="dotted" w:sz="4" w:space="0" w:color="auto"/>
              <w:right w:val="nil"/>
            </w:tcBorders>
            <w:shd w:val="clear" w:color="auto" w:fill="auto"/>
            <w:noWrap/>
            <w:vAlign w:val="bottom"/>
            <w:hideMark/>
          </w:tcPr>
          <w:p w:rsidR="004A74D1" w:rsidRPr="00AB366D" w:rsidRDefault="004A74D1" w:rsidP="004A74D1">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Service increase in 2011-12 compared to 2010-11</w:t>
            </w:r>
          </w:p>
        </w:tc>
        <w:tc>
          <w:tcPr>
            <w:tcW w:w="1134" w:type="dxa"/>
            <w:gridSpan w:val="2"/>
            <w:tcBorders>
              <w:top w:val="nil"/>
              <w:left w:val="single" w:sz="8" w:space="0" w:color="auto"/>
              <w:bottom w:val="dotted" w:sz="4" w:space="0" w:color="auto"/>
              <w:right w:val="single" w:sz="8" w:space="0" w:color="auto"/>
            </w:tcBorders>
            <w:shd w:val="clear" w:color="000000" w:fill="5FCBFB"/>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-50,820</w:t>
            </w:r>
          </w:p>
        </w:tc>
        <w:tc>
          <w:tcPr>
            <w:tcW w:w="1276" w:type="dxa"/>
            <w:gridSpan w:val="2"/>
            <w:tcBorders>
              <w:top w:val="nil"/>
              <w:left w:val="nil"/>
              <w:bottom w:val="dotted" w:sz="4" w:space="0" w:color="auto"/>
              <w:right w:val="single" w:sz="8" w:space="0" w:color="auto"/>
            </w:tcBorders>
            <w:shd w:val="clear" w:color="000000" w:fill="5FCBFB"/>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27,843</w:t>
            </w:r>
          </w:p>
        </w:tc>
        <w:tc>
          <w:tcPr>
            <w:tcW w:w="1276" w:type="dxa"/>
            <w:tcBorders>
              <w:top w:val="nil"/>
              <w:left w:val="nil"/>
              <w:bottom w:val="dotted" w:sz="4" w:space="0" w:color="auto"/>
              <w:right w:val="single" w:sz="8" w:space="0" w:color="auto"/>
            </w:tcBorders>
            <w:shd w:val="clear" w:color="000000" w:fill="5FCBFB"/>
            <w:noWrap/>
            <w:vAlign w:val="bottom"/>
            <w:hideMark/>
          </w:tcPr>
          <w:p w:rsidR="004A74D1" w:rsidRPr="00AB366D" w:rsidRDefault="004A74D1" w:rsidP="004A74D1">
            <w:pPr>
              <w:spacing w:after="0" w:line="240" w:lineRule="auto"/>
              <w:jc w:val="right"/>
              <w:rPr>
                <w:rFonts w:ascii="Arial" w:eastAsia="Times New Roman" w:hAnsi="Arial" w:cs="Arial"/>
                <w:color w:val="000000"/>
                <w:sz w:val="20"/>
                <w:szCs w:val="20"/>
              </w:rPr>
            </w:pPr>
            <w:r w:rsidRPr="00AB366D">
              <w:rPr>
                <w:rFonts w:ascii="Arial" w:eastAsia="Times New Roman" w:hAnsi="Arial" w:cs="Arial"/>
                <w:color w:val="000000"/>
                <w:sz w:val="20"/>
                <w:szCs w:val="20"/>
              </w:rPr>
              <w:t>31,425</w:t>
            </w:r>
          </w:p>
        </w:tc>
        <w:tc>
          <w:tcPr>
            <w:tcW w:w="1275" w:type="dxa"/>
            <w:tcBorders>
              <w:top w:val="nil"/>
              <w:left w:val="nil"/>
              <w:bottom w:val="dotted" w:sz="4" w:space="0" w:color="auto"/>
              <w:right w:val="single" w:sz="8" w:space="0" w:color="auto"/>
            </w:tcBorders>
            <w:shd w:val="clear" w:color="000000" w:fill="5FCBFB"/>
            <w:noWrap/>
            <w:vAlign w:val="bottom"/>
            <w:hideMark/>
          </w:tcPr>
          <w:p w:rsidR="004A74D1" w:rsidRPr="00AB366D" w:rsidRDefault="004A74D1" w:rsidP="004A74D1">
            <w:pPr>
              <w:spacing w:after="0" w:line="240" w:lineRule="auto"/>
              <w:jc w:val="right"/>
              <w:rPr>
                <w:rFonts w:ascii="Arial" w:eastAsia="Times New Roman" w:hAnsi="Arial" w:cs="Arial"/>
                <w:b/>
                <w:bCs/>
                <w:color w:val="000000"/>
                <w:sz w:val="20"/>
                <w:szCs w:val="20"/>
              </w:rPr>
            </w:pPr>
            <w:r w:rsidRPr="00AB366D">
              <w:rPr>
                <w:rFonts w:ascii="Arial" w:eastAsia="Times New Roman" w:hAnsi="Arial" w:cs="Arial"/>
                <w:b/>
                <w:bCs/>
                <w:color w:val="000000"/>
                <w:sz w:val="20"/>
                <w:szCs w:val="20"/>
              </w:rPr>
              <w:t>32,027</w:t>
            </w:r>
          </w:p>
        </w:tc>
      </w:tr>
      <w:tr w:rsidR="004A74D1" w:rsidRPr="00AB366D" w:rsidTr="004A74D1">
        <w:trPr>
          <w:trHeight w:val="315"/>
        </w:trPr>
        <w:tc>
          <w:tcPr>
            <w:tcW w:w="4126" w:type="dxa"/>
            <w:tcBorders>
              <w:top w:val="nil"/>
              <w:left w:val="single" w:sz="8" w:space="0" w:color="auto"/>
              <w:bottom w:val="single" w:sz="8" w:space="0" w:color="auto"/>
              <w:right w:val="nil"/>
            </w:tcBorders>
            <w:shd w:val="clear" w:color="auto" w:fill="auto"/>
            <w:noWrap/>
            <w:vAlign w:val="bottom"/>
            <w:hideMark/>
          </w:tcPr>
          <w:p w:rsidR="004A74D1" w:rsidRPr="00AB366D" w:rsidRDefault="004A74D1" w:rsidP="004A74D1">
            <w:pPr>
              <w:spacing w:after="0" w:line="240" w:lineRule="auto"/>
              <w:jc w:val="right"/>
              <w:rPr>
                <w:rFonts w:ascii="Arial" w:eastAsia="Times New Roman" w:hAnsi="Arial" w:cs="Arial"/>
                <w:color w:val="000000"/>
                <w:sz w:val="16"/>
                <w:szCs w:val="16"/>
              </w:rPr>
            </w:pPr>
            <w:r w:rsidRPr="00AB366D">
              <w:rPr>
                <w:rFonts w:ascii="Arial" w:eastAsia="Times New Roman" w:hAnsi="Arial" w:cs="Arial"/>
                <w:color w:val="000000"/>
                <w:sz w:val="16"/>
                <w:szCs w:val="16"/>
              </w:rPr>
              <w:t>% increase in 2011-12 compared to 2010-11</w:t>
            </w:r>
          </w:p>
        </w:tc>
        <w:tc>
          <w:tcPr>
            <w:tcW w:w="1134" w:type="dxa"/>
            <w:gridSpan w:val="2"/>
            <w:tcBorders>
              <w:top w:val="dotted" w:sz="4" w:space="0" w:color="auto"/>
              <w:left w:val="single" w:sz="8" w:space="0" w:color="auto"/>
              <w:bottom w:val="single" w:sz="8" w:space="0" w:color="000000"/>
              <w:right w:val="single" w:sz="8" w:space="0" w:color="auto"/>
            </w:tcBorders>
            <w:shd w:val="clear" w:color="auto" w:fill="5FCBFB"/>
            <w:vAlign w:val="center"/>
            <w:hideMark/>
          </w:tcPr>
          <w:p w:rsidR="004A74D1" w:rsidRPr="00AB366D" w:rsidRDefault="004A74D1" w:rsidP="003600B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-7.73%</w:t>
            </w:r>
          </w:p>
        </w:tc>
        <w:tc>
          <w:tcPr>
            <w:tcW w:w="1276" w:type="dxa"/>
            <w:gridSpan w:val="2"/>
            <w:tcBorders>
              <w:top w:val="dotted" w:sz="4" w:space="0" w:color="auto"/>
              <w:left w:val="single" w:sz="8" w:space="0" w:color="auto"/>
              <w:bottom w:val="single" w:sz="8" w:space="0" w:color="000000"/>
              <w:right w:val="single" w:sz="8" w:space="0" w:color="auto"/>
            </w:tcBorders>
            <w:shd w:val="clear" w:color="auto" w:fill="5FCBFB"/>
            <w:vAlign w:val="center"/>
            <w:hideMark/>
          </w:tcPr>
          <w:p w:rsidR="004A74D1" w:rsidRPr="00AB366D" w:rsidRDefault="004A74D1" w:rsidP="003600B4">
            <w:pPr>
              <w:spacing w:after="0" w:line="240" w:lineRule="auto"/>
              <w:jc w:val="right"/>
              <w:rPr>
                <w:rFonts w:ascii="Arial" w:eastAsia="Times New Roman" w:hAnsi="Arial" w:cs="Arial"/>
                <w:color w:val="000000"/>
                <w:sz w:val="20"/>
                <w:szCs w:val="20"/>
              </w:rPr>
            </w:pPr>
            <w:r w:rsidRPr="007F4687">
              <w:rPr>
                <w:rFonts w:ascii="Arial" w:eastAsia="Times New Roman" w:hAnsi="Arial" w:cs="Arial"/>
                <w:color w:val="000000"/>
                <w:sz w:val="20"/>
                <w:szCs w:val="20"/>
              </w:rPr>
              <w:t>3.93%</w:t>
            </w:r>
          </w:p>
        </w:tc>
        <w:tc>
          <w:tcPr>
            <w:tcW w:w="1276" w:type="dxa"/>
            <w:tcBorders>
              <w:top w:val="dotted" w:sz="4" w:space="0" w:color="auto"/>
              <w:left w:val="single" w:sz="8" w:space="0" w:color="auto"/>
              <w:bottom w:val="single" w:sz="8" w:space="0" w:color="000000"/>
              <w:right w:val="single" w:sz="8" w:space="0" w:color="auto"/>
            </w:tcBorders>
            <w:shd w:val="clear" w:color="auto" w:fill="5FCBFB"/>
            <w:vAlign w:val="center"/>
            <w:hideMark/>
          </w:tcPr>
          <w:p w:rsidR="004A74D1" w:rsidRPr="00AB366D" w:rsidRDefault="004A74D1" w:rsidP="003600B4">
            <w:pPr>
              <w:spacing w:after="0" w:line="240" w:lineRule="auto"/>
              <w:jc w:val="right"/>
              <w:rPr>
                <w:rFonts w:ascii="Arial" w:eastAsia="Times New Roman" w:hAnsi="Arial" w:cs="Arial"/>
                <w:color w:val="000000"/>
                <w:sz w:val="20"/>
                <w:szCs w:val="20"/>
              </w:rPr>
            </w:pPr>
            <w:r w:rsidRPr="007F4687">
              <w:rPr>
                <w:rFonts w:ascii="Arial" w:eastAsia="Times New Roman" w:hAnsi="Arial" w:cs="Arial"/>
                <w:color w:val="000000"/>
                <w:sz w:val="20"/>
                <w:szCs w:val="20"/>
              </w:rPr>
              <w:t>17.90%</w:t>
            </w:r>
          </w:p>
        </w:tc>
        <w:tc>
          <w:tcPr>
            <w:tcW w:w="1275" w:type="dxa"/>
            <w:tcBorders>
              <w:top w:val="dotted" w:sz="4" w:space="0" w:color="auto"/>
              <w:left w:val="single" w:sz="8" w:space="0" w:color="auto"/>
              <w:bottom w:val="single" w:sz="8" w:space="0" w:color="000000"/>
              <w:right w:val="single" w:sz="8" w:space="0" w:color="auto"/>
            </w:tcBorders>
            <w:shd w:val="clear" w:color="auto" w:fill="5FCBFB"/>
            <w:vAlign w:val="center"/>
            <w:hideMark/>
          </w:tcPr>
          <w:p w:rsidR="004A74D1" w:rsidRPr="00AB366D" w:rsidRDefault="004A74D1" w:rsidP="003600B4">
            <w:pPr>
              <w:spacing w:after="0" w:line="240" w:lineRule="auto"/>
              <w:jc w:val="right"/>
              <w:rPr>
                <w:rFonts w:ascii="Arial" w:eastAsia="Times New Roman" w:hAnsi="Arial" w:cs="Arial"/>
                <w:b/>
                <w:bCs/>
                <w:color w:val="000000"/>
                <w:sz w:val="20"/>
                <w:szCs w:val="20"/>
              </w:rPr>
            </w:pPr>
            <w:r w:rsidRPr="007F4687">
              <w:rPr>
                <w:rFonts w:ascii="Arial" w:eastAsia="Times New Roman" w:hAnsi="Arial" w:cs="Arial"/>
                <w:b/>
                <w:bCs/>
                <w:color w:val="000000"/>
                <w:sz w:val="20"/>
                <w:szCs w:val="20"/>
              </w:rPr>
              <w:t>3.69%</w:t>
            </w:r>
          </w:p>
        </w:tc>
      </w:tr>
    </w:tbl>
    <w:p w:rsidR="004A74D1" w:rsidRDefault="004A74D1" w:rsidP="004A74D1">
      <w:pPr>
        <w:spacing w:after="0"/>
        <w:rPr>
          <w:rFonts w:ascii="Arial" w:hAnsi="Arial" w:cs="Arial"/>
          <w:b/>
          <w:u w:val="single"/>
        </w:rPr>
      </w:pPr>
    </w:p>
    <w:p w:rsidR="004A74D1" w:rsidRPr="00E87D32" w:rsidRDefault="004A74D1" w:rsidP="004A74D1">
      <w:pPr>
        <w:spacing w:after="0"/>
        <w:rPr>
          <w:rFonts w:ascii="Arial" w:hAnsi="Arial" w:cs="Arial"/>
          <w:b/>
          <w:sz w:val="18"/>
        </w:rPr>
      </w:pPr>
      <w:r w:rsidRPr="00E87D32">
        <w:rPr>
          <w:rFonts w:ascii="Arial" w:hAnsi="Arial" w:cs="Arial"/>
          <w:b/>
          <w:sz w:val="18"/>
        </w:rPr>
        <w:t>Notes:</w:t>
      </w:r>
    </w:p>
    <w:p w:rsidR="004A74D1" w:rsidRPr="007F4687" w:rsidRDefault="004A74D1" w:rsidP="004A74D1">
      <w:pPr>
        <w:pStyle w:val="ListParagraph"/>
        <w:numPr>
          <w:ilvl w:val="0"/>
          <w:numId w:val="12"/>
        </w:numPr>
        <w:spacing w:after="0"/>
        <w:rPr>
          <w:rFonts w:ascii="Arial" w:hAnsi="Arial" w:cs="Arial"/>
          <w:sz w:val="18"/>
        </w:rPr>
      </w:pPr>
      <w:r w:rsidRPr="007F4687">
        <w:rPr>
          <w:rFonts w:ascii="Arial" w:hAnsi="Arial" w:cs="Arial"/>
          <w:sz w:val="18"/>
        </w:rPr>
        <w:t>NSW is using separations converted to BDEs and occasions of service converted to WBDEs to calculate the total BDE and growth (B+C=D).</w:t>
      </w:r>
    </w:p>
    <w:p w:rsidR="004A74D1" w:rsidRPr="007F4687" w:rsidRDefault="004A74D1" w:rsidP="004A74D1">
      <w:pPr>
        <w:pStyle w:val="ListParagraph"/>
        <w:numPr>
          <w:ilvl w:val="0"/>
          <w:numId w:val="12"/>
        </w:numPr>
        <w:spacing w:after="0"/>
        <w:rPr>
          <w:rFonts w:ascii="Arial" w:hAnsi="Arial" w:cs="Arial"/>
          <w:sz w:val="18"/>
        </w:rPr>
      </w:pPr>
      <w:r w:rsidRPr="007F4687">
        <w:rPr>
          <w:rFonts w:ascii="Arial" w:hAnsi="Arial" w:cs="Arial"/>
          <w:sz w:val="18"/>
        </w:rPr>
        <w:t>Separations are converted to BDEs at 1:15.01</w:t>
      </w:r>
    </w:p>
    <w:p w:rsidR="004A74D1" w:rsidRPr="007F4687" w:rsidRDefault="004A74D1" w:rsidP="004A74D1">
      <w:pPr>
        <w:pStyle w:val="ListParagraph"/>
        <w:numPr>
          <w:ilvl w:val="0"/>
          <w:numId w:val="12"/>
        </w:numPr>
        <w:spacing w:after="0"/>
        <w:rPr>
          <w:rFonts w:ascii="Arial" w:hAnsi="Arial" w:cs="Arial"/>
          <w:sz w:val="18"/>
        </w:rPr>
      </w:pPr>
      <w:r w:rsidRPr="007F4687">
        <w:rPr>
          <w:rFonts w:ascii="Arial" w:hAnsi="Arial" w:cs="Arial"/>
          <w:sz w:val="18"/>
        </w:rPr>
        <w:t>Occasions of service are converted at 8.41:1</w:t>
      </w:r>
    </w:p>
    <w:p w:rsidR="004A74D1" w:rsidRPr="007F4687" w:rsidRDefault="004A74D1" w:rsidP="004A74D1">
      <w:pPr>
        <w:pStyle w:val="ListParagraph"/>
        <w:numPr>
          <w:ilvl w:val="0"/>
          <w:numId w:val="12"/>
        </w:numPr>
        <w:spacing w:after="0"/>
        <w:rPr>
          <w:rFonts w:ascii="Arial" w:hAnsi="Arial" w:cs="Arial"/>
          <w:sz w:val="18"/>
        </w:rPr>
      </w:pPr>
      <w:r w:rsidRPr="007F4687">
        <w:rPr>
          <w:rFonts w:ascii="Arial" w:hAnsi="Arial" w:cs="Arial"/>
          <w:sz w:val="18"/>
        </w:rPr>
        <w:t xml:space="preserve">In 2010-11 and 2011-12 a number of beds were opened under NPA IPHS. The bed days associated with these beds are included in the table. After accounting for this activity, NSW </w:t>
      </w:r>
      <w:r w:rsidRPr="00832648">
        <w:rPr>
          <w:rFonts w:ascii="Arial" w:hAnsi="Arial" w:cs="Arial"/>
          <w:sz w:val="18"/>
        </w:rPr>
        <w:t xml:space="preserve">achieved a </w:t>
      </w:r>
      <w:r w:rsidR="00B72EF9" w:rsidRPr="00832648">
        <w:rPr>
          <w:rFonts w:ascii="Arial" w:hAnsi="Arial" w:cs="Arial"/>
          <w:sz w:val="18"/>
        </w:rPr>
        <w:t>growth of 32.6</w:t>
      </w:r>
      <w:r w:rsidRPr="00832648">
        <w:rPr>
          <w:rFonts w:ascii="Arial" w:hAnsi="Arial" w:cs="Arial"/>
          <w:sz w:val="18"/>
        </w:rPr>
        <w:t>% in</w:t>
      </w:r>
      <w:r w:rsidRPr="007F4687">
        <w:rPr>
          <w:rFonts w:ascii="Arial" w:hAnsi="Arial" w:cs="Arial"/>
          <w:sz w:val="18"/>
        </w:rPr>
        <w:t xml:space="preserve"> subacute activity over the baseline year</w:t>
      </w:r>
      <w:r w:rsidR="00B72EF9">
        <w:rPr>
          <w:rFonts w:ascii="Arial" w:hAnsi="Arial" w:cs="Arial"/>
          <w:sz w:val="18"/>
        </w:rPr>
        <w:t xml:space="preserve"> using 2007/08 ALOS of 15.01 days</w:t>
      </w:r>
      <w:r w:rsidRPr="007F4687">
        <w:rPr>
          <w:rFonts w:ascii="Arial" w:hAnsi="Arial" w:cs="Arial"/>
          <w:sz w:val="18"/>
        </w:rPr>
        <w:t>. The table indicates that this growth is attributable to NPA-HHWR, however, this does not take account of funding contributed to subacute care services by NSW Health to achieve growth.</w:t>
      </w:r>
    </w:p>
    <w:p w:rsidR="004A74D1" w:rsidRPr="007F4687" w:rsidRDefault="004A74D1" w:rsidP="004A74D1">
      <w:pPr>
        <w:pStyle w:val="ListParagraph"/>
        <w:numPr>
          <w:ilvl w:val="0"/>
          <w:numId w:val="12"/>
        </w:numPr>
        <w:spacing w:after="0"/>
        <w:rPr>
          <w:rFonts w:ascii="Arial" w:hAnsi="Arial" w:cs="Arial"/>
          <w:sz w:val="18"/>
        </w:rPr>
      </w:pPr>
      <w:r w:rsidRPr="007F4687">
        <w:rPr>
          <w:rFonts w:ascii="Arial" w:hAnsi="Arial" w:cs="Arial"/>
          <w:sz w:val="18"/>
        </w:rPr>
        <w:t>The methodology applied to calculate Total BDEs (B+C=D) takes account of the observed trend towards shorter lengths of stay. This trend is responsible for the reduction reported against patient days (A) and increase in separations as BDEs (B).</w:t>
      </w:r>
    </w:p>
    <w:p w:rsidR="00770812" w:rsidRDefault="00770812" w:rsidP="00062298">
      <w:pPr>
        <w:spacing w:after="0"/>
        <w:rPr>
          <w:rFonts w:ascii="Arial" w:hAnsi="Arial" w:cs="Arial"/>
          <w:b/>
          <w:sz w:val="18"/>
          <w:u w:val="single"/>
        </w:rPr>
      </w:pPr>
    </w:p>
    <w:p w:rsidR="00801F85" w:rsidRPr="00E87D32" w:rsidRDefault="00E87D32">
      <w:pPr>
        <w:rPr>
          <w:rFonts w:ascii="Arial" w:eastAsia="Times New Roman" w:hAnsi="Arial" w:cs="Arial"/>
          <w:b/>
        </w:rPr>
      </w:pPr>
      <w:r w:rsidRPr="00E87D32">
        <w:rPr>
          <w:rFonts w:ascii="Arial" w:eastAsia="Times New Roman" w:hAnsi="Arial" w:cs="Arial"/>
          <w:b/>
        </w:rPr>
        <w:t>Commentary</w:t>
      </w:r>
    </w:p>
    <w:p w:rsidR="002535BF" w:rsidRPr="00DD78F4" w:rsidRDefault="00FE0D06" w:rsidP="002535BF">
      <w:pPr>
        <w:tabs>
          <w:tab w:val="left" w:pos="3555"/>
        </w:tabs>
        <w:spacing w:after="0" w:line="240" w:lineRule="auto"/>
        <w:rPr>
          <w:rFonts w:ascii="Arial" w:hAnsi="Arial" w:cs="Arial"/>
          <w:b/>
        </w:rPr>
      </w:pPr>
      <w:r w:rsidRPr="00832648">
        <w:rPr>
          <w:rFonts w:ascii="Arial" w:eastAsia="Times New Roman" w:hAnsi="Arial" w:cs="Arial"/>
        </w:rPr>
        <w:t xml:space="preserve">Due to increased efficiency, the ALOS in NSW has declined from 15.01 days to 13.24 </w:t>
      </w:r>
      <w:r w:rsidR="00B72EF9" w:rsidRPr="00832648">
        <w:rPr>
          <w:rFonts w:ascii="Arial" w:eastAsia="Times New Roman" w:hAnsi="Arial" w:cs="Arial"/>
        </w:rPr>
        <w:t xml:space="preserve">days </w:t>
      </w:r>
      <w:r w:rsidRPr="00832648">
        <w:rPr>
          <w:rFonts w:ascii="Arial" w:eastAsia="Times New Roman" w:hAnsi="Arial" w:cs="Arial"/>
        </w:rPr>
        <w:t xml:space="preserve">since 2007/08. </w:t>
      </w:r>
      <w:r w:rsidR="002535BF">
        <w:rPr>
          <w:rFonts w:ascii="Arial" w:eastAsia="Times New Roman" w:hAnsi="Arial" w:cs="Arial"/>
        </w:rPr>
        <w:t>Adjusting the calculation to account for this efficiency shows that</w:t>
      </w:r>
      <w:r w:rsidR="002535BF" w:rsidRPr="00832648">
        <w:rPr>
          <w:rFonts w:ascii="Arial" w:eastAsia="Times New Roman" w:hAnsi="Arial" w:cs="Arial"/>
        </w:rPr>
        <w:t xml:space="preserve"> subacute care activity </w:t>
      </w:r>
      <w:r w:rsidR="002535BF">
        <w:rPr>
          <w:rFonts w:ascii="Arial" w:eastAsia="Times New Roman" w:hAnsi="Arial" w:cs="Arial"/>
        </w:rPr>
        <w:t>has</w:t>
      </w:r>
      <w:r w:rsidR="002535BF" w:rsidRPr="00832648">
        <w:rPr>
          <w:rFonts w:ascii="Arial" w:eastAsia="Times New Roman" w:hAnsi="Arial" w:cs="Arial"/>
        </w:rPr>
        <w:t xml:space="preserve"> increased by 32.6% compared to baseline </w:t>
      </w:r>
      <w:r w:rsidR="002535BF">
        <w:rPr>
          <w:rFonts w:ascii="Arial" w:eastAsia="Times New Roman" w:hAnsi="Arial" w:cs="Arial"/>
        </w:rPr>
        <w:t>rather than 19.8</w:t>
      </w:r>
      <w:r w:rsidR="002535BF" w:rsidRPr="00832648">
        <w:rPr>
          <w:rFonts w:ascii="Arial" w:eastAsia="Times New Roman" w:hAnsi="Arial" w:cs="Arial"/>
        </w:rPr>
        <w:t xml:space="preserve">% - admitted activity as </w:t>
      </w:r>
      <w:r w:rsidR="002535BF">
        <w:rPr>
          <w:rFonts w:ascii="Arial" w:eastAsia="Times New Roman" w:hAnsi="Arial" w:cs="Arial"/>
        </w:rPr>
        <w:t xml:space="preserve">adjusted </w:t>
      </w:r>
      <w:r w:rsidR="002535BF" w:rsidRPr="00832648">
        <w:rPr>
          <w:rFonts w:ascii="Arial" w:eastAsia="Times New Roman" w:hAnsi="Arial" w:cs="Arial"/>
        </w:rPr>
        <w:t xml:space="preserve">separations </w:t>
      </w:r>
      <w:r w:rsidR="002535BF">
        <w:rPr>
          <w:rFonts w:ascii="Arial" w:eastAsia="Times New Roman" w:hAnsi="Arial" w:cs="Arial"/>
        </w:rPr>
        <w:t>has</w:t>
      </w:r>
      <w:r w:rsidR="002535BF" w:rsidRPr="00832648">
        <w:rPr>
          <w:rFonts w:ascii="Arial" w:eastAsia="Times New Roman" w:hAnsi="Arial" w:cs="Arial"/>
        </w:rPr>
        <w:t xml:space="preserve"> increased by 41.3% against baseline rather than 24.6%</w:t>
      </w:r>
      <w:r w:rsidR="002535BF">
        <w:rPr>
          <w:rFonts w:ascii="Arial" w:eastAsia="Times New Roman" w:hAnsi="Arial" w:cs="Arial"/>
        </w:rPr>
        <w:t xml:space="preserve">, </w:t>
      </w:r>
      <w:r w:rsidR="002535BF">
        <w:rPr>
          <w:rFonts w:ascii="Arial" w:hAnsi="Arial" w:cs="Arial"/>
        </w:rPr>
        <w:t xml:space="preserve">after accounting for activity attributable to the </w:t>
      </w:r>
      <w:r w:rsidR="002535BF" w:rsidRPr="002F0284">
        <w:rPr>
          <w:rFonts w:ascii="Arial" w:hAnsi="Arial" w:cs="Arial"/>
        </w:rPr>
        <w:t>National Partnership Agreement</w:t>
      </w:r>
      <w:r w:rsidR="002535BF">
        <w:rPr>
          <w:rFonts w:ascii="Arial" w:hAnsi="Arial" w:cs="Arial"/>
        </w:rPr>
        <w:t xml:space="preserve"> on Improving Public Hospital Services.  Non-admitted activity has increased by 30.7% since 2007/08.</w:t>
      </w:r>
    </w:p>
    <w:p w:rsidR="00FE0D06" w:rsidRPr="00DD78F4" w:rsidRDefault="00FE0D06" w:rsidP="00FE0D06">
      <w:pPr>
        <w:tabs>
          <w:tab w:val="left" w:pos="3555"/>
        </w:tabs>
        <w:rPr>
          <w:rFonts w:ascii="Arial" w:hAnsi="Arial" w:cs="Arial"/>
          <w:b/>
        </w:rPr>
      </w:pPr>
    </w:p>
    <w:p w:rsidR="00C31EF6" w:rsidRPr="00801F85" w:rsidRDefault="00C31EF6">
      <w:pPr>
        <w:rPr>
          <w:rFonts w:ascii="Arial" w:eastAsia="Times New Roman" w:hAnsi="Arial" w:cs="Arial"/>
          <w:sz w:val="21"/>
          <w:szCs w:val="21"/>
        </w:rPr>
      </w:pPr>
    </w:p>
    <w:sectPr w:rsidR="00C31EF6" w:rsidRPr="00801F85" w:rsidSect="001D35F9">
      <w:pgSz w:w="11906" w:h="16838"/>
      <w:pgMar w:top="1440" w:right="1440" w:bottom="1440" w:left="1440"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C3E" w:rsidRDefault="00A67C3E" w:rsidP="00AC1C2A">
      <w:pPr>
        <w:spacing w:after="0" w:line="240" w:lineRule="auto"/>
      </w:pPr>
      <w:r>
        <w:separator/>
      </w:r>
    </w:p>
  </w:endnote>
  <w:endnote w:type="continuationSeparator" w:id="0">
    <w:p w:rsidR="00A67C3E" w:rsidRDefault="00A67C3E" w:rsidP="00AC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C3E" w:rsidRDefault="00A67C3E" w:rsidP="00AC1C2A">
      <w:pPr>
        <w:spacing w:after="0" w:line="240" w:lineRule="auto"/>
      </w:pPr>
      <w:r>
        <w:separator/>
      </w:r>
    </w:p>
  </w:footnote>
  <w:footnote w:type="continuationSeparator" w:id="0">
    <w:p w:rsidR="00A67C3E" w:rsidRDefault="00A67C3E" w:rsidP="00AC1C2A">
      <w:pPr>
        <w:spacing w:after="0" w:line="240" w:lineRule="auto"/>
      </w:pPr>
      <w:r>
        <w:continuationSeparator/>
      </w:r>
    </w:p>
  </w:footnote>
  <w:footnote w:id="1">
    <w:p w:rsidR="00A67C3E" w:rsidRPr="00770812" w:rsidRDefault="00A67C3E" w:rsidP="00BF24A7">
      <w:pPr>
        <w:pStyle w:val="FootnoteText"/>
        <w:rPr>
          <w:rFonts w:ascii="Arial" w:hAnsi="Arial" w:cs="Arial"/>
          <w:sz w:val="18"/>
          <w:szCs w:val="18"/>
        </w:rPr>
      </w:pPr>
      <w:r>
        <w:rPr>
          <w:rStyle w:val="FootnoteReference"/>
        </w:rPr>
        <w:footnoteRef/>
      </w:r>
      <w:r>
        <w:t xml:space="preserve"> </w:t>
      </w:r>
      <w:r w:rsidRPr="00770812">
        <w:rPr>
          <w:rFonts w:ascii="Arial" w:hAnsi="Arial" w:cs="Arial"/>
          <w:sz w:val="18"/>
          <w:szCs w:val="18"/>
        </w:rPr>
        <w:t xml:space="preserve">NSW Health is the collective term, for the NSW Ministry of Health, the 15 Local Health Districts, the Sydney Children’s Hospital Network, the St Vincent’s Health Network and other public health organisations such as the Ambulance Service of NSW </w:t>
      </w:r>
    </w:p>
  </w:footnote>
  <w:footnote w:id="2">
    <w:p w:rsidR="00A67C3E" w:rsidRDefault="00A67C3E">
      <w:pPr>
        <w:pStyle w:val="FootnoteText"/>
      </w:pPr>
      <w:r>
        <w:rPr>
          <w:rStyle w:val="FootnoteReference"/>
        </w:rPr>
        <w:footnoteRef/>
      </w:r>
      <w:r>
        <w:t xml:space="preserve"> </w:t>
      </w:r>
      <w:r w:rsidRPr="00DC0348">
        <w:rPr>
          <w:rFonts w:ascii="Arial" w:hAnsi="Arial" w:cs="Arial"/>
          <w:sz w:val="18"/>
        </w:rPr>
        <w:t>NSW</w:t>
      </w:r>
      <w:r>
        <w:rPr>
          <w:rFonts w:ascii="Arial" w:hAnsi="Arial" w:cs="Arial"/>
          <w:sz w:val="18"/>
        </w:rPr>
        <w:t xml:space="preserve">’s </w:t>
      </w:r>
      <w:r w:rsidRPr="00DC0348">
        <w:rPr>
          <w:rFonts w:ascii="Arial" w:hAnsi="Arial" w:cs="Arial"/>
          <w:sz w:val="18"/>
        </w:rPr>
        <w:t>2011/12 sub-acute per diem cost = $850</w:t>
      </w:r>
      <w:r>
        <w:rPr>
          <w:rFonts w:ascii="Arial" w:hAnsi="Arial" w:cs="Arial"/>
          <w:sz w:val="18"/>
        </w:rPr>
        <w:t>.  In 2011/12, admitted activity = 606,288 bed days plus non-admitted activity = 206,995 bed day equivalents (BDEs) = 813,283 BDEs x $850 = $691.3m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392"/>
    <w:multiLevelType w:val="hybridMultilevel"/>
    <w:tmpl w:val="8B3AB1CC"/>
    <w:lvl w:ilvl="0" w:tplc="0C09000F">
      <w:start w:val="1"/>
      <w:numFmt w:val="decimal"/>
      <w:lvlText w:val="%1."/>
      <w:lvlJc w:val="left"/>
      <w:pPr>
        <w:ind w:left="364" w:hanging="360"/>
      </w:pPr>
    </w:lvl>
    <w:lvl w:ilvl="1" w:tplc="0C090019" w:tentative="1">
      <w:start w:val="1"/>
      <w:numFmt w:val="lowerLetter"/>
      <w:lvlText w:val="%2."/>
      <w:lvlJc w:val="left"/>
      <w:pPr>
        <w:ind w:left="1084" w:hanging="360"/>
      </w:pPr>
    </w:lvl>
    <w:lvl w:ilvl="2" w:tplc="0C09001B" w:tentative="1">
      <w:start w:val="1"/>
      <w:numFmt w:val="lowerRoman"/>
      <w:lvlText w:val="%3."/>
      <w:lvlJc w:val="right"/>
      <w:pPr>
        <w:ind w:left="1804" w:hanging="180"/>
      </w:pPr>
    </w:lvl>
    <w:lvl w:ilvl="3" w:tplc="0C09000F" w:tentative="1">
      <w:start w:val="1"/>
      <w:numFmt w:val="decimal"/>
      <w:lvlText w:val="%4."/>
      <w:lvlJc w:val="left"/>
      <w:pPr>
        <w:ind w:left="2524" w:hanging="360"/>
      </w:pPr>
    </w:lvl>
    <w:lvl w:ilvl="4" w:tplc="0C090019" w:tentative="1">
      <w:start w:val="1"/>
      <w:numFmt w:val="lowerLetter"/>
      <w:lvlText w:val="%5."/>
      <w:lvlJc w:val="left"/>
      <w:pPr>
        <w:ind w:left="3244" w:hanging="360"/>
      </w:pPr>
    </w:lvl>
    <w:lvl w:ilvl="5" w:tplc="0C09001B" w:tentative="1">
      <w:start w:val="1"/>
      <w:numFmt w:val="lowerRoman"/>
      <w:lvlText w:val="%6."/>
      <w:lvlJc w:val="right"/>
      <w:pPr>
        <w:ind w:left="3964" w:hanging="180"/>
      </w:pPr>
    </w:lvl>
    <w:lvl w:ilvl="6" w:tplc="0C09000F" w:tentative="1">
      <w:start w:val="1"/>
      <w:numFmt w:val="decimal"/>
      <w:lvlText w:val="%7."/>
      <w:lvlJc w:val="left"/>
      <w:pPr>
        <w:ind w:left="4684" w:hanging="360"/>
      </w:pPr>
    </w:lvl>
    <w:lvl w:ilvl="7" w:tplc="0C090019" w:tentative="1">
      <w:start w:val="1"/>
      <w:numFmt w:val="lowerLetter"/>
      <w:lvlText w:val="%8."/>
      <w:lvlJc w:val="left"/>
      <w:pPr>
        <w:ind w:left="5404" w:hanging="360"/>
      </w:pPr>
    </w:lvl>
    <w:lvl w:ilvl="8" w:tplc="0C09001B" w:tentative="1">
      <w:start w:val="1"/>
      <w:numFmt w:val="lowerRoman"/>
      <w:lvlText w:val="%9."/>
      <w:lvlJc w:val="right"/>
      <w:pPr>
        <w:ind w:left="6124" w:hanging="180"/>
      </w:pPr>
    </w:lvl>
  </w:abstractNum>
  <w:abstractNum w:abstractNumId="1">
    <w:nsid w:val="18675800"/>
    <w:multiLevelType w:val="hybridMultilevel"/>
    <w:tmpl w:val="6E669F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C631010"/>
    <w:multiLevelType w:val="hybridMultilevel"/>
    <w:tmpl w:val="D4A8CDB4"/>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3">
    <w:nsid w:val="2FC304F3"/>
    <w:multiLevelType w:val="hybridMultilevel"/>
    <w:tmpl w:val="9C1C5B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393D1F32"/>
    <w:multiLevelType w:val="hybridMultilevel"/>
    <w:tmpl w:val="2B7CC2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4FFA74F5"/>
    <w:multiLevelType w:val="hybridMultilevel"/>
    <w:tmpl w:val="6FC0B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D623B5B"/>
    <w:multiLevelType w:val="hybridMultilevel"/>
    <w:tmpl w:val="A26200C4"/>
    <w:lvl w:ilvl="0" w:tplc="0C09000F">
      <w:start w:val="1"/>
      <w:numFmt w:val="decimal"/>
      <w:lvlText w:val="%1."/>
      <w:lvlJc w:val="left"/>
      <w:pPr>
        <w:ind w:left="364" w:hanging="360"/>
      </w:pPr>
    </w:lvl>
    <w:lvl w:ilvl="1" w:tplc="0C090019" w:tentative="1">
      <w:start w:val="1"/>
      <w:numFmt w:val="lowerLetter"/>
      <w:lvlText w:val="%2."/>
      <w:lvlJc w:val="left"/>
      <w:pPr>
        <w:ind w:left="1084" w:hanging="360"/>
      </w:pPr>
    </w:lvl>
    <w:lvl w:ilvl="2" w:tplc="0C09001B" w:tentative="1">
      <w:start w:val="1"/>
      <w:numFmt w:val="lowerRoman"/>
      <w:lvlText w:val="%3."/>
      <w:lvlJc w:val="right"/>
      <w:pPr>
        <w:ind w:left="1804" w:hanging="180"/>
      </w:pPr>
    </w:lvl>
    <w:lvl w:ilvl="3" w:tplc="0C09000F" w:tentative="1">
      <w:start w:val="1"/>
      <w:numFmt w:val="decimal"/>
      <w:lvlText w:val="%4."/>
      <w:lvlJc w:val="left"/>
      <w:pPr>
        <w:ind w:left="2524" w:hanging="360"/>
      </w:pPr>
    </w:lvl>
    <w:lvl w:ilvl="4" w:tplc="0C090019" w:tentative="1">
      <w:start w:val="1"/>
      <w:numFmt w:val="lowerLetter"/>
      <w:lvlText w:val="%5."/>
      <w:lvlJc w:val="left"/>
      <w:pPr>
        <w:ind w:left="3244" w:hanging="360"/>
      </w:pPr>
    </w:lvl>
    <w:lvl w:ilvl="5" w:tplc="0C09001B" w:tentative="1">
      <w:start w:val="1"/>
      <w:numFmt w:val="lowerRoman"/>
      <w:lvlText w:val="%6."/>
      <w:lvlJc w:val="right"/>
      <w:pPr>
        <w:ind w:left="3964" w:hanging="180"/>
      </w:pPr>
    </w:lvl>
    <w:lvl w:ilvl="6" w:tplc="0C09000F" w:tentative="1">
      <w:start w:val="1"/>
      <w:numFmt w:val="decimal"/>
      <w:lvlText w:val="%7."/>
      <w:lvlJc w:val="left"/>
      <w:pPr>
        <w:ind w:left="4684" w:hanging="360"/>
      </w:pPr>
    </w:lvl>
    <w:lvl w:ilvl="7" w:tplc="0C090019" w:tentative="1">
      <w:start w:val="1"/>
      <w:numFmt w:val="lowerLetter"/>
      <w:lvlText w:val="%8."/>
      <w:lvlJc w:val="left"/>
      <w:pPr>
        <w:ind w:left="5404" w:hanging="360"/>
      </w:pPr>
    </w:lvl>
    <w:lvl w:ilvl="8" w:tplc="0C09001B" w:tentative="1">
      <w:start w:val="1"/>
      <w:numFmt w:val="lowerRoman"/>
      <w:lvlText w:val="%9."/>
      <w:lvlJc w:val="right"/>
      <w:pPr>
        <w:ind w:left="6124" w:hanging="180"/>
      </w:pPr>
    </w:lvl>
  </w:abstractNum>
  <w:abstractNum w:abstractNumId="7">
    <w:nsid w:val="62CA1847"/>
    <w:multiLevelType w:val="hybridMultilevel"/>
    <w:tmpl w:val="A5F89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B817AC9"/>
    <w:multiLevelType w:val="hybridMultilevel"/>
    <w:tmpl w:val="9C1C5B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742D3581"/>
    <w:multiLevelType w:val="hybridMultilevel"/>
    <w:tmpl w:val="7652A9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70124BA"/>
    <w:multiLevelType w:val="hybridMultilevel"/>
    <w:tmpl w:val="2CCE22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7AAB3244"/>
    <w:multiLevelType w:val="hybridMultilevel"/>
    <w:tmpl w:val="3DEAA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DF31D7C"/>
    <w:multiLevelType w:val="hybridMultilevel"/>
    <w:tmpl w:val="E53A8D72"/>
    <w:lvl w:ilvl="0" w:tplc="22B848D0">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1"/>
  </w:num>
  <w:num w:numId="2">
    <w:abstractNumId w:val="10"/>
  </w:num>
  <w:num w:numId="3">
    <w:abstractNumId w:val="5"/>
  </w:num>
  <w:num w:numId="4">
    <w:abstractNumId w:val="4"/>
  </w:num>
  <w:num w:numId="5">
    <w:abstractNumId w:val="1"/>
  </w:num>
  <w:num w:numId="6">
    <w:abstractNumId w:val="2"/>
  </w:num>
  <w:num w:numId="7">
    <w:abstractNumId w:val="0"/>
  </w:num>
  <w:num w:numId="8">
    <w:abstractNumId w:val="9"/>
  </w:num>
  <w:num w:numId="9">
    <w:abstractNumId w:val="12"/>
  </w:num>
  <w:num w:numId="10">
    <w:abstractNumId w:val="6"/>
  </w:num>
  <w:num w:numId="11">
    <w:abstractNumId w:val="7"/>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C2A"/>
    <w:rsid w:val="00040AD4"/>
    <w:rsid w:val="00042632"/>
    <w:rsid w:val="00042BBD"/>
    <w:rsid w:val="00061550"/>
    <w:rsid w:val="00062298"/>
    <w:rsid w:val="00071BC4"/>
    <w:rsid w:val="00072DC0"/>
    <w:rsid w:val="00095BBE"/>
    <w:rsid w:val="00097077"/>
    <w:rsid w:val="000D5B44"/>
    <w:rsid w:val="00104641"/>
    <w:rsid w:val="001148A2"/>
    <w:rsid w:val="00120FC4"/>
    <w:rsid w:val="00122079"/>
    <w:rsid w:val="00134949"/>
    <w:rsid w:val="00145716"/>
    <w:rsid w:val="00165954"/>
    <w:rsid w:val="0016719E"/>
    <w:rsid w:val="001A46BA"/>
    <w:rsid w:val="001D35F9"/>
    <w:rsid w:val="00204078"/>
    <w:rsid w:val="00217116"/>
    <w:rsid w:val="00226B17"/>
    <w:rsid w:val="00232B3A"/>
    <w:rsid w:val="00246A91"/>
    <w:rsid w:val="002535BF"/>
    <w:rsid w:val="002B7EA4"/>
    <w:rsid w:val="002D6D2B"/>
    <w:rsid w:val="002E5FEE"/>
    <w:rsid w:val="002F46A4"/>
    <w:rsid w:val="002F7BBF"/>
    <w:rsid w:val="00343EFB"/>
    <w:rsid w:val="003600B4"/>
    <w:rsid w:val="00364AE5"/>
    <w:rsid w:val="003709B0"/>
    <w:rsid w:val="00387327"/>
    <w:rsid w:val="003B550D"/>
    <w:rsid w:val="003C3138"/>
    <w:rsid w:val="003C67E0"/>
    <w:rsid w:val="003D6D55"/>
    <w:rsid w:val="003E62E7"/>
    <w:rsid w:val="004077E4"/>
    <w:rsid w:val="00416433"/>
    <w:rsid w:val="00435545"/>
    <w:rsid w:val="00450FBB"/>
    <w:rsid w:val="00495BFF"/>
    <w:rsid w:val="004A74D1"/>
    <w:rsid w:val="004C685B"/>
    <w:rsid w:val="004D231F"/>
    <w:rsid w:val="004D2591"/>
    <w:rsid w:val="004F3D38"/>
    <w:rsid w:val="00507527"/>
    <w:rsid w:val="00521014"/>
    <w:rsid w:val="00533823"/>
    <w:rsid w:val="00550A3A"/>
    <w:rsid w:val="00567402"/>
    <w:rsid w:val="005A61CD"/>
    <w:rsid w:val="005C1545"/>
    <w:rsid w:val="006045E6"/>
    <w:rsid w:val="00624419"/>
    <w:rsid w:val="00626008"/>
    <w:rsid w:val="0064237C"/>
    <w:rsid w:val="00654A9E"/>
    <w:rsid w:val="00656323"/>
    <w:rsid w:val="00662F1F"/>
    <w:rsid w:val="00666A2A"/>
    <w:rsid w:val="00671383"/>
    <w:rsid w:val="00673908"/>
    <w:rsid w:val="0067396D"/>
    <w:rsid w:val="006A1E93"/>
    <w:rsid w:val="006B606D"/>
    <w:rsid w:val="006D14DB"/>
    <w:rsid w:val="0074356C"/>
    <w:rsid w:val="00770812"/>
    <w:rsid w:val="00781E22"/>
    <w:rsid w:val="007A1150"/>
    <w:rsid w:val="007B05EA"/>
    <w:rsid w:val="007B52A3"/>
    <w:rsid w:val="007C3203"/>
    <w:rsid w:val="007D233A"/>
    <w:rsid w:val="007F1B27"/>
    <w:rsid w:val="007F4687"/>
    <w:rsid w:val="00801F85"/>
    <w:rsid w:val="00832648"/>
    <w:rsid w:val="00887BC9"/>
    <w:rsid w:val="0089114A"/>
    <w:rsid w:val="008A5407"/>
    <w:rsid w:val="008A790C"/>
    <w:rsid w:val="008B0A43"/>
    <w:rsid w:val="008C5EFB"/>
    <w:rsid w:val="008E2E65"/>
    <w:rsid w:val="008F3119"/>
    <w:rsid w:val="00902B55"/>
    <w:rsid w:val="009161C0"/>
    <w:rsid w:val="00944CCD"/>
    <w:rsid w:val="0096039E"/>
    <w:rsid w:val="00967013"/>
    <w:rsid w:val="00974273"/>
    <w:rsid w:val="0097551B"/>
    <w:rsid w:val="009D7248"/>
    <w:rsid w:val="009F184E"/>
    <w:rsid w:val="009F2830"/>
    <w:rsid w:val="009F6152"/>
    <w:rsid w:val="00A20B99"/>
    <w:rsid w:val="00A403D3"/>
    <w:rsid w:val="00A420F8"/>
    <w:rsid w:val="00A63A62"/>
    <w:rsid w:val="00A67C3E"/>
    <w:rsid w:val="00A970BA"/>
    <w:rsid w:val="00AA5886"/>
    <w:rsid w:val="00AB366D"/>
    <w:rsid w:val="00AC1C2A"/>
    <w:rsid w:val="00AC2FEC"/>
    <w:rsid w:val="00AD136B"/>
    <w:rsid w:val="00AF068D"/>
    <w:rsid w:val="00B13456"/>
    <w:rsid w:val="00B21B37"/>
    <w:rsid w:val="00B234E6"/>
    <w:rsid w:val="00B2714E"/>
    <w:rsid w:val="00B406BB"/>
    <w:rsid w:val="00B60BA1"/>
    <w:rsid w:val="00B72EF9"/>
    <w:rsid w:val="00B77438"/>
    <w:rsid w:val="00B777C3"/>
    <w:rsid w:val="00B77CFF"/>
    <w:rsid w:val="00BF24A7"/>
    <w:rsid w:val="00BF3C60"/>
    <w:rsid w:val="00BF7E36"/>
    <w:rsid w:val="00C16243"/>
    <w:rsid w:val="00C1742B"/>
    <w:rsid w:val="00C21A33"/>
    <w:rsid w:val="00C271BB"/>
    <w:rsid w:val="00C31EF6"/>
    <w:rsid w:val="00C3555D"/>
    <w:rsid w:val="00C67EEC"/>
    <w:rsid w:val="00C72D6E"/>
    <w:rsid w:val="00C825C3"/>
    <w:rsid w:val="00C92135"/>
    <w:rsid w:val="00CA5B27"/>
    <w:rsid w:val="00CB1D66"/>
    <w:rsid w:val="00CC4750"/>
    <w:rsid w:val="00CD258F"/>
    <w:rsid w:val="00CE1796"/>
    <w:rsid w:val="00CE2848"/>
    <w:rsid w:val="00CF3A6E"/>
    <w:rsid w:val="00D154F7"/>
    <w:rsid w:val="00D3523C"/>
    <w:rsid w:val="00D41148"/>
    <w:rsid w:val="00D42B3F"/>
    <w:rsid w:val="00D5476C"/>
    <w:rsid w:val="00D66E3A"/>
    <w:rsid w:val="00D75F8D"/>
    <w:rsid w:val="00D86DAE"/>
    <w:rsid w:val="00DC0348"/>
    <w:rsid w:val="00DD78F4"/>
    <w:rsid w:val="00E22510"/>
    <w:rsid w:val="00E27DDE"/>
    <w:rsid w:val="00E3176B"/>
    <w:rsid w:val="00E42233"/>
    <w:rsid w:val="00E53760"/>
    <w:rsid w:val="00E72B28"/>
    <w:rsid w:val="00E76FBE"/>
    <w:rsid w:val="00E87D32"/>
    <w:rsid w:val="00E95D08"/>
    <w:rsid w:val="00EB646D"/>
    <w:rsid w:val="00EC0BC2"/>
    <w:rsid w:val="00EE0872"/>
    <w:rsid w:val="00EE4273"/>
    <w:rsid w:val="00F20B05"/>
    <w:rsid w:val="00F41AB8"/>
    <w:rsid w:val="00F5098F"/>
    <w:rsid w:val="00F5310E"/>
    <w:rsid w:val="00F55969"/>
    <w:rsid w:val="00F62865"/>
    <w:rsid w:val="00F80B8E"/>
    <w:rsid w:val="00F825AC"/>
    <w:rsid w:val="00F8572F"/>
    <w:rsid w:val="00F865DB"/>
    <w:rsid w:val="00F87745"/>
    <w:rsid w:val="00F90F16"/>
    <w:rsid w:val="00F9258C"/>
    <w:rsid w:val="00FB4D3E"/>
    <w:rsid w:val="00FC0203"/>
    <w:rsid w:val="00FC629A"/>
    <w:rsid w:val="00FE0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1C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C1C2A"/>
  </w:style>
  <w:style w:type="paragraph" w:styleId="Footer">
    <w:name w:val="footer"/>
    <w:basedOn w:val="Normal"/>
    <w:link w:val="FooterChar"/>
    <w:uiPriority w:val="99"/>
    <w:unhideWhenUsed/>
    <w:rsid w:val="00AC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C2A"/>
  </w:style>
  <w:style w:type="paragraph" w:styleId="BalloonText">
    <w:name w:val="Balloon Text"/>
    <w:basedOn w:val="Normal"/>
    <w:link w:val="BalloonTextChar"/>
    <w:uiPriority w:val="99"/>
    <w:semiHidden/>
    <w:unhideWhenUsed/>
    <w:rsid w:val="00AC1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C2A"/>
    <w:rPr>
      <w:rFonts w:ascii="Tahoma" w:hAnsi="Tahoma" w:cs="Tahoma"/>
      <w:sz w:val="16"/>
      <w:szCs w:val="16"/>
    </w:rPr>
  </w:style>
  <w:style w:type="paragraph" w:styleId="FootnoteText">
    <w:name w:val="footnote text"/>
    <w:basedOn w:val="Normal"/>
    <w:link w:val="FootnoteTextChar"/>
    <w:uiPriority w:val="99"/>
    <w:semiHidden/>
    <w:unhideWhenUsed/>
    <w:rsid w:val="00364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AE5"/>
    <w:rPr>
      <w:sz w:val="20"/>
      <w:szCs w:val="20"/>
    </w:rPr>
  </w:style>
  <w:style w:type="character" w:styleId="FootnoteReference">
    <w:name w:val="footnote reference"/>
    <w:basedOn w:val="DefaultParagraphFont"/>
    <w:unhideWhenUsed/>
    <w:rsid w:val="00364AE5"/>
    <w:rPr>
      <w:vertAlign w:val="superscript"/>
    </w:rPr>
  </w:style>
  <w:style w:type="paragraph" w:styleId="ListParagraph">
    <w:name w:val="List Paragraph"/>
    <w:aliases w:val="Recommendation"/>
    <w:basedOn w:val="Normal"/>
    <w:link w:val="ListParagraphChar"/>
    <w:uiPriority w:val="34"/>
    <w:qFormat/>
    <w:rsid w:val="00364AE5"/>
    <w:pPr>
      <w:ind w:left="720"/>
      <w:contextualSpacing/>
    </w:pPr>
  </w:style>
  <w:style w:type="table" w:styleId="TableGrid">
    <w:name w:val="Table Grid"/>
    <w:basedOn w:val="TableNormal"/>
    <w:uiPriority w:val="59"/>
    <w:rsid w:val="00120F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Recommendation Char"/>
    <w:basedOn w:val="DefaultParagraphFont"/>
    <w:link w:val="ListParagraph"/>
    <w:uiPriority w:val="34"/>
    <w:locked/>
    <w:rsid w:val="00104641"/>
  </w:style>
  <w:style w:type="character" w:styleId="CommentReference">
    <w:name w:val="annotation reference"/>
    <w:basedOn w:val="DefaultParagraphFont"/>
    <w:uiPriority w:val="99"/>
    <w:semiHidden/>
    <w:unhideWhenUsed/>
    <w:rsid w:val="00104641"/>
    <w:rPr>
      <w:sz w:val="16"/>
      <w:szCs w:val="16"/>
    </w:rPr>
  </w:style>
  <w:style w:type="paragraph" w:styleId="CommentText">
    <w:name w:val="annotation text"/>
    <w:basedOn w:val="Normal"/>
    <w:link w:val="CommentTextChar"/>
    <w:uiPriority w:val="99"/>
    <w:semiHidden/>
    <w:unhideWhenUsed/>
    <w:rsid w:val="00104641"/>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104641"/>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1C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C1C2A"/>
  </w:style>
  <w:style w:type="paragraph" w:styleId="Footer">
    <w:name w:val="footer"/>
    <w:basedOn w:val="Normal"/>
    <w:link w:val="FooterChar"/>
    <w:uiPriority w:val="99"/>
    <w:unhideWhenUsed/>
    <w:rsid w:val="00AC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C2A"/>
  </w:style>
  <w:style w:type="paragraph" w:styleId="BalloonText">
    <w:name w:val="Balloon Text"/>
    <w:basedOn w:val="Normal"/>
    <w:link w:val="BalloonTextChar"/>
    <w:uiPriority w:val="99"/>
    <w:semiHidden/>
    <w:unhideWhenUsed/>
    <w:rsid w:val="00AC1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C2A"/>
    <w:rPr>
      <w:rFonts w:ascii="Tahoma" w:hAnsi="Tahoma" w:cs="Tahoma"/>
      <w:sz w:val="16"/>
      <w:szCs w:val="16"/>
    </w:rPr>
  </w:style>
  <w:style w:type="paragraph" w:styleId="FootnoteText">
    <w:name w:val="footnote text"/>
    <w:basedOn w:val="Normal"/>
    <w:link w:val="FootnoteTextChar"/>
    <w:uiPriority w:val="99"/>
    <w:semiHidden/>
    <w:unhideWhenUsed/>
    <w:rsid w:val="00364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AE5"/>
    <w:rPr>
      <w:sz w:val="20"/>
      <w:szCs w:val="20"/>
    </w:rPr>
  </w:style>
  <w:style w:type="character" w:styleId="FootnoteReference">
    <w:name w:val="footnote reference"/>
    <w:basedOn w:val="DefaultParagraphFont"/>
    <w:unhideWhenUsed/>
    <w:rsid w:val="00364AE5"/>
    <w:rPr>
      <w:vertAlign w:val="superscript"/>
    </w:rPr>
  </w:style>
  <w:style w:type="paragraph" w:styleId="ListParagraph">
    <w:name w:val="List Paragraph"/>
    <w:aliases w:val="Recommendation"/>
    <w:basedOn w:val="Normal"/>
    <w:link w:val="ListParagraphChar"/>
    <w:uiPriority w:val="34"/>
    <w:qFormat/>
    <w:rsid w:val="00364AE5"/>
    <w:pPr>
      <w:ind w:left="720"/>
      <w:contextualSpacing/>
    </w:pPr>
  </w:style>
  <w:style w:type="table" w:styleId="TableGrid">
    <w:name w:val="Table Grid"/>
    <w:basedOn w:val="TableNormal"/>
    <w:uiPriority w:val="59"/>
    <w:rsid w:val="00120F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Recommendation Char"/>
    <w:basedOn w:val="DefaultParagraphFont"/>
    <w:link w:val="ListParagraph"/>
    <w:uiPriority w:val="34"/>
    <w:locked/>
    <w:rsid w:val="00104641"/>
  </w:style>
  <w:style w:type="character" w:styleId="CommentReference">
    <w:name w:val="annotation reference"/>
    <w:basedOn w:val="DefaultParagraphFont"/>
    <w:uiPriority w:val="99"/>
    <w:semiHidden/>
    <w:unhideWhenUsed/>
    <w:rsid w:val="00104641"/>
    <w:rPr>
      <w:sz w:val="16"/>
      <w:szCs w:val="16"/>
    </w:rPr>
  </w:style>
  <w:style w:type="paragraph" w:styleId="CommentText">
    <w:name w:val="annotation text"/>
    <w:basedOn w:val="Normal"/>
    <w:link w:val="CommentTextChar"/>
    <w:uiPriority w:val="99"/>
    <w:semiHidden/>
    <w:unhideWhenUsed/>
    <w:rsid w:val="00104641"/>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10464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715">
      <w:bodyDiv w:val="1"/>
      <w:marLeft w:val="0"/>
      <w:marRight w:val="0"/>
      <w:marTop w:val="0"/>
      <w:marBottom w:val="0"/>
      <w:divBdr>
        <w:top w:val="none" w:sz="0" w:space="0" w:color="auto"/>
        <w:left w:val="none" w:sz="0" w:space="0" w:color="auto"/>
        <w:bottom w:val="none" w:sz="0" w:space="0" w:color="auto"/>
        <w:right w:val="none" w:sz="0" w:space="0" w:color="auto"/>
      </w:divBdr>
    </w:div>
    <w:div w:id="67653843">
      <w:bodyDiv w:val="1"/>
      <w:marLeft w:val="0"/>
      <w:marRight w:val="0"/>
      <w:marTop w:val="0"/>
      <w:marBottom w:val="0"/>
      <w:divBdr>
        <w:top w:val="none" w:sz="0" w:space="0" w:color="auto"/>
        <w:left w:val="none" w:sz="0" w:space="0" w:color="auto"/>
        <w:bottom w:val="none" w:sz="0" w:space="0" w:color="auto"/>
        <w:right w:val="none" w:sz="0" w:space="0" w:color="auto"/>
      </w:divBdr>
    </w:div>
    <w:div w:id="141969127">
      <w:bodyDiv w:val="1"/>
      <w:marLeft w:val="0"/>
      <w:marRight w:val="0"/>
      <w:marTop w:val="0"/>
      <w:marBottom w:val="0"/>
      <w:divBdr>
        <w:top w:val="none" w:sz="0" w:space="0" w:color="auto"/>
        <w:left w:val="none" w:sz="0" w:space="0" w:color="auto"/>
        <w:bottom w:val="none" w:sz="0" w:space="0" w:color="auto"/>
        <w:right w:val="none" w:sz="0" w:space="0" w:color="auto"/>
      </w:divBdr>
    </w:div>
    <w:div w:id="156774802">
      <w:bodyDiv w:val="1"/>
      <w:marLeft w:val="0"/>
      <w:marRight w:val="0"/>
      <w:marTop w:val="0"/>
      <w:marBottom w:val="0"/>
      <w:divBdr>
        <w:top w:val="none" w:sz="0" w:space="0" w:color="auto"/>
        <w:left w:val="none" w:sz="0" w:space="0" w:color="auto"/>
        <w:bottom w:val="none" w:sz="0" w:space="0" w:color="auto"/>
        <w:right w:val="none" w:sz="0" w:space="0" w:color="auto"/>
      </w:divBdr>
    </w:div>
    <w:div w:id="185220348">
      <w:bodyDiv w:val="1"/>
      <w:marLeft w:val="0"/>
      <w:marRight w:val="0"/>
      <w:marTop w:val="0"/>
      <w:marBottom w:val="0"/>
      <w:divBdr>
        <w:top w:val="none" w:sz="0" w:space="0" w:color="auto"/>
        <w:left w:val="none" w:sz="0" w:space="0" w:color="auto"/>
        <w:bottom w:val="none" w:sz="0" w:space="0" w:color="auto"/>
        <w:right w:val="none" w:sz="0" w:space="0" w:color="auto"/>
      </w:divBdr>
    </w:div>
    <w:div w:id="320352807">
      <w:bodyDiv w:val="1"/>
      <w:marLeft w:val="0"/>
      <w:marRight w:val="0"/>
      <w:marTop w:val="0"/>
      <w:marBottom w:val="0"/>
      <w:divBdr>
        <w:top w:val="none" w:sz="0" w:space="0" w:color="auto"/>
        <w:left w:val="none" w:sz="0" w:space="0" w:color="auto"/>
        <w:bottom w:val="none" w:sz="0" w:space="0" w:color="auto"/>
        <w:right w:val="none" w:sz="0" w:space="0" w:color="auto"/>
      </w:divBdr>
    </w:div>
    <w:div w:id="334961457">
      <w:bodyDiv w:val="1"/>
      <w:marLeft w:val="0"/>
      <w:marRight w:val="0"/>
      <w:marTop w:val="0"/>
      <w:marBottom w:val="0"/>
      <w:divBdr>
        <w:top w:val="none" w:sz="0" w:space="0" w:color="auto"/>
        <w:left w:val="none" w:sz="0" w:space="0" w:color="auto"/>
        <w:bottom w:val="none" w:sz="0" w:space="0" w:color="auto"/>
        <w:right w:val="none" w:sz="0" w:space="0" w:color="auto"/>
      </w:divBdr>
    </w:div>
    <w:div w:id="595942677">
      <w:bodyDiv w:val="1"/>
      <w:marLeft w:val="0"/>
      <w:marRight w:val="0"/>
      <w:marTop w:val="0"/>
      <w:marBottom w:val="0"/>
      <w:divBdr>
        <w:top w:val="none" w:sz="0" w:space="0" w:color="auto"/>
        <w:left w:val="none" w:sz="0" w:space="0" w:color="auto"/>
        <w:bottom w:val="none" w:sz="0" w:space="0" w:color="auto"/>
        <w:right w:val="none" w:sz="0" w:space="0" w:color="auto"/>
      </w:divBdr>
    </w:div>
    <w:div w:id="674310050">
      <w:bodyDiv w:val="1"/>
      <w:marLeft w:val="0"/>
      <w:marRight w:val="0"/>
      <w:marTop w:val="0"/>
      <w:marBottom w:val="0"/>
      <w:divBdr>
        <w:top w:val="none" w:sz="0" w:space="0" w:color="auto"/>
        <w:left w:val="none" w:sz="0" w:space="0" w:color="auto"/>
        <w:bottom w:val="none" w:sz="0" w:space="0" w:color="auto"/>
        <w:right w:val="none" w:sz="0" w:space="0" w:color="auto"/>
      </w:divBdr>
    </w:div>
    <w:div w:id="740904600">
      <w:bodyDiv w:val="1"/>
      <w:marLeft w:val="0"/>
      <w:marRight w:val="0"/>
      <w:marTop w:val="0"/>
      <w:marBottom w:val="0"/>
      <w:divBdr>
        <w:top w:val="none" w:sz="0" w:space="0" w:color="auto"/>
        <w:left w:val="none" w:sz="0" w:space="0" w:color="auto"/>
        <w:bottom w:val="none" w:sz="0" w:space="0" w:color="auto"/>
        <w:right w:val="none" w:sz="0" w:space="0" w:color="auto"/>
      </w:divBdr>
    </w:div>
    <w:div w:id="827328912">
      <w:bodyDiv w:val="1"/>
      <w:marLeft w:val="0"/>
      <w:marRight w:val="0"/>
      <w:marTop w:val="0"/>
      <w:marBottom w:val="0"/>
      <w:divBdr>
        <w:top w:val="none" w:sz="0" w:space="0" w:color="auto"/>
        <w:left w:val="none" w:sz="0" w:space="0" w:color="auto"/>
        <w:bottom w:val="none" w:sz="0" w:space="0" w:color="auto"/>
        <w:right w:val="none" w:sz="0" w:space="0" w:color="auto"/>
      </w:divBdr>
    </w:div>
    <w:div w:id="834026792">
      <w:bodyDiv w:val="1"/>
      <w:marLeft w:val="0"/>
      <w:marRight w:val="0"/>
      <w:marTop w:val="0"/>
      <w:marBottom w:val="0"/>
      <w:divBdr>
        <w:top w:val="none" w:sz="0" w:space="0" w:color="auto"/>
        <w:left w:val="none" w:sz="0" w:space="0" w:color="auto"/>
        <w:bottom w:val="none" w:sz="0" w:space="0" w:color="auto"/>
        <w:right w:val="none" w:sz="0" w:space="0" w:color="auto"/>
      </w:divBdr>
    </w:div>
    <w:div w:id="879632100">
      <w:bodyDiv w:val="1"/>
      <w:marLeft w:val="0"/>
      <w:marRight w:val="0"/>
      <w:marTop w:val="0"/>
      <w:marBottom w:val="0"/>
      <w:divBdr>
        <w:top w:val="none" w:sz="0" w:space="0" w:color="auto"/>
        <w:left w:val="none" w:sz="0" w:space="0" w:color="auto"/>
        <w:bottom w:val="none" w:sz="0" w:space="0" w:color="auto"/>
        <w:right w:val="none" w:sz="0" w:space="0" w:color="auto"/>
      </w:divBdr>
    </w:div>
    <w:div w:id="1048384609">
      <w:bodyDiv w:val="1"/>
      <w:marLeft w:val="0"/>
      <w:marRight w:val="0"/>
      <w:marTop w:val="0"/>
      <w:marBottom w:val="0"/>
      <w:divBdr>
        <w:top w:val="none" w:sz="0" w:space="0" w:color="auto"/>
        <w:left w:val="none" w:sz="0" w:space="0" w:color="auto"/>
        <w:bottom w:val="none" w:sz="0" w:space="0" w:color="auto"/>
        <w:right w:val="none" w:sz="0" w:space="0" w:color="auto"/>
      </w:divBdr>
    </w:div>
    <w:div w:id="1095831836">
      <w:bodyDiv w:val="1"/>
      <w:marLeft w:val="0"/>
      <w:marRight w:val="0"/>
      <w:marTop w:val="0"/>
      <w:marBottom w:val="0"/>
      <w:divBdr>
        <w:top w:val="none" w:sz="0" w:space="0" w:color="auto"/>
        <w:left w:val="none" w:sz="0" w:space="0" w:color="auto"/>
        <w:bottom w:val="none" w:sz="0" w:space="0" w:color="auto"/>
        <w:right w:val="none" w:sz="0" w:space="0" w:color="auto"/>
      </w:divBdr>
    </w:div>
    <w:div w:id="1149204605">
      <w:bodyDiv w:val="1"/>
      <w:marLeft w:val="0"/>
      <w:marRight w:val="0"/>
      <w:marTop w:val="0"/>
      <w:marBottom w:val="0"/>
      <w:divBdr>
        <w:top w:val="none" w:sz="0" w:space="0" w:color="auto"/>
        <w:left w:val="none" w:sz="0" w:space="0" w:color="auto"/>
        <w:bottom w:val="none" w:sz="0" w:space="0" w:color="auto"/>
        <w:right w:val="none" w:sz="0" w:space="0" w:color="auto"/>
      </w:divBdr>
    </w:div>
    <w:div w:id="1178232098">
      <w:bodyDiv w:val="1"/>
      <w:marLeft w:val="0"/>
      <w:marRight w:val="0"/>
      <w:marTop w:val="0"/>
      <w:marBottom w:val="0"/>
      <w:divBdr>
        <w:top w:val="none" w:sz="0" w:space="0" w:color="auto"/>
        <w:left w:val="none" w:sz="0" w:space="0" w:color="auto"/>
        <w:bottom w:val="none" w:sz="0" w:space="0" w:color="auto"/>
        <w:right w:val="none" w:sz="0" w:space="0" w:color="auto"/>
      </w:divBdr>
    </w:div>
    <w:div w:id="1251815671">
      <w:bodyDiv w:val="1"/>
      <w:marLeft w:val="0"/>
      <w:marRight w:val="0"/>
      <w:marTop w:val="0"/>
      <w:marBottom w:val="0"/>
      <w:divBdr>
        <w:top w:val="none" w:sz="0" w:space="0" w:color="auto"/>
        <w:left w:val="none" w:sz="0" w:space="0" w:color="auto"/>
        <w:bottom w:val="none" w:sz="0" w:space="0" w:color="auto"/>
        <w:right w:val="none" w:sz="0" w:space="0" w:color="auto"/>
      </w:divBdr>
    </w:div>
    <w:div w:id="1315917167">
      <w:bodyDiv w:val="1"/>
      <w:marLeft w:val="0"/>
      <w:marRight w:val="0"/>
      <w:marTop w:val="0"/>
      <w:marBottom w:val="0"/>
      <w:divBdr>
        <w:top w:val="none" w:sz="0" w:space="0" w:color="auto"/>
        <w:left w:val="none" w:sz="0" w:space="0" w:color="auto"/>
        <w:bottom w:val="none" w:sz="0" w:space="0" w:color="auto"/>
        <w:right w:val="none" w:sz="0" w:space="0" w:color="auto"/>
      </w:divBdr>
    </w:div>
    <w:div w:id="1318388053">
      <w:bodyDiv w:val="1"/>
      <w:marLeft w:val="0"/>
      <w:marRight w:val="0"/>
      <w:marTop w:val="0"/>
      <w:marBottom w:val="0"/>
      <w:divBdr>
        <w:top w:val="none" w:sz="0" w:space="0" w:color="auto"/>
        <w:left w:val="none" w:sz="0" w:space="0" w:color="auto"/>
        <w:bottom w:val="none" w:sz="0" w:space="0" w:color="auto"/>
        <w:right w:val="none" w:sz="0" w:space="0" w:color="auto"/>
      </w:divBdr>
    </w:div>
    <w:div w:id="1329136081">
      <w:bodyDiv w:val="1"/>
      <w:marLeft w:val="0"/>
      <w:marRight w:val="0"/>
      <w:marTop w:val="0"/>
      <w:marBottom w:val="0"/>
      <w:divBdr>
        <w:top w:val="none" w:sz="0" w:space="0" w:color="auto"/>
        <w:left w:val="none" w:sz="0" w:space="0" w:color="auto"/>
        <w:bottom w:val="none" w:sz="0" w:space="0" w:color="auto"/>
        <w:right w:val="none" w:sz="0" w:space="0" w:color="auto"/>
      </w:divBdr>
    </w:div>
    <w:div w:id="1395544205">
      <w:bodyDiv w:val="1"/>
      <w:marLeft w:val="0"/>
      <w:marRight w:val="0"/>
      <w:marTop w:val="0"/>
      <w:marBottom w:val="0"/>
      <w:divBdr>
        <w:top w:val="none" w:sz="0" w:space="0" w:color="auto"/>
        <w:left w:val="none" w:sz="0" w:space="0" w:color="auto"/>
        <w:bottom w:val="none" w:sz="0" w:space="0" w:color="auto"/>
        <w:right w:val="none" w:sz="0" w:space="0" w:color="auto"/>
      </w:divBdr>
    </w:div>
    <w:div w:id="1651598440">
      <w:bodyDiv w:val="1"/>
      <w:marLeft w:val="0"/>
      <w:marRight w:val="0"/>
      <w:marTop w:val="0"/>
      <w:marBottom w:val="0"/>
      <w:divBdr>
        <w:top w:val="none" w:sz="0" w:space="0" w:color="auto"/>
        <w:left w:val="none" w:sz="0" w:space="0" w:color="auto"/>
        <w:bottom w:val="none" w:sz="0" w:space="0" w:color="auto"/>
        <w:right w:val="none" w:sz="0" w:space="0" w:color="auto"/>
      </w:divBdr>
    </w:div>
    <w:div w:id="1656255490">
      <w:bodyDiv w:val="1"/>
      <w:marLeft w:val="0"/>
      <w:marRight w:val="0"/>
      <w:marTop w:val="0"/>
      <w:marBottom w:val="0"/>
      <w:divBdr>
        <w:top w:val="none" w:sz="0" w:space="0" w:color="auto"/>
        <w:left w:val="none" w:sz="0" w:space="0" w:color="auto"/>
        <w:bottom w:val="none" w:sz="0" w:space="0" w:color="auto"/>
        <w:right w:val="none" w:sz="0" w:space="0" w:color="auto"/>
      </w:divBdr>
    </w:div>
    <w:div w:id="1657807057">
      <w:bodyDiv w:val="1"/>
      <w:marLeft w:val="0"/>
      <w:marRight w:val="0"/>
      <w:marTop w:val="0"/>
      <w:marBottom w:val="0"/>
      <w:divBdr>
        <w:top w:val="none" w:sz="0" w:space="0" w:color="auto"/>
        <w:left w:val="none" w:sz="0" w:space="0" w:color="auto"/>
        <w:bottom w:val="none" w:sz="0" w:space="0" w:color="auto"/>
        <w:right w:val="none" w:sz="0" w:space="0" w:color="auto"/>
      </w:divBdr>
    </w:div>
    <w:div w:id="1692217524">
      <w:bodyDiv w:val="1"/>
      <w:marLeft w:val="0"/>
      <w:marRight w:val="0"/>
      <w:marTop w:val="0"/>
      <w:marBottom w:val="0"/>
      <w:divBdr>
        <w:top w:val="none" w:sz="0" w:space="0" w:color="auto"/>
        <w:left w:val="none" w:sz="0" w:space="0" w:color="auto"/>
        <w:bottom w:val="none" w:sz="0" w:space="0" w:color="auto"/>
        <w:right w:val="none" w:sz="0" w:space="0" w:color="auto"/>
      </w:divBdr>
    </w:div>
    <w:div w:id="1843547152">
      <w:bodyDiv w:val="1"/>
      <w:marLeft w:val="0"/>
      <w:marRight w:val="0"/>
      <w:marTop w:val="0"/>
      <w:marBottom w:val="0"/>
      <w:divBdr>
        <w:top w:val="none" w:sz="0" w:space="0" w:color="auto"/>
        <w:left w:val="none" w:sz="0" w:space="0" w:color="auto"/>
        <w:bottom w:val="none" w:sz="0" w:space="0" w:color="auto"/>
        <w:right w:val="none" w:sz="0" w:space="0" w:color="auto"/>
      </w:divBdr>
    </w:div>
    <w:div w:id="1920363631">
      <w:bodyDiv w:val="1"/>
      <w:marLeft w:val="0"/>
      <w:marRight w:val="0"/>
      <w:marTop w:val="0"/>
      <w:marBottom w:val="0"/>
      <w:divBdr>
        <w:top w:val="none" w:sz="0" w:space="0" w:color="auto"/>
        <w:left w:val="none" w:sz="0" w:space="0" w:color="auto"/>
        <w:bottom w:val="none" w:sz="0" w:space="0" w:color="auto"/>
        <w:right w:val="none" w:sz="0" w:space="0" w:color="auto"/>
      </w:divBdr>
    </w:div>
    <w:div w:id="1984575565">
      <w:bodyDiv w:val="1"/>
      <w:marLeft w:val="0"/>
      <w:marRight w:val="0"/>
      <w:marTop w:val="0"/>
      <w:marBottom w:val="0"/>
      <w:divBdr>
        <w:top w:val="none" w:sz="0" w:space="0" w:color="auto"/>
        <w:left w:val="none" w:sz="0" w:space="0" w:color="auto"/>
        <w:bottom w:val="none" w:sz="0" w:space="0" w:color="auto"/>
        <w:right w:val="none" w:sz="0" w:space="0" w:color="auto"/>
      </w:divBdr>
    </w:div>
    <w:div w:id="2049140530">
      <w:bodyDiv w:val="1"/>
      <w:marLeft w:val="0"/>
      <w:marRight w:val="0"/>
      <w:marTop w:val="0"/>
      <w:marBottom w:val="0"/>
      <w:divBdr>
        <w:top w:val="none" w:sz="0" w:space="0" w:color="auto"/>
        <w:left w:val="none" w:sz="0" w:space="0" w:color="auto"/>
        <w:bottom w:val="none" w:sz="0" w:space="0" w:color="auto"/>
        <w:right w:val="none" w:sz="0" w:space="0" w:color="auto"/>
      </w:divBdr>
    </w:div>
    <w:div w:id="20754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68235-8D13-4964-83C9-9CD16E1C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2319</Words>
  <Characters>13223</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NSW Department of Health</Company>
  <LinksUpToDate>false</LinksUpToDate>
  <CharactersWithSpaces>15511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South Wales - July 2011 to June 2012 - Progress against Subacute Care Implementation Plan - National Partnership Agreement on Hospital and Health Workforce Reform</dc:title>
  <dc:creator>Productivity Commission</dc:creator>
  <cp:lastModifiedBy>Productivity Commission</cp:lastModifiedBy>
  <cp:revision>2</cp:revision>
  <cp:lastPrinted>2013-01-14T23:38:00Z</cp:lastPrinted>
  <dcterms:created xsi:type="dcterms:W3CDTF">2013-02-19T01:17:00Z</dcterms:created>
  <dcterms:modified xsi:type="dcterms:W3CDTF">2013-02-19T01:17:00Z</dcterms:modified>
</cp:coreProperties>
</file>