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C2A" w:rsidRDefault="00AC1C2A" w:rsidP="00AC1C2A">
      <w:pPr>
        <w:spacing w:after="0" w:line="240" w:lineRule="auto"/>
        <w:jc w:val="center"/>
        <w:outlineLvl w:val="0"/>
        <w:rPr>
          <w:rFonts w:ascii="Arial" w:hAnsi="Arial" w:cs="Arial"/>
          <w:b/>
          <w:sz w:val="48"/>
          <w:szCs w:val="48"/>
        </w:rPr>
      </w:pPr>
      <w:bookmarkStart w:id="0" w:name="_GoBack"/>
      <w:bookmarkEnd w:id="0"/>
      <w:r>
        <w:rPr>
          <w:rFonts w:ascii="Arial" w:hAnsi="Arial" w:cs="Arial"/>
          <w:b/>
          <w:noProof/>
          <w:sz w:val="48"/>
          <w:szCs w:val="48"/>
        </w:rPr>
        <w:drawing>
          <wp:anchor distT="0" distB="0" distL="114300" distR="114300" simplePos="0" relativeHeight="251659264" behindDoc="0" locked="0" layoutInCell="1" allowOverlap="1">
            <wp:simplePos x="0" y="0"/>
            <wp:positionH relativeFrom="page">
              <wp:posOffset>2695575</wp:posOffset>
            </wp:positionH>
            <wp:positionV relativeFrom="page">
              <wp:posOffset>1076325</wp:posOffset>
            </wp:positionV>
            <wp:extent cx="2190750" cy="1009650"/>
            <wp:effectExtent l="19050" t="0" r="0" b="0"/>
            <wp:wrapThrough wrapText="bothSides">
              <wp:wrapPolygon edited="0">
                <wp:start x="-188" y="0"/>
                <wp:lineTo x="-188" y="21192"/>
                <wp:lineTo x="21600" y="21192"/>
                <wp:lineTo x="21600" y="0"/>
                <wp:lineTo x="-188" y="0"/>
              </wp:wrapPolygon>
            </wp:wrapThrough>
            <wp:docPr id="2" name="Picture 1" descr="Health - NSW Gov - hi res CMYK col 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 NSW Gov - hi res CMYK col gradient"/>
                    <pic:cNvPicPr>
                      <a:picLocks noChangeAspect="1" noChangeArrowheads="1"/>
                    </pic:cNvPicPr>
                  </pic:nvPicPr>
                  <pic:blipFill>
                    <a:blip r:embed="rId8" cstate="print"/>
                    <a:srcRect/>
                    <a:stretch>
                      <a:fillRect/>
                    </a:stretch>
                  </pic:blipFill>
                  <pic:spPr bwMode="auto">
                    <a:xfrm>
                      <a:off x="0" y="0"/>
                      <a:ext cx="2190750" cy="1009650"/>
                    </a:xfrm>
                    <a:prstGeom prst="rect">
                      <a:avLst/>
                    </a:prstGeom>
                    <a:noFill/>
                  </pic:spPr>
                </pic:pic>
              </a:graphicData>
            </a:graphic>
          </wp:anchor>
        </w:drawing>
      </w:r>
    </w:p>
    <w:p w:rsidR="00AC1C2A" w:rsidRDefault="00AC1C2A" w:rsidP="00AC1C2A">
      <w:pPr>
        <w:spacing w:after="0" w:line="240" w:lineRule="auto"/>
        <w:jc w:val="center"/>
        <w:outlineLvl w:val="0"/>
        <w:rPr>
          <w:rFonts w:ascii="Arial" w:hAnsi="Arial" w:cs="Arial"/>
          <w:b/>
          <w:sz w:val="48"/>
          <w:szCs w:val="48"/>
        </w:rPr>
      </w:pPr>
    </w:p>
    <w:p w:rsidR="00AC1C2A" w:rsidRDefault="00AC1C2A" w:rsidP="00AC1C2A">
      <w:pPr>
        <w:spacing w:after="0" w:line="240" w:lineRule="auto"/>
        <w:jc w:val="center"/>
        <w:outlineLvl w:val="0"/>
        <w:rPr>
          <w:rFonts w:ascii="Arial" w:hAnsi="Arial" w:cs="Arial"/>
          <w:b/>
          <w:sz w:val="48"/>
          <w:szCs w:val="48"/>
        </w:rPr>
      </w:pPr>
    </w:p>
    <w:p w:rsidR="00AC1C2A" w:rsidRDefault="00AC1C2A" w:rsidP="00AC1C2A">
      <w:pPr>
        <w:spacing w:after="0" w:line="240" w:lineRule="auto"/>
        <w:jc w:val="center"/>
        <w:outlineLvl w:val="0"/>
        <w:rPr>
          <w:rFonts w:ascii="Arial" w:hAnsi="Arial" w:cs="Arial"/>
          <w:b/>
          <w:sz w:val="48"/>
          <w:szCs w:val="48"/>
        </w:rPr>
      </w:pPr>
    </w:p>
    <w:p w:rsidR="00AC1C2A" w:rsidRDefault="00AC1C2A" w:rsidP="00AC1C2A">
      <w:pPr>
        <w:spacing w:after="0" w:line="240" w:lineRule="auto"/>
        <w:jc w:val="center"/>
        <w:outlineLvl w:val="0"/>
        <w:rPr>
          <w:rFonts w:ascii="Arial" w:hAnsi="Arial" w:cs="Arial"/>
          <w:b/>
          <w:sz w:val="48"/>
          <w:szCs w:val="48"/>
        </w:rPr>
      </w:pPr>
    </w:p>
    <w:p w:rsidR="00AC1C2A" w:rsidRDefault="00AC1C2A" w:rsidP="00AC1C2A">
      <w:pPr>
        <w:spacing w:after="0" w:line="240" w:lineRule="auto"/>
        <w:jc w:val="center"/>
        <w:outlineLvl w:val="0"/>
        <w:rPr>
          <w:rFonts w:ascii="Arial" w:hAnsi="Arial" w:cs="Arial"/>
          <w:b/>
          <w:sz w:val="48"/>
          <w:szCs w:val="48"/>
        </w:rPr>
      </w:pPr>
    </w:p>
    <w:p w:rsidR="00AC1C2A" w:rsidRDefault="00AC1C2A" w:rsidP="00AC1C2A">
      <w:pPr>
        <w:spacing w:after="0" w:line="240" w:lineRule="auto"/>
        <w:jc w:val="center"/>
        <w:outlineLvl w:val="0"/>
        <w:rPr>
          <w:rFonts w:ascii="Arial" w:hAnsi="Arial" w:cs="Arial"/>
          <w:b/>
          <w:sz w:val="48"/>
          <w:szCs w:val="48"/>
        </w:rPr>
      </w:pPr>
    </w:p>
    <w:p w:rsidR="00AC1C2A" w:rsidRDefault="00AC1C2A" w:rsidP="00AC1C2A">
      <w:pPr>
        <w:spacing w:after="0" w:line="240" w:lineRule="auto"/>
        <w:jc w:val="center"/>
        <w:outlineLvl w:val="0"/>
        <w:rPr>
          <w:rFonts w:ascii="Arial" w:hAnsi="Arial" w:cs="Arial"/>
          <w:b/>
          <w:sz w:val="48"/>
          <w:szCs w:val="48"/>
        </w:rPr>
      </w:pPr>
    </w:p>
    <w:p w:rsidR="00AC1C2A" w:rsidRPr="002D53CF" w:rsidRDefault="00AC1C2A" w:rsidP="00AC1C2A">
      <w:pPr>
        <w:spacing w:after="0" w:line="240" w:lineRule="auto"/>
        <w:jc w:val="center"/>
        <w:outlineLvl w:val="0"/>
        <w:rPr>
          <w:rFonts w:ascii="Arial" w:hAnsi="Arial" w:cs="Arial"/>
          <w:b/>
          <w:sz w:val="44"/>
          <w:szCs w:val="44"/>
        </w:rPr>
      </w:pPr>
      <w:r w:rsidRPr="002D53CF">
        <w:rPr>
          <w:rFonts w:ascii="Arial" w:hAnsi="Arial" w:cs="Arial"/>
          <w:b/>
          <w:sz w:val="44"/>
          <w:szCs w:val="44"/>
        </w:rPr>
        <w:t xml:space="preserve">NATIONAL PARTNERSHIP AGREEMENT ON HOSPITAL AND HEALTH WORKFORCE REFORM </w:t>
      </w:r>
    </w:p>
    <w:p w:rsidR="00AC1C2A" w:rsidRDefault="00AC1C2A" w:rsidP="00AC1C2A">
      <w:pPr>
        <w:spacing w:after="0" w:line="240" w:lineRule="auto"/>
        <w:jc w:val="center"/>
        <w:outlineLvl w:val="0"/>
        <w:rPr>
          <w:rFonts w:ascii="Arial" w:hAnsi="Arial" w:cs="Arial"/>
          <w:b/>
          <w:sz w:val="48"/>
          <w:szCs w:val="48"/>
        </w:rPr>
      </w:pPr>
    </w:p>
    <w:p w:rsidR="00AC1C2A" w:rsidRDefault="00AC1C2A" w:rsidP="00AC1C2A">
      <w:pPr>
        <w:spacing w:after="0" w:line="240" w:lineRule="auto"/>
        <w:jc w:val="center"/>
        <w:outlineLvl w:val="0"/>
        <w:rPr>
          <w:rFonts w:ascii="Arial" w:hAnsi="Arial" w:cs="Arial"/>
          <w:b/>
          <w:sz w:val="48"/>
          <w:szCs w:val="48"/>
        </w:rPr>
      </w:pPr>
    </w:p>
    <w:p w:rsidR="00AC1C2A" w:rsidRDefault="00AC1C2A" w:rsidP="00AC1C2A">
      <w:pPr>
        <w:spacing w:after="0" w:line="240" w:lineRule="auto"/>
        <w:jc w:val="center"/>
        <w:outlineLvl w:val="0"/>
        <w:rPr>
          <w:rFonts w:ascii="Arial" w:hAnsi="Arial" w:cs="Arial"/>
          <w:b/>
          <w:sz w:val="48"/>
          <w:szCs w:val="48"/>
        </w:rPr>
      </w:pPr>
    </w:p>
    <w:p w:rsidR="00AC1C2A" w:rsidRDefault="00AC1C2A" w:rsidP="00AC1C2A">
      <w:pPr>
        <w:spacing w:after="0" w:line="240" w:lineRule="auto"/>
        <w:jc w:val="center"/>
        <w:outlineLvl w:val="0"/>
        <w:rPr>
          <w:rFonts w:ascii="Arial" w:hAnsi="Arial" w:cs="Arial"/>
          <w:b/>
          <w:sz w:val="48"/>
          <w:szCs w:val="48"/>
        </w:rPr>
      </w:pPr>
    </w:p>
    <w:p w:rsidR="00AC1C2A" w:rsidRPr="002D53CF" w:rsidRDefault="00AC1C2A" w:rsidP="00AC1C2A">
      <w:pPr>
        <w:spacing w:after="0" w:line="240" w:lineRule="auto"/>
        <w:ind w:left="720"/>
        <w:jc w:val="center"/>
        <w:outlineLvl w:val="0"/>
        <w:rPr>
          <w:rFonts w:ascii="Arial" w:hAnsi="Arial" w:cs="Arial"/>
          <w:b/>
          <w:sz w:val="36"/>
          <w:szCs w:val="36"/>
        </w:rPr>
      </w:pPr>
      <w:r w:rsidRPr="002D53CF">
        <w:rPr>
          <w:rFonts w:ascii="Arial" w:hAnsi="Arial" w:cs="Arial"/>
          <w:b/>
          <w:sz w:val="36"/>
          <w:szCs w:val="36"/>
        </w:rPr>
        <w:t>NSW Subacute Care Implementation Plan</w:t>
      </w:r>
    </w:p>
    <w:p w:rsidR="00AC1C2A" w:rsidRDefault="00AC1C2A" w:rsidP="00AC1C2A">
      <w:pPr>
        <w:spacing w:after="0" w:line="240" w:lineRule="auto"/>
        <w:jc w:val="right"/>
        <w:outlineLvl w:val="0"/>
        <w:rPr>
          <w:rFonts w:ascii="Arial" w:hAnsi="Arial" w:cs="Arial"/>
          <w:b/>
          <w:sz w:val="36"/>
          <w:szCs w:val="36"/>
        </w:rPr>
      </w:pPr>
    </w:p>
    <w:p w:rsidR="00AC1C2A" w:rsidRPr="007978C5" w:rsidRDefault="00AC1C2A" w:rsidP="00AC1C2A">
      <w:pPr>
        <w:spacing w:after="0" w:line="240" w:lineRule="auto"/>
        <w:jc w:val="center"/>
        <w:outlineLvl w:val="0"/>
        <w:rPr>
          <w:rFonts w:ascii="Arial" w:hAnsi="Arial" w:cs="Arial"/>
          <w:b/>
          <w:sz w:val="36"/>
          <w:szCs w:val="36"/>
        </w:rPr>
      </w:pPr>
      <w:r>
        <w:rPr>
          <w:rFonts w:ascii="Arial" w:hAnsi="Arial" w:cs="Arial"/>
          <w:b/>
          <w:sz w:val="36"/>
          <w:szCs w:val="36"/>
        </w:rPr>
        <w:t>Annual Report</w:t>
      </w:r>
    </w:p>
    <w:p w:rsidR="00AC1C2A" w:rsidRPr="007978C5" w:rsidRDefault="00AC1C2A" w:rsidP="00AC1C2A">
      <w:pPr>
        <w:spacing w:after="0" w:line="240" w:lineRule="auto"/>
        <w:jc w:val="center"/>
        <w:outlineLvl w:val="0"/>
        <w:rPr>
          <w:rFonts w:ascii="Arial" w:hAnsi="Arial" w:cs="Arial"/>
          <w:b/>
          <w:sz w:val="36"/>
          <w:szCs w:val="36"/>
        </w:rPr>
      </w:pPr>
      <w:r w:rsidRPr="007978C5">
        <w:rPr>
          <w:rFonts w:ascii="Arial" w:hAnsi="Arial" w:cs="Arial"/>
          <w:b/>
          <w:sz w:val="36"/>
          <w:szCs w:val="36"/>
        </w:rPr>
        <w:t xml:space="preserve">July </w:t>
      </w:r>
      <w:r>
        <w:rPr>
          <w:rFonts w:ascii="Arial" w:hAnsi="Arial" w:cs="Arial"/>
          <w:b/>
          <w:sz w:val="36"/>
          <w:szCs w:val="36"/>
        </w:rPr>
        <w:t>201</w:t>
      </w:r>
      <w:r w:rsidR="001562C7">
        <w:rPr>
          <w:rFonts w:ascii="Arial" w:hAnsi="Arial" w:cs="Arial"/>
          <w:b/>
          <w:sz w:val="36"/>
          <w:szCs w:val="36"/>
        </w:rPr>
        <w:t>2</w:t>
      </w:r>
      <w:r>
        <w:rPr>
          <w:rFonts w:ascii="Arial" w:hAnsi="Arial" w:cs="Arial"/>
          <w:b/>
          <w:sz w:val="36"/>
          <w:szCs w:val="36"/>
        </w:rPr>
        <w:t xml:space="preserve"> </w:t>
      </w:r>
      <w:r w:rsidRPr="007978C5">
        <w:rPr>
          <w:rFonts w:ascii="Arial" w:hAnsi="Arial" w:cs="Arial"/>
          <w:b/>
          <w:sz w:val="36"/>
          <w:szCs w:val="36"/>
        </w:rPr>
        <w:t xml:space="preserve">to </w:t>
      </w:r>
      <w:r>
        <w:rPr>
          <w:rFonts w:ascii="Arial" w:hAnsi="Arial" w:cs="Arial"/>
          <w:b/>
          <w:sz w:val="36"/>
          <w:szCs w:val="36"/>
        </w:rPr>
        <w:t>June</w:t>
      </w:r>
      <w:r w:rsidRPr="007978C5">
        <w:rPr>
          <w:rFonts w:ascii="Arial" w:hAnsi="Arial" w:cs="Arial"/>
          <w:b/>
          <w:sz w:val="36"/>
          <w:szCs w:val="36"/>
        </w:rPr>
        <w:t xml:space="preserve"> 20</w:t>
      </w:r>
      <w:r>
        <w:rPr>
          <w:rFonts w:ascii="Arial" w:hAnsi="Arial" w:cs="Arial"/>
          <w:b/>
          <w:sz w:val="36"/>
          <w:szCs w:val="36"/>
        </w:rPr>
        <w:t>1</w:t>
      </w:r>
      <w:r w:rsidR="001562C7">
        <w:rPr>
          <w:rFonts w:ascii="Arial" w:hAnsi="Arial" w:cs="Arial"/>
          <w:b/>
          <w:sz w:val="36"/>
          <w:szCs w:val="36"/>
        </w:rPr>
        <w:t>3</w:t>
      </w:r>
    </w:p>
    <w:p w:rsidR="00AC1C2A" w:rsidRDefault="00AC1C2A" w:rsidP="00AC1C2A">
      <w:pPr>
        <w:rPr>
          <w:rFonts w:ascii="Arial" w:hAnsi="Arial" w:cs="Arial"/>
          <w:b/>
        </w:rPr>
      </w:pPr>
    </w:p>
    <w:p w:rsidR="00AC1C2A" w:rsidRDefault="00AC1C2A" w:rsidP="00AC1C2A">
      <w:pPr>
        <w:jc w:val="center"/>
        <w:rPr>
          <w:rFonts w:ascii="Arial" w:hAnsi="Arial" w:cs="Arial"/>
          <w:b/>
        </w:rPr>
      </w:pPr>
    </w:p>
    <w:p w:rsidR="00AC1C2A" w:rsidRDefault="00AC1C2A" w:rsidP="00AC1C2A">
      <w:pPr>
        <w:jc w:val="center"/>
        <w:rPr>
          <w:rFonts w:ascii="Arial" w:hAnsi="Arial" w:cs="Arial"/>
          <w:b/>
        </w:rPr>
      </w:pPr>
    </w:p>
    <w:p w:rsidR="00AC1C2A" w:rsidRDefault="00AC1C2A" w:rsidP="00AC1C2A">
      <w:pPr>
        <w:jc w:val="center"/>
        <w:rPr>
          <w:rFonts w:ascii="Arial" w:hAnsi="Arial" w:cs="Arial"/>
          <w:b/>
        </w:rPr>
      </w:pPr>
    </w:p>
    <w:p w:rsidR="00AC1C2A" w:rsidRDefault="00AC1C2A" w:rsidP="00AC1C2A">
      <w:pPr>
        <w:jc w:val="center"/>
        <w:rPr>
          <w:rFonts w:ascii="Arial" w:hAnsi="Arial" w:cs="Arial"/>
          <w:b/>
        </w:rPr>
      </w:pPr>
    </w:p>
    <w:p w:rsidR="00AC1C2A" w:rsidRDefault="00AC1C2A" w:rsidP="00AC1C2A">
      <w:pPr>
        <w:jc w:val="center"/>
        <w:rPr>
          <w:rFonts w:ascii="Arial" w:hAnsi="Arial" w:cs="Arial"/>
          <w:b/>
        </w:rPr>
      </w:pPr>
    </w:p>
    <w:p w:rsidR="00AC1C2A" w:rsidRDefault="00AC1C2A" w:rsidP="00AC1C2A">
      <w:pPr>
        <w:jc w:val="center"/>
        <w:rPr>
          <w:rFonts w:ascii="Arial" w:hAnsi="Arial" w:cs="Arial"/>
          <w:b/>
        </w:rPr>
      </w:pPr>
    </w:p>
    <w:p w:rsidR="00AC1C2A" w:rsidRDefault="00AC1C2A" w:rsidP="00AC1C2A">
      <w:pPr>
        <w:jc w:val="center"/>
        <w:rPr>
          <w:rFonts w:ascii="Arial" w:hAnsi="Arial" w:cs="Arial"/>
          <w:b/>
        </w:rPr>
      </w:pPr>
    </w:p>
    <w:p w:rsidR="00AC1C2A" w:rsidRPr="00A073F0" w:rsidRDefault="00AC1C2A" w:rsidP="00AC1C2A">
      <w:pPr>
        <w:jc w:val="center"/>
        <w:rPr>
          <w:rFonts w:ascii="Arial" w:hAnsi="Arial" w:cs="Arial"/>
          <w:b/>
          <w:caps/>
          <w:sz w:val="24"/>
          <w:szCs w:val="24"/>
        </w:rPr>
      </w:pPr>
      <w:r w:rsidRPr="00A073F0">
        <w:rPr>
          <w:rFonts w:ascii="Arial" w:hAnsi="Arial" w:cs="Arial"/>
          <w:b/>
          <w:caps/>
          <w:sz w:val="24"/>
          <w:szCs w:val="24"/>
        </w:rPr>
        <w:lastRenderedPageBreak/>
        <w:t>NSW Subacute Care Implementation Plan</w:t>
      </w:r>
    </w:p>
    <w:p w:rsidR="00AC1C2A" w:rsidRPr="00261CB1" w:rsidRDefault="00AC1C2A" w:rsidP="00AC1C2A">
      <w:pPr>
        <w:spacing w:after="0" w:line="240" w:lineRule="auto"/>
        <w:jc w:val="center"/>
        <w:outlineLvl w:val="0"/>
        <w:rPr>
          <w:rFonts w:ascii="Arial" w:hAnsi="Arial" w:cs="Arial"/>
          <w:b/>
          <w:sz w:val="24"/>
          <w:szCs w:val="24"/>
        </w:rPr>
      </w:pPr>
      <w:r>
        <w:rPr>
          <w:rFonts w:ascii="Arial" w:hAnsi="Arial" w:cs="Arial"/>
          <w:b/>
          <w:sz w:val="24"/>
          <w:szCs w:val="24"/>
        </w:rPr>
        <w:t>Report for the period July 201</w:t>
      </w:r>
      <w:r w:rsidR="001562C7">
        <w:rPr>
          <w:rFonts w:ascii="Arial" w:hAnsi="Arial" w:cs="Arial"/>
          <w:b/>
          <w:sz w:val="24"/>
          <w:szCs w:val="24"/>
        </w:rPr>
        <w:t>2</w:t>
      </w:r>
      <w:r w:rsidRPr="00F53562">
        <w:rPr>
          <w:rFonts w:ascii="Arial" w:hAnsi="Arial" w:cs="Arial"/>
          <w:b/>
          <w:sz w:val="24"/>
          <w:szCs w:val="24"/>
        </w:rPr>
        <w:t xml:space="preserve"> </w:t>
      </w:r>
      <w:r w:rsidRPr="00261CB1">
        <w:rPr>
          <w:rFonts w:ascii="Arial" w:hAnsi="Arial" w:cs="Arial"/>
          <w:b/>
          <w:sz w:val="24"/>
          <w:szCs w:val="24"/>
        </w:rPr>
        <w:t xml:space="preserve">to </w:t>
      </w:r>
      <w:r w:rsidR="00AB366D">
        <w:rPr>
          <w:rFonts w:ascii="Arial" w:hAnsi="Arial" w:cs="Arial"/>
          <w:b/>
          <w:sz w:val="24"/>
          <w:szCs w:val="24"/>
        </w:rPr>
        <w:t>June 201</w:t>
      </w:r>
      <w:r w:rsidR="001562C7">
        <w:rPr>
          <w:rFonts w:ascii="Arial" w:hAnsi="Arial" w:cs="Arial"/>
          <w:b/>
          <w:sz w:val="24"/>
          <w:szCs w:val="24"/>
        </w:rPr>
        <w:t>3</w:t>
      </w:r>
    </w:p>
    <w:p w:rsidR="00AC1C2A" w:rsidRPr="002654E7" w:rsidRDefault="00AC1C2A" w:rsidP="00E87D32">
      <w:pPr>
        <w:spacing w:after="0" w:line="240" w:lineRule="auto"/>
        <w:rPr>
          <w:rFonts w:ascii="Arial" w:hAnsi="Arial" w:cs="Arial"/>
        </w:rPr>
      </w:pPr>
    </w:p>
    <w:p w:rsidR="00AC1C2A" w:rsidRDefault="00AC1C2A" w:rsidP="00E87D32">
      <w:pPr>
        <w:spacing w:after="0" w:line="240" w:lineRule="auto"/>
        <w:outlineLvl w:val="0"/>
        <w:rPr>
          <w:rFonts w:ascii="Arial" w:hAnsi="Arial" w:cs="Arial"/>
          <w:b/>
        </w:rPr>
      </w:pPr>
    </w:p>
    <w:p w:rsidR="00843730" w:rsidRDefault="00843730" w:rsidP="00203AC3">
      <w:pPr>
        <w:spacing w:after="0" w:line="240" w:lineRule="auto"/>
        <w:jc w:val="both"/>
        <w:rPr>
          <w:rFonts w:ascii="Arial" w:hAnsi="Arial" w:cs="Arial"/>
          <w:b/>
        </w:rPr>
      </w:pPr>
      <w:r>
        <w:rPr>
          <w:rFonts w:ascii="Arial" w:hAnsi="Arial" w:cs="Arial"/>
          <w:b/>
        </w:rPr>
        <w:t>CONTEXT</w:t>
      </w:r>
    </w:p>
    <w:p w:rsidR="00AC1C2A" w:rsidRDefault="00AC1C2A" w:rsidP="00203AC3">
      <w:pPr>
        <w:spacing w:after="0" w:line="240" w:lineRule="auto"/>
        <w:jc w:val="both"/>
        <w:rPr>
          <w:rFonts w:ascii="Arial" w:hAnsi="Arial" w:cs="Arial"/>
        </w:rPr>
      </w:pPr>
      <w:r w:rsidRPr="002F0284">
        <w:rPr>
          <w:rFonts w:ascii="Arial" w:hAnsi="Arial" w:cs="Arial"/>
        </w:rPr>
        <w:t xml:space="preserve">Under the </w:t>
      </w:r>
      <w:r w:rsidR="008D78FD">
        <w:rPr>
          <w:rFonts w:ascii="Arial" w:hAnsi="Arial" w:cs="Arial"/>
        </w:rPr>
        <w:t xml:space="preserve">Health and Hospital Workforce Reform (HHWR) </w:t>
      </w:r>
      <w:r w:rsidRPr="002F0284">
        <w:rPr>
          <w:rFonts w:ascii="Arial" w:hAnsi="Arial" w:cs="Arial"/>
        </w:rPr>
        <w:t>National Partnership Agreement</w:t>
      </w:r>
      <w:r w:rsidR="008D78FD">
        <w:rPr>
          <w:rFonts w:ascii="Arial" w:hAnsi="Arial" w:cs="Arial"/>
        </w:rPr>
        <w:t xml:space="preserve"> (NPA)</w:t>
      </w:r>
      <w:r w:rsidRPr="002F0284">
        <w:rPr>
          <w:rFonts w:ascii="Arial" w:hAnsi="Arial" w:cs="Arial"/>
        </w:rPr>
        <w:t xml:space="preserve">, NSW received $165.652m </w:t>
      </w:r>
      <w:r w:rsidR="008D78FD">
        <w:rPr>
          <w:rFonts w:ascii="Arial" w:hAnsi="Arial" w:cs="Arial"/>
        </w:rPr>
        <w:t xml:space="preserve">in 2008-09 </w:t>
      </w:r>
      <w:r w:rsidRPr="002F0284">
        <w:rPr>
          <w:rFonts w:ascii="Arial" w:hAnsi="Arial" w:cs="Arial"/>
        </w:rPr>
        <w:t xml:space="preserve">to enhance subacute care service delivery over the period 2009-10 to 2012-13. </w:t>
      </w:r>
    </w:p>
    <w:p w:rsidR="00974273" w:rsidRDefault="00974273" w:rsidP="00203AC3">
      <w:pPr>
        <w:spacing w:after="0" w:line="240" w:lineRule="auto"/>
        <w:jc w:val="both"/>
        <w:rPr>
          <w:rFonts w:ascii="Arial" w:hAnsi="Arial" w:cs="Arial"/>
        </w:rPr>
      </w:pPr>
    </w:p>
    <w:p w:rsidR="00974273" w:rsidRDefault="007A4B1D" w:rsidP="00203AC3">
      <w:pPr>
        <w:spacing w:after="0" w:line="240" w:lineRule="auto"/>
        <w:jc w:val="both"/>
        <w:rPr>
          <w:rFonts w:ascii="Arial" w:hAnsi="Arial" w:cs="Arial"/>
          <w:szCs w:val="20"/>
        </w:rPr>
      </w:pPr>
      <w:r>
        <w:rPr>
          <w:rFonts w:ascii="Arial" w:hAnsi="Arial" w:cs="Arial"/>
          <w:szCs w:val="20"/>
        </w:rPr>
        <w:t>Each previous Area Health Service (AHS)</w:t>
      </w:r>
      <w:r w:rsidR="00974273" w:rsidRPr="00104641">
        <w:rPr>
          <w:rFonts w:ascii="Arial" w:hAnsi="Arial" w:cs="Arial"/>
          <w:szCs w:val="20"/>
        </w:rPr>
        <w:t>/L</w:t>
      </w:r>
      <w:r>
        <w:rPr>
          <w:rFonts w:ascii="Arial" w:hAnsi="Arial" w:cs="Arial"/>
          <w:szCs w:val="20"/>
        </w:rPr>
        <w:t>ocal Health District (L</w:t>
      </w:r>
      <w:r w:rsidR="00974273" w:rsidRPr="00104641">
        <w:rPr>
          <w:rFonts w:ascii="Arial" w:hAnsi="Arial" w:cs="Arial"/>
          <w:szCs w:val="20"/>
        </w:rPr>
        <w:t>HD</w:t>
      </w:r>
      <w:r>
        <w:rPr>
          <w:rFonts w:ascii="Arial" w:hAnsi="Arial" w:cs="Arial"/>
          <w:szCs w:val="20"/>
        </w:rPr>
        <w:t>)</w:t>
      </w:r>
      <w:r w:rsidR="00974273" w:rsidRPr="00104641">
        <w:rPr>
          <w:rFonts w:ascii="Arial" w:hAnsi="Arial" w:cs="Arial"/>
          <w:szCs w:val="20"/>
        </w:rPr>
        <w:t xml:space="preserve"> made its own investment decisions </w:t>
      </w:r>
      <w:r>
        <w:rPr>
          <w:rFonts w:ascii="Arial" w:hAnsi="Arial" w:cs="Arial"/>
          <w:szCs w:val="20"/>
        </w:rPr>
        <w:t>as to where funding for sub</w:t>
      </w:r>
      <w:r w:rsidR="00B171DE">
        <w:rPr>
          <w:rFonts w:ascii="Arial" w:hAnsi="Arial" w:cs="Arial"/>
          <w:szCs w:val="20"/>
        </w:rPr>
        <w:t xml:space="preserve"> </w:t>
      </w:r>
      <w:r>
        <w:rPr>
          <w:rFonts w:ascii="Arial" w:hAnsi="Arial" w:cs="Arial"/>
          <w:szCs w:val="20"/>
        </w:rPr>
        <w:t xml:space="preserve">acute care under the NPA would be directed </w:t>
      </w:r>
      <w:r w:rsidR="00974273" w:rsidRPr="00104641">
        <w:rPr>
          <w:rFonts w:ascii="Arial" w:hAnsi="Arial" w:cs="Arial"/>
          <w:szCs w:val="20"/>
        </w:rPr>
        <w:t>across the sub</w:t>
      </w:r>
      <w:r w:rsidR="00B171DE">
        <w:rPr>
          <w:rFonts w:ascii="Arial" w:hAnsi="Arial" w:cs="Arial"/>
          <w:szCs w:val="20"/>
        </w:rPr>
        <w:t xml:space="preserve"> </w:t>
      </w:r>
      <w:r w:rsidR="00974273" w:rsidRPr="00104641">
        <w:rPr>
          <w:rFonts w:ascii="Arial" w:hAnsi="Arial" w:cs="Arial"/>
          <w:szCs w:val="20"/>
        </w:rPr>
        <w:t xml:space="preserve">acute care types (rehabilitation, palliative care, geriatric evaluation and management, and psychogeriatric care). </w:t>
      </w:r>
    </w:p>
    <w:p w:rsidR="00AC1C2A" w:rsidRPr="002F0284" w:rsidRDefault="00AC1C2A" w:rsidP="00203AC3">
      <w:pPr>
        <w:spacing w:after="0" w:line="240" w:lineRule="auto"/>
        <w:jc w:val="both"/>
        <w:rPr>
          <w:rFonts w:ascii="Arial" w:hAnsi="Arial" w:cs="Arial"/>
        </w:rPr>
      </w:pPr>
    </w:p>
    <w:p w:rsidR="00104641" w:rsidRPr="00180AA5" w:rsidRDefault="007A4B1D" w:rsidP="00203AC3">
      <w:pPr>
        <w:spacing w:after="0" w:line="240" w:lineRule="auto"/>
        <w:jc w:val="both"/>
        <w:rPr>
          <w:rFonts w:ascii="Arial" w:hAnsi="Arial" w:cs="Arial"/>
          <w:szCs w:val="20"/>
        </w:rPr>
      </w:pPr>
      <w:r>
        <w:rPr>
          <w:rFonts w:ascii="Arial" w:hAnsi="Arial" w:cs="Arial"/>
          <w:szCs w:val="20"/>
        </w:rPr>
        <w:t>Under the NPA, t</w:t>
      </w:r>
      <w:r w:rsidR="00104641" w:rsidRPr="00180AA5">
        <w:rPr>
          <w:rFonts w:ascii="Arial" w:hAnsi="Arial" w:cs="Arial"/>
          <w:szCs w:val="20"/>
        </w:rPr>
        <w:t xml:space="preserve">he quantum of services (bed days and/or separations and/or </w:t>
      </w:r>
      <w:r w:rsidR="0026166B">
        <w:rPr>
          <w:rFonts w:ascii="Arial" w:hAnsi="Arial" w:cs="Arial"/>
          <w:szCs w:val="20"/>
        </w:rPr>
        <w:t>non-admitted patients occasions of service (</w:t>
      </w:r>
      <w:r w:rsidR="00104641" w:rsidRPr="00180AA5">
        <w:rPr>
          <w:rFonts w:ascii="Arial" w:hAnsi="Arial" w:cs="Arial"/>
          <w:szCs w:val="20"/>
        </w:rPr>
        <w:t>NAPOOS</w:t>
      </w:r>
      <w:r w:rsidR="0026166B">
        <w:rPr>
          <w:rFonts w:ascii="Arial" w:hAnsi="Arial" w:cs="Arial"/>
          <w:szCs w:val="20"/>
        </w:rPr>
        <w:t>)</w:t>
      </w:r>
      <w:r w:rsidR="00104641" w:rsidRPr="00180AA5">
        <w:rPr>
          <w:rFonts w:ascii="Arial" w:hAnsi="Arial" w:cs="Arial"/>
          <w:szCs w:val="20"/>
        </w:rPr>
        <w:t>) delivered by NSW Health</w:t>
      </w:r>
      <w:r w:rsidR="00BF24A7" w:rsidRPr="00180AA5">
        <w:rPr>
          <w:rStyle w:val="FootnoteReference"/>
          <w:rFonts w:ascii="Arial" w:hAnsi="Arial" w:cs="Arial"/>
        </w:rPr>
        <w:footnoteReference w:id="1"/>
      </w:r>
      <w:r w:rsidR="00104641" w:rsidRPr="00180AA5">
        <w:rPr>
          <w:rFonts w:ascii="Arial" w:hAnsi="Arial" w:cs="Arial"/>
          <w:szCs w:val="20"/>
        </w:rPr>
        <w:t xml:space="preserve"> was required to increase by 20% (over baseline) by June 2013, distributed across AHS/LHDs. The target set for NSW was growth of approximately 138,000 bed day equivalents by 2012/13</w:t>
      </w:r>
      <w:r w:rsidR="008D78FD">
        <w:rPr>
          <w:rFonts w:ascii="Arial" w:hAnsi="Arial" w:cs="Arial"/>
          <w:szCs w:val="20"/>
        </w:rPr>
        <w:t>.</w:t>
      </w:r>
      <w:r w:rsidR="00104641" w:rsidRPr="00180AA5">
        <w:rPr>
          <w:rFonts w:ascii="Arial" w:hAnsi="Arial" w:cs="Arial"/>
          <w:szCs w:val="20"/>
        </w:rPr>
        <w:t xml:space="preserve"> </w:t>
      </w:r>
      <w:r w:rsidR="008D78FD" w:rsidRPr="00180AA5">
        <w:rPr>
          <w:rFonts w:ascii="Arial" w:hAnsi="Arial" w:cs="Arial"/>
          <w:szCs w:val="20"/>
        </w:rPr>
        <w:t>The Commonwealth funding was insufficient to fund this level of growth. The Ministry therefore took account of underlying growth in service provision (in 2007/08 estimated at about 2% per annum) and revenue generated from private and compensable patients to meet total estimated costs.</w:t>
      </w:r>
    </w:p>
    <w:p w:rsidR="00CB1D66" w:rsidRPr="00180AA5" w:rsidRDefault="00CB1D66" w:rsidP="00203AC3">
      <w:pPr>
        <w:spacing w:after="0" w:line="240" w:lineRule="auto"/>
        <w:jc w:val="both"/>
        <w:rPr>
          <w:rFonts w:ascii="Arial" w:hAnsi="Arial" w:cs="Arial"/>
        </w:rPr>
      </w:pPr>
    </w:p>
    <w:p w:rsidR="00CB1D66" w:rsidRDefault="00CB1D66" w:rsidP="00203AC3">
      <w:pPr>
        <w:spacing w:after="0" w:line="240" w:lineRule="auto"/>
        <w:jc w:val="both"/>
        <w:rPr>
          <w:rFonts w:ascii="Arial" w:hAnsi="Arial" w:cs="Arial"/>
        </w:rPr>
      </w:pPr>
      <w:r w:rsidRPr="00180AA5">
        <w:rPr>
          <w:rFonts w:ascii="Arial" w:hAnsi="Arial" w:cs="Arial"/>
        </w:rPr>
        <w:t xml:space="preserve">The Ministry </w:t>
      </w:r>
      <w:proofErr w:type="spellStart"/>
      <w:r w:rsidRPr="00180AA5">
        <w:rPr>
          <w:rFonts w:ascii="Arial" w:hAnsi="Arial" w:cs="Arial"/>
        </w:rPr>
        <w:t>cashflowed</w:t>
      </w:r>
      <w:proofErr w:type="spellEnd"/>
      <w:r w:rsidRPr="00180AA5">
        <w:rPr>
          <w:rFonts w:ascii="Arial" w:hAnsi="Arial" w:cs="Arial"/>
        </w:rPr>
        <w:t xml:space="preserve"> allocations to </w:t>
      </w:r>
      <w:proofErr w:type="spellStart"/>
      <w:r w:rsidRPr="00180AA5">
        <w:rPr>
          <w:rFonts w:ascii="Arial" w:hAnsi="Arial" w:cs="Arial"/>
        </w:rPr>
        <w:t>AHSs</w:t>
      </w:r>
      <w:proofErr w:type="spellEnd"/>
      <w:r w:rsidR="00C36B13">
        <w:rPr>
          <w:rFonts w:ascii="Arial" w:hAnsi="Arial" w:cs="Arial"/>
        </w:rPr>
        <w:t xml:space="preserve"> and subsequently to </w:t>
      </w:r>
      <w:r w:rsidRPr="00180AA5">
        <w:rPr>
          <w:rFonts w:ascii="Arial" w:hAnsi="Arial" w:cs="Arial"/>
        </w:rPr>
        <w:t>LHDs</w:t>
      </w:r>
      <w:r w:rsidR="00C36B13">
        <w:rPr>
          <w:rFonts w:ascii="Arial" w:hAnsi="Arial" w:cs="Arial"/>
        </w:rPr>
        <w:t>,</w:t>
      </w:r>
      <w:r w:rsidRPr="00180AA5">
        <w:rPr>
          <w:rFonts w:ascii="Arial" w:hAnsi="Arial" w:cs="Arial"/>
        </w:rPr>
        <w:t xml:space="preserve"> to enable cumulative growth targets to be met</w:t>
      </w:r>
      <w:r w:rsidR="00EC4820">
        <w:rPr>
          <w:rFonts w:ascii="Arial" w:hAnsi="Arial" w:cs="Arial"/>
        </w:rPr>
        <w:t xml:space="preserve">.  These </w:t>
      </w:r>
      <w:r w:rsidR="00C36B13">
        <w:rPr>
          <w:rFonts w:ascii="Arial" w:hAnsi="Arial" w:cs="Arial"/>
        </w:rPr>
        <w:t xml:space="preserve">allocations </w:t>
      </w:r>
      <w:r w:rsidR="00EC4820">
        <w:rPr>
          <w:rFonts w:ascii="Arial" w:hAnsi="Arial" w:cs="Arial"/>
        </w:rPr>
        <w:t>were as follows</w:t>
      </w:r>
      <w:r w:rsidRPr="00180AA5">
        <w:rPr>
          <w:rFonts w:ascii="Arial" w:hAnsi="Arial" w:cs="Arial"/>
        </w:rPr>
        <w:t>: $18m in 2009/10, $34m in 2010/11, $49m in 2011/12 and $64.5m in 2012/13.</w:t>
      </w:r>
    </w:p>
    <w:p w:rsidR="008D78FD" w:rsidRDefault="008D78FD" w:rsidP="00203AC3">
      <w:pPr>
        <w:spacing w:after="0" w:line="240" w:lineRule="auto"/>
        <w:jc w:val="both"/>
        <w:rPr>
          <w:rFonts w:ascii="Arial" w:hAnsi="Arial" w:cs="Arial"/>
        </w:rPr>
      </w:pPr>
    </w:p>
    <w:p w:rsidR="00843730" w:rsidRDefault="008513A5" w:rsidP="00203AC3">
      <w:pPr>
        <w:spacing w:after="0" w:line="240" w:lineRule="auto"/>
        <w:jc w:val="both"/>
        <w:rPr>
          <w:rFonts w:ascii="Arial" w:hAnsi="Arial" w:cs="Arial"/>
          <w:b/>
        </w:rPr>
      </w:pPr>
      <w:r w:rsidRPr="00C14913">
        <w:rPr>
          <w:rFonts w:ascii="Arial" w:hAnsi="Arial" w:cs="Arial"/>
          <w:b/>
        </w:rPr>
        <w:t>KEY ACHIEVEMENTS</w:t>
      </w:r>
    </w:p>
    <w:p w:rsidR="00843730" w:rsidRDefault="00843730" w:rsidP="00203AC3">
      <w:pPr>
        <w:spacing w:after="0" w:line="240" w:lineRule="auto"/>
        <w:jc w:val="both"/>
        <w:rPr>
          <w:rFonts w:ascii="Arial" w:hAnsi="Arial" w:cs="Arial"/>
        </w:rPr>
      </w:pPr>
      <w:r>
        <w:rPr>
          <w:rFonts w:ascii="Arial" w:hAnsi="Arial" w:cs="Arial"/>
        </w:rPr>
        <w:t>NSW has increased sub</w:t>
      </w:r>
      <w:r w:rsidR="00B171DE">
        <w:rPr>
          <w:rFonts w:ascii="Arial" w:hAnsi="Arial" w:cs="Arial"/>
        </w:rPr>
        <w:t xml:space="preserve"> </w:t>
      </w:r>
      <w:r>
        <w:rPr>
          <w:rFonts w:ascii="Arial" w:hAnsi="Arial" w:cs="Arial"/>
        </w:rPr>
        <w:t xml:space="preserve">acute </w:t>
      </w:r>
      <w:r w:rsidR="00B171DE">
        <w:rPr>
          <w:rFonts w:ascii="Arial" w:hAnsi="Arial" w:cs="Arial"/>
        </w:rPr>
        <w:t xml:space="preserve">care </w:t>
      </w:r>
      <w:r>
        <w:rPr>
          <w:rFonts w:ascii="Arial" w:hAnsi="Arial" w:cs="Arial"/>
        </w:rPr>
        <w:t>services by more than the rate of growth that was required under the HHWR NPA.</w:t>
      </w:r>
    </w:p>
    <w:p w:rsidR="00843730" w:rsidRDefault="00843730" w:rsidP="00203AC3">
      <w:pPr>
        <w:spacing w:after="0" w:line="240" w:lineRule="auto"/>
        <w:jc w:val="both"/>
        <w:rPr>
          <w:rFonts w:ascii="Arial" w:hAnsi="Arial" w:cs="Arial"/>
        </w:rPr>
      </w:pPr>
    </w:p>
    <w:p w:rsidR="00843730" w:rsidRDefault="00843730" w:rsidP="00203AC3">
      <w:pPr>
        <w:spacing w:after="0" w:line="240" w:lineRule="auto"/>
        <w:jc w:val="both"/>
        <w:rPr>
          <w:rFonts w:ascii="Arial" w:hAnsi="Arial" w:cs="Arial"/>
        </w:rPr>
      </w:pPr>
      <w:r>
        <w:rPr>
          <w:rFonts w:ascii="Arial" w:hAnsi="Arial" w:cs="Arial"/>
        </w:rPr>
        <w:t>By the end of 2011-12, NSW had increased sub</w:t>
      </w:r>
      <w:r w:rsidR="00B171DE">
        <w:rPr>
          <w:rFonts w:ascii="Arial" w:hAnsi="Arial" w:cs="Arial"/>
        </w:rPr>
        <w:t xml:space="preserve"> </w:t>
      </w:r>
      <w:r>
        <w:rPr>
          <w:rFonts w:ascii="Arial" w:hAnsi="Arial" w:cs="Arial"/>
        </w:rPr>
        <w:t xml:space="preserve">acute activity by 19.77% compared </w:t>
      </w:r>
      <w:r w:rsidR="001B562A">
        <w:rPr>
          <w:rFonts w:ascii="Arial" w:hAnsi="Arial" w:cs="Arial"/>
        </w:rPr>
        <w:t>to baseline</w:t>
      </w:r>
      <w:r>
        <w:rPr>
          <w:rFonts w:ascii="Arial" w:hAnsi="Arial" w:cs="Arial"/>
        </w:rPr>
        <w:t xml:space="preserve"> activity. The achieved growth was in addition to the activity attributed to the growth realised under the Improving Public Hospital Services (IPHS) NPA.</w:t>
      </w:r>
    </w:p>
    <w:p w:rsidR="00843730" w:rsidRDefault="00843730" w:rsidP="00203AC3">
      <w:pPr>
        <w:spacing w:after="0" w:line="240" w:lineRule="auto"/>
        <w:jc w:val="both"/>
        <w:rPr>
          <w:rFonts w:ascii="Arial" w:hAnsi="Arial" w:cs="Arial"/>
        </w:rPr>
      </w:pPr>
    </w:p>
    <w:p w:rsidR="008513A5" w:rsidRDefault="00843730" w:rsidP="00203AC3">
      <w:pPr>
        <w:spacing w:after="0" w:line="240" w:lineRule="auto"/>
        <w:jc w:val="both"/>
        <w:rPr>
          <w:rFonts w:ascii="Arial" w:hAnsi="Arial" w:cs="Arial"/>
        </w:rPr>
      </w:pPr>
      <w:r>
        <w:rPr>
          <w:rFonts w:ascii="Arial" w:hAnsi="Arial" w:cs="Arial"/>
        </w:rPr>
        <w:t>The 2012-13 financial year data indicates that sub</w:t>
      </w:r>
      <w:r w:rsidR="00B171DE">
        <w:rPr>
          <w:rFonts w:ascii="Arial" w:hAnsi="Arial" w:cs="Arial"/>
        </w:rPr>
        <w:t xml:space="preserve"> </w:t>
      </w:r>
      <w:r>
        <w:rPr>
          <w:rFonts w:ascii="Arial" w:hAnsi="Arial" w:cs="Arial"/>
        </w:rPr>
        <w:t>acute</w:t>
      </w:r>
      <w:r w:rsidR="00B171DE">
        <w:rPr>
          <w:rFonts w:ascii="Arial" w:hAnsi="Arial" w:cs="Arial"/>
        </w:rPr>
        <w:t xml:space="preserve"> care </w:t>
      </w:r>
      <w:r>
        <w:rPr>
          <w:rFonts w:ascii="Arial" w:hAnsi="Arial" w:cs="Arial"/>
        </w:rPr>
        <w:t xml:space="preserve">services under the HHWR NPA continued to grow. The cumulative growth rate over 2009-10 to 2012-13 </w:t>
      </w:r>
      <w:r w:rsidR="006073E4">
        <w:rPr>
          <w:rFonts w:ascii="Arial" w:hAnsi="Arial" w:cs="Arial"/>
        </w:rPr>
        <w:t>was</w:t>
      </w:r>
      <w:r>
        <w:rPr>
          <w:rFonts w:ascii="Arial" w:hAnsi="Arial" w:cs="Arial"/>
        </w:rPr>
        <w:t xml:space="preserve"> </w:t>
      </w:r>
      <w:r w:rsidR="00E64FDB">
        <w:rPr>
          <w:rFonts w:ascii="Arial" w:hAnsi="Arial" w:cs="Arial"/>
        </w:rPr>
        <w:t>21.46%</w:t>
      </w:r>
      <w:r>
        <w:rPr>
          <w:rFonts w:ascii="Arial" w:hAnsi="Arial" w:cs="Arial"/>
        </w:rPr>
        <w:t xml:space="preserve"> compared to the required 20% under the HHWR NPA. </w:t>
      </w:r>
    </w:p>
    <w:p w:rsidR="008513A5" w:rsidRDefault="008513A5" w:rsidP="00203AC3">
      <w:pPr>
        <w:spacing w:after="0" w:line="240" w:lineRule="auto"/>
        <w:jc w:val="both"/>
        <w:rPr>
          <w:rFonts w:ascii="Arial" w:hAnsi="Arial" w:cs="Arial"/>
        </w:rPr>
      </w:pPr>
    </w:p>
    <w:p w:rsidR="00843730" w:rsidRPr="00180AA5" w:rsidRDefault="008513A5" w:rsidP="00203AC3">
      <w:pPr>
        <w:spacing w:after="0" w:line="240" w:lineRule="auto"/>
        <w:jc w:val="both"/>
        <w:rPr>
          <w:rFonts w:ascii="Arial" w:hAnsi="Arial" w:cs="Arial"/>
        </w:rPr>
      </w:pPr>
      <w:r>
        <w:rPr>
          <w:rFonts w:ascii="Arial" w:hAnsi="Arial" w:cs="Arial"/>
        </w:rPr>
        <w:t>Growth in sub</w:t>
      </w:r>
      <w:r w:rsidR="00B171DE">
        <w:rPr>
          <w:rFonts w:ascii="Arial" w:hAnsi="Arial" w:cs="Arial"/>
        </w:rPr>
        <w:t xml:space="preserve"> </w:t>
      </w:r>
      <w:r>
        <w:rPr>
          <w:rFonts w:ascii="Arial" w:hAnsi="Arial" w:cs="Arial"/>
        </w:rPr>
        <w:t>acute</w:t>
      </w:r>
      <w:r w:rsidR="00B171DE">
        <w:rPr>
          <w:rFonts w:ascii="Arial" w:hAnsi="Arial" w:cs="Arial"/>
        </w:rPr>
        <w:t xml:space="preserve"> care </w:t>
      </w:r>
      <w:r>
        <w:rPr>
          <w:rFonts w:ascii="Arial" w:hAnsi="Arial" w:cs="Arial"/>
        </w:rPr>
        <w:t xml:space="preserve">activity </w:t>
      </w:r>
      <w:r w:rsidR="00843730">
        <w:rPr>
          <w:rFonts w:ascii="Arial" w:hAnsi="Arial" w:cs="Arial"/>
        </w:rPr>
        <w:t>has been achieved across the four care types as detailed in this report.</w:t>
      </w:r>
    </w:p>
    <w:p w:rsidR="00CB1D66" w:rsidRPr="00180AA5" w:rsidRDefault="00CB1D66" w:rsidP="00203AC3">
      <w:pPr>
        <w:spacing w:after="0" w:line="240" w:lineRule="auto"/>
        <w:jc w:val="both"/>
        <w:rPr>
          <w:rFonts w:ascii="Arial" w:hAnsi="Arial" w:cs="Arial"/>
        </w:rPr>
      </w:pPr>
    </w:p>
    <w:p w:rsidR="0097755B" w:rsidRPr="0097755B" w:rsidRDefault="008513A5" w:rsidP="00203AC3">
      <w:pPr>
        <w:spacing w:after="0" w:line="240" w:lineRule="auto"/>
        <w:jc w:val="both"/>
        <w:rPr>
          <w:rFonts w:ascii="Arial" w:hAnsi="Arial" w:cs="Arial"/>
          <w:b/>
          <w:szCs w:val="20"/>
        </w:rPr>
      </w:pPr>
      <w:r>
        <w:rPr>
          <w:rFonts w:ascii="Arial" w:hAnsi="Arial" w:cs="Arial"/>
          <w:b/>
          <w:szCs w:val="20"/>
        </w:rPr>
        <w:t xml:space="preserve">SUMMARY OF 2012-13 </w:t>
      </w:r>
      <w:r w:rsidRPr="0097755B">
        <w:rPr>
          <w:rFonts w:ascii="Arial" w:hAnsi="Arial" w:cs="Arial"/>
          <w:b/>
          <w:szCs w:val="20"/>
        </w:rPr>
        <w:t>RESULTS</w:t>
      </w:r>
      <w:r>
        <w:rPr>
          <w:rFonts w:ascii="Arial" w:hAnsi="Arial" w:cs="Arial"/>
          <w:b/>
          <w:szCs w:val="20"/>
        </w:rPr>
        <w:t xml:space="preserve"> </w:t>
      </w:r>
    </w:p>
    <w:p w:rsidR="00FD0361" w:rsidRPr="00FD0361" w:rsidRDefault="00B171DE" w:rsidP="00203AC3">
      <w:pPr>
        <w:spacing w:after="0" w:line="240" w:lineRule="auto"/>
        <w:jc w:val="both"/>
        <w:rPr>
          <w:rFonts w:ascii="Arial" w:hAnsi="Arial" w:cs="Arial"/>
        </w:rPr>
      </w:pPr>
      <w:r>
        <w:rPr>
          <w:rFonts w:ascii="Arial" w:hAnsi="Arial" w:cs="Arial"/>
        </w:rPr>
        <w:t>The cost of s</w:t>
      </w:r>
      <w:r w:rsidR="00FD0361" w:rsidRPr="00917D43">
        <w:rPr>
          <w:rFonts w:ascii="Arial" w:hAnsi="Arial" w:cs="Arial"/>
        </w:rPr>
        <w:t xml:space="preserve">ub acute </w:t>
      </w:r>
      <w:r>
        <w:rPr>
          <w:rFonts w:ascii="Arial" w:hAnsi="Arial" w:cs="Arial"/>
        </w:rPr>
        <w:t>care</w:t>
      </w:r>
      <w:r w:rsidR="00FD0361" w:rsidRPr="00917D43">
        <w:rPr>
          <w:rFonts w:ascii="Arial" w:hAnsi="Arial" w:cs="Arial"/>
        </w:rPr>
        <w:t xml:space="preserve"> to NSW in 2012-13 was $701M based on 2012-13 </w:t>
      </w:r>
      <w:proofErr w:type="spellStart"/>
      <w:r w:rsidR="00FD0361" w:rsidRPr="00917D43">
        <w:rPr>
          <w:rFonts w:ascii="Arial" w:hAnsi="Arial" w:cs="Arial"/>
        </w:rPr>
        <w:t>sub</w:t>
      </w:r>
      <w:r w:rsidR="00877F4D">
        <w:rPr>
          <w:rFonts w:ascii="Arial" w:hAnsi="Arial" w:cs="Arial"/>
        </w:rPr>
        <w:t xml:space="preserve"> </w:t>
      </w:r>
      <w:r w:rsidR="00FD0361" w:rsidRPr="00917D43">
        <w:rPr>
          <w:rFonts w:ascii="Arial" w:hAnsi="Arial" w:cs="Arial"/>
        </w:rPr>
        <w:t>acute</w:t>
      </w:r>
      <w:proofErr w:type="spellEnd"/>
      <w:r w:rsidR="00FD0361" w:rsidRPr="00917D43">
        <w:rPr>
          <w:rFonts w:ascii="Arial" w:hAnsi="Arial" w:cs="Arial"/>
        </w:rPr>
        <w:t xml:space="preserve"> activity and 2011-12 costing information</w:t>
      </w:r>
      <w:r w:rsidR="00FD0361" w:rsidRPr="00917D43">
        <w:rPr>
          <w:rStyle w:val="FootnoteReference"/>
          <w:rFonts w:ascii="Arial" w:hAnsi="Arial" w:cs="Arial"/>
        </w:rPr>
        <w:footnoteReference w:id="2"/>
      </w:r>
      <w:r w:rsidR="00FD0361" w:rsidRPr="00917D43">
        <w:rPr>
          <w:rFonts w:ascii="Arial" w:hAnsi="Arial" w:cs="Arial"/>
        </w:rPr>
        <w:t>.</w:t>
      </w:r>
      <w:r w:rsidR="008D4FCF" w:rsidRPr="00917D43">
        <w:rPr>
          <w:rFonts w:ascii="Arial" w:hAnsi="Arial" w:cs="Arial"/>
        </w:rPr>
        <w:t xml:space="preserve"> In 2012-13, the increase in activity (145,716</w:t>
      </w:r>
      <w:r w:rsidR="008D4FCF" w:rsidRPr="00917D43">
        <w:rPr>
          <w:rFonts w:ascii="Arial" w:hAnsi="Arial" w:cs="Arial"/>
          <w:bCs/>
          <w:color w:val="000000"/>
        </w:rPr>
        <w:t xml:space="preserve"> Bed Day Equivalents (BDEs) at </w:t>
      </w:r>
      <w:r w:rsidR="00917D43" w:rsidRPr="00917D43">
        <w:rPr>
          <w:rFonts w:ascii="Arial" w:hAnsi="Arial" w:cs="Arial"/>
          <w:bCs/>
          <w:color w:val="000000"/>
        </w:rPr>
        <w:t xml:space="preserve">2011-12 </w:t>
      </w:r>
      <w:r w:rsidR="008D4FCF" w:rsidRPr="00917D43">
        <w:rPr>
          <w:rFonts w:ascii="Arial" w:hAnsi="Arial" w:cs="Arial"/>
          <w:bCs/>
          <w:color w:val="000000"/>
        </w:rPr>
        <w:t>cost of $850 per BDE)</w:t>
      </w:r>
      <w:r w:rsidR="008D4FCF" w:rsidRPr="00917D43">
        <w:rPr>
          <w:rFonts w:ascii="Arial" w:hAnsi="Arial" w:cs="Arial"/>
          <w:bCs/>
          <w:color w:val="000000"/>
          <w:sz w:val="20"/>
          <w:szCs w:val="20"/>
        </w:rPr>
        <w:t xml:space="preserve"> </w:t>
      </w:r>
      <w:r w:rsidR="008D4FCF" w:rsidRPr="00917D43">
        <w:rPr>
          <w:rFonts w:ascii="Arial" w:hAnsi="Arial" w:cs="Arial"/>
        </w:rPr>
        <w:t xml:space="preserve">since 2007/08 cost NSW </w:t>
      </w:r>
      <w:r w:rsidR="008D4FCF" w:rsidRPr="00917D43">
        <w:rPr>
          <w:rFonts w:ascii="Arial" w:hAnsi="Arial" w:cs="Arial"/>
        </w:rPr>
        <w:lastRenderedPageBreak/>
        <w:t>approximately $</w:t>
      </w:r>
      <w:r w:rsidR="00917D43" w:rsidRPr="00917D43">
        <w:rPr>
          <w:rFonts w:ascii="Arial" w:hAnsi="Arial" w:cs="Arial"/>
        </w:rPr>
        <w:t>124</w:t>
      </w:r>
      <w:r w:rsidR="008D4FCF" w:rsidRPr="00917D43">
        <w:rPr>
          <w:rFonts w:ascii="Arial" w:hAnsi="Arial" w:cs="Arial"/>
        </w:rPr>
        <w:t>m pa</w:t>
      </w:r>
      <w:r w:rsidR="00917D43" w:rsidRPr="00917D43">
        <w:rPr>
          <w:rFonts w:ascii="Arial" w:hAnsi="Arial" w:cs="Arial"/>
        </w:rPr>
        <w:t>. The Commonwealth’s contribution reflects 52% of the total expenditure to this initiative based on 2012-13 activity and 2011-12 cost</w:t>
      </w:r>
      <w:r w:rsidR="00D3505B">
        <w:rPr>
          <w:rFonts w:ascii="Arial" w:hAnsi="Arial" w:cs="Arial"/>
        </w:rPr>
        <w:t xml:space="preserve"> per BDE.</w:t>
      </w:r>
    </w:p>
    <w:p w:rsidR="00FD0361" w:rsidRPr="001562C7" w:rsidRDefault="00FD0361" w:rsidP="00203AC3">
      <w:pPr>
        <w:spacing w:after="0" w:line="240" w:lineRule="auto"/>
        <w:jc w:val="both"/>
        <w:rPr>
          <w:rFonts w:ascii="Arial" w:hAnsi="Arial" w:cs="Arial"/>
          <w:highlight w:val="yellow"/>
        </w:rPr>
      </w:pPr>
    </w:p>
    <w:p w:rsidR="001417C0" w:rsidRPr="001417C0" w:rsidRDefault="00D42B3F" w:rsidP="00203AC3">
      <w:pPr>
        <w:spacing w:after="0" w:line="240" w:lineRule="auto"/>
        <w:jc w:val="both"/>
        <w:rPr>
          <w:rFonts w:ascii="Arial" w:hAnsi="Arial" w:cs="Arial"/>
        </w:rPr>
      </w:pPr>
      <w:r w:rsidRPr="001417C0">
        <w:rPr>
          <w:rFonts w:ascii="Arial" w:hAnsi="Arial" w:cs="Arial"/>
        </w:rPr>
        <w:t>Among the four care types, rehabilitation services continue to represent the majority of bed days (6</w:t>
      </w:r>
      <w:r w:rsidR="001417C0" w:rsidRPr="001417C0">
        <w:rPr>
          <w:rFonts w:ascii="Arial" w:hAnsi="Arial" w:cs="Arial"/>
        </w:rPr>
        <w:t>7.7</w:t>
      </w:r>
      <w:r w:rsidRPr="001417C0">
        <w:rPr>
          <w:rFonts w:ascii="Arial" w:hAnsi="Arial" w:cs="Arial"/>
        </w:rPr>
        <w:t>%) and separations (6</w:t>
      </w:r>
      <w:r w:rsidR="001417C0" w:rsidRPr="001417C0">
        <w:rPr>
          <w:rFonts w:ascii="Arial" w:hAnsi="Arial" w:cs="Arial"/>
        </w:rPr>
        <w:t>3.3</w:t>
      </w:r>
      <w:r w:rsidRPr="001417C0">
        <w:rPr>
          <w:rFonts w:ascii="Arial" w:hAnsi="Arial" w:cs="Arial"/>
        </w:rPr>
        <w:t>%). Rehabilitation, palliative care</w:t>
      </w:r>
      <w:r w:rsidR="001417C0" w:rsidRPr="001417C0">
        <w:rPr>
          <w:rFonts w:ascii="Arial" w:hAnsi="Arial" w:cs="Arial"/>
        </w:rPr>
        <w:t>,</w:t>
      </w:r>
      <w:r w:rsidRPr="001417C0">
        <w:rPr>
          <w:rFonts w:ascii="Arial" w:hAnsi="Arial" w:cs="Arial"/>
        </w:rPr>
        <w:t xml:space="preserve"> GEM </w:t>
      </w:r>
      <w:r w:rsidR="001417C0" w:rsidRPr="001417C0">
        <w:rPr>
          <w:rFonts w:ascii="Arial" w:hAnsi="Arial" w:cs="Arial"/>
        </w:rPr>
        <w:t>and psycho</w:t>
      </w:r>
      <w:r w:rsidR="00373872">
        <w:rPr>
          <w:rFonts w:ascii="Arial" w:hAnsi="Arial" w:cs="Arial"/>
        </w:rPr>
        <w:t>-</w:t>
      </w:r>
      <w:r w:rsidR="001417C0" w:rsidRPr="001417C0">
        <w:rPr>
          <w:rFonts w:ascii="Arial" w:hAnsi="Arial" w:cs="Arial"/>
        </w:rPr>
        <w:t xml:space="preserve"> geriatric </w:t>
      </w:r>
      <w:r w:rsidR="00F966A3">
        <w:rPr>
          <w:rFonts w:ascii="Arial" w:hAnsi="Arial" w:cs="Arial"/>
        </w:rPr>
        <w:t xml:space="preserve">care </w:t>
      </w:r>
      <w:r w:rsidR="001417C0" w:rsidRPr="001417C0">
        <w:rPr>
          <w:rFonts w:ascii="Arial" w:hAnsi="Arial" w:cs="Arial"/>
        </w:rPr>
        <w:t>a</w:t>
      </w:r>
      <w:r w:rsidRPr="001417C0">
        <w:rPr>
          <w:rFonts w:ascii="Arial" w:hAnsi="Arial" w:cs="Arial"/>
        </w:rPr>
        <w:t xml:space="preserve">ccounted for </w:t>
      </w:r>
      <w:r w:rsidR="001417C0" w:rsidRPr="001417C0">
        <w:rPr>
          <w:rFonts w:ascii="Arial" w:hAnsi="Arial" w:cs="Arial"/>
        </w:rPr>
        <w:t>32.3</w:t>
      </w:r>
      <w:r w:rsidRPr="001417C0">
        <w:rPr>
          <w:rFonts w:ascii="Arial" w:hAnsi="Arial" w:cs="Arial"/>
        </w:rPr>
        <w:t xml:space="preserve">%, </w:t>
      </w:r>
      <w:r w:rsidR="001417C0" w:rsidRPr="001417C0">
        <w:rPr>
          <w:rFonts w:ascii="Arial" w:hAnsi="Arial" w:cs="Arial"/>
        </w:rPr>
        <w:t>24.8</w:t>
      </w:r>
      <w:r w:rsidRPr="001417C0">
        <w:rPr>
          <w:rFonts w:ascii="Arial" w:hAnsi="Arial" w:cs="Arial"/>
        </w:rPr>
        <w:t>%</w:t>
      </w:r>
      <w:r w:rsidR="001417C0" w:rsidRPr="001417C0">
        <w:rPr>
          <w:rFonts w:ascii="Arial" w:hAnsi="Arial" w:cs="Arial"/>
        </w:rPr>
        <w:t>,</w:t>
      </w:r>
      <w:r w:rsidRPr="001417C0">
        <w:rPr>
          <w:rFonts w:ascii="Arial" w:hAnsi="Arial" w:cs="Arial"/>
        </w:rPr>
        <w:t xml:space="preserve"> </w:t>
      </w:r>
      <w:r w:rsidR="001417C0" w:rsidRPr="001417C0">
        <w:rPr>
          <w:rFonts w:ascii="Arial" w:hAnsi="Arial" w:cs="Arial"/>
        </w:rPr>
        <w:t>39.6</w:t>
      </w:r>
      <w:r w:rsidRPr="001417C0">
        <w:rPr>
          <w:rFonts w:ascii="Arial" w:hAnsi="Arial" w:cs="Arial"/>
        </w:rPr>
        <w:t xml:space="preserve">% </w:t>
      </w:r>
      <w:r w:rsidR="001417C0" w:rsidRPr="001417C0">
        <w:rPr>
          <w:rFonts w:ascii="Arial" w:hAnsi="Arial" w:cs="Arial"/>
        </w:rPr>
        <w:t xml:space="preserve">and 3.3% </w:t>
      </w:r>
      <w:r w:rsidRPr="001417C0">
        <w:rPr>
          <w:rFonts w:ascii="Arial" w:hAnsi="Arial" w:cs="Arial"/>
        </w:rPr>
        <w:t>respectively of the non-admitted occasions of service.</w:t>
      </w:r>
    </w:p>
    <w:p w:rsidR="00D42B3F" w:rsidRPr="008903C5" w:rsidRDefault="00D42B3F" w:rsidP="00203AC3">
      <w:pPr>
        <w:spacing w:after="0" w:line="240" w:lineRule="auto"/>
        <w:jc w:val="both"/>
        <w:rPr>
          <w:rFonts w:ascii="Arial" w:hAnsi="Arial" w:cs="Arial"/>
        </w:rPr>
      </w:pPr>
    </w:p>
    <w:p w:rsidR="004A74D1" w:rsidRPr="008903C5" w:rsidRDefault="004A74D1" w:rsidP="00203AC3">
      <w:pPr>
        <w:spacing w:after="0" w:line="240" w:lineRule="auto"/>
        <w:jc w:val="both"/>
        <w:outlineLvl w:val="0"/>
        <w:rPr>
          <w:rFonts w:ascii="Arial" w:hAnsi="Arial" w:cs="Arial"/>
        </w:rPr>
      </w:pPr>
      <w:r w:rsidRPr="008903C5">
        <w:rPr>
          <w:rFonts w:ascii="Arial" w:hAnsi="Arial" w:cs="Arial"/>
        </w:rPr>
        <w:t>NSW has also applied its own methodology</w:t>
      </w:r>
      <w:r w:rsidR="00D42B3F" w:rsidRPr="008903C5">
        <w:rPr>
          <w:rFonts w:ascii="Arial" w:hAnsi="Arial" w:cs="Arial"/>
        </w:rPr>
        <w:t xml:space="preserve">, </w:t>
      </w:r>
      <w:r w:rsidR="00D3505B">
        <w:rPr>
          <w:rFonts w:ascii="Arial" w:hAnsi="Arial" w:cs="Arial"/>
        </w:rPr>
        <w:t xml:space="preserve">as </w:t>
      </w:r>
      <w:r w:rsidR="00D42B3F" w:rsidRPr="008903C5">
        <w:rPr>
          <w:rFonts w:ascii="Arial" w:hAnsi="Arial" w:cs="Arial"/>
        </w:rPr>
        <w:t>outlined in our approved 2009 Implementation Plan,</w:t>
      </w:r>
      <w:r w:rsidRPr="008903C5">
        <w:rPr>
          <w:rFonts w:ascii="Arial" w:hAnsi="Arial" w:cs="Arial"/>
        </w:rPr>
        <w:t xml:space="preserve"> to measure growth across multiple years to take account of the declining </w:t>
      </w:r>
      <w:r w:rsidR="00421175">
        <w:rPr>
          <w:rFonts w:ascii="Arial" w:hAnsi="Arial" w:cs="Arial"/>
        </w:rPr>
        <w:t>Average Length of Stay (</w:t>
      </w:r>
      <w:r w:rsidR="00D42B3F" w:rsidRPr="008903C5">
        <w:rPr>
          <w:rFonts w:ascii="Arial" w:hAnsi="Arial" w:cs="Arial"/>
        </w:rPr>
        <w:t>ALOS</w:t>
      </w:r>
      <w:r w:rsidR="00421175">
        <w:rPr>
          <w:rFonts w:ascii="Arial" w:hAnsi="Arial" w:cs="Arial"/>
        </w:rPr>
        <w:t>)</w:t>
      </w:r>
      <w:r w:rsidRPr="008903C5">
        <w:rPr>
          <w:rFonts w:ascii="Arial" w:hAnsi="Arial" w:cs="Arial"/>
        </w:rPr>
        <w:t xml:space="preserve"> for subacute care. This method holds the </w:t>
      </w:r>
      <w:r w:rsidR="00D42B3F" w:rsidRPr="008903C5">
        <w:rPr>
          <w:rFonts w:ascii="Arial" w:hAnsi="Arial" w:cs="Arial"/>
        </w:rPr>
        <w:t>ALOS</w:t>
      </w:r>
      <w:r w:rsidRPr="008903C5">
        <w:rPr>
          <w:rFonts w:ascii="Arial" w:hAnsi="Arial" w:cs="Arial"/>
        </w:rPr>
        <w:t xml:space="preserve"> constant </w:t>
      </w:r>
      <w:r w:rsidR="0060265E" w:rsidRPr="008903C5">
        <w:rPr>
          <w:rFonts w:ascii="Arial" w:hAnsi="Arial" w:cs="Arial"/>
        </w:rPr>
        <w:t xml:space="preserve">(using 2007-08 ALOS) </w:t>
      </w:r>
      <w:r w:rsidRPr="008903C5">
        <w:rPr>
          <w:rFonts w:ascii="Arial" w:hAnsi="Arial" w:cs="Arial"/>
        </w:rPr>
        <w:t>across the period of reporting</w:t>
      </w:r>
      <w:r w:rsidR="00D86DAE" w:rsidRPr="008903C5">
        <w:rPr>
          <w:rFonts w:ascii="Arial" w:hAnsi="Arial" w:cs="Arial"/>
        </w:rPr>
        <w:t xml:space="preserve"> (Table 2B)</w:t>
      </w:r>
      <w:r w:rsidRPr="008903C5">
        <w:rPr>
          <w:rFonts w:ascii="Arial" w:hAnsi="Arial" w:cs="Arial"/>
        </w:rPr>
        <w:t xml:space="preserve">. </w:t>
      </w:r>
    </w:p>
    <w:p w:rsidR="00D86DAE" w:rsidRPr="008903C5" w:rsidRDefault="00D86DAE" w:rsidP="00203AC3">
      <w:pPr>
        <w:spacing w:after="0" w:line="240" w:lineRule="auto"/>
        <w:jc w:val="both"/>
        <w:outlineLvl w:val="0"/>
        <w:rPr>
          <w:rFonts w:ascii="Arial" w:hAnsi="Arial" w:cs="Arial"/>
        </w:rPr>
      </w:pPr>
    </w:p>
    <w:p w:rsidR="00D86DAE" w:rsidRPr="008903C5" w:rsidRDefault="00832648" w:rsidP="00203AC3">
      <w:pPr>
        <w:tabs>
          <w:tab w:val="left" w:pos="3555"/>
        </w:tabs>
        <w:spacing w:after="0" w:line="240" w:lineRule="auto"/>
        <w:jc w:val="both"/>
        <w:rPr>
          <w:rFonts w:ascii="Arial" w:eastAsia="Times New Roman" w:hAnsi="Arial" w:cs="Arial"/>
        </w:rPr>
      </w:pPr>
      <w:r w:rsidRPr="008903C5">
        <w:rPr>
          <w:rFonts w:ascii="Arial" w:eastAsia="Times New Roman" w:hAnsi="Arial" w:cs="Arial"/>
        </w:rPr>
        <w:t xml:space="preserve">Due to increased efficiency, the ALOS in NSW has declined from 15.01 days </w:t>
      </w:r>
      <w:r w:rsidR="0060265E" w:rsidRPr="008903C5">
        <w:rPr>
          <w:rFonts w:ascii="Arial" w:eastAsia="Times New Roman" w:hAnsi="Arial" w:cs="Arial"/>
        </w:rPr>
        <w:t xml:space="preserve">in 2007-08 (baseline) </w:t>
      </w:r>
      <w:r w:rsidRPr="008903C5">
        <w:rPr>
          <w:rFonts w:ascii="Arial" w:eastAsia="Times New Roman" w:hAnsi="Arial" w:cs="Arial"/>
        </w:rPr>
        <w:t xml:space="preserve">to </w:t>
      </w:r>
      <w:r w:rsidR="0060265E" w:rsidRPr="008903C5">
        <w:rPr>
          <w:rFonts w:ascii="Arial" w:eastAsia="Times New Roman" w:hAnsi="Arial" w:cs="Arial"/>
        </w:rPr>
        <w:t>12.54</w:t>
      </w:r>
      <w:r w:rsidRPr="008903C5">
        <w:rPr>
          <w:rFonts w:ascii="Arial" w:eastAsia="Times New Roman" w:hAnsi="Arial" w:cs="Arial"/>
        </w:rPr>
        <w:t xml:space="preserve"> days </w:t>
      </w:r>
      <w:r w:rsidR="0060265E" w:rsidRPr="008903C5">
        <w:rPr>
          <w:rFonts w:ascii="Arial" w:eastAsia="Times New Roman" w:hAnsi="Arial" w:cs="Arial"/>
        </w:rPr>
        <w:t>in 2012-13</w:t>
      </w:r>
      <w:r w:rsidR="00A67C3E" w:rsidRPr="008903C5">
        <w:rPr>
          <w:rFonts w:ascii="Arial" w:eastAsia="Times New Roman" w:hAnsi="Arial" w:cs="Arial"/>
        </w:rPr>
        <w:t xml:space="preserve">. </w:t>
      </w:r>
      <w:r w:rsidR="008903C5" w:rsidRPr="008903C5">
        <w:rPr>
          <w:rFonts w:ascii="Arial" w:eastAsia="Times New Roman" w:hAnsi="Arial" w:cs="Arial"/>
        </w:rPr>
        <w:t xml:space="preserve">After </w:t>
      </w:r>
      <w:r w:rsidR="00D3505B">
        <w:rPr>
          <w:rFonts w:ascii="Arial" w:eastAsia="Times New Roman" w:hAnsi="Arial" w:cs="Arial"/>
        </w:rPr>
        <w:t xml:space="preserve">also </w:t>
      </w:r>
      <w:r w:rsidR="008903C5" w:rsidRPr="008903C5">
        <w:rPr>
          <w:rFonts w:ascii="Arial" w:eastAsia="Times New Roman" w:hAnsi="Arial" w:cs="Arial"/>
        </w:rPr>
        <w:t>a</w:t>
      </w:r>
      <w:r w:rsidR="00A67C3E" w:rsidRPr="008903C5">
        <w:rPr>
          <w:rFonts w:ascii="Arial" w:eastAsia="Times New Roman" w:hAnsi="Arial" w:cs="Arial"/>
        </w:rPr>
        <w:t xml:space="preserve">djusting </w:t>
      </w:r>
      <w:r w:rsidR="008903C5" w:rsidRPr="008903C5">
        <w:rPr>
          <w:rFonts w:ascii="Arial" w:hAnsi="Arial" w:cs="Arial"/>
        </w:rPr>
        <w:t>for activity attributable to the National Partnership Agreement on Improving Public Hospital Services</w:t>
      </w:r>
      <w:r w:rsidR="008903C5">
        <w:rPr>
          <w:rFonts w:ascii="Arial" w:hAnsi="Arial" w:cs="Arial"/>
        </w:rPr>
        <w:t>, the results show that</w:t>
      </w:r>
      <w:r w:rsidR="00826DAB">
        <w:rPr>
          <w:rFonts w:ascii="Arial" w:hAnsi="Arial" w:cs="Arial"/>
        </w:rPr>
        <w:t xml:space="preserve"> c</w:t>
      </w:r>
      <w:r w:rsidR="007227F0">
        <w:rPr>
          <w:rFonts w:ascii="Arial" w:eastAsia="Times New Roman" w:hAnsi="Arial" w:cs="Arial"/>
        </w:rPr>
        <w:t xml:space="preserve">ombined admitted and non-admitted </w:t>
      </w:r>
      <w:r w:rsidRPr="008903C5">
        <w:rPr>
          <w:rFonts w:ascii="Arial" w:eastAsia="Times New Roman" w:hAnsi="Arial" w:cs="Arial"/>
        </w:rPr>
        <w:t>subacute care activity</w:t>
      </w:r>
      <w:r w:rsidR="00333C7E" w:rsidRPr="008903C5">
        <w:rPr>
          <w:rFonts w:ascii="Arial" w:eastAsia="Times New Roman" w:hAnsi="Arial" w:cs="Arial"/>
        </w:rPr>
        <w:t xml:space="preserve"> increased by 41.02% </w:t>
      </w:r>
      <w:r w:rsidR="007227F0">
        <w:rPr>
          <w:rFonts w:ascii="Arial" w:eastAsia="Times New Roman" w:hAnsi="Arial" w:cs="Arial"/>
        </w:rPr>
        <w:t xml:space="preserve">(Table 2B) </w:t>
      </w:r>
      <w:r w:rsidR="0084063E">
        <w:rPr>
          <w:rFonts w:ascii="Arial" w:eastAsia="Times New Roman" w:hAnsi="Arial" w:cs="Arial"/>
        </w:rPr>
        <w:t xml:space="preserve">in 2012-13 </w:t>
      </w:r>
      <w:r w:rsidR="00333C7E" w:rsidRPr="008903C5">
        <w:rPr>
          <w:rFonts w:ascii="Arial" w:eastAsia="Times New Roman" w:hAnsi="Arial" w:cs="Arial"/>
        </w:rPr>
        <w:t>against baseline rather than 21.46%</w:t>
      </w:r>
      <w:r w:rsidR="007227F0">
        <w:rPr>
          <w:rFonts w:ascii="Arial" w:eastAsia="Times New Roman" w:hAnsi="Arial" w:cs="Arial"/>
        </w:rPr>
        <w:t xml:space="preserve"> (Table 2A)</w:t>
      </w:r>
      <w:r w:rsidR="00826DAB">
        <w:rPr>
          <w:rFonts w:ascii="Arial" w:eastAsia="Times New Roman" w:hAnsi="Arial" w:cs="Arial"/>
        </w:rPr>
        <w:t>.</w:t>
      </w:r>
      <w:r w:rsidR="00333C7E" w:rsidRPr="008903C5">
        <w:rPr>
          <w:rFonts w:ascii="Arial" w:eastAsia="Times New Roman" w:hAnsi="Arial" w:cs="Arial"/>
        </w:rPr>
        <w:t xml:space="preserve"> </w:t>
      </w:r>
    </w:p>
    <w:p w:rsidR="004A74D1" w:rsidRDefault="004A74D1" w:rsidP="00203AC3">
      <w:pPr>
        <w:spacing w:after="0" w:line="240" w:lineRule="auto"/>
        <w:jc w:val="both"/>
        <w:rPr>
          <w:rFonts w:ascii="Arial" w:hAnsi="Arial" w:cs="Arial"/>
        </w:rPr>
      </w:pPr>
    </w:p>
    <w:p w:rsidR="00B354BB" w:rsidRPr="00B354BB" w:rsidRDefault="0026166B" w:rsidP="00203AC3">
      <w:pPr>
        <w:spacing w:after="0" w:line="240" w:lineRule="auto"/>
        <w:jc w:val="both"/>
        <w:rPr>
          <w:rFonts w:ascii="Arial" w:hAnsi="Arial" w:cs="Arial"/>
          <w:b/>
        </w:rPr>
      </w:pPr>
      <w:r w:rsidRPr="00B354BB">
        <w:rPr>
          <w:rFonts w:ascii="Arial" w:hAnsi="Arial" w:cs="Arial"/>
          <w:b/>
        </w:rPr>
        <w:t>CONTENTS</w:t>
      </w:r>
    </w:p>
    <w:p w:rsidR="00120FC4" w:rsidRDefault="00120FC4" w:rsidP="00203AC3">
      <w:pPr>
        <w:spacing w:after="0" w:line="240" w:lineRule="auto"/>
        <w:jc w:val="both"/>
        <w:rPr>
          <w:rFonts w:ascii="Arial" w:hAnsi="Arial" w:cs="Arial"/>
        </w:rPr>
      </w:pPr>
      <w:r>
        <w:rPr>
          <w:rFonts w:ascii="Arial" w:hAnsi="Arial" w:cs="Arial"/>
        </w:rPr>
        <w:t>This report is divided into three sections</w:t>
      </w:r>
      <w:r w:rsidR="00D86DAE">
        <w:rPr>
          <w:rFonts w:ascii="Arial" w:hAnsi="Arial" w:cs="Arial"/>
        </w:rPr>
        <w:t>:</w:t>
      </w:r>
    </w:p>
    <w:p w:rsidR="00373872" w:rsidRDefault="00373872" w:rsidP="00203AC3">
      <w:pPr>
        <w:spacing w:after="0" w:line="240" w:lineRule="auto"/>
        <w:jc w:val="both"/>
        <w:rPr>
          <w:rFonts w:ascii="Arial" w:hAnsi="Arial" w:cs="Arial"/>
        </w:rPr>
      </w:pPr>
    </w:p>
    <w:p w:rsidR="00120FC4" w:rsidRPr="006B4DF8" w:rsidRDefault="00120FC4" w:rsidP="00203AC3">
      <w:pPr>
        <w:spacing w:after="0" w:line="240" w:lineRule="auto"/>
        <w:jc w:val="both"/>
        <w:rPr>
          <w:rFonts w:ascii="Arial" w:hAnsi="Arial" w:cs="Arial"/>
          <w:b/>
        </w:rPr>
      </w:pPr>
      <w:r w:rsidRPr="006B4DF8">
        <w:rPr>
          <w:rFonts w:ascii="Arial" w:hAnsi="Arial" w:cs="Arial"/>
          <w:b/>
        </w:rPr>
        <w:t>Section 1</w:t>
      </w:r>
    </w:p>
    <w:p w:rsidR="00A75559" w:rsidRPr="006B4DF8" w:rsidRDefault="00120FC4" w:rsidP="00203AC3">
      <w:pPr>
        <w:spacing w:after="0" w:line="240" w:lineRule="auto"/>
        <w:jc w:val="both"/>
        <w:rPr>
          <w:rFonts w:ascii="Arial" w:hAnsi="Arial" w:cs="Arial"/>
        </w:rPr>
      </w:pPr>
      <w:r w:rsidRPr="006B4DF8">
        <w:rPr>
          <w:rFonts w:ascii="Arial" w:hAnsi="Arial" w:cs="Arial"/>
        </w:rPr>
        <w:t xml:space="preserve">This section </w:t>
      </w:r>
      <w:r w:rsidR="00373872">
        <w:rPr>
          <w:rFonts w:ascii="Arial" w:hAnsi="Arial" w:cs="Arial"/>
        </w:rPr>
        <w:t>is a</w:t>
      </w:r>
      <w:r w:rsidRPr="006B4DF8">
        <w:rPr>
          <w:rFonts w:ascii="Arial" w:hAnsi="Arial" w:cs="Arial"/>
        </w:rPr>
        <w:t xml:space="preserve"> report on progress with implementation of the subacute care initiative in NSW in </w:t>
      </w:r>
      <w:r w:rsidR="006B4DF8" w:rsidRPr="006B4DF8">
        <w:rPr>
          <w:rFonts w:ascii="Arial" w:hAnsi="Arial" w:cs="Arial"/>
        </w:rPr>
        <w:t>2012-13</w:t>
      </w:r>
      <w:r w:rsidRPr="006B4DF8">
        <w:rPr>
          <w:rFonts w:ascii="Arial" w:hAnsi="Arial" w:cs="Arial"/>
        </w:rPr>
        <w:t xml:space="preserve">. </w:t>
      </w:r>
      <w:r w:rsidR="00A75559" w:rsidRPr="006B4DF8">
        <w:rPr>
          <w:rFonts w:ascii="Arial" w:hAnsi="Arial" w:cs="Arial"/>
        </w:rPr>
        <w:t xml:space="preserve">This section </w:t>
      </w:r>
      <w:r w:rsidR="00F966A3">
        <w:rPr>
          <w:rFonts w:ascii="Arial" w:hAnsi="Arial" w:cs="Arial"/>
        </w:rPr>
        <w:t>outlines</w:t>
      </w:r>
      <w:r w:rsidR="00A75559" w:rsidRPr="006B4DF8">
        <w:rPr>
          <w:rFonts w:ascii="Arial" w:hAnsi="Arial" w:cs="Arial"/>
        </w:rPr>
        <w:t xml:space="preserve"> some of the notable successes in 2012-13 achieved by NSW, the final year of the four-year implementation plan in subacute care delivery. Progress is reported by care type, with commentary on activity undertaken in individual Local Health Districts.</w:t>
      </w:r>
    </w:p>
    <w:p w:rsidR="00E87D32" w:rsidRPr="006B4DF8" w:rsidRDefault="00E87D32" w:rsidP="00203AC3">
      <w:pPr>
        <w:spacing w:after="0" w:line="240" w:lineRule="auto"/>
        <w:jc w:val="both"/>
        <w:rPr>
          <w:rFonts w:ascii="Arial" w:hAnsi="Arial" w:cs="Arial"/>
        </w:rPr>
      </w:pPr>
    </w:p>
    <w:p w:rsidR="00120FC4" w:rsidRPr="006B4DF8" w:rsidRDefault="00120FC4" w:rsidP="00203AC3">
      <w:pPr>
        <w:spacing w:after="0" w:line="240" w:lineRule="auto"/>
        <w:jc w:val="both"/>
        <w:rPr>
          <w:rFonts w:ascii="Arial" w:hAnsi="Arial" w:cs="Arial"/>
          <w:b/>
        </w:rPr>
      </w:pPr>
      <w:r w:rsidRPr="006B4DF8">
        <w:rPr>
          <w:rFonts w:ascii="Arial" w:hAnsi="Arial" w:cs="Arial"/>
          <w:b/>
        </w:rPr>
        <w:t>Section 2</w:t>
      </w:r>
    </w:p>
    <w:p w:rsidR="00120FC4" w:rsidRPr="006B4DF8" w:rsidRDefault="00120FC4" w:rsidP="00203AC3">
      <w:pPr>
        <w:spacing w:after="0" w:line="240" w:lineRule="auto"/>
        <w:jc w:val="both"/>
        <w:rPr>
          <w:rFonts w:ascii="Arial" w:hAnsi="Arial" w:cs="Arial"/>
        </w:rPr>
      </w:pPr>
      <w:r w:rsidRPr="006B4DF8">
        <w:rPr>
          <w:rFonts w:ascii="Arial" w:hAnsi="Arial" w:cs="Arial"/>
        </w:rPr>
        <w:t xml:space="preserve">This section provides the data on the service activity and growth in </w:t>
      </w:r>
      <w:r w:rsidR="006B4DF8" w:rsidRPr="006B4DF8">
        <w:rPr>
          <w:rFonts w:ascii="Arial" w:hAnsi="Arial" w:cs="Arial"/>
        </w:rPr>
        <w:t>2012-13</w:t>
      </w:r>
      <w:r w:rsidRPr="006B4DF8">
        <w:rPr>
          <w:rFonts w:ascii="Arial" w:hAnsi="Arial" w:cs="Arial"/>
        </w:rPr>
        <w:t xml:space="preserve"> compared to the baseline 2007-08 and </w:t>
      </w:r>
      <w:r w:rsidR="006B4DF8" w:rsidRPr="006B4DF8">
        <w:rPr>
          <w:rFonts w:ascii="Arial" w:hAnsi="Arial" w:cs="Arial"/>
        </w:rPr>
        <w:t>2011-12</w:t>
      </w:r>
      <w:r w:rsidRPr="006B4DF8">
        <w:rPr>
          <w:rFonts w:ascii="Arial" w:hAnsi="Arial" w:cs="Arial"/>
        </w:rPr>
        <w:t>.</w:t>
      </w:r>
    </w:p>
    <w:p w:rsidR="00E87D32" w:rsidRPr="006B4DF8" w:rsidRDefault="00E87D32" w:rsidP="00203AC3">
      <w:pPr>
        <w:spacing w:after="0" w:line="240" w:lineRule="auto"/>
        <w:jc w:val="both"/>
        <w:rPr>
          <w:rFonts w:ascii="Arial" w:hAnsi="Arial" w:cs="Arial"/>
        </w:rPr>
      </w:pPr>
    </w:p>
    <w:p w:rsidR="00AC1C2A" w:rsidRDefault="00AC1C2A" w:rsidP="00E87D32">
      <w:pPr>
        <w:spacing w:after="0" w:line="240" w:lineRule="auto"/>
        <w:rPr>
          <w:rFonts w:ascii="Arial" w:hAnsi="Arial" w:cs="Arial"/>
        </w:rPr>
      </w:pPr>
    </w:p>
    <w:p w:rsidR="00E87D32" w:rsidRDefault="00E87D32" w:rsidP="00AC1C2A">
      <w:pPr>
        <w:rPr>
          <w:rFonts w:ascii="Arial" w:hAnsi="Arial" w:cs="Arial"/>
        </w:rPr>
      </w:pPr>
    </w:p>
    <w:p w:rsidR="004A74D1" w:rsidRDefault="004A74D1">
      <w:r>
        <w:br w:type="page"/>
      </w:r>
    </w:p>
    <w:tbl>
      <w:tblPr>
        <w:tblStyle w:val="TableGrid"/>
        <w:tblW w:w="0" w:type="auto"/>
        <w:tblLook w:val="04A0" w:firstRow="1" w:lastRow="0" w:firstColumn="1" w:lastColumn="0" w:noHBand="0" w:noVBand="1"/>
      </w:tblPr>
      <w:tblGrid>
        <w:gridCol w:w="2093"/>
        <w:gridCol w:w="7149"/>
      </w:tblGrid>
      <w:tr w:rsidR="00232B3A" w:rsidRPr="00233F92" w:rsidTr="00B406BB">
        <w:trPr>
          <w:trHeight w:val="352"/>
          <w:tblHeader/>
        </w:trPr>
        <w:tc>
          <w:tcPr>
            <w:tcW w:w="9242" w:type="dxa"/>
            <w:gridSpan w:val="2"/>
            <w:tcBorders>
              <w:top w:val="nil"/>
              <w:left w:val="nil"/>
              <w:right w:val="nil"/>
            </w:tcBorders>
            <w:shd w:val="clear" w:color="auto" w:fill="auto"/>
            <w:vAlign w:val="center"/>
          </w:tcPr>
          <w:p w:rsidR="00232B3A" w:rsidRPr="00233F92" w:rsidRDefault="00232B3A" w:rsidP="00C713AF">
            <w:pPr>
              <w:rPr>
                <w:rFonts w:ascii="Arial" w:hAnsi="Arial" w:cs="Arial"/>
                <w:b/>
                <w:sz w:val="20"/>
                <w:szCs w:val="20"/>
              </w:rPr>
            </w:pPr>
            <w:r w:rsidRPr="00233F92">
              <w:rPr>
                <w:rFonts w:ascii="Arial" w:hAnsi="Arial" w:cs="Arial"/>
              </w:rPr>
              <w:lastRenderedPageBreak/>
              <w:br w:type="page"/>
            </w:r>
            <w:r w:rsidRPr="00233F92">
              <w:rPr>
                <w:rFonts w:ascii="Arial" w:hAnsi="Arial" w:cs="Arial"/>
                <w:b/>
              </w:rPr>
              <w:t xml:space="preserve">Section 1: </w:t>
            </w:r>
            <w:r w:rsidR="00C713AF">
              <w:rPr>
                <w:rFonts w:ascii="Arial" w:hAnsi="Arial" w:cs="Arial"/>
                <w:b/>
              </w:rPr>
              <w:t>2012-13 Highlights /</w:t>
            </w:r>
            <w:r w:rsidRPr="00233F92">
              <w:rPr>
                <w:rFonts w:ascii="Arial" w:hAnsi="Arial" w:cs="Arial"/>
                <w:b/>
              </w:rPr>
              <w:t xml:space="preserve"> progress with implementation</w:t>
            </w:r>
            <w:r w:rsidR="008508AF" w:rsidRPr="00233F92">
              <w:rPr>
                <w:rFonts w:ascii="Arial" w:hAnsi="Arial" w:cs="Arial"/>
                <w:b/>
              </w:rPr>
              <w:t xml:space="preserve"> </w:t>
            </w:r>
            <w:r w:rsidR="00590197">
              <w:rPr>
                <w:rFonts w:ascii="Arial" w:hAnsi="Arial" w:cs="Arial"/>
                <w:b/>
              </w:rPr>
              <w:t>reported by particular LHDs</w:t>
            </w:r>
          </w:p>
        </w:tc>
      </w:tr>
      <w:tr w:rsidR="00232B3A" w:rsidRPr="00233F92" w:rsidTr="00B406BB">
        <w:trPr>
          <w:trHeight w:val="352"/>
          <w:tblHeader/>
        </w:trPr>
        <w:tc>
          <w:tcPr>
            <w:tcW w:w="2093" w:type="dxa"/>
            <w:shd w:val="clear" w:color="auto" w:fill="A6A6A6" w:themeFill="background1" w:themeFillShade="A6"/>
            <w:vAlign w:val="center"/>
          </w:tcPr>
          <w:p w:rsidR="00232B3A" w:rsidRPr="00233F92" w:rsidRDefault="00232B3A" w:rsidP="00B406BB">
            <w:pPr>
              <w:rPr>
                <w:rFonts w:ascii="Arial" w:hAnsi="Arial" w:cs="Arial"/>
                <w:b/>
                <w:sz w:val="20"/>
                <w:szCs w:val="20"/>
              </w:rPr>
            </w:pPr>
            <w:r w:rsidRPr="00233F92">
              <w:rPr>
                <w:rFonts w:ascii="Arial" w:hAnsi="Arial" w:cs="Arial"/>
                <w:b/>
                <w:sz w:val="20"/>
                <w:szCs w:val="20"/>
              </w:rPr>
              <w:t>Key deliverables</w:t>
            </w:r>
          </w:p>
        </w:tc>
        <w:tc>
          <w:tcPr>
            <w:tcW w:w="7149" w:type="dxa"/>
            <w:shd w:val="clear" w:color="auto" w:fill="A6A6A6" w:themeFill="background1" w:themeFillShade="A6"/>
            <w:vAlign w:val="center"/>
          </w:tcPr>
          <w:p w:rsidR="00232B3A" w:rsidRPr="00233F92" w:rsidRDefault="00232B3A" w:rsidP="00B406BB">
            <w:pPr>
              <w:rPr>
                <w:rFonts w:ascii="Arial" w:hAnsi="Arial" w:cs="Arial"/>
                <w:b/>
                <w:sz w:val="20"/>
                <w:szCs w:val="20"/>
              </w:rPr>
            </w:pPr>
            <w:r w:rsidRPr="00233F92">
              <w:rPr>
                <w:rFonts w:ascii="Arial" w:hAnsi="Arial" w:cs="Arial"/>
                <w:b/>
                <w:sz w:val="20"/>
                <w:szCs w:val="20"/>
              </w:rPr>
              <w:t>Progress and timing – significant achievements</w:t>
            </w:r>
          </w:p>
        </w:tc>
      </w:tr>
      <w:tr w:rsidR="00232B3A" w:rsidRPr="00233F92" w:rsidTr="00B406BB">
        <w:tc>
          <w:tcPr>
            <w:tcW w:w="2093" w:type="dxa"/>
            <w:vMerge w:val="restart"/>
          </w:tcPr>
          <w:p w:rsidR="00232B3A" w:rsidRPr="00233F92" w:rsidRDefault="00232B3A" w:rsidP="00B406BB">
            <w:pPr>
              <w:rPr>
                <w:rFonts w:ascii="Arial" w:hAnsi="Arial" w:cs="Arial"/>
                <w:b/>
              </w:rPr>
            </w:pPr>
          </w:p>
          <w:p w:rsidR="00232B3A" w:rsidRPr="00233F92" w:rsidRDefault="00232B3A" w:rsidP="00B406BB">
            <w:pPr>
              <w:rPr>
                <w:rFonts w:ascii="Arial" w:hAnsi="Arial" w:cs="Arial"/>
                <w:b/>
              </w:rPr>
            </w:pPr>
            <w:r w:rsidRPr="00233F92">
              <w:rPr>
                <w:rFonts w:ascii="Arial" w:hAnsi="Arial" w:cs="Arial"/>
                <w:b/>
                <w:sz w:val="20"/>
              </w:rPr>
              <w:t>Rehabilitation</w:t>
            </w:r>
          </w:p>
        </w:tc>
        <w:tc>
          <w:tcPr>
            <w:tcW w:w="7149" w:type="dxa"/>
          </w:tcPr>
          <w:p w:rsidR="00232B3A" w:rsidRPr="00233F92" w:rsidRDefault="00590197" w:rsidP="00DB09E9">
            <w:pPr>
              <w:pStyle w:val="ListParagraph"/>
              <w:numPr>
                <w:ilvl w:val="0"/>
                <w:numId w:val="5"/>
              </w:numPr>
              <w:rPr>
                <w:rFonts w:ascii="Arial" w:hAnsi="Arial" w:cs="Arial"/>
                <w:sz w:val="20"/>
                <w:szCs w:val="20"/>
              </w:rPr>
            </w:pPr>
            <w:r>
              <w:rPr>
                <w:rFonts w:ascii="Arial" w:hAnsi="Arial" w:cs="Arial"/>
                <w:sz w:val="20"/>
              </w:rPr>
              <w:t xml:space="preserve">Improved </w:t>
            </w:r>
            <w:r w:rsidR="00DB09E9" w:rsidRPr="00233F92">
              <w:rPr>
                <w:rFonts w:ascii="Arial" w:hAnsi="Arial" w:cs="Arial"/>
                <w:sz w:val="20"/>
              </w:rPr>
              <w:t>rapid assessment and management at Residential Aged Care Facilities and private homes</w:t>
            </w:r>
            <w:r w:rsidR="00C713AF">
              <w:rPr>
                <w:rFonts w:ascii="Arial" w:hAnsi="Arial" w:cs="Arial"/>
                <w:sz w:val="20"/>
              </w:rPr>
              <w:t xml:space="preserve"> to frail older patients at risk to hospitalisation</w:t>
            </w:r>
          </w:p>
        </w:tc>
      </w:tr>
      <w:tr w:rsidR="007B535B" w:rsidRPr="00233F92" w:rsidTr="00B406BB">
        <w:tc>
          <w:tcPr>
            <w:tcW w:w="2093" w:type="dxa"/>
            <w:vMerge/>
          </w:tcPr>
          <w:p w:rsidR="007B535B" w:rsidRPr="00233F92" w:rsidRDefault="007B535B" w:rsidP="00B406BB">
            <w:pPr>
              <w:rPr>
                <w:rFonts w:ascii="Arial" w:hAnsi="Arial" w:cs="Arial"/>
                <w:b/>
              </w:rPr>
            </w:pPr>
          </w:p>
        </w:tc>
        <w:tc>
          <w:tcPr>
            <w:tcW w:w="7149" w:type="dxa"/>
          </w:tcPr>
          <w:p w:rsidR="007B535B" w:rsidRPr="00233F92" w:rsidRDefault="007B535B" w:rsidP="002928A2">
            <w:pPr>
              <w:pStyle w:val="ListParagraph"/>
              <w:numPr>
                <w:ilvl w:val="0"/>
                <w:numId w:val="5"/>
              </w:numPr>
              <w:rPr>
                <w:rFonts w:ascii="Arial" w:hAnsi="Arial" w:cs="Arial"/>
                <w:sz w:val="20"/>
              </w:rPr>
            </w:pPr>
            <w:r w:rsidRPr="00233F92">
              <w:rPr>
                <w:rFonts w:ascii="Arial" w:hAnsi="Arial" w:cs="Arial"/>
                <w:sz w:val="20"/>
              </w:rPr>
              <w:t xml:space="preserve">Multidisciplinary fast stream outpatient rehabilitation provided </w:t>
            </w:r>
            <w:r w:rsidR="00C713AF">
              <w:rPr>
                <w:rFonts w:ascii="Arial" w:hAnsi="Arial" w:cs="Arial"/>
                <w:sz w:val="20"/>
              </w:rPr>
              <w:t>to</w:t>
            </w:r>
            <w:r w:rsidR="00C713AF" w:rsidRPr="00233F92">
              <w:rPr>
                <w:rFonts w:ascii="Arial" w:hAnsi="Arial" w:cs="Arial"/>
                <w:sz w:val="20"/>
              </w:rPr>
              <w:t xml:space="preserve"> </w:t>
            </w:r>
            <w:r w:rsidRPr="00233F92">
              <w:rPr>
                <w:rFonts w:ascii="Arial" w:hAnsi="Arial" w:cs="Arial"/>
                <w:sz w:val="20"/>
              </w:rPr>
              <w:t xml:space="preserve">patients who are safe to be at home but require intensive therapy. </w:t>
            </w:r>
            <w:r w:rsidR="002928A2">
              <w:rPr>
                <w:rFonts w:ascii="Arial" w:hAnsi="Arial" w:cs="Arial"/>
                <w:sz w:val="20"/>
              </w:rPr>
              <w:t>The p</w:t>
            </w:r>
            <w:r w:rsidR="00C713AF">
              <w:rPr>
                <w:rFonts w:ascii="Arial" w:hAnsi="Arial" w:cs="Arial"/>
                <w:sz w:val="20"/>
              </w:rPr>
              <w:t>rogram identified a</w:t>
            </w:r>
            <w:r w:rsidRPr="00233F92">
              <w:rPr>
                <w:rFonts w:ascii="Arial" w:hAnsi="Arial" w:cs="Arial"/>
                <w:sz w:val="20"/>
              </w:rPr>
              <w:t xml:space="preserve"> number of issues that would otherwise lead to long term disability if not treated. </w:t>
            </w:r>
          </w:p>
        </w:tc>
      </w:tr>
      <w:tr w:rsidR="007B535B" w:rsidRPr="00233F92" w:rsidTr="00B406BB">
        <w:tc>
          <w:tcPr>
            <w:tcW w:w="2093" w:type="dxa"/>
            <w:vMerge/>
          </w:tcPr>
          <w:p w:rsidR="007B535B" w:rsidRPr="00233F92" w:rsidRDefault="007B535B" w:rsidP="00B406BB">
            <w:pPr>
              <w:rPr>
                <w:rFonts w:ascii="Arial" w:hAnsi="Arial" w:cs="Arial"/>
                <w:b/>
              </w:rPr>
            </w:pPr>
          </w:p>
        </w:tc>
        <w:tc>
          <w:tcPr>
            <w:tcW w:w="7149" w:type="dxa"/>
          </w:tcPr>
          <w:p w:rsidR="007B535B" w:rsidRPr="00233F92" w:rsidRDefault="007B535B" w:rsidP="000611C2">
            <w:pPr>
              <w:pStyle w:val="ListParagraph"/>
              <w:numPr>
                <w:ilvl w:val="0"/>
                <w:numId w:val="5"/>
              </w:numPr>
              <w:rPr>
                <w:rFonts w:ascii="Arial" w:hAnsi="Arial" w:cs="Arial"/>
                <w:sz w:val="20"/>
              </w:rPr>
            </w:pPr>
            <w:r w:rsidRPr="00233F92">
              <w:rPr>
                <w:rFonts w:ascii="Arial" w:hAnsi="Arial" w:cs="Arial"/>
                <w:sz w:val="20"/>
              </w:rPr>
              <w:t>Increased level of community based rehabilitation services through both community nursing and allied health services in regional and more rural communities and increased access to specialist services and support</w:t>
            </w:r>
            <w:r w:rsidR="00373872">
              <w:rPr>
                <w:rFonts w:ascii="Arial" w:hAnsi="Arial" w:cs="Arial"/>
                <w:sz w:val="20"/>
              </w:rPr>
              <w:t>.</w:t>
            </w:r>
          </w:p>
        </w:tc>
      </w:tr>
      <w:tr w:rsidR="007B535B" w:rsidRPr="00233F92" w:rsidTr="00B406BB">
        <w:tc>
          <w:tcPr>
            <w:tcW w:w="2093" w:type="dxa"/>
            <w:vMerge/>
          </w:tcPr>
          <w:p w:rsidR="007B535B" w:rsidRPr="00233F92" w:rsidRDefault="007B535B" w:rsidP="00B406BB">
            <w:pPr>
              <w:rPr>
                <w:rFonts w:ascii="Arial" w:hAnsi="Arial" w:cs="Arial"/>
                <w:b/>
              </w:rPr>
            </w:pPr>
          </w:p>
        </w:tc>
        <w:tc>
          <w:tcPr>
            <w:tcW w:w="7149" w:type="dxa"/>
          </w:tcPr>
          <w:p w:rsidR="007B535B" w:rsidRPr="00233F92" w:rsidRDefault="007B535B" w:rsidP="00590197">
            <w:pPr>
              <w:pStyle w:val="ListParagraph"/>
              <w:numPr>
                <w:ilvl w:val="0"/>
                <w:numId w:val="5"/>
              </w:numPr>
              <w:rPr>
                <w:rFonts w:ascii="Arial" w:hAnsi="Arial" w:cs="Arial"/>
                <w:sz w:val="20"/>
              </w:rPr>
            </w:pPr>
            <w:r w:rsidRPr="00233F92">
              <w:rPr>
                <w:rFonts w:ascii="Arial" w:hAnsi="Arial" w:cs="Arial"/>
                <w:sz w:val="20"/>
              </w:rPr>
              <w:t>Intensive outpatient day care evaluation and rehabilitation provided for older people with mental illness or moderate behavioural and psychiatric symptoms in dementia. Admissions to mental health inpatient care are prevented and acute psychogeriatric inpatients are discharged earlier.</w:t>
            </w:r>
          </w:p>
        </w:tc>
      </w:tr>
      <w:tr w:rsidR="007B535B" w:rsidRPr="00233F92" w:rsidTr="00B406BB">
        <w:tc>
          <w:tcPr>
            <w:tcW w:w="2093" w:type="dxa"/>
            <w:vMerge/>
          </w:tcPr>
          <w:p w:rsidR="007B535B" w:rsidRPr="00233F92" w:rsidRDefault="007B535B" w:rsidP="00B406BB">
            <w:pPr>
              <w:rPr>
                <w:rFonts w:ascii="Arial" w:hAnsi="Arial" w:cs="Arial"/>
                <w:b/>
              </w:rPr>
            </w:pPr>
          </w:p>
        </w:tc>
        <w:tc>
          <w:tcPr>
            <w:tcW w:w="7149" w:type="dxa"/>
          </w:tcPr>
          <w:p w:rsidR="007B535B" w:rsidRPr="00233F92" w:rsidRDefault="007B535B" w:rsidP="00B406BB">
            <w:pPr>
              <w:pStyle w:val="ListParagraph"/>
              <w:numPr>
                <w:ilvl w:val="0"/>
                <w:numId w:val="5"/>
              </w:numPr>
              <w:rPr>
                <w:rFonts w:ascii="Arial" w:hAnsi="Arial" w:cs="Arial"/>
                <w:sz w:val="20"/>
              </w:rPr>
            </w:pPr>
            <w:r w:rsidRPr="00233F92">
              <w:rPr>
                <w:rFonts w:ascii="Arial" w:hAnsi="Arial" w:cs="Arial"/>
                <w:sz w:val="20"/>
              </w:rPr>
              <w:t xml:space="preserve">Multidisciplinary rehabilitation </w:t>
            </w:r>
            <w:r w:rsidR="00076F04">
              <w:rPr>
                <w:rFonts w:ascii="Arial" w:hAnsi="Arial" w:cs="Arial"/>
                <w:sz w:val="20"/>
              </w:rPr>
              <w:t xml:space="preserve">is being provided </w:t>
            </w:r>
            <w:r w:rsidRPr="00233F92">
              <w:rPr>
                <w:rFonts w:ascii="Arial" w:hAnsi="Arial" w:cs="Arial"/>
                <w:sz w:val="20"/>
              </w:rPr>
              <w:t>to appropriate patients in the acute setting</w:t>
            </w:r>
            <w:r w:rsidR="00076F04">
              <w:rPr>
                <w:rFonts w:ascii="Arial" w:hAnsi="Arial" w:cs="Arial"/>
                <w:sz w:val="20"/>
              </w:rPr>
              <w:t>.</w:t>
            </w:r>
          </w:p>
        </w:tc>
      </w:tr>
      <w:tr w:rsidR="00233F92" w:rsidRPr="00233F92" w:rsidTr="00373872">
        <w:trPr>
          <w:trHeight w:val="507"/>
        </w:trPr>
        <w:tc>
          <w:tcPr>
            <w:tcW w:w="2093" w:type="dxa"/>
            <w:vMerge/>
          </w:tcPr>
          <w:p w:rsidR="00233F92" w:rsidRPr="00233F92" w:rsidRDefault="00233F92" w:rsidP="00B406BB">
            <w:pPr>
              <w:rPr>
                <w:rFonts w:ascii="Arial" w:hAnsi="Arial" w:cs="Arial"/>
                <w:b/>
              </w:rPr>
            </w:pPr>
          </w:p>
        </w:tc>
        <w:tc>
          <w:tcPr>
            <w:tcW w:w="7149" w:type="dxa"/>
          </w:tcPr>
          <w:p w:rsidR="00233F92" w:rsidRPr="00233F92" w:rsidRDefault="00233F92" w:rsidP="00590197">
            <w:pPr>
              <w:pStyle w:val="ListParagraph"/>
              <w:numPr>
                <w:ilvl w:val="0"/>
                <w:numId w:val="5"/>
              </w:numPr>
              <w:rPr>
                <w:rFonts w:ascii="Arial" w:hAnsi="Arial" w:cs="Arial"/>
                <w:sz w:val="20"/>
              </w:rPr>
            </w:pPr>
            <w:r w:rsidRPr="00233F92">
              <w:rPr>
                <w:rFonts w:ascii="Arial" w:hAnsi="Arial" w:cs="Arial"/>
                <w:sz w:val="20"/>
              </w:rPr>
              <w:t>Case management for residents in Residential Aged Care Facilities (RACF) has prevented ED presentations</w:t>
            </w:r>
            <w:r w:rsidR="00590197">
              <w:rPr>
                <w:rFonts w:ascii="Arial" w:hAnsi="Arial" w:cs="Arial"/>
                <w:sz w:val="20"/>
              </w:rPr>
              <w:t xml:space="preserve">. </w:t>
            </w:r>
            <w:r w:rsidRPr="00233F92">
              <w:rPr>
                <w:rFonts w:ascii="Arial" w:hAnsi="Arial" w:cs="Arial"/>
                <w:sz w:val="20"/>
              </w:rPr>
              <w:t xml:space="preserve"> </w:t>
            </w:r>
          </w:p>
        </w:tc>
      </w:tr>
      <w:tr w:rsidR="00E64FDB" w:rsidRPr="00233F92" w:rsidTr="00B406BB">
        <w:tc>
          <w:tcPr>
            <w:tcW w:w="2093" w:type="dxa"/>
            <w:vMerge w:val="restart"/>
          </w:tcPr>
          <w:p w:rsidR="00E64FDB" w:rsidRPr="00233F92" w:rsidRDefault="00E64FDB" w:rsidP="00B406BB">
            <w:pPr>
              <w:rPr>
                <w:rFonts w:ascii="Arial" w:hAnsi="Arial" w:cs="Arial"/>
                <w:b/>
              </w:rPr>
            </w:pPr>
          </w:p>
          <w:p w:rsidR="00E64FDB" w:rsidRPr="00233F92" w:rsidRDefault="00E64FDB" w:rsidP="00B406BB">
            <w:pPr>
              <w:rPr>
                <w:rFonts w:ascii="Arial" w:hAnsi="Arial" w:cs="Arial"/>
                <w:b/>
                <w:sz w:val="20"/>
                <w:szCs w:val="20"/>
              </w:rPr>
            </w:pPr>
            <w:r w:rsidRPr="00233F92">
              <w:rPr>
                <w:rFonts w:ascii="Arial" w:hAnsi="Arial" w:cs="Arial"/>
                <w:b/>
                <w:sz w:val="20"/>
                <w:szCs w:val="20"/>
              </w:rPr>
              <w:t>Palliative Care</w:t>
            </w:r>
          </w:p>
        </w:tc>
        <w:tc>
          <w:tcPr>
            <w:tcW w:w="7149" w:type="dxa"/>
          </w:tcPr>
          <w:p w:rsidR="00E64FDB" w:rsidRPr="00233F92" w:rsidRDefault="00E64FDB" w:rsidP="00590197">
            <w:pPr>
              <w:pStyle w:val="ListParagraph"/>
              <w:numPr>
                <w:ilvl w:val="0"/>
                <w:numId w:val="5"/>
              </w:numPr>
              <w:rPr>
                <w:rFonts w:ascii="Arial" w:hAnsi="Arial" w:cs="Arial"/>
                <w:sz w:val="20"/>
              </w:rPr>
            </w:pPr>
            <w:r w:rsidRPr="00233F92">
              <w:rPr>
                <w:rFonts w:ascii="Arial" w:hAnsi="Arial" w:cs="Arial"/>
                <w:sz w:val="20"/>
              </w:rPr>
              <w:t xml:space="preserve">With development of referral pathways and processes there has been an increased level of patient services and clinical support provided to small rural and remote sites. </w:t>
            </w:r>
          </w:p>
        </w:tc>
      </w:tr>
      <w:tr w:rsidR="00E64FDB" w:rsidRPr="00233F92" w:rsidTr="00B406BB">
        <w:tc>
          <w:tcPr>
            <w:tcW w:w="2093" w:type="dxa"/>
            <w:vMerge/>
          </w:tcPr>
          <w:p w:rsidR="00E64FDB" w:rsidRPr="00233F92" w:rsidRDefault="00E64FDB" w:rsidP="00B406BB">
            <w:pPr>
              <w:rPr>
                <w:rFonts w:ascii="Arial" w:hAnsi="Arial" w:cs="Arial"/>
                <w:b/>
              </w:rPr>
            </w:pPr>
          </w:p>
        </w:tc>
        <w:tc>
          <w:tcPr>
            <w:tcW w:w="7149" w:type="dxa"/>
          </w:tcPr>
          <w:p w:rsidR="00E64FDB" w:rsidRPr="00233F92" w:rsidRDefault="00E64FDB" w:rsidP="00590197">
            <w:pPr>
              <w:pStyle w:val="ListParagraph"/>
              <w:numPr>
                <w:ilvl w:val="0"/>
                <w:numId w:val="5"/>
              </w:numPr>
              <w:rPr>
                <w:rFonts w:ascii="Arial" w:hAnsi="Arial" w:cs="Arial"/>
                <w:sz w:val="20"/>
              </w:rPr>
            </w:pPr>
            <w:r w:rsidRPr="00233F92">
              <w:rPr>
                <w:rFonts w:ascii="Arial" w:hAnsi="Arial" w:cs="Arial"/>
                <w:sz w:val="20"/>
              </w:rPr>
              <w:t>Multidisciplinary Community Palliative Care Teams have provided specialised home based palliative medical and nursing care and have significantly increased patients’ capacity to die at home. There has been an increase in non-admitted patient activity</w:t>
            </w:r>
            <w:r>
              <w:rPr>
                <w:rFonts w:ascii="Arial" w:hAnsi="Arial" w:cs="Arial"/>
                <w:sz w:val="20"/>
              </w:rPr>
              <w:t xml:space="preserve"> and</w:t>
            </w:r>
            <w:r w:rsidRPr="00233F92">
              <w:rPr>
                <w:rFonts w:ascii="Arial" w:hAnsi="Arial" w:cs="Arial"/>
                <w:sz w:val="20"/>
              </w:rPr>
              <w:t xml:space="preserve"> an increase in home supported deaths </w:t>
            </w:r>
          </w:p>
        </w:tc>
      </w:tr>
      <w:tr w:rsidR="00E64FDB" w:rsidRPr="00233F92" w:rsidTr="00B406BB">
        <w:tc>
          <w:tcPr>
            <w:tcW w:w="2093" w:type="dxa"/>
            <w:vMerge/>
          </w:tcPr>
          <w:p w:rsidR="00E64FDB" w:rsidRPr="00233F92" w:rsidRDefault="00E64FDB" w:rsidP="00B406BB">
            <w:pPr>
              <w:rPr>
                <w:rFonts w:ascii="Arial" w:hAnsi="Arial" w:cs="Arial"/>
                <w:b/>
              </w:rPr>
            </w:pPr>
          </w:p>
        </w:tc>
        <w:tc>
          <w:tcPr>
            <w:tcW w:w="7149" w:type="dxa"/>
          </w:tcPr>
          <w:p w:rsidR="00E64FDB" w:rsidRPr="00233F92" w:rsidRDefault="00E64FDB" w:rsidP="002928A2">
            <w:pPr>
              <w:pStyle w:val="ListParagraph"/>
              <w:numPr>
                <w:ilvl w:val="0"/>
                <w:numId w:val="5"/>
              </w:numPr>
              <w:rPr>
                <w:rFonts w:ascii="Arial" w:hAnsi="Arial" w:cs="Arial"/>
                <w:sz w:val="20"/>
              </w:rPr>
            </w:pPr>
            <w:r>
              <w:rPr>
                <w:rFonts w:ascii="Arial" w:hAnsi="Arial" w:cs="Arial"/>
                <w:sz w:val="20"/>
              </w:rPr>
              <w:t>I</w:t>
            </w:r>
            <w:r w:rsidRPr="00233F92">
              <w:rPr>
                <w:rFonts w:ascii="Arial" w:hAnsi="Arial" w:cs="Arial"/>
                <w:sz w:val="20"/>
              </w:rPr>
              <w:t>nc</w:t>
            </w:r>
            <w:r w:rsidR="00373872">
              <w:rPr>
                <w:rFonts w:ascii="Arial" w:hAnsi="Arial" w:cs="Arial"/>
                <w:sz w:val="20"/>
              </w:rPr>
              <w:t>reased occasions of service and</w:t>
            </w:r>
            <w:r w:rsidRPr="00233F92">
              <w:rPr>
                <w:rFonts w:ascii="Arial" w:hAnsi="Arial" w:cs="Arial"/>
                <w:sz w:val="20"/>
              </w:rPr>
              <w:t xml:space="preserve"> now meeting the national standards for bereavement care for families of deceased children</w:t>
            </w:r>
            <w:r>
              <w:rPr>
                <w:rFonts w:ascii="Arial" w:hAnsi="Arial" w:cs="Arial"/>
                <w:sz w:val="20"/>
              </w:rPr>
              <w:t xml:space="preserve">. </w:t>
            </w:r>
            <w:r w:rsidRPr="00233F92">
              <w:rPr>
                <w:rFonts w:ascii="Arial" w:hAnsi="Arial" w:cs="Arial"/>
                <w:sz w:val="20"/>
              </w:rPr>
              <w:t xml:space="preserve">A Bereavement Support Program for families </w:t>
            </w:r>
            <w:r>
              <w:rPr>
                <w:rFonts w:ascii="Arial" w:hAnsi="Arial" w:cs="Arial"/>
                <w:sz w:val="20"/>
              </w:rPr>
              <w:t xml:space="preserve">is in place. </w:t>
            </w:r>
            <w:r w:rsidRPr="00233F92">
              <w:rPr>
                <w:rFonts w:ascii="Arial" w:hAnsi="Arial" w:cs="Arial"/>
                <w:sz w:val="20"/>
              </w:rPr>
              <w:t xml:space="preserve"> </w:t>
            </w:r>
          </w:p>
        </w:tc>
      </w:tr>
      <w:tr w:rsidR="00E64FDB" w:rsidRPr="00233F92" w:rsidTr="00B406BB">
        <w:tc>
          <w:tcPr>
            <w:tcW w:w="2093" w:type="dxa"/>
            <w:vMerge/>
          </w:tcPr>
          <w:p w:rsidR="00E64FDB" w:rsidRPr="00233F92" w:rsidRDefault="00E64FDB" w:rsidP="00B406BB">
            <w:pPr>
              <w:rPr>
                <w:rFonts w:ascii="Arial" w:hAnsi="Arial" w:cs="Arial"/>
                <w:b/>
              </w:rPr>
            </w:pPr>
          </w:p>
        </w:tc>
        <w:tc>
          <w:tcPr>
            <w:tcW w:w="7149" w:type="dxa"/>
          </w:tcPr>
          <w:p w:rsidR="00E64FDB" w:rsidRPr="00233F92" w:rsidRDefault="00E64FDB" w:rsidP="00373872">
            <w:pPr>
              <w:pStyle w:val="ListParagraph"/>
              <w:numPr>
                <w:ilvl w:val="0"/>
                <w:numId w:val="5"/>
              </w:numPr>
              <w:rPr>
                <w:rFonts w:ascii="Arial" w:hAnsi="Arial" w:cs="Arial"/>
                <w:sz w:val="20"/>
              </w:rPr>
            </w:pPr>
            <w:r w:rsidRPr="00233F92">
              <w:rPr>
                <w:rFonts w:ascii="Arial" w:hAnsi="Arial" w:cs="Arial"/>
                <w:sz w:val="20"/>
              </w:rPr>
              <w:t xml:space="preserve">A </w:t>
            </w:r>
            <w:r w:rsidR="00373872">
              <w:rPr>
                <w:rFonts w:ascii="Arial" w:hAnsi="Arial" w:cs="Arial"/>
                <w:sz w:val="20"/>
              </w:rPr>
              <w:t>c</w:t>
            </w:r>
            <w:r w:rsidRPr="00233F92">
              <w:rPr>
                <w:rFonts w:ascii="Arial" w:hAnsi="Arial" w:cs="Arial"/>
                <w:sz w:val="20"/>
              </w:rPr>
              <w:t>hildren’s palliative care service provides a consultative service to support children with palliative care needs and their families within NSW (and ACT) and incorporates clinical service</w:t>
            </w:r>
            <w:r w:rsidR="002002AD">
              <w:rPr>
                <w:rFonts w:ascii="Arial" w:hAnsi="Arial" w:cs="Arial"/>
                <w:sz w:val="20"/>
              </w:rPr>
              <w:t>s</w:t>
            </w:r>
            <w:r w:rsidR="00373872">
              <w:rPr>
                <w:rFonts w:ascii="Arial" w:hAnsi="Arial" w:cs="Arial"/>
                <w:sz w:val="20"/>
              </w:rPr>
              <w:t>.</w:t>
            </w:r>
          </w:p>
        </w:tc>
      </w:tr>
      <w:tr w:rsidR="00E64FDB" w:rsidRPr="00233F92" w:rsidTr="00B406BB">
        <w:tc>
          <w:tcPr>
            <w:tcW w:w="2093" w:type="dxa"/>
            <w:vMerge w:val="restart"/>
          </w:tcPr>
          <w:p w:rsidR="00E64FDB" w:rsidRPr="00233F92" w:rsidRDefault="00E64FDB" w:rsidP="00B406BB">
            <w:pPr>
              <w:rPr>
                <w:rFonts w:ascii="Arial" w:hAnsi="Arial" w:cs="Arial"/>
                <w:b/>
              </w:rPr>
            </w:pPr>
          </w:p>
          <w:p w:rsidR="00E64FDB" w:rsidRPr="00233F92" w:rsidRDefault="00E64FDB" w:rsidP="00B406BB">
            <w:pPr>
              <w:rPr>
                <w:rFonts w:ascii="Arial" w:hAnsi="Arial" w:cs="Arial"/>
                <w:b/>
                <w:sz w:val="20"/>
                <w:szCs w:val="20"/>
              </w:rPr>
            </w:pPr>
            <w:r w:rsidRPr="00233F92">
              <w:rPr>
                <w:rFonts w:ascii="Arial" w:hAnsi="Arial" w:cs="Arial"/>
                <w:b/>
                <w:sz w:val="20"/>
                <w:szCs w:val="20"/>
              </w:rPr>
              <w:t>Geriatric Management (GEM)</w:t>
            </w:r>
          </w:p>
        </w:tc>
        <w:tc>
          <w:tcPr>
            <w:tcW w:w="7149" w:type="dxa"/>
          </w:tcPr>
          <w:p w:rsidR="00E64FDB" w:rsidRPr="00233F92" w:rsidRDefault="00E64FDB" w:rsidP="00E64FDB">
            <w:pPr>
              <w:pStyle w:val="ListParagraph"/>
              <w:numPr>
                <w:ilvl w:val="0"/>
                <w:numId w:val="5"/>
              </w:numPr>
              <w:rPr>
                <w:rFonts w:ascii="Arial" w:hAnsi="Arial" w:cs="Arial"/>
                <w:sz w:val="20"/>
              </w:rPr>
            </w:pPr>
            <w:proofErr w:type="spellStart"/>
            <w:r w:rsidRPr="00233F92">
              <w:rPr>
                <w:rFonts w:ascii="Arial" w:hAnsi="Arial" w:cs="Arial"/>
                <w:sz w:val="20"/>
              </w:rPr>
              <w:t>Neuro</w:t>
            </w:r>
            <w:proofErr w:type="spellEnd"/>
            <w:r w:rsidRPr="00233F92">
              <w:rPr>
                <w:rFonts w:ascii="Arial" w:hAnsi="Arial" w:cs="Arial"/>
                <w:sz w:val="20"/>
              </w:rPr>
              <w:t xml:space="preserve">-psychology services for aged persons provides accurate differential diagnosis of memory problems and types of dementia, having a direct impact on patients’ quality of life by contributing to decreased length of stay, management of cognitive and behavioural problems and improved timeliness of assessment to determine a person’s capacity to make decisions and to execute Guardianship and Power of Attorney.  </w:t>
            </w:r>
          </w:p>
        </w:tc>
      </w:tr>
      <w:tr w:rsidR="00E64FDB" w:rsidRPr="00233F92" w:rsidTr="00076F04">
        <w:trPr>
          <w:trHeight w:val="840"/>
        </w:trPr>
        <w:tc>
          <w:tcPr>
            <w:tcW w:w="2093" w:type="dxa"/>
            <w:vMerge/>
          </w:tcPr>
          <w:p w:rsidR="00E64FDB" w:rsidRPr="00233F92" w:rsidRDefault="00E64FDB" w:rsidP="00B406BB">
            <w:pPr>
              <w:rPr>
                <w:rFonts w:ascii="Arial" w:hAnsi="Arial" w:cs="Arial"/>
                <w:b/>
              </w:rPr>
            </w:pPr>
          </w:p>
        </w:tc>
        <w:tc>
          <w:tcPr>
            <w:tcW w:w="7149" w:type="dxa"/>
          </w:tcPr>
          <w:p w:rsidR="00E64FDB" w:rsidRPr="00233F92" w:rsidRDefault="00E64FDB" w:rsidP="00E64FDB">
            <w:pPr>
              <w:pStyle w:val="ListParagraph"/>
              <w:numPr>
                <w:ilvl w:val="0"/>
                <w:numId w:val="5"/>
              </w:numPr>
              <w:rPr>
                <w:rFonts w:ascii="Arial" w:hAnsi="Arial" w:cs="Arial"/>
                <w:sz w:val="20"/>
              </w:rPr>
            </w:pPr>
            <w:r>
              <w:rPr>
                <w:rFonts w:ascii="Arial" w:hAnsi="Arial" w:cs="Arial"/>
                <w:sz w:val="20"/>
              </w:rPr>
              <w:t>E</w:t>
            </w:r>
            <w:r w:rsidRPr="00233F92">
              <w:rPr>
                <w:rFonts w:ascii="Arial" w:hAnsi="Arial" w:cs="Arial"/>
                <w:sz w:val="20"/>
              </w:rPr>
              <w:t>arly and ongoing care planning, assessment and consultation for older inpatients has achieved an average 2-day reduction in waiting times for assessment and length of stay as well as contributing to improved discharge planning and reduced complaints from patients.</w:t>
            </w:r>
          </w:p>
        </w:tc>
      </w:tr>
      <w:tr w:rsidR="00BE3134" w:rsidRPr="00233F92" w:rsidTr="00373872">
        <w:trPr>
          <w:trHeight w:val="723"/>
        </w:trPr>
        <w:tc>
          <w:tcPr>
            <w:tcW w:w="2093" w:type="dxa"/>
            <w:vMerge/>
          </w:tcPr>
          <w:p w:rsidR="00BE3134" w:rsidRPr="00233F92" w:rsidRDefault="00BE3134" w:rsidP="00B406BB">
            <w:pPr>
              <w:rPr>
                <w:rFonts w:ascii="Arial" w:hAnsi="Arial" w:cs="Arial"/>
                <w:b/>
              </w:rPr>
            </w:pPr>
          </w:p>
        </w:tc>
        <w:tc>
          <w:tcPr>
            <w:tcW w:w="7149" w:type="dxa"/>
          </w:tcPr>
          <w:p w:rsidR="00BE3134" w:rsidRDefault="00BE3134" w:rsidP="00E64FDB">
            <w:pPr>
              <w:pStyle w:val="ListParagraph"/>
              <w:numPr>
                <w:ilvl w:val="0"/>
                <w:numId w:val="5"/>
              </w:numPr>
              <w:rPr>
                <w:rFonts w:ascii="Arial" w:hAnsi="Arial" w:cs="Arial"/>
                <w:sz w:val="20"/>
              </w:rPr>
            </w:pPr>
            <w:r w:rsidRPr="00233F92">
              <w:rPr>
                <w:rFonts w:ascii="Arial" w:hAnsi="Arial" w:cs="Arial"/>
                <w:sz w:val="20"/>
              </w:rPr>
              <w:t xml:space="preserve">Provision of Nursing, Social Work and therapy services </w:t>
            </w:r>
            <w:r>
              <w:rPr>
                <w:rFonts w:ascii="Arial" w:hAnsi="Arial" w:cs="Arial"/>
                <w:sz w:val="20"/>
              </w:rPr>
              <w:t xml:space="preserve">is being provided </w:t>
            </w:r>
            <w:r w:rsidRPr="00233F92">
              <w:rPr>
                <w:rFonts w:ascii="Arial" w:hAnsi="Arial" w:cs="Arial"/>
                <w:sz w:val="20"/>
              </w:rPr>
              <w:t>to people with chronic diseases in their own homes on weekends and public holidays</w:t>
            </w:r>
          </w:p>
        </w:tc>
      </w:tr>
      <w:tr w:rsidR="00E64FDB" w:rsidRPr="00233F92" w:rsidTr="00B406BB">
        <w:tc>
          <w:tcPr>
            <w:tcW w:w="2093" w:type="dxa"/>
            <w:vMerge/>
          </w:tcPr>
          <w:p w:rsidR="00E64FDB" w:rsidRPr="00233F92" w:rsidRDefault="00E64FDB" w:rsidP="00B406BB">
            <w:pPr>
              <w:rPr>
                <w:rFonts w:ascii="Arial" w:hAnsi="Arial" w:cs="Arial"/>
                <w:b/>
              </w:rPr>
            </w:pPr>
          </w:p>
        </w:tc>
        <w:tc>
          <w:tcPr>
            <w:tcW w:w="7149" w:type="dxa"/>
          </w:tcPr>
          <w:p w:rsidR="00E64FDB" w:rsidRPr="00233F92" w:rsidRDefault="00BE3134" w:rsidP="00425A65">
            <w:pPr>
              <w:pStyle w:val="ListParagraph"/>
              <w:numPr>
                <w:ilvl w:val="0"/>
                <w:numId w:val="5"/>
              </w:numPr>
              <w:rPr>
                <w:rFonts w:ascii="Arial" w:hAnsi="Arial" w:cs="Arial"/>
                <w:sz w:val="20"/>
              </w:rPr>
            </w:pPr>
            <w:r w:rsidRPr="00233F92">
              <w:rPr>
                <w:rFonts w:ascii="Arial" w:hAnsi="Arial" w:cs="Arial"/>
                <w:sz w:val="20"/>
              </w:rPr>
              <w:t>Geriatric Outpatient Therapy Unit provides timely access to specialist medical and nursing services for older people</w:t>
            </w:r>
          </w:p>
        </w:tc>
      </w:tr>
      <w:tr w:rsidR="00E64FDB" w:rsidRPr="00233F92" w:rsidTr="00B406BB">
        <w:tc>
          <w:tcPr>
            <w:tcW w:w="2093" w:type="dxa"/>
            <w:vMerge w:val="restart"/>
          </w:tcPr>
          <w:p w:rsidR="00E64FDB" w:rsidRPr="00233F92" w:rsidRDefault="00E64FDB" w:rsidP="00B406BB">
            <w:pPr>
              <w:rPr>
                <w:rFonts w:ascii="Arial" w:hAnsi="Arial" w:cs="Arial"/>
                <w:b/>
                <w:sz w:val="20"/>
                <w:szCs w:val="20"/>
              </w:rPr>
            </w:pPr>
          </w:p>
          <w:p w:rsidR="00E64FDB" w:rsidRPr="00233F92" w:rsidRDefault="00E64FDB" w:rsidP="00B406BB">
            <w:pPr>
              <w:rPr>
                <w:rFonts w:ascii="Arial" w:hAnsi="Arial" w:cs="Arial"/>
                <w:b/>
                <w:sz w:val="20"/>
                <w:szCs w:val="20"/>
              </w:rPr>
            </w:pPr>
            <w:r w:rsidRPr="00233F92">
              <w:rPr>
                <w:rFonts w:ascii="Arial" w:hAnsi="Arial" w:cs="Arial"/>
                <w:b/>
                <w:sz w:val="20"/>
                <w:szCs w:val="20"/>
              </w:rPr>
              <w:t>Psychogeriatric Care</w:t>
            </w:r>
          </w:p>
        </w:tc>
        <w:tc>
          <w:tcPr>
            <w:tcW w:w="7149" w:type="dxa"/>
          </w:tcPr>
          <w:p w:rsidR="00E64FDB" w:rsidRPr="00233F92" w:rsidRDefault="00E64FDB" w:rsidP="00E64FDB">
            <w:pPr>
              <w:pStyle w:val="ListParagraph"/>
              <w:numPr>
                <w:ilvl w:val="0"/>
                <w:numId w:val="5"/>
              </w:numPr>
              <w:rPr>
                <w:rFonts w:ascii="Arial" w:hAnsi="Arial" w:cs="Arial"/>
                <w:sz w:val="20"/>
                <w:szCs w:val="20"/>
              </w:rPr>
            </w:pPr>
            <w:r>
              <w:rPr>
                <w:rFonts w:ascii="Arial" w:hAnsi="Arial" w:cs="Arial"/>
                <w:sz w:val="20"/>
              </w:rPr>
              <w:t>S</w:t>
            </w:r>
            <w:r w:rsidRPr="00233F92">
              <w:rPr>
                <w:rFonts w:ascii="Arial" w:hAnsi="Arial" w:cs="Arial"/>
                <w:sz w:val="20"/>
              </w:rPr>
              <w:t>ub-acute psychoge</w:t>
            </w:r>
            <w:r>
              <w:rPr>
                <w:rFonts w:ascii="Arial" w:hAnsi="Arial" w:cs="Arial"/>
                <w:sz w:val="20"/>
              </w:rPr>
              <w:t>riatric services for inpatients and a memory clinic for</w:t>
            </w:r>
            <w:r w:rsidRPr="00233F92">
              <w:rPr>
                <w:rFonts w:ascii="Arial" w:hAnsi="Arial" w:cs="Arial"/>
                <w:sz w:val="20"/>
              </w:rPr>
              <w:t xml:space="preserve"> outpatients</w:t>
            </w:r>
            <w:r>
              <w:rPr>
                <w:rFonts w:ascii="Arial" w:hAnsi="Arial" w:cs="Arial"/>
                <w:sz w:val="20"/>
              </w:rPr>
              <w:t xml:space="preserve"> are being provided</w:t>
            </w:r>
            <w:r w:rsidRPr="00233F92">
              <w:rPr>
                <w:rFonts w:ascii="Arial" w:hAnsi="Arial" w:cs="Arial"/>
                <w:sz w:val="20"/>
              </w:rPr>
              <w:t xml:space="preserve"> in the community and at Residential Aged Care Facilities. </w:t>
            </w:r>
            <w:r>
              <w:rPr>
                <w:rFonts w:ascii="Arial" w:hAnsi="Arial" w:cs="Arial"/>
                <w:sz w:val="20"/>
              </w:rPr>
              <w:t>These services contribute</w:t>
            </w:r>
            <w:r w:rsidRPr="00233F92">
              <w:rPr>
                <w:rFonts w:ascii="Arial" w:hAnsi="Arial" w:cs="Arial"/>
                <w:sz w:val="20"/>
              </w:rPr>
              <w:t xml:space="preserve"> to meeting </w:t>
            </w:r>
            <w:r>
              <w:rPr>
                <w:rFonts w:ascii="Arial" w:hAnsi="Arial" w:cs="Arial"/>
                <w:sz w:val="20"/>
              </w:rPr>
              <w:t>the needs of older people in ED</w:t>
            </w:r>
            <w:r w:rsidRPr="00233F92">
              <w:rPr>
                <w:rFonts w:ascii="Arial" w:hAnsi="Arial" w:cs="Arial"/>
                <w:sz w:val="20"/>
              </w:rPr>
              <w:t>.</w:t>
            </w:r>
          </w:p>
        </w:tc>
      </w:tr>
      <w:tr w:rsidR="00E64FDB" w:rsidRPr="00233F92" w:rsidTr="00B406BB">
        <w:tc>
          <w:tcPr>
            <w:tcW w:w="2093" w:type="dxa"/>
            <w:vMerge/>
          </w:tcPr>
          <w:p w:rsidR="00E64FDB" w:rsidRPr="00233F92" w:rsidRDefault="00E64FDB" w:rsidP="00B406BB">
            <w:pPr>
              <w:rPr>
                <w:rFonts w:ascii="Arial" w:hAnsi="Arial" w:cs="Arial"/>
                <w:b/>
                <w:sz w:val="20"/>
                <w:szCs w:val="20"/>
              </w:rPr>
            </w:pPr>
          </w:p>
        </w:tc>
        <w:tc>
          <w:tcPr>
            <w:tcW w:w="7149" w:type="dxa"/>
          </w:tcPr>
          <w:p w:rsidR="00E64FDB" w:rsidRPr="00233F92" w:rsidRDefault="00E64FDB" w:rsidP="00E64FDB">
            <w:pPr>
              <w:pStyle w:val="ListParagraph"/>
              <w:numPr>
                <w:ilvl w:val="0"/>
                <w:numId w:val="5"/>
              </w:numPr>
              <w:rPr>
                <w:rFonts w:ascii="Arial" w:hAnsi="Arial" w:cs="Arial"/>
                <w:sz w:val="20"/>
              </w:rPr>
            </w:pPr>
            <w:r w:rsidRPr="00233F92">
              <w:rPr>
                <w:rFonts w:ascii="Arial" w:hAnsi="Arial" w:cs="Arial"/>
                <w:sz w:val="20"/>
              </w:rPr>
              <w:t>Dementia Nurses have assisted with building a comprehensive plan of care and support for patients with dementia and their carer/s, resulting in patients staying the home environment for as long as possible and reducing premature entry into Residential Aged Care Facilities.</w:t>
            </w:r>
          </w:p>
        </w:tc>
      </w:tr>
      <w:tr w:rsidR="00E64FDB" w:rsidRPr="00233F92" w:rsidTr="00233F92">
        <w:trPr>
          <w:trHeight w:val="444"/>
        </w:trPr>
        <w:tc>
          <w:tcPr>
            <w:tcW w:w="2093" w:type="dxa"/>
            <w:vMerge/>
          </w:tcPr>
          <w:p w:rsidR="00E64FDB" w:rsidRPr="00233F92" w:rsidRDefault="00E64FDB" w:rsidP="00B406BB">
            <w:pPr>
              <w:rPr>
                <w:rFonts w:ascii="Arial" w:hAnsi="Arial" w:cs="Arial"/>
                <w:b/>
                <w:sz w:val="20"/>
                <w:szCs w:val="20"/>
              </w:rPr>
            </w:pPr>
          </w:p>
        </w:tc>
        <w:tc>
          <w:tcPr>
            <w:tcW w:w="7149" w:type="dxa"/>
          </w:tcPr>
          <w:p w:rsidR="00E64FDB" w:rsidRPr="00233F92" w:rsidRDefault="00E64FDB" w:rsidP="00E64FDB">
            <w:pPr>
              <w:pStyle w:val="ListParagraph"/>
              <w:numPr>
                <w:ilvl w:val="0"/>
                <w:numId w:val="5"/>
              </w:numPr>
              <w:rPr>
                <w:rFonts w:ascii="Arial" w:hAnsi="Arial" w:cs="Arial"/>
                <w:sz w:val="20"/>
              </w:rPr>
            </w:pPr>
            <w:r w:rsidRPr="00233F92">
              <w:rPr>
                <w:rFonts w:ascii="Arial" w:hAnsi="Arial" w:cs="Arial"/>
                <w:sz w:val="20"/>
              </w:rPr>
              <w:t xml:space="preserve">Increased access to interdisciplinary management and regular assessments </w:t>
            </w:r>
            <w:r>
              <w:rPr>
                <w:rFonts w:ascii="Arial" w:hAnsi="Arial" w:cs="Arial"/>
                <w:sz w:val="20"/>
              </w:rPr>
              <w:t xml:space="preserve">are being provided </w:t>
            </w:r>
            <w:r w:rsidRPr="00233F92">
              <w:rPr>
                <w:rFonts w:ascii="Arial" w:hAnsi="Arial" w:cs="Arial"/>
                <w:sz w:val="20"/>
              </w:rPr>
              <w:t>for patients</w:t>
            </w:r>
            <w:r>
              <w:rPr>
                <w:rFonts w:ascii="Arial" w:hAnsi="Arial" w:cs="Arial"/>
                <w:sz w:val="20"/>
              </w:rPr>
              <w:t>,</w:t>
            </w:r>
            <w:r w:rsidRPr="00233F92">
              <w:rPr>
                <w:rFonts w:ascii="Arial" w:hAnsi="Arial" w:cs="Arial"/>
                <w:sz w:val="20"/>
              </w:rPr>
              <w:t xml:space="preserve"> particularly those outside of regional centres</w:t>
            </w:r>
            <w:r>
              <w:rPr>
                <w:rFonts w:ascii="Arial" w:hAnsi="Arial" w:cs="Arial"/>
                <w:sz w:val="20"/>
              </w:rPr>
              <w:t>.</w:t>
            </w:r>
          </w:p>
        </w:tc>
      </w:tr>
    </w:tbl>
    <w:p w:rsidR="00076F04" w:rsidRDefault="006900AD" w:rsidP="00AC1C2A">
      <w:pPr>
        <w:rPr>
          <w:rFonts w:ascii="Arial" w:hAnsi="Arial" w:cs="Arial"/>
          <w:b/>
        </w:rPr>
        <w:sectPr w:rsidR="00076F04" w:rsidSect="00040AD4">
          <w:footerReference w:type="default" r:id="rId9"/>
          <w:pgSz w:w="11906" w:h="16838"/>
          <w:pgMar w:top="1440" w:right="1440" w:bottom="1440" w:left="1440" w:header="708" w:footer="283" w:gutter="0"/>
          <w:cols w:space="708"/>
          <w:titlePg/>
          <w:docGrid w:linePitch="360"/>
        </w:sectPr>
      </w:pPr>
      <w:r>
        <w:rPr>
          <w:rFonts w:ascii="Arial" w:hAnsi="Arial" w:cs="Arial"/>
          <w:b/>
        </w:rPr>
        <w:t xml:space="preserve"> </w:t>
      </w:r>
    </w:p>
    <w:p w:rsidR="00F5310E" w:rsidRPr="0064237C" w:rsidRDefault="0064237C" w:rsidP="00AC1C2A">
      <w:pPr>
        <w:rPr>
          <w:rFonts w:ascii="Arial" w:hAnsi="Arial" w:cs="Arial"/>
          <w:b/>
        </w:rPr>
      </w:pPr>
      <w:r w:rsidRPr="0064237C">
        <w:rPr>
          <w:rFonts w:ascii="Arial" w:hAnsi="Arial" w:cs="Arial"/>
          <w:b/>
        </w:rPr>
        <w:lastRenderedPageBreak/>
        <w:t>Section 2: Annual growth in subacute care services across NSW</w:t>
      </w:r>
    </w:p>
    <w:p w:rsidR="0064237C" w:rsidRPr="0064237C" w:rsidRDefault="0064237C" w:rsidP="0064237C">
      <w:pPr>
        <w:jc w:val="center"/>
        <w:rPr>
          <w:rFonts w:ascii="Arial" w:hAnsi="Arial" w:cs="Arial"/>
          <w:b/>
        </w:rPr>
      </w:pPr>
      <w:r w:rsidRPr="0064237C">
        <w:rPr>
          <w:rFonts w:ascii="Arial" w:hAnsi="Arial" w:cs="Arial"/>
          <w:b/>
        </w:rPr>
        <w:t>1 July 201</w:t>
      </w:r>
      <w:r w:rsidR="00EB2238">
        <w:rPr>
          <w:rFonts w:ascii="Arial" w:hAnsi="Arial" w:cs="Arial"/>
          <w:b/>
        </w:rPr>
        <w:t>2</w:t>
      </w:r>
      <w:r w:rsidRPr="0064237C">
        <w:rPr>
          <w:rFonts w:ascii="Arial" w:hAnsi="Arial" w:cs="Arial"/>
          <w:b/>
        </w:rPr>
        <w:t xml:space="preserve"> to 30 June 201</w:t>
      </w:r>
      <w:r w:rsidR="00EB2238">
        <w:rPr>
          <w:rFonts w:ascii="Arial" w:hAnsi="Arial" w:cs="Arial"/>
          <w:b/>
        </w:rPr>
        <w:t>3</w:t>
      </w:r>
    </w:p>
    <w:p w:rsidR="00E009F6" w:rsidRDefault="0064237C" w:rsidP="00E009F6">
      <w:pPr>
        <w:jc w:val="center"/>
        <w:rPr>
          <w:rFonts w:ascii="Arial" w:hAnsi="Arial" w:cs="Arial"/>
          <w:b/>
          <w:i/>
        </w:rPr>
      </w:pPr>
      <w:r w:rsidRPr="00095BBE">
        <w:rPr>
          <w:rFonts w:ascii="Arial" w:hAnsi="Arial" w:cs="Arial"/>
          <w:b/>
          <w:i/>
        </w:rPr>
        <w:t>Subacute care annual service activity and growth report</w:t>
      </w:r>
    </w:p>
    <w:p w:rsidR="00E009F6" w:rsidRDefault="006B6CF7" w:rsidP="00E009F6">
      <w:pPr>
        <w:jc w:val="center"/>
        <w:rPr>
          <w:rFonts w:ascii="Arial" w:hAnsi="Arial" w:cs="Arial"/>
          <w:b/>
          <w:i/>
        </w:rPr>
      </w:pPr>
      <w:r w:rsidRPr="006B6CF7">
        <w:rPr>
          <w:noProof/>
        </w:rPr>
        <w:drawing>
          <wp:inline distT="0" distB="0" distL="0" distR="0">
            <wp:extent cx="5731510" cy="3714868"/>
            <wp:effectExtent l="1905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5731510" cy="3714868"/>
                    </a:xfrm>
                    <a:prstGeom prst="rect">
                      <a:avLst/>
                    </a:prstGeom>
                    <a:noFill/>
                    <a:ln w="9525">
                      <a:noFill/>
                      <a:miter lim="800000"/>
                      <a:headEnd/>
                      <a:tailEnd/>
                    </a:ln>
                  </pic:spPr>
                </pic:pic>
              </a:graphicData>
            </a:graphic>
          </wp:inline>
        </w:drawing>
      </w:r>
    </w:p>
    <w:p w:rsidR="00A14EDC" w:rsidRPr="00A14EDC" w:rsidRDefault="004F66C1" w:rsidP="00A14EDC">
      <w:pPr>
        <w:rPr>
          <w:rFonts w:ascii="Arial" w:hAnsi="Arial" w:cs="Arial"/>
        </w:rPr>
      </w:pPr>
      <w:r w:rsidRPr="004F66C1">
        <w:rPr>
          <w:noProof/>
        </w:rPr>
        <w:drawing>
          <wp:inline distT="0" distB="0" distL="0" distR="0" wp14:anchorId="1488E02D" wp14:editId="620CE9A6">
            <wp:extent cx="5731510" cy="39278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927888"/>
                    </a:xfrm>
                    <a:prstGeom prst="rect">
                      <a:avLst/>
                    </a:prstGeom>
                    <a:noFill/>
                    <a:ln>
                      <a:noFill/>
                    </a:ln>
                  </pic:spPr>
                </pic:pic>
              </a:graphicData>
            </a:graphic>
          </wp:inline>
        </w:drawing>
      </w:r>
    </w:p>
    <w:p w:rsidR="001336D3" w:rsidRDefault="00C678CC">
      <w:pPr>
        <w:rPr>
          <w:rFonts w:ascii="Arial" w:hAnsi="Arial" w:cs="Arial"/>
          <w:b/>
          <w:u w:val="single"/>
        </w:rPr>
      </w:pPr>
      <w:r w:rsidRPr="00C678CC">
        <w:rPr>
          <w:noProof/>
        </w:rPr>
        <w:lastRenderedPageBreak/>
        <w:drawing>
          <wp:inline distT="0" distB="0" distL="0" distR="0" wp14:anchorId="33342CE0" wp14:editId="73AA6783">
            <wp:extent cx="5731510" cy="4232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4232500"/>
                    </a:xfrm>
                    <a:prstGeom prst="rect">
                      <a:avLst/>
                    </a:prstGeom>
                    <a:noFill/>
                    <a:ln>
                      <a:noFill/>
                    </a:ln>
                  </pic:spPr>
                </pic:pic>
              </a:graphicData>
            </a:graphic>
          </wp:inline>
        </w:drawing>
      </w:r>
    </w:p>
    <w:p w:rsidR="00801F85" w:rsidRPr="001336D3" w:rsidRDefault="00E87D32">
      <w:pPr>
        <w:rPr>
          <w:rFonts w:ascii="Arial" w:hAnsi="Arial" w:cs="Arial"/>
          <w:b/>
          <w:sz w:val="18"/>
          <w:u w:val="single"/>
        </w:rPr>
      </w:pPr>
      <w:r w:rsidRPr="00E87D32">
        <w:rPr>
          <w:rFonts w:ascii="Arial" w:eastAsia="Times New Roman" w:hAnsi="Arial" w:cs="Arial"/>
          <w:b/>
        </w:rPr>
        <w:t>Commentary</w:t>
      </w:r>
      <w:r w:rsidR="007227F0">
        <w:rPr>
          <w:rFonts w:ascii="Arial" w:eastAsia="Times New Roman" w:hAnsi="Arial" w:cs="Arial"/>
          <w:b/>
        </w:rPr>
        <w:t xml:space="preserve"> on Tables 2A and 2B</w:t>
      </w:r>
    </w:p>
    <w:p w:rsidR="008513A5" w:rsidRDefault="00826DAB" w:rsidP="00203AC3">
      <w:pPr>
        <w:tabs>
          <w:tab w:val="left" w:pos="3555"/>
        </w:tabs>
        <w:spacing w:after="0" w:line="240" w:lineRule="auto"/>
        <w:jc w:val="both"/>
        <w:rPr>
          <w:rFonts w:ascii="Arial" w:eastAsia="Times New Roman" w:hAnsi="Arial" w:cs="Arial"/>
        </w:rPr>
      </w:pPr>
      <w:r w:rsidRPr="008903C5">
        <w:rPr>
          <w:rFonts w:ascii="Arial" w:eastAsia="Times New Roman" w:hAnsi="Arial" w:cs="Arial"/>
        </w:rPr>
        <w:t>Due to increased efficiency</w:t>
      </w:r>
      <w:r w:rsidR="001B562A">
        <w:rPr>
          <w:rFonts w:ascii="Arial" w:eastAsia="Times New Roman" w:hAnsi="Arial" w:cs="Arial"/>
        </w:rPr>
        <w:t xml:space="preserve"> across the health system</w:t>
      </w:r>
      <w:r w:rsidRPr="008903C5">
        <w:rPr>
          <w:rFonts w:ascii="Arial" w:eastAsia="Times New Roman" w:hAnsi="Arial" w:cs="Arial"/>
        </w:rPr>
        <w:t xml:space="preserve">, the ALOS in NSW has declined from 15.01 days in 2007-08 (baseline) to 12.54 days in 2012-13. </w:t>
      </w:r>
    </w:p>
    <w:p w:rsidR="008513A5" w:rsidRDefault="008513A5" w:rsidP="00203AC3">
      <w:pPr>
        <w:tabs>
          <w:tab w:val="left" w:pos="3555"/>
        </w:tabs>
        <w:spacing w:after="0" w:line="240" w:lineRule="auto"/>
        <w:jc w:val="both"/>
        <w:rPr>
          <w:rFonts w:ascii="Arial" w:eastAsia="Times New Roman" w:hAnsi="Arial" w:cs="Arial"/>
        </w:rPr>
      </w:pPr>
    </w:p>
    <w:p w:rsidR="003A1D02" w:rsidRDefault="0050171C" w:rsidP="00203AC3">
      <w:pPr>
        <w:tabs>
          <w:tab w:val="left" w:pos="3555"/>
        </w:tabs>
        <w:spacing w:after="0" w:line="240" w:lineRule="auto"/>
        <w:jc w:val="both"/>
        <w:rPr>
          <w:rFonts w:ascii="Arial" w:eastAsia="Times New Roman" w:hAnsi="Arial" w:cs="Arial"/>
        </w:rPr>
      </w:pPr>
      <w:r>
        <w:rPr>
          <w:rFonts w:ascii="Arial" w:eastAsia="Times New Roman" w:hAnsi="Arial" w:cs="Arial"/>
        </w:rPr>
        <w:t>The i</w:t>
      </w:r>
      <w:r w:rsidR="003A1D02">
        <w:rPr>
          <w:rFonts w:ascii="Arial" w:eastAsia="Times New Roman" w:hAnsi="Arial" w:cs="Arial"/>
        </w:rPr>
        <w:t xml:space="preserve">mprovement in ALOS has implications on the growth rate achieved by NSW.  Based on the </w:t>
      </w:r>
      <w:r w:rsidR="00587787">
        <w:rPr>
          <w:rFonts w:ascii="Arial" w:eastAsia="Times New Roman" w:hAnsi="Arial" w:cs="Arial"/>
        </w:rPr>
        <w:t xml:space="preserve">agreed formula for converting separations to BDEs, the 2007-08 and 2012-13 ALOS results </w:t>
      </w:r>
      <w:r w:rsidR="006073E4">
        <w:rPr>
          <w:rFonts w:ascii="Arial" w:eastAsia="Times New Roman" w:hAnsi="Arial" w:cs="Arial"/>
        </w:rPr>
        <w:t xml:space="preserve">show </w:t>
      </w:r>
      <w:r w:rsidR="00587787">
        <w:rPr>
          <w:rFonts w:ascii="Arial" w:eastAsia="Times New Roman" w:hAnsi="Arial" w:cs="Arial"/>
        </w:rPr>
        <w:t>different growth rates. Us</w:t>
      </w:r>
      <w:r w:rsidR="006073E4">
        <w:rPr>
          <w:rFonts w:ascii="Arial" w:eastAsia="Times New Roman" w:hAnsi="Arial" w:cs="Arial"/>
        </w:rPr>
        <w:t xml:space="preserve">ing the 2007-08 conversion rate NSW achieved growth of 41.02% compared to baseline, and based on </w:t>
      </w:r>
      <w:r>
        <w:rPr>
          <w:rFonts w:ascii="Arial" w:eastAsia="Times New Roman" w:hAnsi="Arial" w:cs="Arial"/>
        </w:rPr>
        <w:t xml:space="preserve">the </w:t>
      </w:r>
      <w:r w:rsidR="006073E4">
        <w:rPr>
          <w:rFonts w:ascii="Arial" w:eastAsia="Times New Roman" w:hAnsi="Arial" w:cs="Arial"/>
        </w:rPr>
        <w:t>2012-13 ALOS</w:t>
      </w:r>
      <w:r w:rsidR="00587787">
        <w:rPr>
          <w:rFonts w:ascii="Arial" w:eastAsia="Times New Roman" w:hAnsi="Arial" w:cs="Arial"/>
        </w:rPr>
        <w:t xml:space="preserve"> growth of 21.46% was achieved compared to the baseline. </w:t>
      </w:r>
      <w:r w:rsidR="006073E4">
        <w:rPr>
          <w:rFonts w:ascii="Arial" w:eastAsia="Times New Roman" w:hAnsi="Arial" w:cs="Arial"/>
        </w:rPr>
        <w:t>It is noted that t</w:t>
      </w:r>
      <w:r w:rsidR="006900AD">
        <w:rPr>
          <w:rFonts w:ascii="Arial" w:eastAsia="Times New Roman" w:hAnsi="Arial" w:cs="Arial"/>
        </w:rPr>
        <w:t xml:space="preserve">he agreement </w:t>
      </w:r>
      <w:r w:rsidR="006073E4">
        <w:rPr>
          <w:rFonts w:ascii="Arial" w:eastAsia="Times New Roman" w:hAnsi="Arial" w:cs="Arial"/>
        </w:rPr>
        <w:t xml:space="preserve">only </w:t>
      </w:r>
      <w:r w:rsidR="006900AD">
        <w:rPr>
          <w:rFonts w:ascii="Arial" w:eastAsia="Times New Roman" w:hAnsi="Arial" w:cs="Arial"/>
        </w:rPr>
        <w:t xml:space="preserve">required NSW to achieve a growth of 20% </w:t>
      </w:r>
      <w:r w:rsidR="006073E4">
        <w:rPr>
          <w:rFonts w:ascii="Arial" w:eastAsia="Times New Roman" w:hAnsi="Arial" w:cs="Arial"/>
        </w:rPr>
        <w:t xml:space="preserve">from the baseline </w:t>
      </w:r>
      <w:r w:rsidR="006900AD">
        <w:rPr>
          <w:rFonts w:ascii="Arial" w:eastAsia="Times New Roman" w:hAnsi="Arial" w:cs="Arial"/>
        </w:rPr>
        <w:t>by 2012-13.</w:t>
      </w:r>
    </w:p>
    <w:p w:rsidR="00587787" w:rsidRDefault="00587787" w:rsidP="00203AC3">
      <w:pPr>
        <w:tabs>
          <w:tab w:val="left" w:pos="3555"/>
        </w:tabs>
        <w:spacing w:after="0" w:line="240" w:lineRule="auto"/>
        <w:jc w:val="both"/>
        <w:rPr>
          <w:rFonts w:ascii="Arial" w:eastAsia="Times New Roman" w:hAnsi="Arial" w:cs="Arial"/>
        </w:rPr>
      </w:pPr>
    </w:p>
    <w:p w:rsidR="00D3505B" w:rsidRDefault="00826DAB" w:rsidP="00203AC3">
      <w:pPr>
        <w:tabs>
          <w:tab w:val="left" w:pos="3555"/>
        </w:tabs>
        <w:spacing w:after="0" w:line="240" w:lineRule="auto"/>
        <w:jc w:val="both"/>
        <w:rPr>
          <w:rFonts w:ascii="Arial" w:hAnsi="Arial" w:cs="Arial"/>
        </w:rPr>
      </w:pPr>
      <w:r w:rsidRPr="008903C5">
        <w:rPr>
          <w:rFonts w:ascii="Arial" w:eastAsia="Times New Roman" w:hAnsi="Arial" w:cs="Arial"/>
        </w:rPr>
        <w:t xml:space="preserve">After adjusting the calculation to account for this efficiency </w:t>
      </w:r>
      <w:r w:rsidR="008513A5">
        <w:rPr>
          <w:rFonts w:ascii="Arial" w:eastAsia="Times New Roman" w:hAnsi="Arial" w:cs="Arial"/>
        </w:rPr>
        <w:t xml:space="preserve">in ALOS between 2012-13 and 2007-08 </w:t>
      </w:r>
      <w:r w:rsidRPr="008903C5">
        <w:rPr>
          <w:rFonts w:ascii="Arial" w:eastAsia="Times New Roman" w:hAnsi="Arial" w:cs="Arial"/>
        </w:rPr>
        <w:t xml:space="preserve">and </w:t>
      </w:r>
      <w:r w:rsidRPr="008903C5">
        <w:rPr>
          <w:rFonts w:ascii="Arial" w:hAnsi="Arial" w:cs="Arial"/>
        </w:rPr>
        <w:t>after accounting for activity attributable to the National Partnership Agreement on Improving Public Hospital Services</w:t>
      </w:r>
      <w:r>
        <w:rPr>
          <w:rFonts w:ascii="Arial" w:hAnsi="Arial" w:cs="Arial"/>
        </w:rPr>
        <w:t xml:space="preserve">, </w:t>
      </w:r>
      <w:r w:rsidR="00D3505B">
        <w:rPr>
          <w:rFonts w:ascii="Arial" w:hAnsi="Arial" w:cs="Arial"/>
        </w:rPr>
        <w:t>the results indicate that:</w:t>
      </w:r>
    </w:p>
    <w:p w:rsidR="00826DAB" w:rsidRPr="00D3505B" w:rsidRDefault="00826DAB" w:rsidP="00203AC3">
      <w:pPr>
        <w:pStyle w:val="ListParagraph"/>
        <w:numPr>
          <w:ilvl w:val="0"/>
          <w:numId w:val="15"/>
        </w:numPr>
        <w:tabs>
          <w:tab w:val="left" w:pos="3555"/>
        </w:tabs>
        <w:spacing w:after="0" w:line="240" w:lineRule="auto"/>
        <w:jc w:val="both"/>
        <w:rPr>
          <w:rFonts w:ascii="Arial" w:eastAsia="Times New Roman" w:hAnsi="Arial" w:cs="Arial"/>
        </w:rPr>
      </w:pPr>
      <w:r w:rsidRPr="00D3505B">
        <w:rPr>
          <w:rFonts w:ascii="Arial" w:hAnsi="Arial" w:cs="Arial"/>
        </w:rPr>
        <w:t>A</w:t>
      </w:r>
      <w:r w:rsidRPr="00D3505B">
        <w:rPr>
          <w:rFonts w:ascii="Arial" w:eastAsia="Times New Roman" w:hAnsi="Arial" w:cs="Arial"/>
        </w:rPr>
        <w:t xml:space="preserve">dmitted sub acute activity increased by </w:t>
      </w:r>
      <w:r w:rsidR="00442532">
        <w:rPr>
          <w:rFonts w:ascii="Arial" w:eastAsia="Times New Roman" w:hAnsi="Arial" w:cs="Arial"/>
        </w:rPr>
        <w:t>41.31</w:t>
      </w:r>
      <w:r w:rsidRPr="00D3505B">
        <w:rPr>
          <w:rFonts w:ascii="Arial" w:eastAsia="Times New Roman" w:hAnsi="Arial" w:cs="Arial"/>
        </w:rPr>
        <w:t>% in 2012-13 (Table 2B) compared to baseline rather than 29.67% (Table 2A); and</w:t>
      </w:r>
    </w:p>
    <w:p w:rsidR="00826DAB" w:rsidRPr="008903C5" w:rsidRDefault="00826DAB" w:rsidP="00203AC3">
      <w:pPr>
        <w:pStyle w:val="ListParagraph"/>
        <w:numPr>
          <w:ilvl w:val="0"/>
          <w:numId w:val="14"/>
        </w:numPr>
        <w:tabs>
          <w:tab w:val="left" w:pos="3555"/>
        </w:tabs>
        <w:spacing w:after="0" w:line="240" w:lineRule="auto"/>
        <w:jc w:val="both"/>
        <w:rPr>
          <w:rFonts w:ascii="Arial" w:eastAsia="Times New Roman" w:hAnsi="Arial" w:cs="Arial"/>
        </w:rPr>
      </w:pPr>
      <w:r w:rsidRPr="008903C5">
        <w:rPr>
          <w:rFonts w:ascii="Arial" w:hAnsi="Arial" w:cs="Arial"/>
        </w:rPr>
        <w:t xml:space="preserve">Non-admitted activity has increased by </w:t>
      </w:r>
      <w:r>
        <w:rPr>
          <w:rFonts w:ascii="Arial" w:hAnsi="Arial" w:cs="Arial"/>
        </w:rPr>
        <w:t>40.06</w:t>
      </w:r>
      <w:r w:rsidRPr="008903C5">
        <w:rPr>
          <w:rFonts w:ascii="Arial" w:hAnsi="Arial" w:cs="Arial"/>
        </w:rPr>
        <w:t xml:space="preserve">% </w:t>
      </w:r>
      <w:r w:rsidR="000B57B8">
        <w:rPr>
          <w:rFonts w:ascii="Arial" w:eastAsia="Times New Roman" w:hAnsi="Arial" w:cs="Arial"/>
        </w:rPr>
        <w:t xml:space="preserve">in 2012-13 </w:t>
      </w:r>
      <w:r w:rsidRPr="008903C5">
        <w:rPr>
          <w:rFonts w:ascii="Arial" w:hAnsi="Arial" w:cs="Arial"/>
        </w:rPr>
        <w:t>since 2007/08.</w:t>
      </w:r>
    </w:p>
    <w:p w:rsidR="001B562A" w:rsidRDefault="001B562A" w:rsidP="002002AD">
      <w:pPr>
        <w:rPr>
          <w:rFonts w:ascii="Arial" w:hAnsi="Arial" w:cs="Arial"/>
          <w:b/>
          <w:sz w:val="18"/>
          <w:u w:val="single"/>
        </w:rPr>
      </w:pPr>
    </w:p>
    <w:p w:rsidR="002002AD" w:rsidRPr="00E87D32" w:rsidRDefault="002002AD" w:rsidP="002002AD">
      <w:pPr>
        <w:rPr>
          <w:rFonts w:ascii="Arial" w:hAnsi="Arial" w:cs="Arial"/>
          <w:b/>
          <w:sz w:val="18"/>
          <w:u w:val="single"/>
        </w:rPr>
      </w:pPr>
      <w:r w:rsidRPr="00E87D32">
        <w:rPr>
          <w:rFonts w:ascii="Arial" w:hAnsi="Arial" w:cs="Arial"/>
          <w:b/>
          <w:sz w:val="18"/>
          <w:u w:val="single"/>
        </w:rPr>
        <w:t>Definitions</w:t>
      </w:r>
    </w:p>
    <w:p w:rsidR="002002AD" w:rsidRPr="00E87D32" w:rsidRDefault="002002AD" w:rsidP="002002AD">
      <w:pPr>
        <w:spacing w:after="0"/>
        <w:rPr>
          <w:rFonts w:ascii="Arial" w:hAnsi="Arial" w:cs="Arial"/>
          <w:b/>
          <w:sz w:val="18"/>
        </w:rPr>
      </w:pPr>
      <w:r w:rsidRPr="00E87D32">
        <w:rPr>
          <w:rFonts w:ascii="Arial" w:hAnsi="Arial" w:cs="Arial"/>
          <w:b/>
          <w:sz w:val="18"/>
        </w:rPr>
        <w:t>Subacute care</w:t>
      </w:r>
    </w:p>
    <w:p w:rsidR="002002AD" w:rsidRPr="002002AD" w:rsidRDefault="002002AD" w:rsidP="002002AD">
      <w:pPr>
        <w:pStyle w:val="ListParagraph"/>
        <w:numPr>
          <w:ilvl w:val="0"/>
          <w:numId w:val="17"/>
        </w:numPr>
        <w:spacing w:after="0"/>
        <w:jc w:val="both"/>
        <w:rPr>
          <w:rFonts w:ascii="Arial" w:hAnsi="Arial" w:cs="Arial"/>
          <w:sz w:val="18"/>
        </w:rPr>
      </w:pPr>
      <w:r w:rsidRPr="002002AD">
        <w:rPr>
          <w:rFonts w:ascii="Arial" w:hAnsi="Arial" w:cs="Arial"/>
          <w:sz w:val="18"/>
        </w:rPr>
        <w:t>Rehabilitation, palliative care, geriatric evaluation and management and psychogeriatric care, as defined in the most recent version of the National Health Data Dictionary.</w:t>
      </w:r>
    </w:p>
    <w:p w:rsidR="002002AD" w:rsidRPr="002002AD" w:rsidRDefault="002002AD" w:rsidP="002002AD">
      <w:pPr>
        <w:pStyle w:val="ListParagraph"/>
        <w:numPr>
          <w:ilvl w:val="0"/>
          <w:numId w:val="17"/>
        </w:numPr>
        <w:spacing w:after="0"/>
        <w:jc w:val="both"/>
        <w:rPr>
          <w:rFonts w:ascii="Arial" w:hAnsi="Arial" w:cs="Arial"/>
          <w:sz w:val="18"/>
        </w:rPr>
      </w:pPr>
      <w:r w:rsidRPr="002002AD">
        <w:rPr>
          <w:rFonts w:ascii="Arial" w:hAnsi="Arial" w:cs="Arial"/>
          <w:sz w:val="18"/>
        </w:rPr>
        <w:t>Patient days – the total number of days for all patients who were admitted for an episode of care and who separated during a specified reference period (</w:t>
      </w:r>
      <w:proofErr w:type="spellStart"/>
      <w:r w:rsidRPr="002002AD">
        <w:rPr>
          <w:rFonts w:ascii="Arial" w:hAnsi="Arial" w:cs="Arial"/>
          <w:sz w:val="18"/>
        </w:rPr>
        <w:t>METeOR</w:t>
      </w:r>
      <w:proofErr w:type="spellEnd"/>
      <w:r w:rsidRPr="002002AD">
        <w:rPr>
          <w:rFonts w:ascii="Arial" w:hAnsi="Arial" w:cs="Arial"/>
          <w:sz w:val="18"/>
        </w:rPr>
        <w:t xml:space="preserve"> 270045).</w:t>
      </w:r>
    </w:p>
    <w:p w:rsidR="002002AD" w:rsidRPr="002002AD" w:rsidRDefault="002002AD" w:rsidP="002002AD">
      <w:pPr>
        <w:pStyle w:val="ListParagraph"/>
        <w:numPr>
          <w:ilvl w:val="0"/>
          <w:numId w:val="17"/>
        </w:numPr>
        <w:spacing w:after="0"/>
        <w:jc w:val="both"/>
        <w:rPr>
          <w:rFonts w:ascii="Arial" w:hAnsi="Arial" w:cs="Arial"/>
          <w:sz w:val="18"/>
        </w:rPr>
      </w:pPr>
      <w:r w:rsidRPr="002002AD">
        <w:rPr>
          <w:rFonts w:ascii="Arial" w:hAnsi="Arial" w:cs="Arial"/>
          <w:sz w:val="18"/>
        </w:rPr>
        <w:lastRenderedPageBreak/>
        <w:t>Separation – the process by which an episode of care for an admitted patient ceases. A separation may be formal or statistical (</w:t>
      </w:r>
      <w:proofErr w:type="spellStart"/>
      <w:r w:rsidRPr="002002AD">
        <w:rPr>
          <w:rFonts w:ascii="Arial" w:hAnsi="Arial" w:cs="Arial"/>
          <w:sz w:val="18"/>
        </w:rPr>
        <w:t>METeOR</w:t>
      </w:r>
      <w:proofErr w:type="spellEnd"/>
      <w:r w:rsidRPr="002002AD">
        <w:rPr>
          <w:rFonts w:ascii="Arial" w:hAnsi="Arial" w:cs="Arial"/>
          <w:sz w:val="18"/>
        </w:rPr>
        <w:t xml:space="preserve"> 327268).</w:t>
      </w:r>
    </w:p>
    <w:p w:rsidR="002002AD" w:rsidRPr="002002AD" w:rsidRDefault="002002AD" w:rsidP="002002AD">
      <w:pPr>
        <w:pStyle w:val="ListParagraph"/>
        <w:numPr>
          <w:ilvl w:val="0"/>
          <w:numId w:val="17"/>
        </w:numPr>
        <w:spacing w:after="0"/>
        <w:jc w:val="both"/>
        <w:rPr>
          <w:rFonts w:ascii="Arial" w:hAnsi="Arial" w:cs="Arial"/>
          <w:sz w:val="18"/>
        </w:rPr>
      </w:pPr>
      <w:r w:rsidRPr="002002AD">
        <w:rPr>
          <w:rFonts w:ascii="Arial" w:hAnsi="Arial" w:cs="Arial"/>
          <w:sz w:val="18"/>
        </w:rPr>
        <w:t>Hospital-in-the-home (HITH) – provision of care to hospital admitted patients in their place of residence as a substitute for hospital accommodation. Place of residence may be permanent or temporary (</w:t>
      </w:r>
      <w:proofErr w:type="spellStart"/>
      <w:r w:rsidRPr="002002AD">
        <w:rPr>
          <w:rFonts w:ascii="Arial" w:hAnsi="Arial" w:cs="Arial"/>
          <w:sz w:val="18"/>
        </w:rPr>
        <w:t>METeOR</w:t>
      </w:r>
      <w:proofErr w:type="spellEnd"/>
      <w:r w:rsidRPr="002002AD">
        <w:rPr>
          <w:rFonts w:ascii="Arial" w:hAnsi="Arial" w:cs="Arial"/>
          <w:sz w:val="18"/>
        </w:rPr>
        <w:t xml:space="preserve"> 327308).</w:t>
      </w:r>
    </w:p>
    <w:p w:rsidR="002002AD" w:rsidRPr="002002AD" w:rsidRDefault="002002AD" w:rsidP="002002AD">
      <w:pPr>
        <w:pStyle w:val="ListParagraph"/>
        <w:numPr>
          <w:ilvl w:val="0"/>
          <w:numId w:val="17"/>
        </w:numPr>
        <w:spacing w:after="0"/>
        <w:jc w:val="both"/>
        <w:rPr>
          <w:rFonts w:ascii="Arial" w:hAnsi="Arial" w:cs="Arial"/>
          <w:sz w:val="18"/>
        </w:rPr>
      </w:pPr>
      <w:r w:rsidRPr="002002AD">
        <w:rPr>
          <w:rFonts w:ascii="Arial" w:hAnsi="Arial" w:cs="Arial"/>
          <w:sz w:val="18"/>
        </w:rPr>
        <w:t xml:space="preserve">Hospital based – admitted subacute care services provided in acute, non-acute and subacute hospitals or same-day establishments or through Hospital-in-the-home (HITH) care.   </w:t>
      </w:r>
    </w:p>
    <w:p w:rsidR="002002AD" w:rsidRPr="00E87D32" w:rsidRDefault="002002AD" w:rsidP="002002AD">
      <w:pPr>
        <w:spacing w:after="0"/>
        <w:jc w:val="both"/>
        <w:rPr>
          <w:rFonts w:ascii="Arial" w:hAnsi="Arial" w:cs="Arial"/>
          <w:sz w:val="18"/>
        </w:rPr>
      </w:pPr>
    </w:p>
    <w:p w:rsidR="002002AD" w:rsidRPr="00E87D32" w:rsidRDefault="002002AD" w:rsidP="002002AD">
      <w:pPr>
        <w:spacing w:after="0"/>
        <w:rPr>
          <w:rFonts w:ascii="Arial" w:hAnsi="Arial" w:cs="Arial"/>
          <w:b/>
          <w:sz w:val="18"/>
        </w:rPr>
      </w:pPr>
      <w:r w:rsidRPr="00E87D32">
        <w:rPr>
          <w:rFonts w:ascii="Arial" w:hAnsi="Arial" w:cs="Arial"/>
          <w:b/>
          <w:sz w:val="18"/>
        </w:rPr>
        <w:t>Non-admitted Care</w:t>
      </w:r>
    </w:p>
    <w:p w:rsidR="002002AD" w:rsidRPr="002002AD" w:rsidRDefault="002002AD" w:rsidP="002002AD">
      <w:pPr>
        <w:pStyle w:val="ListParagraph"/>
        <w:numPr>
          <w:ilvl w:val="0"/>
          <w:numId w:val="18"/>
        </w:numPr>
        <w:spacing w:after="0"/>
        <w:rPr>
          <w:rFonts w:ascii="Arial" w:hAnsi="Arial" w:cs="Arial"/>
          <w:sz w:val="18"/>
        </w:rPr>
      </w:pPr>
      <w:r w:rsidRPr="002002AD">
        <w:rPr>
          <w:rFonts w:ascii="Arial" w:hAnsi="Arial" w:cs="Arial"/>
          <w:sz w:val="18"/>
        </w:rPr>
        <w:t>Occasions of service (OOS) – the number of occasions of examination, consultation, treatment or other service provided to a patient (</w:t>
      </w:r>
      <w:proofErr w:type="spellStart"/>
      <w:r w:rsidRPr="002002AD">
        <w:rPr>
          <w:rFonts w:ascii="Arial" w:hAnsi="Arial" w:cs="Arial"/>
          <w:sz w:val="18"/>
        </w:rPr>
        <w:t>METeOR</w:t>
      </w:r>
      <w:proofErr w:type="spellEnd"/>
      <w:r w:rsidRPr="002002AD">
        <w:rPr>
          <w:rFonts w:ascii="Arial" w:hAnsi="Arial" w:cs="Arial"/>
          <w:sz w:val="18"/>
        </w:rPr>
        <w:t xml:space="preserve"> 291061).</w:t>
      </w:r>
    </w:p>
    <w:p w:rsidR="002002AD" w:rsidRPr="002002AD" w:rsidRDefault="002002AD" w:rsidP="002002AD">
      <w:pPr>
        <w:pStyle w:val="ListParagraph"/>
        <w:numPr>
          <w:ilvl w:val="0"/>
          <w:numId w:val="18"/>
        </w:numPr>
        <w:spacing w:after="0"/>
        <w:rPr>
          <w:rFonts w:ascii="Arial" w:hAnsi="Arial" w:cs="Arial"/>
          <w:sz w:val="18"/>
        </w:rPr>
      </w:pPr>
      <w:r w:rsidRPr="002002AD">
        <w:rPr>
          <w:rFonts w:ascii="Arial" w:hAnsi="Arial" w:cs="Arial"/>
          <w:sz w:val="18"/>
        </w:rPr>
        <w:t xml:space="preserve">Group sessions – care or assistance simultaneously being provided to more than one person </w:t>
      </w:r>
      <w:proofErr w:type="spellStart"/>
      <w:r w:rsidRPr="002002AD">
        <w:rPr>
          <w:rFonts w:ascii="Arial" w:hAnsi="Arial" w:cs="Arial"/>
          <w:sz w:val="18"/>
        </w:rPr>
        <w:t>METeOR</w:t>
      </w:r>
      <w:proofErr w:type="spellEnd"/>
      <w:r w:rsidRPr="002002AD">
        <w:rPr>
          <w:rFonts w:ascii="Arial" w:hAnsi="Arial" w:cs="Arial"/>
          <w:sz w:val="18"/>
        </w:rPr>
        <w:t xml:space="preserve"> 294406), either as an occasion of service or episode.</w:t>
      </w:r>
    </w:p>
    <w:p w:rsidR="002002AD" w:rsidRPr="002002AD" w:rsidRDefault="002002AD" w:rsidP="002002AD">
      <w:pPr>
        <w:pStyle w:val="ListParagraph"/>
        <w:numPr>
          <w:ilvl w:val="0"/>
          <w:numId w:val="18"/>
        </w:numPr>
        <w:spacing w:after="0"/>
        <w:rPr>
          <w:rFonts w:ascii="Arial" w:hAnsi="Arial" w:cs="Arial"/>
          <w:sz w:val="18"/>
        </w:rPr>
      </w:pPr>
      <w:r w:rsidRPr="002002AD">
        <w:rPr>
          <w:rFonts w:ascii="Arial" w:hAnsi="Arial" w:cs="Arial"/>
          <w:sz w:val="18"/>
        </w:rPr>
        <w:t>Centre based – subacute care services provided in non-admitted settings including hospital outpatient clinics and hospital outreach and hospital-</w:t>
      </w:r>
      <w:proofErr w:type="spellStart"/>
      <w:r w:rsidRPr="002002AD">
        <w:rPr>
          <w:rFonts w:ascii="Arial" w:hAnsi="Arial" w:cs="Arial"/>
          <w:sz w:val="18"/>
        </w:rPr>
        <w:t>auspiced</w:t>
      </w:r>
      <w:proofErr w:type="spellEnd"/>
      <w:r w:rsidRPr="002002AD">
        <w:rPr>
          <w:rFonts w:ascii="Arial" w:hAnsi="Arial" w:cs="Arial"/>
          <w:sz w:val="18"/>
        </w:rPr>
        <w:t xml:space="preserve"> community health facilities.</w:t>
      </w:r>
    </w:p>
    <w:p w:rsidR="002002AD" w:rsidRPr="002002AD" w:rsidRDefault="002002AD" w:rsidP="002002AD">
      <w:pPr>
        <w:pStyle w:val="ListParagraph"/>
        <w:numPr>
          <w:ilvl w:val="0"/>
          <w:numId w:val="18"/>
        </w:numPr>
        <w:spacing w:after="0"/>
        <w:rPr>
          <w:rFonts w:ascii="Arial" w:hAnsi="Arial" w:cs="Arial"/>
          <w:sz w:val="18"/>
        </w:rPr>
      </w:pPr>
      <w:r w:rsidRPr="002002AD">
        <w:rPr>
          <w:rFonts w:ascii="Arial" w:hAnsi="Arial" w:cs="Arial"/>
          <w:sz w:val="18"/>
        </w:rPr>
        <w:t>Home based – subacute care services provided to non-admitted patients in their place of residence through a hospital outpatient, hospital outreach or hospital-</w:t>
      </w:r>
      <w:proofErr w:type="spellStart"/>
      <w:r w:rsidRPr="002002AD">
        <w:rPr>
          <w:rFonts w:ascii="Arial" w:hAnsi="Arial" w:cs="Arial"/>
          <w:sz w:val="18"/>
        </w:rPr>
        <w:t>auspiced</w:t>
      </w:r>
      <w:proofErr w:type="spellEnd"/>
      <w:r w:rsidRPr="002002AD">
        <w:rPr>
          <w:rFonts w:ascii="Arial" w:hAnsi="Arial" w:cs="Arial"/>
          <w:sz w:val="18"/>
        </w:rPr>
        <w:t xml:space="preserve"> community health program.</w:t>
      </w:r>
    </w:p>
    <w:p w:rsidR="002002AD" w:rsidRPr="002002AD" w:rsidRDefault="002002AD" w:rsidP="002002AD">
      <w:pPr>
        <w:pStyle w:val="ListParagraph"/>
        <w:numPr>
          <w:ilvl w:val="0"/>
          <w:numId w:val="18"/>
        </w:numPr>
        <w:spacing w:after="0"/>
        <w:rPr>
          <w:rFonts w:ascii="Arial" w:hAnsi="Arial" w:cs="Arial"/>
          <w:sz w:val="18"/>
        </w:rPr>
      </w:pPr>
      <w:r w:rsidRPr="002002AD">
        <w:rPr>
          <w:rFonts w:ascii="Arial" w:hAnsi="Arial" w:cs="Arial"/>
          <w:sz w:val="18"/>
        </w:rPr>
        <w:t>Episode of care - A period of health care with a defined start and end date (</w:t>
      </w:r>
      <w:proofErr w:type="spellStart"/>
      <w:r w:rsidRPr="002002AD">
        <w:rPr>
          <w:rFonts w:ascii="Arial" w:hAnsi="Arial" w:cs="Arial"/>
          <w:sz w:val="18"/>
        </w:rPr>
        <w:t>METeOR</w:t>
      </w:r>
      <w:proofErr w:type="spellEnd"/>
      <w:r w:rsidRPr="002002AD">
        <w:rPr>
          <w:rFonts w:ascii="Arial" w:hAnsi="Arial" w:cs="Arial"/>
          <w:sz w:val="18"/>
        </w:rPr>
        <w:t xml:space="preserve"> 268978).</w:t>
      </w:r>
    </w:p>
    <w:p w:rsidR="002002AD" w:rsidRDefault="002002AD" w:rsidP="002002AD">
      <w:pPr>
        <w:spacing w:after="0"/>
        <w:rPr>
          <w:rFonts w:ascii="Arial" w:hAnsi="Arial" w:cs="Arial"/>
          <w:sz w:val="18"/>
        </w:rPr>
      </w:pPr>
    </w:p>
    <w:p w:rsidR="002002AD" w:rsidRPr="00E87D32" w:rsidRDefault="002002AD" w:rsidP="002002AD">
      <w:pPr>
        <w:spacing w:after="0"/>
        <w:rPr>
          <w:rFonts w:ascii="Arial" w:hAnsi="Arial" w:cs="Arial"/>
          <w:b/>
          <w:sz w:val="18"/>
        </w:rPr>
      </w:pPr>
      <w:r w:rsidRPr="00E87D32">
        <w:rPr>
          <w:rFonts w:ascii="Arial" w:hAnsi="Arial" w:cs="Arial"/>
          <w:b/>
          <w:sz w:val="18"/>
        </w:rPr>
        <w:t>Weighted Bed Day Equivalents (WBE)</w:t>
      </w:r>
    </w:p>
    <w:p w:rsidR="002002AD" w:rsidRPr="00E87D32" w:rsidRDefault="002002AD" w:rsidP="002002AD">
      <w:pPr>
        <w:spacing w:after="0"/>
        <w:rPr>
          <w:rFonts w:ascii="Arial" w:hAnsi="Arial" w:cs="Arial"/>
          <w:sz w:val="18"/>
        </w:rPr>
      </w:pPr>
      <w:r w:rsidRPr="00E87D32">
        <w:rPr>
          <w:rFonts w:ascii="Arial" w:hAnsi="Arial" w:cs="Arial"/>
          <w:sz w:val="18"/>
        </w:rPr>
        <w:t>The WBE is the ratio of the admitted bed day cost to the non-admitted count cost.</w:t>
      </w:r>
    </w:p>
    <w:p w:rsidR="002002AD" w:rsidRDefault="002002AD" w:rsidP="002002AD">
      <w:pPr>
        <w:spacing w:after="0"/>
        <w:rPr>
          <w:rFonts w:ascii="Arial" w:hAnsi="Arial" w:cs="Arial"/>
          <w:sz w:val="18"/>
        </w:rPr>
      </w:pPr>
      <w:r w:rsidRPr="00E87D32">
        <w:rPr>
          <w:rFonts w:ascii="Arial" w:hAnsi="Arial" w:cs="Arial"/>
          <w:sz w:val="18"/>
        </w:rPr>
        <w:t>Example:</w:t>
      </w:r>
      <w:r>
        <w:rPr>
          <w:rFonts w:ascii="Arial" w:hAnsi="Arial" w:cs="Arial"/>
          <w:sz w:val="18"/>
        </w:rPr>
        <w:t xml:space="preserve"> </w:t>
      </w:r>
      <w:r w:rsidRPr="00E87D32">
        <w:rPr>
          <w:rFonts w:ascii="Arial" w:hAnsi="Arial" w:cs="Arial"/>
          <w:sz w:val="18"/>
        </w:rPr>
        <w:t>If the admitted bed day cost is $1000 and non-admitted count cost is $250, then WBE = 1:4 ($1000/$250 = 4)</w:t>
      </w:r>
    </w:p>
    <w:p w:rsidR="00417814" w:rsidRPr="00E87D32" w:rsidRDefault="00417814" w:rsidP="002002AD">
      <w:pPr>
        <w:spacing w:after="0"/>
        <w:rPr>
          <w:rFonts w:ascii="Arial" w:hAnsi="Arial" w:cs="Arial"/>
          <w:sz w:val="18"/>
        </w:rPr>
      </w:pPr>
    </w:p>
    <w:sectPr w:rsidR="00417814" w:rsidRPr="00E87D32" w:rsidSect="00417814">
      <w:pgSz w:w="11906" w:h="16838"/>
      <w:pgMar w:top="1440" w:right="1440" w:bottom="1440" w:left="1440" w:header="708"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637" w:rsidRDefault="00C04637" w:rsidP="00AC1C2A">
      <w:pPr>
        <w:spacing w:after="0" w:line="240" w:lineRule="auto"/>
      </w:pPr>
      <w:r>
        <w:separator/>
      </w:r>
    </w:p>
  </w:endnote>
  <w:endnote w:type="continuationSeparator" w:id="0">
    <w:p w:rsidR="00C04637" w:rsidRDefault="00C04637" w:rsidP="00AC1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637" w:rsidRDefault="00C04637">
    <w:pPr>
      <w:pStyle w:val="Footer"/>
      <w:jc w:val="center"/>
    </w:pPr>
  </w:p>
  <w:p w:rsidR="00C04637" w:rsidRPr="00CA5B27" w:rsidRDefault="00C04637">
    <w:pPr>
      <w:pStyle w:val="Footer"/>
      <w:jc w:val="center"/>
      <w:rPr>
        <w:rFonts w:ascii="Arial" w:hAnsi="Arial" w:cs="Arial"/>
        <w:sz w:val="18"/>
      </w:rPr>
    </w:pPr>
    <w:r w:rsidRPr="00CA5B27">
      <w:rPr>
        <w:rFonts w:ascii="Arial" w:hAnsi="Arial" w:cs="Arial"/>
        <w:sz w:val="18"/>
      </w:rPr>
      <w:t>NSW Final Annual report 201</w:t>
    </w:r>
    <w:r>
      <w:rPr>
        <w:rFonts w:ascii="Arial" w:hAnsi="Arial" w:cs="Arial"/>
        <w:sz w:val="18"/>
      </w:rPr>
      <w:t>2/13</w:t>
    </w:r>
  </w:p>
  <w:p w:rsidR="00C04637" w:rsidRPr="00CA5B27" w:rsidRDefault="00C04637">
    <w:pPr>
      <w:pStyle w:val="Footer"/>
      <w:jc w:val="center"/>
      <w:rPr>
        <w:rFonts w:ascii="Arial" w:hAnsi="Arial" w:cs="Arial"/>
        <w:sz w:val="18"/>
      </w:rPr>
    </w:pPr>
    <w:r w:rsidRPr="00CA5B27">
      <w:rPr>
        <w:rFonts w:ascii="Arial" w:hAnsi="Arial" w:cs="Arial"/>
        <w:sz w:val="18"/>
      </w:rPr>
      <w:t>Schedule C – National Partnership Agreement on the Hospital and Health Workforce Reform</w:t>
    </w:r>
  </w:p>
  <w:p w:rsidR="00C04637" w:rsidRPr="00CA5B27" w:rsidRDefault="00943C8A">
    <w:pPr>
      <w:pStyle w:val="Footer"/>
      <w:jc w:val="center"/>
      <w:rPr>
        <w:rFonts w:ascii="Arial" w:hAnsi="Arial" w:cs="Arial"/>
        <w:sz w:val="18"/>
      </w:rPr>
    </w:pPr>
    <w:sdt>
      <w:sdtPr>
        <w:rPr>
          <w:rFonts w:ascii="Arial" w:hAnsi="Arial" w:cs="Arial"/>
          <w:sz w:val="18"/>
        </w:rPr>
        <w:id w:val="11030738"/>
        <w:docPartObj>
          <w:docPartGallery w:val="Page Numbers (Bottom of Page)"/>
          <w:docPartUnique/>
        </w:docPartObj>
      </w:sdtPr>
      <w:sdtEndPr/>
      <w:sdtContent>
        <w:r w:rsidR="00C04637" w:rsidRPr="00CA5B27">
          <w:rPr>
            <w:rFonts w:ascii="Arial" w:hAnsi="Arial" w:cs="Arial"/>
            <w:sz w:val="18"/>
          </w:rPr>
          <w:t xml:space="preserve">Page </w:t>
        </w:r>
        <w:r w:rsidR="00C04637" w:rsidRPr="00CA5B27">
          <w:rPr>
            <w:rFonts w:ascii="Arial" w:hAnsi="Arial" w:cs="Arial"/>
            <w:sz w:val="18"/>
          </w:rPr>
          <w:fldChar w:fldCharType="begin"/>
        </w:r>
        <w:r w:rsidR="00C04637" w:rsidRPr="00CA5B27">
          <w:rPr>
            <w:rFonts w:ascii="Arial" w:hAnsi="Arial" w:cs="Arial"/>
            <w:sz w:val="18"/>
          </w:rPr>
          <w:instrText xml:space="preserve"> PAGE   \* MERGEFORMAT </w:instrText>
        </w:r>
        <w:r w:rsidR="00C04637" w:rsidRPr="00CA5B27">
          <w:rPr>
            <w:rFonts w:ascii="Arial" w:hAnsi="Arial" w:cs="Arial"/>
            <w:sz w:val="18"/>
          </w:rPr>
          <w:fldChar w:fldCharType="separate"/>
        </w:r>
        <w:r>
          <w:rPr>
            <w:rFonts w:ascii="Arial" w:hAnsi="Arial" w:cs="Arial"/>
            <w:noProof/>
            <w:sz w:val="18"/>
          </w:rPr>
          <w:t>8</w:t>
        </w:r>
        <w:r w:rsidR="00C04637" w:rsidRPr="00CA5B27">
          <w:rPr>
            <w:rFonts w:ascii="Arial" w:hAnsi="Arial" w:cs="Arial"/>
            <w:sz w:val="18"/>
          </w:rPr>
          <w:fldChar w:fldCharType="end"/>
        </w:r>
      </w:sdtContent>
    </w:sdt>
  </w:p>
  <w:p w:rsidR="00C04637" w:rsidRDefault="00C04637" w:rsidP="00AC1C2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637" w:rsidRDefault="00C04637" w:rsidP="00AC1C2A">
      <w:pPr>
        <w:spacing w:after="0" w:line="240" w:lineRule="auto"/>
      </w:pPr>
      <w:r>
        <w:separator/>
      </w:r>
    </w:p>
  </w:footnote>
  <w:footnote w:type="continuationSeparator" w:id="0">
    <w:p w:rsidR="00C04637" w:rsidRDefault="00C04637" w:rsidP="00AC1C2A">
      <w:pPr>
        <w:spacing w:after="0" w:line="240" w:lineRule="auto"/>
      </w:pPr>
      <w:r>
        <w:continuationSeparator/>
      </w:r>
    </w:p>
  </w:footnote>
  <w:footnote w:id="1">
    <w:p w:rsidR="00C04637" w:rsidRPr="00770812" w:rsidRDefault="00C04637" w:rsidP="00BF24A7">
      <w:pPr>
        <w:pStyle w:val="FootnoteText"/>
        <w:rPr>
          <w:rFonts w:ascii="Arial" w:hAnsi="Arial" w:cs="Arial"/>
          <w:sz w:val="18"/>
          <w:szCs w:val="18"/>
        </w:rPr>
      </w:pPr>
      <w:r>
        <w:rPr>
          <w:rStyle w:val="FootnoteReference"/>
        </w:rPr>
        <w:footnoteRef/>
      </w:r>
      <w:r>
        <w:t xml:space="preserve"> </w:t>
      </w:r>
      <w:r w:rsidRPr="00770812">
        <w:rPr>
          <w:rFonts w:ascii="Arial" w:hAnsi="Arial" w:cs="Arial"/>
          <w:sz w:val="18"/>
          <w:szCs w:val="18"/>
        </w:rPr>
        <w:t xml:space="preserve">NSW Health is the collective term, for the NSW Ministry of Health, the 15 Local Health Districts, the Sydney Children’s Hospital Network, the St Vincent’s Health Network and other public health organisations such as the Ambulance Service of NSW </w:t>
      </w:r>
    </w:p>
  </w:footnote>
  <w:footnote w:id="2">
    <w:p w:rsidR="00C04637" w:rsidRPr="006073E4" w:rsidRDefault="00C04637" w:rsidP="00FD0361">
      <w:pPr>
        <w:pStyle w:val="FootnoteText"/>
        <w:rPr>
          <w:sz w:val="18"/>
          <w:szCs w:val="18"/>
        </w:rPr>
      </w:pPr>
      <w:r>
        <w:rPr>
          <w:rStyle w:val="FootnoteReference"/>
        </w:rPr>
        <w:footnoteRef/>
      </w:r>
      <w:r>
        <w:t xml:space="preserve"> </w:t>
      </w:r>
      <w:r w:rsidRPr="006073E4">
        <w:rPr>
          <w:rFonts w:ascii="Arial" w:hAnsi="Arial" w:cs="Arial"/>
          <w:sz w:val="18"/>
          <w:szCs w:val="18"/>
        </w:rPr>
        <w:t xml:space="preserve">2012-13 </w:t>
      </w:r>
      <w:r w:rsidR="00562ABF">
        <w:rPr>
          <w:rFonts w:ascii="Arial" w:hAnsi="Arial" w:cs="Arial"/>
          <w:sz w:val="18"/>
          <w:szCs w:val="18"/>
        </w:rPr>
        <w:t>c</w:t>
      </w:r>
      <w:r w:rsidRPr="006073E4">
        <w:rPr>
          <w:rFonts w:ascii="Arial" w:hAnsi="Arial" w:cs="Arial"/>
          <w:sz w:val="18"/>
          <w:szCs w:val="18"/>
        </w:rPr>
        <w:t xml:space="preserve">osting </w:t>
      </w:r>
      <w:r w:rsidR="00562ABF">
        <w:rPr>
          <w:rFonts w:ascii="Arial" w:hAnsi="Arial" w:cs="Arial"/>
          <w:sz w:val="18"/>
          <w:szCs w:val="18"/>
        </w:rPr>
        <w:t xml:space="preserve">information </w:t>
      </w:r>
      <w:r w:rsidRPr="006073E4">
        <w:rPr>
          <w:rFonts w:ascii="Arial" w:hAnsi="Arial" w:cs="Arial"/>
          <w:sz w:val="18"/>
          <w:szCs w:val="18"/>
        </w:rPr>
        <w:t>from NSW Local Health Districts</w:t>
      </w:r>
      <w:r w:rsidR="00562ABF">
        <w:rPr>
          <w:rFonts w:ascii="Arial" w:hAnsi="Arial" w:cs="Arial"/>
          <w:sz w:val="18"/>
          <w:szCs w:val="18"/>
        </w:rPr>
        <w:t xml:space="preserve"> is not available</w:t>
      </w:r>
      <w:r w:rsidRPr="006073E4">
        <w:rPr>
          <w:rFonts w:ascii="Arial" w:hAnsi="Arial" w:cs="Arial"/>
          <w:sz w:val="18"/>
          <w:szCs w:val="18"/>
        </w:rPr>
        <w:t xml:space="preserve"> </w:t>
      </w:r>
      <w:r w:rsidR="00562ABF">
        <w:rPr>
          <w:rFonts w:ascii="Arial" w:hAnsi="Arial" w:cs="Arial"/>
          <w:sz w:val="18"/>
          <w:szCs w:val="18"/>
        </w:rPr>
        <w:t xml:space="preserve">at this time. </w:t>
      </w:r>
      <w:r w:rsidRPr="006073E4">
        <w:rPr>
          <w:rFonts w:ascii="Arial" w:hAnsi="Arial" w:cs="Arial"/>
          <w:sz w:val="18"/>
          <w:szCs w:val="18"/>
        </w:rPr>
        <w:t>NSW’s 2011/12 sub-acute per diem cost = $850.  In 201</w:t>
      </w:r>
      <w:r w:rsidR="00562ABF">
        <w:rPr>
          <w:rFonts w:ascii="Arial" w:hAnsi="Arial" w:cs="Arial"/>
          <w:sz w:val="18"/>
          <w:szCs w:val="18"/>
        </w:rPr>
        <w:t>2</w:t>
      </w:r>
      <w:r w:rsidRPr="006073E4">
        <w:rPr>
          <w:rFonts w:ascii="Arial" w:hAnsi="Arial" w:cs="Arial"/>
          <w:sz w:val="18"/>
          <w:szCs w:val="18"/>
        </w:rPr>
        <w:t>/1</w:t>
      </w:r>
      <w:r w:rsidR="00562ABF">
        <w:rPr>
          <w:rFonts w:ascii="Arial" w:hAnsi="Arial" w:cs="Arial"/>
          <w:sz w:val="18"/>
          <w:szCs w:val="18"/>
        </w:rPr>
        <w:t>3</w:t>
      </w:r>
      <w:r w:rsidRPr="006073E4">
        <w:rPr>
          <w:rFonts w:ascii="Arial" w:hAnsi="Arial" w:cs="Arial"/>
          <w:sz w:val="18"/>
          <w:szCs w:val="18"/>
        </w:rPr>
        <w:t xml:space="preserve">, admitted activity = 602,874 bed days plus non-admitted activity = 221,890 bed day equivalents (BDEs) = 824,764 BDEs x $850 = $701m.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5392"/>
    <w:multiLevelType w:val="hybridMultilevel"/>
    <w:tmpl w:val="8B3AB1CC"/>
    <w:lvl w:ilvl="0" w:tplc="0C09000F">
      <w:start w:val="1"/>
      <w:numFmt w:val="decimal"/>
      <w:lvlText w:val="%1."/>
      <w:lvlJc w:val="left"/>
      <w:pPr>
        <w:ind w:left="364" w:hanging="360"/>
      </w:pPr>
    </w:lvl>
    <w:lvl w:ilvl="1" w:tplc="0C090019" w:tentative="1">
      <w:start w:val="1"/>
      <w:numFmt w:val="lowerLetter"/>
      <w:lvlText w:val="%2."/>
      <w:lvlJc w:val="left"/>
      <w:pPr>
        <w:ind w:left="1084" w:hanging="360"/>
      </w:pPr>
    </w:lvl>
    <w:lvl w:ilvl="2" w:tplc="0C09001B" w:tentative="1">
      <w:start w:val="1"/>
      <w:numFmt w:val="lowerRoman"/>
      <w:lvlText w:val="%3."/>
      <w:lvlJc w:val="right"/>
      <w:pPr>
        <w:ind w:left="1804" w:hanging="180"/>
      </w:pPr>
    </w:lvl>
    <w:lvl w:ilvl="3" w:tplc="0C09000F" w:tentative="1">
      <w:start w:val="1"/>
      <w:numFmt w:val="decimal"/>
      <w:lvlText w:val="%4."/>
      <w:lvlJc w:val="left"/>
      <w:pPr>
        <w:ind w:left="2524" w:hanging="360"/>
      </w:pPr>
    </w:lvl>
    <w:lvl w:ilvl="4" w:tplc="0C090019" w:tentative="1">
      <w:start w:val="1"/>
      <w:numFmt w:val="lowerLetter"/>
      <w:lvlText w:val="%5."/>
      <w:lvlJc w:val="left"/>
      <w:pPr>
        <w:ind w:left="3244" w:hanging="360"/>
      </w:pPr>
    </w:lvl>
    <w:lvl w:ilvl="5" w:tplc="0C09001B" w:tentative="1">
      <w:start w:val="1"/>
      <w:numFmt w:val="lowerRoman"/>
      <w:lvlText w:val="%6."/>
      <w:lvlJc w:val="right"/>
      <w:pPr>
        <w:ind w:left="3964" w:hanging="180"/>
      </w:pPr>
    </w:lvl>
    <w:lvl w:ilvl="6" w:tplc="0C09000F" w:tentative="1">
      <w:start w:val="1"/>
      <w:numFmt w:val="decimal"/>
      <w:lvlText w:val="%7."/>
      <w:lvlJc w:val="left"/>
      <w:pPr>
        <w:ind w:left="4684" w:hanging="360"/>
      </w:pPr>
    </w:lvl>
    <w:lvl w:ilvl="7" w:tplc="0C090019" w:tentative="1">
      <w:start w:val="1"/>
      <w:numFmt w:val="lowerLetter"/>
      <w:lvlText w:val="%8."/>
      <w:lvlJc w:val="left"/>
      <w:pPr>
        <w:ind w:left="5404" w:hanging="360"/>
      </w:pPr>
    </w:lvl>
    <w:lvl w:ilvl="8" w:tplc="0C09001B" w:tentative="1">
      <w:start w:val="1"/>
      <w:numFmt w:val="lowerRoman"/>
      <w:lvlText w:val="%9."/>
      <w:lvlJc w:val="right"/>
      <w:pPr>
        <w:ind w:left="6124" w:hanging="180"/>
      </w:pPr>
    </w:lvl>
  </w:abstractNum>
  <w:abstractNum w:abstractNumId="1">
    <w:nsid w:val="04A32075"/>
    <w:multiLevelType w:val="hybridMultilevel"/>
    <w:tmpl w:val="BC1C0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D69236C"/>
    <w:multiLevelType w:val="hybridMultilevel"/>
    <w:tmpl w:val="31D03E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7BD6046"/>
    <w:multiLevelType w:val="hybridMultilevel"/>
    <w:tmpl w:val="2C622A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8675800"/>
    <w:multiLevelType w:val="hybridMultilevel"/>
    <w:tmpl w:val="6E669F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AAC5370"/>
    <w:multiLevelType w:val="hybridMultilevel"/>
    <w:tmpl w:val="697E9A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2BC67FF7"/>
    <w:multiLevelType w:val="hybridMultilevel"/>
    <w:tmpl w:val="0A9EB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C631010"/>
    <w:multiLevelType w:val="hybridMultilevel"/>
    <w:tmpl w:val="D4A8CDB4"/>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8">
    <w:nsid w:val="2FC304F3"/>
    <w:multiLevelType w:val="hybridMultilevel"/>
    <w:tmpl w:val="9C1C5B5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393D1F32"/>
    <w:multiLevelType w:val="hybridMultilevel"/>
    <w:tmpl w:val="2B7CC2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4FFA74F5"/>
    <w:multiLevelType w:val="hybridMultilevel"/>
    <w:tmpl w:val="6FC0BA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5D623B5B"/>
    <w:multiLevelType w:val="hybridMultilevel"/>
    <w:tmpl w:val="A26200C4"/>
    <w:lvl w:ilvl="0" w:tplc="0C09000F">
      <w:start w:val="1"/>
      <w:numFmt w:val="decimal"/>
      <w:lvlText w:val="%1."/>
      <w:lvlJc w:val="left"/>
      <w:pPr>
        <w:ind w:left="364" w:hanging="360"/>
      </w:pPr>
    </w:lvl>
    <w:lvl w:ilvl="1" w:tplc="0C090019" w:tentative="1">
      <w:start w:val="1"/>
      <w:numFmt w:val="lowerLetter"/>
      <w:lvlText w:val="%2."/>
      <w:lvlJc w:val="left"/>
      <w:pPr>
        <w:ind w:left="1084" w:hanging="360"/>
      </w:pPr>
    </w:lvl>
    <w:lvl w:ilvl="2" w:tplc="0C09001B" w:tentative="1">
      <w:start w:val="1"/>
      <w:numFmt w:val="lowerRoman"/>
      <w:lvlText w:val="%3."/>
      <w:lvlJc w:val="right"/>
      <w:pPr>
        <w:ind w:left="1804" w:hanging="180"/>
      </w:pPr>
    </w:lvl>
    <w:lvl w:ilvl="3" w:tplc="0C09000F" w:tentative="1">
      <w:start w:val="1"/>
      <w:numFmt w:val="decimal"/>
      <w:lvlText w:val="%4."/>
      <w:lvlJc w:val="left"/>
      <w:pPr>
        <w:ind w:left="2524" w:hanging="360"/>
      </w:pPr>
    </w:lvl>
    <w:lvl w:ilvl="4" w:tplc="0C090019" w:tentative="1">
      <w:start w:val="1"/>
      <w:numFmt w:val="lowerLetter"/>
      <w:lvlText w:val="%5."/>
      <w:lvlJc w:val="left"/>
      <w:pPr>
        <w:ind w:left="3244" w:hanging="360"/>
      </w:pPr>
    </w:lvl>
    <w:lvl w:ilvl="5" w:tplc="0C09001B" w:tentative="1">
      <w:start w:val="1"/>
      <w:numFmt w:val="lowerRoman"/>
      <w:lvlText w:val="%6."/>
      <w:lvlJc w:val="right"/>
      <w:pPr>
        <w:ind w:left="3964" w:hanging="180"/>
      </w:pPr>
    </w:lvl>
    <w:lvl w:ilvl="6" w:tplc="0C09000F" w:tentative="1">
      <w:start w:val="1"/>
      <w:numFmt w:val="decimal"/>
      <w:lvlText w:val="%7."/>
      <w:lvlJc w:val="left"/>
      <w:pPr>
        <w:ind w:left="4684" w:hanging="360"/>
      </w:pPr>
    </w:lvl>
    <w:lvl w:ilvl="7" w:tplc="0C090019" w:tentative="1">
      <w:start w:val="1"/>
      <w:numFmt w:val="lowerLetter"/>
      <w:lvlText w:val="%8."/>
      <w:lvlJc w:val="left"/>
      <w:pPr>
        <w:ind w:left="5404" w:hanging="360"/>
      </w:pPr>
    </w:lvl>
    <w:lvl w:ilvl="8" w:tplc="0C09001B" w:tentative="1">
      <w:start w:val="1"/>
      <w:numFmt w:val="lowerRoman"/>
      <w:lvlText w:val="%9."/>
      <w:lvlJc w:val="right"/>
      <w:pPr>
        <w:ind w:left="6124" w:hanging="180"/>
      </w:pPr>
    </w:lvl>
  </w:abstractNum>
  <w:abstractNum w:abstractNumId="12">
    <w:nsid w:val="60670FBB"/>
    <w:multiLevelType w:val="hybridMultilevel"/>
    <w:tmpl w:val="32A2BF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62231519"/>
    <w:multiLevelType w:val="hybridMultilevel"/>
    <w:tmpl w:val="2A229E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62CA1847"/>
    <w:multiLevelType w:val="hybridMultilevel"/>
    <w:tmpl w:val="A5F890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5082493"/>
    <w:multiLevelType w:val="hybridMultilevel"/>
    <w:tmpl w:val="991AF6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6B817AC9"/>
    <w:multiLevelType w:val="hybridMultilevel"/>
    <w:tmpl w:val="9C1C5B5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742D3581"/>
    <w:multiLevelType w:val="hybridMultilevel"/>
    <w:tmpl w:val="7652A9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70124BA"/>
    <w:multiLevelType w:val="hybridMultilevel"/>
    <w:tmpl w:val="2CCE22C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77623805"/>
    <w:multiLevelType w:val="hybridMultilevel"/>
    <w:tmpl w:val="9AA680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793A6712"/>
    <w:multiLevelType w:val="hybridMultilevel"/>
    <w:tmpl w:val="F45E6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AAB3244"/>
    <w:multiLevelType w:val="hybridMultilevel"/>
    <w:tmpl w:val="3DEAA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DF31D7C"/>
    <w:multiLevelType w:val="hybridMultilevel"/>
    <w:tmpl w:val="E53A8D72"/>
    <w:lvl w:ilvl="0" w:tplc="22B848D0">
      <w:start w:val="4"/>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21"/>
  </w:num>
  <w:num w:numId="2">
    <w:abstractNumId w:val="18"/>
  </w:num>
  <w:num w:numId="3">
    <w:abstractNumId w:val="10"/>
  </w:num>
  <w:num w:numId="4">
    <w:abstractNumId w:val="9"/>
  </w:num>
  <w:num w:numId="5">
    <w:abstractNumId w:val="4"/>
  </w:num>
  <w:num w:numId="6">
    <w:abstractNumId w:val="7"/>
  </w:num>
  <w:num w:numId="7">
    <w:abstractNumId w:val="0"/>
  </w:num>
  <w:num w:numId="8">
    <w:abstractNumId w:val="17"/>
  </w:num>
  <w:num w:numId="9">
    <w:abstractNumId w:val="22"/>
  </w:num>
  <w:num w:numId="10">
    <w:abstractNumId w:val="11"/>
  </w:num>
  <w:num w:numId="11">
    <w:abstractNumId w:val="14"/>
  </w:num>
  <w:num w:numId="12">
    <w:abstractNumId w:val="16"/>
  </w:num>
  <w:num w:numId="13">
    <w:abstractNumId w:val="8"/>
  </w:num>
  <w:num w:numId="14">
    <w:abstractNumId w:val="6"/>
  </w:num>
  <w:num w:numId="15">
    <w:abstractNumId w:val="1"/>
  </w:num>
  <w:num w:numId="16">
    <w:abstractNumId w:val="15"/>
  </w:num>
  <w:num w:numId="17">
    <w:abstractNumId w:val="12"/>
  </w:num>
  <w:num w:numId="18">
    <w:abstractNumId w:val="5"/>
  </w:num>
  <w:num w:numId="19">
    <w:abstractNumId w:val="13"/>
  </w:num>
  <w:num w:numId="20">
    <w:abstractNumId w:val="2"/>
  </w:num>
  <w:num w:numId="21">
    <w:abstractNumId w:val="20"/>
  </w:num>
  <w:num w:numId="22">
    <w:abstractNumId w:val="1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C2A"/>
    <w:rsid w:val="00040AD4"/>
    <w:rsid w:val="00042632"/>
    <w:rsid w:val="00042BBD"/>
    <w:rsid w:val="000611C2"/>
    <w:rsid w:val="00061550"/>
    <w:rsid w:val="00062298"/>
    <w:rsid w:val="00071BC4"/>
    <w:rsid w:val="00072DC0"/>
    <w:rsid w:val="000746FD"/>
    <w:rsid w:val="00076F04"/>
    <w:rsid w:val="00095BBE"/>
    <w:rsid w:val="00096AF2"/>
    <w:rsid w:val="00097077"/>
    <w:rsid w:val="000A360C"/>
    <w:rsid w:val="000B57B8"/>
    <w:rsid w:val="000C3E74"/>
    <w:rsid w:val="000D5B44"/>
    <w:rsid w:val="00100631"/>
    <w:rsid w:val="0010202D"/>
    <w:rsid w:val="00104641"/>
    <w:rsid w:val="001148A2"/>
    <w:rsid w:val="00120FC4"/>
    <w:rsid w:val="00122079"/>
    <w:rsid w:val="001336D3"/>
    <w:rsid w:val="00134949"/>
    <w:rsid w:val="001417C0"/>
    <w:rsid w:val="00145716"/>
    <w:rsid w:val="001562C7"/>
    <w:rsid w:val="00160DE1"/>
    <w:rsid w:val="00165954"/>
    <w:rsid w:val="0016719E"/>
    <w:rsid w:val="00171FC6"/>
    <w:rsid w:val="001751AE"/>
    <w:rsid w:val="00180AA5"/>
    <w:rsid w:val="001917D2"/>
    <w:rsid w:val="0019427E"/>
    <w:rsid w:val="001A46BA"/>
    <w:rsid w:val="001B562A"/>
    <w:rsid w:val="001D071D"/>
    <w:rsid w:val="001E217A"/>
    <w:rsid w:val="002002AD"/>
    <w:rsid w:val="00203AC3"/>
    <w:rsid w:val="00204078"/>
    <w:rsid w:val="002042FE"/>
    <w:rsid w:val="00217116"/>
    <w:rsid w:val="00226B17"/>
    <w:rsid w:val="00232452"/>
    <w:rsid w:val="00232B3A"/>
    <w:rsid w:val="00233F92"/>
    <w:rsid w:val="002449CE"/>
    <w:rsid w:val="00246A91"/>
    <w:rsid w:val="002535BF"/>
    <w:rsid w:val="0026166B"/>
    <w:rsid w:val="002667C1"/>
    <w:rsid w:val="002928A2"/>
    <w:rsid w:val="002B7EA4"/>
    <w:rsid w:val="002D6D2B"/>
    <w:rsid w:val="002E5FEE"/>
    <w:rsid w:val="002F46A4"/>
    <w:rsid w:val="002F7BBF"/>
    <w:rsid w:val="003229BC"/>
    <w:rsid w:val="00333C7E"/>
    <w:rsid w:val="00343EFB"/>
    <w:rsid w:val="003537ED"/>
    <w:rsid w:val="003600B4"/>
    <w:rsid w:val="003614D7"/>
    <w:rsid w:val="00364AE5"/>
    <w:rsid w:val="003709B0"/>
    <w:rsid w:val="00373872"/>
    <w:rsid w:val="00387327"/>
    <w:rsid w:val="003A1D02"/>
    <w:rsid w:val="003A7B9D"/>
    <w:rsid w:val="003B1FAA"/>
    <w:rsid w:val="003B550D"/>
    <w:rsid w:val="003C3138"/>
    <w:rsid w:val="003C562D"/>
    <w:rsid w:val="003C67E0"/>
    <w:rsid w:val="003D6D55"/>
    <w:rsid w:val="003E62E7"/>
    <w:rsid w:val="003F07D3"/>
    <w:rsid w:val="003F353F"/>
    <w:rsid w:val="00404CDB"/>
    <w:rsid w:val="004077E4"/>
    <w:rsid w:val="00416433"/>
    <w:rsid w:val="00417814"/>
    <w:rsid w:val="00421175"/>
    <w:rsid w:val="00425A65"/>
    <w:rsid w:val="00435545"/>
    <w:rsid w:val="00442532"/>
    <w:rsid w:val="00442927"/>
    <w:rsid w:val="00450FBB"/>
    <w:rsid w:val="00453F76"/>
    <w:rsid w:val="00460AB3"/>
    <w:rsid w:val="00495BFF"/>
    <w:rsid w:val="004A17B0"/>
    <w:rsid w:val="004A74D1"/>
    <w:rsid w:val="004C685B"/>
    <w:rsid w:val="004D231F"/>
    <w:rsid w:val="004D2591"/>
    <w:rsid w:val="004F3D38"/>
    <w:rsid w:val="004F66C1"/>
    <w:rsid w:val="0050171C"/>
    <w:rsid w:val="00507527"/>
    <w:rsid w:val="00521014"/>
    <w:rsid w:val="00533823"/>
    <w:rsid w:val="00535C55"/>
    <w:rsid w:val="00536A6B"/>
    <w:rsid w:val="00550A3A"/>
    <w:rsid w:val="00562ABF"/>
    <w:rsid w:val="00567402"/>
    <w:rsid w:val="00587787"/>
    <w:rsid w:val="00590197"/>
    <w:rsid w:val="005A61CD"/>
    <w:rsid w:val="005B07F9"/>
    <w:rsid w:val="005C10CC"/>
    <w:rsid w:val="005C1545"/>
    <w:rsid w:val="0060265E"/>
    <w:rsid w:val="00602986"/>
    <w:rsid w:val="006045E6"/>
    <w:rsid w:val="006073E4"/>
    <w:rsid w:val="00624419"/>
    <w:rsid w:val="00626008"/>
    <w:rsid w:val="00634813"/>
    <w:rsid w:val="00640BB6"/>
    <w:rsid w:val="0064237C"/>
    <w:rsid w:val="00654A9E"/>
    <w:rsid w:val="00656323"/>
    <w:rsid w:val="00662F1F"/>
    <w:rsid w:val="00666A2A"/>
    <w:rsid w:val="00671383"/>
    <w:rsid w:val="0067308F"/>
    <w:rsid w:val="00673908"/>
    <w:rsid w:val="0067396D"/>
    <w:rsid w:val="006900AD"/>
    <w:rsid w:val="006A1E93"/>
    <w:rsid w:val="006A344D"/>
    <w:rsid w:val="006A7DF9"/>
    <w:rsid w:val="006B4DF8"/>
    <w:rsid w:val="006B606D"/>
    <w:rsid w:val="006B6CF7"/>
    <w:rsid w:val="006D14DB"/>
    <w:rsid w:val="006F5B16"/>
    <w:rsid w:val="007227F0"/>
    <w:rsid w:val="007432AC"/>
    <w:rsid w:val="0074356C"/>
    <w:rsid w:val="00765267"/>
    <w:rsid w:val="0076735F"/>
    <w:rsid w:val="00770812"/>
    <w:rsid w:val="00781E22"/>
    <w:rsid w:val="00784298"/>
    <w:rsid w:val="00786CAA"/>
    <w:rsid w:val="007A1150"/>
    <w:rsid w:val="007A482A"/>
    <w:rsid w:val="007A4B1D"/>
    <w:rsid w:val="007B05EA"/>
    <w:rsid w:val="007B51EC"/>
    <w:rsid w:val="007B52A3"/>
    <w:rsid w:val="007B535B"/>
    <w:rsid w:val="007C3203"/>
    <w:rsid w:val="007D233A"/>
    <w:rsid w:val="007F1B27"/>
    <w:rsid w:val="007F4687"/>
    <w:rsid w:val="00801F85"/>
    <w:rsid w:val="008045BE"/>
    <w:rsid w:val="00815060"/>
    <w:rsid w:val="00826DAB"/>
    <w:rsid w:val="00832648"/>
    <w:rsid w:val="00835CB5"/>
    <w:rsid w:val="0084063E"/>
    <w:rsid w:val="008424C9"/>
    <w:rsid w:val="00843730"/>
    <w:rsid w:val="008508AF"/>
    <w:rsid w:val="008513A5"/>
    <w:rsid w:val="00877F4D"/>
    <w:rsid w:val="00887BC9"/>
    <w:rsid w:val="008903C5"/>
    <w:rsid w:val="0089114A"/>
    <w:rsid w:val="00893176"/>
    <w:rsid w:val="008A5407"/>
    <w:rsid w:val="008A790C"/>
    <w:rsid w:val="008B0A43"/>
    <w:rsid w:val="008C5EFB"/>
    <w:rsid w:val="008D4FCF"/>
    <w:rsid w:val="008D78FD"/>
    <w:rsid w:val="008E2E65"/>
    <w:rsid w:val="008E39CF"/>
    <w:rsid w:val="008E6838"/>
    <w:rsid w:val="008F3119"/>
    <w:rsid w:val="00902B55"/>
    <w:rsid w:val="009161C0"/>
    <w:rsid w:val="00917AE1"/>
    <w:rsid w:val="00917D43"/>
    <w:rsid w:val="00943C8A"/>
    <w:rsid w:val="00944CCD"/>
    <w:rsid w:val="0096039E"/>
    <w:rsid w:val="00967013"/>
    <w:rsid w:val="00974273"/>
    <w:rsid w:val="0097551B"/>
    <w:rsid w:val="0097755B"/>
    <w:rsid w:val="009D3F00"/>
    <w:rsid w:val="009D7248"/>
    <w:rsid w:val="009E7E06"/>
    <w:rsid w:val="009F184E"/>
    <w:rsid w:val="009F6152"/>
    <w:rsid w:val="00A05E67"/>
    <w:rsid w:val="00A073F0"/>
    <w:rsid w:val="00A14EDC"/>
    <w:rsid w:val="00A20B99"/>
    <w:rsid w:val="00A27489"/>
    <w:rsid w:val="00A403D3"/>
    <w:rsid w:val="00A420F8"/>
    <w:rsid w:val="00A63A62"/>
    <w:rsid w:val="00A67C3E"/>
    <w:rsid w:val="00A75559"/>
    <w:rsid w:val="00A80AE6"/>
    <w:rsid w:val="00A9190E"/>
    <w:rsid w:val="00A970BA"/>
    <w:rsid w:val="00AA5886"/>
    <w:rsid w:val="00AB366D"/>
    <w:rsid w:val="00AB503D"/>
    <w:rsid w:val="00AC1C2A"/>
    <w:rsid w:val="00AC2FEC"/>
    <w:rsid w:val="00AD136B"/>
    <w:rsid w:val="00AE44E5"/>
    <w:rsid w:val="00AF068D"/>
    <w:rsid w:val="00B13456"/>
    <w:rsid w:val="00B1545B"/>
    <w:rsid w:val="00B171DE"/>
    <w:rsid w:val="00B21B37"/>
    <w:rsid w:val="00B234E6"/>
    <w:rsid w:val="00B2714E"/>
    <w:rsid w:val="00B354BB"/>
    <w:rsid w:val="00B406BB"/>
    <w:rsid w:val="00B60BA1"/>
    <w:rsid w:val="00B6268D"/>
    <w:rsid w:val="00B65FBA"/>
    <w:rsid w:val="00B72EF9"/>
    <w:rsid w:val="00B77438"/>
    <w:rsid w:val="00B777C3"/>
    <w:rsid w:val="00B77CFF"/>
    <w:rsid w:val="00BE3134"/>
    <w:rsid w:val="00BE69E9"/>
    <w:rsid w:val="00BF24A7"/>
    <w:rsid w:val="00BF3450"/>
    <w:rsid w:val="00BF3C60"/>
    <w:rsid w:val="00BF7E36"/>
    <w:rsid w:val="00C04637"/>
    <w:rsid w:val="00C14913"/>
    <w:rsid w:val="00C16243"/>
    <w:rsid w:val="00C1742B"/>
    <w:rsid w:val="00C21A33"/>
    <w:rsid w:val="00C271BB"/>
    <w:rsid w:val="00C31EF6"/>
    <w:rsid w:val="00C3555D"/>
    <w:rsid w:val="00C36B13"/>
    <w:rsid w:val="00C678CC"/>
    <w:rsid w:val="00C67EEC"/>
    <w:rsid w:val="00C713AF"/>
    <w:rsid w:val="00C72D6E"/>
    <w:rsid w:val="00C825C3"/>
    <w:rsid w:val="00C8287A"/>
    <w:rsid w:val="00C92135"/>
    <w:rsid w:val="00C92BB5"/>
    <w:rsid w:val="00CA5B27"/>
    <w:rsid w:val="00CB1D66"/>
    <w:rsid w:val="00CB7284"/>
    <w:rsid w:val="00CC224B"/>
    <w:rsid w:val="00CC4750"/>
    <w:rsid w:val="00CE0AA6"/>
    <w:rsid w:val="00CE1796"/>
    <w:rsid w:val="00CE2848"/>
    <w:rsid w:val="00CF3A6E"/>
    <w:rsid w:val="00D154F7"/>
    <w:rsid w:val="00D30211"/>
    <w:rsid w:val="00D3505B"/>
    <w:rsid w:val="00D3523C"/>
    <w:rsid w:val="00D41148"/>
    <w:rsid w:val="00D42B3F"/>
    <w:rsid w:val="00D43946"/>
    <w:rsid w:val="00D5476C"/>
    <w:rsid w:val="00D629A1"/>
    <w:rsid w:val="00D66E3A"/>
    <w:rsid w:val="00D75F8D"/>
    <w:rsid w:val="00D86DAE"/>
    <w:rsid w:val="00DB09E9"/>
    <w:rsid w:val="00DC0348"/>
    <w:rsid w:val="00DD75D3"/>
    <w:rsid w:val="00DD78F4"/>
    <w:rsid w:val="00DE2681"/>
    <w:rsid w:val="00E009F6"/>
    <w:rsid w:val="00E0495B"/>
    <w:rsid w:val="00E22510"/>
    <w:rsid w:val="00E24433"/>
    <w:rsid w:val="00E27DDE"/>
    <w:rsid w:val="00E3176B"/>
    <w:rsid w:val="00E42233"/>
    <w:rsid w:val="00E50DDE"/>
    <w:rsid w:val="00E53760"/>
    <w:rsid w:val="00E64FDB"/>
    <w:rsid w:val="00E72B28"/>
    <w:rsid w:val="00E76FBE"/>
    <w:rsid w:val="00E87D32"/>
    <w:rsid w:val="00E90D58"/>
    <w:rsid w:val="00E95D08"/>
    <w:rsid w:val="00EB2238"/>
    <w:rsid w:val="00EB5EBD"/>
    <w:rsid w:val="00EB646D"/>
    <w:rsid w:val="00EC0059"/>
    <w:rsid w:val="00EC0BC2"/>
    <w:rsid w:val="00EC4820"/>
    <w:rsid w:val="00EC7373"/>
    <w:rsid w:val="00EE0872"/>
    <w:rsid w:val="00EE4273"/>
    <w:rsid w:val="00EF19F4"/>
    <w:rsid w:val="00F20B05"/>
    <w:rsid w:val="00F35C1E"/>
    <w:rsid w:val="00F41AB8"/>
    <w:rsid w:val="00F46085"/>
    <w:rsid w:val="00F5098F"/>
    <w:rsid w:val="00F5310E"/>
    <w:rsid w:val="00F55969"/>
    <w:rsid w:val="00F62865"/>
    <w:rsid w:val="00F80B8E"/>
    <w:rsid w:val="00F825AC"/>
    <w:rsid w:val="00F84BFC"/>
    <w:rsid w:val="00F8572F"/>
    <w:rsid w:val="00F865DB"/>
    <w:rsid w:val="00F87745"/>
    <w:rsid w:val="00F90F16"/>
    <w:rsid w:val="00F9258C"/>
    <w:rsid w:val="00F966A3"/>
    <w:rsid w:val="00FB216F"/>
    <w:rsid w:val="00FB2712"/>
    <w:rsid w:val="00FB4D3E"/>
    <w:rsid w:val="00FC0203"/>
    <w:rsid w:val="00FC629A"/>
    <w:rsid w:val="00FC7C8A"/>
    <w:rsid w:val="00FD0361"/>
    <w:rsid w:val="00FE0D06"/>
    <w:rsid w:val="00FF40EE"/>
    <w:rsid w:val="00FF46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1C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C1C2A"/>
  </w:style>
  <w:style w:type="paragraph" w:styleId="Footer">
    <w:name w:val="footer"/>
    <w:basedOn w:val="Normal"/>
    <w:link w:val="FooterChar"/>
    <w:uiPriority w:val="99"/>
    <w:unhideWhenUsed/>
    <w:rsid w:val="00AC1C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C2A"/>
  </w:style>
  <w:style w:type="paragraph" w:styleId="BalloonText">
    <w:name w:val="Balloon Text"/>
    <w:basedOn w:val="Normal"/>
    <w:link w:val="BalloonTextChar"/>
    <w:uiPriority w:val="99"/>
    <w:semiHidden/>
    <w:unhideWhenUsed/>
    <w:rsid w:val="00AC1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C2A"/>
    <w:rPr>
      <w:rFonts w:ascii="Tahoma" w:hAnsi="Tahoma" w:cs="Tahoma"/>
      <w:sz w:val="16"/>
      <w:szCs w:val="16"/>
    </w:rPr>
  </w:style>
  <w:style w:type="paragraph" w:styleId="FootnoteText">
    <w:name w:val="footnote text"/>
    <w:basedOn w:val="Normal"/>
    <w:link w:val="FootnoteTextChar"/>
    <w:uiPriority w:val="99"/>
    <w:semiHidden/>
    <w:unhideWhenUsed/>
    <w:rsid w:val="00364A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4AE5"/>
    <w:rPr>
      <w:sz w:val="20"/>
      <w:szCs w:val="20"/>
    </w:rPr>
  </w:style>
  <w:style w:type="character" w:styleId="FootnoteReference">
    <w:name w:val="footnote reference"/>
    <w:basedOn w:val="DefaultParagraphFont"/>
    <w:unhideWhenUsed/>
    <w:rsid w:val="00364AE5"/>
    <w:rPr>
      <w:vertAlign w:val="superscript"/>
    </w:rPr>
  </w:style>
  <w:style w:type="paragraph" w:styleId="ListParagraph">
    <w:name w:val="List Paragraph"/>
    <w:aliases w:val="Recommendation"/>
    <w:basedOn w:val="Normal"/>
    <w:link w:val="ListParagraphChar"/>
    <w:uiPriority w:val="34"/>
    <w:qFormat/>
    <w:rsid w:val="00364AE5"/>
    <w:pPr>
      <w:ind w:left="720"/>
      <w:contextualSpacing/>
    </w:pPr>
  </w:style>
  <w:style w:type="table" w:styleId="TableGrid">
    <w:name w:val="Table Grid"/>
    <w:basedOn w:val="TableNormal"/>
    <w:uiPriority w:val="59"/>
    <w:rsid w:val="00120F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Recommendation Char"/>
    <w:basedOn w:val="DefaultParagraphFont"/>
    <w:link w:val="ListParagraph"/>
    <w:uiPriority w:val="34"/>
    <w:locked/>
    <w:rsid w:val="00104641"/>
  </w:style>
  <w:style w:type="character" w:styleId="CommentReference">
    <w:name w:val="annotation reference"/>
    <w:basedOn w:val="DefaultParagraphFont"/>
    <w:uiPriority w:val="99"/>
    <w:semiHidden/>
    <w:unhideWhenUsed/>
    <w:rsid w:val="00104641"/>
    <w:rPr>
      <w:sz w:val="16"/>
      <w:szCs w:val="16"/>
    </w:rPr>
  </w:style>
  <w:style w:type="paragraph" w:styleId="CommentText">
    <w:name w:val="annotation text"/>
    <w:basedOn w:val="Normal"/>
    <w:link w:val="CommentTextChar"/>
    <w:uiPriority w:val="99"/>
    <w:semiHidden/>
    <w:unhideWhenUsed/>
    <w:rsid w:val="00104641"/>
    <w:pPr>
      <w:spacing w:after="0" w:line="240" w:lineRule="auto"/>
    </w:pPr>
    <w:rPr>
      <w:rFonts w:ascii="Arial" w:hAnsi="Arial" w:cs="Arial"/>
      <w:sz w:val="20"/>
      <w:szCs w:val="20"/>
    </w:rPr>
  </w:style>
  <w:style w:type="character" w:customStyle="1" w:styleId="CommentTextChar">
    <w:name w:val="Comment Text Char"/>
    <w:basedOn w:val="DefaultParagraphFont"/>
    <w:link w:val="CommentText"/>
    <w:uiPriority w:val="99"/>
    <w:semiHidden/>
    <w:rsid w:val="00104641"/>
    <w:rPr>
      <w:rFonts w:ascii="Arial" w:hAnsi="Arial" w:cs="Arial"/>
      <w:sz w:val="20"/>
      <w:szCs w:val="20"/>
    </w:rPr>
  </w:style>
  <w:style w:type="character" w:styleId="Hyperlink">
    <w:name w:val="Hyperlink"/>
    <w:basedOn w:val="DefaultParagraphFont"/>
    <w:uiPriority w:val="99"/>
    <w:unhideWhenUsed/>
    <w:rsid w:val="00EC7373"/>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590197"/>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590197"/>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1C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C1C2A"/>
  </w:style>
  <w:style w:type="paragraph" w:styleId="Footer">
    <w:name w:val="footer"/>
    <w:basedOn w:val="Normal"/>
    <w:link w:val="FooterChar"/>
    <w:uiPriority w:val="99"/>
    <w:unhideWhenUsed/>
    <w:rsid w:val="00AC1C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C2A"/>
  </w:style>
  <w:style w:type="paragraph" w:styleId="BalloonText">
    <w:name w:val="Balloon Text"/>
    <w:basedOn w:val="Normal"/>
    <w:link w:val="BalloonTextChar"/>
    <w:uiPriority w:val="99"/>
    <w:semiHidden/>
    <w:unhideWhenUsed/>
    <w:rsid w:val="00AC1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C2A"/>
    <w:rPr>
      <w:rFonts w:ascii="Tahoma" w:hAnsi="Tahoma" w:cs="Tahoma"/>
      <w:sz w:val="16"/>
      <w:szCs w:val="16"/>
    </w:rPr>
  </w:style>
  <w:style w:type="paragraph" w:styleId="FootnoteText">
    <w:name w:val="footnote text"/>
    <w:basedOn w:val="Normal"/>
    <w:link w:val="FootnoteTextChar"/>
    <w:uiPriority w:val="99"/>
    <w:semiHidden/>
    <w:unhideWhenUsed/>
    <w:rsid w:val="00364A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4AE5"/>
    <w:rPr>
      <w:sz w:val="20"/>
      <w:szCs w:val="20"/>
    </w:rPr>
  </w:style>
  <w:style w:type="character" w:styleId="FootnoteReference">
    <w:name w:val="footnote reference"/>
    <w:basedOn w:val="DefaultParagraphFont"/>
    <w:unhideWhenUsed/>
    <w:rsid w:val="00364AE5"/>
    <w:rPr>
      <w:vertAlign w:val="superscript"/>
    </w:rPr>
  </w:style>
  <w:style w:type="paragraph" w:styleId="ListParagraph">
    <w:name w:val="List Paragraph"/>
    <w:aliases w:val="Recommendation"/>
    <w:basedOn w:val="Normal"/>
    <w:link w:val="ListParagraphChar"/>
    <w:uiPriority w:val="34"/>
    <w:qFormat/>
    <w:rsid w:val="00364AE5"/>
    <w:pPr>
      <w:ind w:left="720"/>
      <w:contextualSpacing/>
    </w:pPr>
  </w:style>
  <w:style w:type="table" w:styleId="TableGrid">
    <w:name w:val="Table Grid"/>
    <w:basedOn w:val="TableNormal"/>
    <w:uiPriority w:val="59"/>
    <w:rsid w:val="00120F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Recommendation Char"/>
    <w:basedOn w:val="DefaultParagraphFont"/>
    <w:link w:val="ListParagraph"/>
    <w:uiPriority w:val="34"/>
    <w:locked/>
    <w:rsid w:val="00104641"/>
  </w:style>
  <w:style w:type="character" w:styleId="CommentReference">
    <w:name w:val="annotation reference"/>
    <w:basedOn w:val="DefaultParagraphFont"/>
    <w:uiPriority w:val="99"/>
    <w:semiHidden/>
    <w:unhideWhenUsed/>
    <w:rsid w:val="00104641"/>
    <w:rPr>
      <w:sz w:val="16"/>
      <w:szCs w:val="16"/>
    </w:rPr>
  </w:style>
  <w:style w:type="paragraph" w:styleId="CommentText">
    <w:name w:val="annotation text"/>
    <w:basedOn w:val="Normal"/>
    <w:link w:val="CommentTextChar"/>
    <w:uiPriority w:val="99"/>
    <w:semiHidden/>
    <w:unhideWhenUsed/>
    <w:rsid w:val="00104641"/>
    <w:pPr>
      <w:spacing w:after="0" w:line="240" w:lineRule="auto"/>
    </w:pPr>
    <w:rPr>
      <w:rFonts w:ascii="Arial" w:hAnsi="Arial" w:cs="Arial"/>
      <w:sz w:val="20"/>
      <w:szCs w:val="20"/>
    </w:rPr>
  </w:style>
  <w:style w:type="character" w:customStyle="1" w:styleId="CommentTextChar">
    <w:name w:val="Comment Text Char"/>
    <w:basedOn w:val="DefaultParagraphFont"/>
    <w:link w:val="CommentText"/>
    <w:uiPriority w:val="99"/>
    <w:semiHidden/>
    <w:rsid w:val="00104641"/>
    <w:rPr>
      <w:rFonts w:ascii="Arial" w:hAnsi="Arial" w:cs="Arial"/>
      <w:sz w:val="20"/>
      <w:szCs w:val="20"/>
    </w:rPr>
  </w:style>
  <w:style w:type="character" w:styleId="Hyperlink">
    <w:name w:val="Hyperlink"/>
    <w:basedOn w:val="DefaultParagraphFont"/>
    <w:uiPriority w:val="99"/>
    <w:unhideWhenUsed/>
    <w:rsid w:val="00EC7373"/>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590197"/>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590197"/>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6715">
      <w:bodyDiv w:val="1"/>
      <w:marLeft w:val="0"/>
      <w:marRight w:val="0"/>
      <w:marTop w:val="0"/>
      <w:marBottom w:val="0"/>
      <w:divBdr>
        <w:top w:val="none" w:sz="0" w:space="0" w:color="auto"/>
        <w:left w:val="none" w:sz="0" w:space="0" w:color="auto"/>
        <w:bottom w:val="none" w:sz="0" w:space="0" w:color="auto"/>
        <w:right w:val="none" w:sz="0" w:space="0" w:color="auto"/>
      </w:divBdr>
    </w:div>
    <w:div w:id="15694336">
      <w:bodyDiv w:val="1"/>
      <w:marLeft w:val="0"/>
      <w:marRight w:val="0"/>
      <w:marTop w:val="0"/>
      <w:marBottom w:val="0"/>
      <w:divBdr>
        <w:top w:val="none" w:sz="0" w:space="0" w:color="auto"/>
        <w:left w:val="none" w:sz="0" w:space="0" w:color="auto"/>
        <w:bottom w:val="none" w:sz="0" w:space="0" w:color="auto"/>
        <w:right w:val="none" w:sz="0" w:space="0" w:color="auto"/>
      </w:divBdr>
    </w:div>
    <w:div w:id="67653843">
      <w:bodyDiv w:val="1"/>
      <w:marLeft w:val="0"/>
      <w:marRight w:val="0"/>
      <w:marTop w:val="0"/>
      <w:marBottom w:val="0"/>
      <w:divBdr>
        <w:top w:val="none" w:sz="0" w:space="0" w:color="auto"/>
        <w:left w:val="none" w:sz="0" w:space="0" w:color="auto"/>
        <w:bottom w:val="none" w:sz="0" w:space="0" w:color="auto"/>
        <w:right w:val="none" w:sz="0" w:space="0" w:color="auto"/>
      </w:divBdr>
    </w:div>
    <w:div w:id="124009017">
      <w:bodyDiv w:val="1"/>
      <w:marLeft w:val="0"/>
      <w:marRight w:val="0"/>
      <w:marTop w:val="0"/>
      <w:marBottom w:val="0"/>
      <w:divBdr>
        <w:top w:val="none" w:sz="0" w:space="0" w:color="auto"/>
        <w:left w:val="none" w:sz="0" w:space="0" w:color="auto"/>
        <w:bottom w:val="none" w:sz="0" w:space="0" w:color="auto"/>
        <w:right w:val="none" w:sz="0" w:space="0" w:color="auto"/>
      </w:divBdr>
    </w:div>
    <w:div w:id="141969127">
      <w:bodyDiv w:val="1"/>
      <w:marLeft w:val="0"/>
      <w:marRight w:val="0"/>
      <w:marTop w:val="0"/>
      <w:marBottom w:val="0"/>
      <w:divBdr>
        <w:top w:val="none" w:sz="0" w:space="0" w:color="auto"/>
        <w:left w:val="none" w:sz="0" w:space="0" w:color="auto"/>
        <w:bottom w:val="none" w:sz="0" w:space="0" w:color="auto"/>
        <w:right w:val="none" w:sz="0" w:space="0" w:color="auto"/>
      </w:divBdr>
    </w:div>
    <w:div w:id="156774802">
      <w:bodyDiv w:val="1"/>
      <w:marLeft w:val="0"/>
      <w:marRight w:val="0"/>
      <w:marTop w:val="0"/>
      <w:marBottom w:val="0"/>
      <w:divBdr>
        <w:top w:val="none" w:sz="0" w:space="0" w:color="auto"/>
        <w:left w:val="none" w:sz="0" w:space="0" w:color="auto"/>
        <w:bottom w:val="none" w:sz="0" w:space="0" w:color="auto"/>
        <w:right w:val="none" w:sz="0" w:space="0" w:color="auto"/>
      </w:divBdr>
    </w:div>
    <w:div w:id="161942347">
      <w:bodyDiv w:val="1"/>
      <w:marLeft w:val="0"/>
      <w:marRight w:val="0"/>
      <w:marTop w:val="0"/>
      <w:marBottom w:val="0"/>
      <w:divBdr>
        <w:top w:val="none" w:sz="0" w:space="0" w:color="auto"/>
        <w:left w:val="none" w:sz="0" w:space="0" w:color="auto"/>
        <w:bottom w:val="none" w:sz="0" w:space="0" w:color="auto"/>
        <w:right w:val="none" w:sz="0" w:space="0" w:color="auto"/>
      </w:divBdr>
    </w:div>
    <w:div w:id="185220348">
      <w:bodyDiv w:val="1"/>
      <w:marLeft w:val="0"/>
      <w:marRight w:val="0"/>
      <w:marTop w:val="0"/>
      <w:marBottom w:val="0"/>
      <w:divBdr>
        <w:top w:val="none" w:sz="0" w:space="0" w:color="auto"/>
        <w:left w:val="none" w:sz="0" w:space="0" w:color="auto"/>
        <w:bottom w:val="none" w:sz="0" w:space="0" w:color="auto"/>
        <w:right w:val="none" w:sz="0" w:space="0" w:color="auto"/>
      </w:divBdr>
    </w:div>
    <w:div w:id="238369456">
      <w:bodyDiv w:val="1"/>
      <w:marLeft w:val="0"/>
      <w:marRight w:val="0"/>
      <w:marTop w:val="0"/>
      <w:marBottom w:val="0"/>
      <w:divBdr>
        <w:top w:val="none" w:sz="0" w:space="0" w:color="auto"/>
        <w:left w:val="none" w:sz="0" w:space="0" w:color="auto"/>
        <w:bottom w:val="none" w:sz="0" w:space="0" w:color="auto"/>
        <w:right w:val="none" w:sz="0" w:space="0" w:color="auto"/>
      </w:divBdr>
    </w:div>
    <w:div w:id="320352807">
      <w:bodyDiv w:val="1"/>
      <w:marLeft w:val="0"/>
      <w:marRight w:val="0"/>
      <w:marTop w:val="0"/>
      <w:marBottom w:val="0"/>
      <w:divBdr>
        <w:top w:val="none" w:sz="0" w:space="0" w:color="auto"/>
        <w:left w:val="none" w:sz="0" w:space="0" w:color="auto"/>
        <w:bottom w:val="none" w:sz="0" w:space="0" w:color="auto"/>
        <w:right w:val="none" w:sz="0" w:space="0" w:color="auto"/>
      </w:divBdr>
    </w:div>
    <w:div w:id="334961457">
      <w:bodyDiv w:val="1"/>
      <w:marLeft w:val="0"/>
      <w:marRight w:val="0"/>
      <w:marTop w:val="0"/>
      <w:marBottom w:val="0"/>
      <w:divBdr>
        <w:top w:val="none" w:sz="0" w:space="0" w:color="auto"/>
        <w:left w:val="none" w:sz="0" w:space="0" w:color="auto"/>
        <w:bottom w:val="none" w:sz="0" w:space="0" w:color="auto"/>
        <w:right w:val="none" w:sz="0" w:space="0" w:color="auto"/>
      </w:divBdr>
    </w:div>
    <w:div w:id="549807470">
      <w:bodyDiv w:val="1"/>
      <w:marLeft w:val="0"/>
      <w:marRight w:val="0"/>
      <w:marTop w:val="0"/>
      <w:marBottom w:val="0"/>
      <w:divBdr>
        <w:top w:val="none" w:sz="0" w:space="0" w:color="auto"/>
        <w:left w:val="none" w:sz="0" w:space="0" w:color="auto"/>
        <w:bottom w:val="none" w:sz="0" w:space="0" w:color="auto"/>
        <w:right w:val="none" w:sz="0" w:space="0" w:color="auto"/>
      </w:divBdr>
    </w:div>
    <w:div w:id="595942677">
      <w:bodyDiv w:val="1"/>
      <w:marLeft w:val="0"/>
      <w:marRight w:val="0"/>
      <w:marTop w:val="0"/>
      <w:marBottom w:val="0"/>
      <w:divBdr>
        <w:top w:val="none" w:sz="0" w:space="0" w:color="auto"/>
        <w:left w:val="none" w:sz="0" w:space="0" w:color="auto"/>
        <w:bottom w:val="none" w:sz="0" w:space="0" w:color="auto"/>
        <w:right w:val="none" w:sz="0" w:space="0" w:color="auto"/>
      </w:divBdr>
    </w:div>
    <w:div w:id="674310050">
      <w:bodyDiv w:val="1"/>
      <w:marLeft w:val="0"/>
      <w:marRight w:val="0"/>
      <w:marTop w:val="0"/>
      <w:marBottom w:val="0"/>
      <w:divBdr>
        <w:top w:val="none" w:sz="0" w:space="0" w:color="auto"/>
        <w:left w:val="none" w:sz="0" w:space="0" w:color="auto"/>
        <w:bottom w:val="none" w:sz="0" w:space="0" w:color="auto"/>
        <w:right w:val="none" w:sz="0" w:space="0" w:color="auto"/>
      </w:divBdr>
    </w:div>
    <w:div w:id="705644750">
      <w:bodyDiv w:val="1"/>
      <w:marLeft w:val="0"/>
      <w:marRight w:val="0"/>
      <w:marTop w:val="0"/>
      <w:marBottom w:val="0"/>
      <w:divBdr>
        <w:top w:val="none" w:sz="0" w:space="0" w:color="auto"/>
        <w:left w:val="none" w:sz="0" w:space="0" w:color="auto"/>
        <w:bottom w:val="none" w:sz="0" w:space="0" w:color="auto"/>
        <w:right w:val="none" w:sz="0" w:space="0" w:color="auto"/>
      </w:divBdr>
    </w:div>
    <w:div w:id="740904600">
      <w:bodyDiv w:val="1"/>
      <w:marLeft w:val="0"/>
      <w:marRight w:val="0"/>
      <w:marTop w:val="0"/>
      <w:marBottom w:val="0"/>
      <w:divBdr>
        <w:top w:val="none" w:sz="0" w:space="0" w:color="auto"/>
        <w:left w:val="none" w:sz="0" w:space="0" w:color="auto"/>
        <w:bottom w:val="none" w:sz="0" w:space="0" w:color="auto"/>
        <w:right w:val="none" w:sz="0" w:space="0" w:color="auto"/>
      </w:divBdr>
    </w:div>
    <w:div w:id="827328912">
      <w:bodyDiv w:val="1"/>
      <w:marLeft w:val="0"/>
      <w:marRight w:val="0"/>
      <w:marTop w:val="0"/>
      <w:marBottom w:val="0"/>
      <w:divBdr>
        <w:top w:val="none" w:sz="0" w:space="0" w:color="auto"/>
        <w:left w:val="none" w:sz="0" w:space="0" w:color="auto"/>
        <w:bottom w:val="none" w:sz="0" w:space="0" w:color="auto"/>
        <w:right w:val="none" w:sz="0" w:space="0" w:color="auto"/>
      </w:divBdr>
    </w:div>
    <w:div w:id="834026792">
      <w:bodyDiv w:val="1"/>
      <w:marLeft w:val="0"/>
      <w:marRight w:val="0"/>
      <w:marTop w:val="0"/>
      <w:marBottom w:val="0"/>
      <w:divBdr>
        <w:top w:val="none" w:sz="0" w:space="0" w:color="auto"/>
        <w:left w:val="none" w:sz="0" w:space="0" w:color="auto"/>
        <w:bottom w:val="none" w:sz="0" w:space="0" w:color="auto"/>
        <w:right w:val="none" w:sz="0" w:space="0" w:color="auto"/>
      </w:divBdr>
    </w:div>
    <w:div w:id="879632100">
      <w:bodyDiv w:val="1"/>
      <w:marLeft w:val="0"/>
      <w:marRight w:val="0"/>
      <w:marTop w:val="0"/>
      <w:marBottom w:val="0"/>
      <w:divBdr>
        <w:top w:val="none" w:sz="0" w:space="0" w:color="auto"/>
        <w:left w:val="none" w:sz="0" w:space="0" w:color="auto"/>
        <w:bottom w:val="none" w:sz="0" w:space="0" w:color="auto"/>
        <w:right w:val="none" w:sz="0" w:space="0" w:color="auto"/>
      </w:divBdr>
    </w:div>
    <w:div w:id="988902524">
      <w:bodyDiv w:val="1"/>
      <w:marLeft w:val="0"/>
      <w:marRight w:val="0"/>
      <w:marTop w:val="0"/>
      <w:marBottom w:val="0"/>
      <w:divBdr>
        <w:top w:val="none" w:sz="0" w:space="0" w:color="auto"/>
        <w:left w:val="none" w:sz="0" w:space="0" w:color="auto"/>
        <w:bottom w:val="none" w:sz="0" w:space="0" w:color="auto"/>
        <w:right w:val="none" w:sz="0" w:space="0" w:color="auto"/>
      </w:divBdr>
    </w:div>
    <w:div w:id="1048384609">
      <w:bodyDiv w:val="1"/>
      <w:marLeft w:val="0"/>
      <w:marRight w:val="0"/>
      <w:marTop w:val="0"/>
      <w:marBottom w:val="0"/>
      <w:divBdr>
        <w:top w:val="none" w:sz="0" w:space="0" w:color="auto"/>
        <w:left w:val="none" w:sz="0" w:space="0" w:color="auto"/>
        <w:bottom w:val="none" w:sz="0" w:space="0" w:color="auto"/>
        <w:right w:val="none" w:sz="0" w:space="0" w:color="auto"/>
      </w:divBdr>
    </w:div>
    <w:div w:id="1095831836">
      <w:bodyDiv w:val="1"/>
      <w:marLeft w:val="0"/>
      <w:marRight w:val="0"/>
      <w:marTop w:val="0"/>
      <w:marBottom w:val="0"/>
      <w:divBdr>
        <w:top w:val="none" w:sz="0" w:space="0" w:color="auto"/>
        <w:left w:val="none" w:sz="0" w:space="0" w:color="auto"/>
        <w:bottom w:val="none" w:sz="0" w:space="0" w:color="auto"/>
        <w:right w:val="none" w:sz="0" w:space="0" w:color="auto"/>
      </w:divBdr>
    </w:div>
    <w:div w:id="1149204605">
      <w:bodyDiv w:val="1"/>
      <w:marLeft w:val="0"/>
      <w:marRight w:val="0"/>
      <w:marTop w:val="0"/>
      <w:marBottom w:val="0"/>
      <w:divBdr>
        <w:top w:val="none" w:sz="0" w:space="0" w:color="auto"/>
        <w:left w:val="none" w:sz="0" w:space="0" w:color="auto"/>
        <w:bottom w:val="none" w:sz="0" w:space="0" w:color="auto"/>
        <w:right w:val="none" w:sz="0" w:space="0" w:color="auto"/>
      </w:divBdr>
    </w:div>
    <w:div w:id="1178232098">
      <w:bodyDiv w:val="1"/>
      <w:marLeft w:val="0"/>
      <w:marRight w:val="0"/>
      <w:marTop w:val="0"/>
      <w:marBottom w:val="0"/>
      <w:divBdr>
        <w:top w:val="none" w:sz="0" w:space="0" w:color="auto"/>
        <w:left w:val="none" w:sz="0" w:space="0" w:color="auto"/>
        <w:bottom w:val="none" w:sz="0" w:space="0" w:color="auto"/>
        <w:right w:val="none" w:sz="0" w:space="0" w:color="auto"/>
      </w:divBdr>
    </w:div>
    <w:div w:id="1251815671">
      <w:bodyDiv w:val="1"/>
      <w:marLeft w:val="0"/>
      <w:marRight w:val="0"/>
      <w:marTop w:val="0"/>
      <w:marBottom w:val="0"/>
      <w:divBdr>
        <w:top w:val="none" w:sz="0" w:space="0" w:color="auto"/>
        <w:left w:val="none" w:sz="0" w:space="0" w:color="auto"/>
        <w:bottom w:val="none" w:sz="0" w:space="0" w:color="auto"/>
        <w:right w:val="none" w:sz="0" w:space="0" w:color="auto"/>
      </w:divBdr>
    </w:div>
    <w:div w:id="1315917167">
      <w:bodyDiv w:val="1"/>
      <w:marLeft w:val="0"/>
      <w:marRight w:val="0"/>
      <w:marTop w:val="0"/>
      <w:marBottom w:val="0"/>
      <w:divBdr>
        <w:top w:val="none" w:sz="0" w:space="0" w:color="auto"/>
        <w:left w:val="none" w:sz="0" w:space="0" w:color="auto"/>
        <w:bottom w:val="none" w:sz="0" w:space="0" w:color="auto"/>
        <w:right w:val="none" w:sz="0" w:space="0" w:color="auto"/>
      </w:divBdr>
    </w:div>
    <w:div w:id="1318388053">
      <w:bodyDiv w:val="1"/>
      <w:marLeft w:val="0"/>
      <w:marRight w:val="0"/>
      <w:marTop w:val="0"/>
      <w:marBottom w:val="0"/>
      <w:divBdr>
        <w:top w:val="none" w:sz="0" w:space="0" w:color="auto"/>
        <w:left w:val="none" w:sz="0" w:space="0" w:color="auto"/>
        <w:bottom w:val="none" w:sz="0" w:space="0" w:color="auto"/>
        <w:right w:val="none" w:sz="0" w:space="0" w:color="auto"/>
      </w:divBdr>
    </w:div>
    <w:div w:id="1329136081">
      <w:bodyDiv w:val="1"/>
      <w:marLeft w:val="0"/>
      <w:marRight w:val="0"/>
      <w:marTop w:val="0"/>
      <w:marBottom w:val="0"/>
      <w:divBdr>
        <w:top w:val="none" w:sz="0" w:space="0" w:color="auto"/>
        <w:left w:val="none" w:sz="0" w:space="0" w:color="auto"/>
        <w:bottom w:val="none" w:sz="0" w:space="0" w:color="auto"/>
        <w:right w:val="none" w:sz="0" w:space="0" w:color="auto"/>
      </w:divBdr>
    </w:div>
    <w:div w:id="1358503469">
      <w:bodyDiv w:val="1"/>
      <w:marLeft w:val="0"/>
      <w:marRight w:val="0"/>
      <w:marTop w:val="0"/>
      <w:marBottom w:val="0"/>
      <w:divBdr>
        <w:top w:val="none" w:sz="0" w:space="0" w:color="auto"/>
        <w:left w:val="none" w:sz="0" w:space="0" w:color="auto"/>
        <w:bottom w:val="none" w:sz="0" w:space="0" w:color="auto"/>
        <w:right w:val="none" w:sz="0" w:space="0" w:color="auto"/>
      </w:divBdr>
    </w:div>
    <w:div w:id="1395544205">
      <w:bodyDiv w:val="1"/>
      <w:marLeft w:val="0"/>
      <w:marRight w:val="0"/>
      <w:marTop w:val="0"/>
      <w:marBottom w:val="0"/>
      <w:divBdr>
        <w:top w:val="none" w:sz="0" w:space="0" w:color="auto"/>
        <w:left w:val="none" w:sz="0" w:space="0" w:color="auto"/>
        <w:bottom w:val="none" w:sz="0" w:space="0" w:color="auto"/>
        <w:right w:val="none" w:sz="0" w:space="0" w:color="auto"/>
      </w:divBdr>
    </w:div>
    <w:div w:id="1414158138">
      <w:bodyDiv w:val="1"/>
      <w:marLeft w:val="0"/>
      <w:marRight w:val="0"/>
      <w:marTop w:val="0"/>
      <w:marBottom w:val="0"/>
      <w:divBdr>
        <w:top w:val="none" w:sz="0" w:space="0" w:color="auto"/>
        <w:left w:val="none" w:sz="0" w:space="0" w:color="auto"/>
        <w:bottom w:val="none" w:sz="0" w:space="0" w:color="auto"/>
        <w:right w:val="none" w:sz="0" w:space="0" w:color="auto"/>
      </w:divBdr>
    </w:div>
    <w:div w:id="1473642912">
      <w:bodyDiv w:val="1"/>
      <w:marLeft w:val="0"/>
      <w:marRight w:val="0"/>
      <w:marTop w:val="0"/>
      <w:marBottom w:val="0"/>
      <w:divBdr>
        <w:top w:val="none" w:sz="0" w:space="0" w:color="auto"/>
        <w:left w:val="none" w:sz="0" w:space="0" w:color="auto"/>
        <w:bottom w:val="none" w:sz="0" w:space="0" w:color="auto"/>
        <w:right w:val="none" w:sz="0" w:space="0" w:color="auto"/>
      </w:divBdr>
    </w:div>
    <w:div w:id="1651598440">
      <w:bodyDiv w:val="1"/>
      <w:marLeft w:val="0"/>
      <w:marRight w:val="0"/>
      <w:marTop w:val="0"/>
      <w:marBottom w:val="0"/>
      <w:divBdr>
        <w:top w:val="none" w:sz="0" w:space="0" w:color="auto"/>
        <w:left w:val="none" w:sz="0" w:space="0" w:color="auto"/>
        <w:bottom w:val="none" w:sz="0" w:space="0" w:color="auto"/>
        <w:right w:val="none" w:sz="0" w:space="0" w:color="auto"/>
      </w:divBdr>
    </w:div>
    <w:div w:id="1656255490">
      <w:bodyDiv w:val="1"/>
      <w:marLeft w:val="0"/>
      <w:marRight w:val="0"/>
      <w:marTop w:val="0"/>
      <w:marBottom w:val="0"/>
      <w:divBdr>
        <w:top w:val="none" w:sz="0" w:space="0" w:color="auto"/>
        <w:left w:val="none" w:sz="0" w:space="0" w:color="auto"/>
        <w:bottom w:val="none" w:sz="0" w:space="0" w:color="auto"/>
        <w:right w:val="none" w:sz="0" w:space="0" w:color="auto"/>
      </w:divBdr>
    </w:div>
    <w:div w:id="1657807057">
      <w:bodyDiv w:val="1"/>
      <w:marLeft w:val="0"/>
      <w:marRight w:val="0"/>
      <w:marTop w:val="0"/>
      <w:marBottom w:val="0"/>
      <w:divBdr>
        <w:top w:val="none" w:sz="0" w:space="0" w:color="auto"/>
        <w:left w:val="none" w:sz="0" w:space="0" w:color="auto"/>
        <w:bottom w:val="none" w:sz="0" w:space="0" w:color="auto"/>
        <w:right w:val="none" w:sz="0" w:space="0" w:color="auto"/>
      </w:divBdr>
    </w:div>
    <w:div w:id="1672680588">
      <w:bodyDiv w:val="1"/>
      <w:marLeft w:val="0"/>
      <w:marRight w:val="0"/>
      <w:marTop w:val="0"/>
      <w:marBottom w:val="0"/>
      <w:divBdr>
        <w:top w:val="none" w:sz="0" w:space="0" w:color="auto"/>
        <w:left w:val="none" w:sz="0" w:space="0" w:color="auto"/>
        <w:bottom w:val="none" w:sz="0" w:space="0" w:color="auto"/>
        <w:right w:val="none" w:sz="0" w:space="0" w:color="auto"/>
      </w:divBdr>
    </w:div>
    <w:div w:id="1692217524">
      <w:bodyDiv w:val="1"/>
      <w:marLeft w:val="0"/>
      <w:marRight w:val="0"/>
      <w:marTop w:val="0"/>
      <w:marBottom w:val="0"/>
      <w:divBdr>
        <w:top w:val="none" w:sz="0" w:space="0" w:color="auto"/>
        <w:left w:val="none" w:sz="0" w:space="0" w:color="auto"/>
        <w:bottom w:val="none" w:sz="0" w:space="0" w:color="auto"/>
        <w:right w:val="none" w:sz="0" w:space="0" w:color="auto"/>
      </w:divBdr>
    </w:div>
    <w:div w:id="1843547152">
      <w:bodyDiv w:val="1"/>
      <w:marLeft w:val="0"/>
      <w:marRight w:val="0"/>
      <w:marTop w:val="0"/>
      <w:marBottom w:val="0"/>
      <w:divBdr>
        <w:top w:val="none" w:sz="0" w:space="0" w:color="auto"/>
        <w:left w:val="none" w:sz="0" w:space="0" w:color="auto"/>
        <w:bottom w:val="none" w:sz="0" w:space="0" w:color="auto"/>
        <w:right w:val="none" w:sz="0" w:space="0" w:color="auto"/>
      </w:divBdr>
    </w:div>
    <w:div w:id="1846246299">
      <w:bodyDiv w:val="1"/>
      <w:marLeft w:val="0"/>
      <w:marRight w:val="0"/>
      <w:marTop w:val="0"/>
      <w:marBottom w:val="0"/>
      <w:divBdr>
        <w:top w:val="none" w:sz="0" w:space="0" w:color="auto"/>
        <w:left w:val="none" w:sz="0" w:space="0" w:color="auto"/>
        <w:bottom w:val="none" w:sz="0" w:space="0" w:color="auto"/>
        <w:right w:val="none" w:sz="0" w:space="0" w:color="auto"/>
      </w:divBdr>
    </w:div>
    <w:div w:id="1920363631">
      <w:bodyDiv w:val="1"/>
      <w:marLeft w:val="0"/>
      <w:marRight w:val="0"/>
      <w:marTop w:val="0"/>
      <w:marBottom w:val="0"/>
      <w:divBdr>
        <w:top w:val="none" w:sz="0" w:space="0" w:color="auto"/>
        <w:left w:val="none" w:sz="0" w:space="0" w:color="auto"/>
        <w:bottom w:val="none" w:sz="0" w:space="0" w:color="auto"/>
        <w:right w:val="none" w:sz="0" w:space="0" w:color="auto"/>
      </w:divBdr>
    </w:div>
    <w:div w:id="1951233222">
      <w:bodyDiv w:val="1"/>
      <w:marLeft w:val="0"/>
      <w:marRight w:val="0"/>
      <w:marTop w:val="0"/>
      <w:marBottom w:val="0"/>
      <w:divBdr>
        <w:top w:val="none" w:sz="0" w:space="0" w:color="auto"/>
        <w:left w:val="none" w:sz="0" w:space="0" w:color="auto"/>
        <w:bottom w:val="none" w:sz="0" w:space="0" w:color="auto"/>
        <w:right w:val="none" w:sz="0" w:space="0" w:color="auto"/>
      </w:divBdr>
    </w:div>
    <w:div w:id="1984575565">
      <w:bodyDiv w:val="1"/>
      <w:marLeft w:val="0"/>
      <w:marRight w:val="0"/>
      <w:marTop w:val="0"/>
      <w:marBottom w:val="0"/>
      <w:divBdr>
        <w:top w:val="none" w:sz="0" w:space="0" w:color="auto"/>
        <w:left w:val="none" w:sz="0" w:space="0" w:color="auto"/>
        <w:bottom w:val="none" w:sz="0" w:space="0" w:color="auto"/>
        <w:right w:val="none" w:sz="0" w:space="0" w:color="auto"/>
      </w:divBdr>
    </w:div>
    <w:div w:id="2049140530">
      <w:bodyDiv w:val="1"/>
      <w:marLeft w:val="0"/>
      <w:marRight w:val="0"/>
      <w:marTop w:val="0"/>
      <w:marBottom w:val="0"/>
      <w:divBdr>
        <w:top w:val="none" w:sz="0" w:space="0" w:color="auto"/>
        <w:left w:val="none" w:sz="0" w:space="0" w:color="auto"/>
        <w:bottom w:val="none" w:sz="0" w:space="0" w:color="auto"/>
        <w:right w:val="none" w:sz="0" w:space="0" w:color="auto"/>
      </w:divBdr>
    </w:div>
    <w:div w:id="2069986976">
      <w:bodyDiv w:val="1"/>
      <w:marLeft w:val="0"/>
      <w:marRight w:val="0"/>
      <w:marTop w:val="0"/>
      <w:marBottom w:val="0"/>
      <w:divBdr>
        <w:top w:val="none" w:sz="0" w:space="0" w:color="auto"/>
        <w:left w:val="none" w:sz="0" w:space="0" w:color="auto"/>
        <w:bottom w:val="none" w:sz="0" w:space="0" w:color="auto"/>
        <w:right w:val="none" w:sz="0" w:space="0" w:color="auto"/>
      </w:divBdr>
    </w:div>
    <w:div w:id="207542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1701</Words>
  <Characters>9701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2014-01-15T06:37:00Z</dcterms:created>
  <dcterms:modified xsi:type="dcterms:W3CDTF">2014-01-15T06:40:00Z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